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9C" w:rsidRDefault="00A873F0">
      <w:pPr>
        <w:overflowPunct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关于2021年市县统筹联动调整部分医疗服务项目价格的通知</w:t>
      </w:r>
    </w:p>
    <w:p w:rsidR="0034659C" w:rsidRPr="0025160D" w:rsidRDefault="0025160D">
      <w:pPr>
        <w:pStyle w:val="a6"/>
        <w:widowControl w:val="0"/>
        <w:shd w:val="clear" w:color="auto" w:fill="FFFFFF"/>
        <w:overflowPunct w:val="0"/>
        <w:spacing w:before="0" w:beforeAutospacing="0" w:after="0" w:afterAutospacing="0" w:line="560" w:lineRule="exact"/>
        <w:jc w:val="center"/>
        <w:rPr>
          <w:rFonts w:ascii="仿宋" w:eastAsia="仿宋" w:hAnsi="仿宋"/>
          <w:color w:val="000000"/>
          <w:sz w:val="30"/>
          <w:szCs w:val="30"/>
        </w:rPr>
      </w:pPr>
      <w:r>
        <w:rPr>
          <w:rFonts w:ascii="仿宋" w:eastAsia="仿宋" w:hAnsi="仿宋" w:hint="eastAsia"/>
          <w:color w:val="000000"/>
          <w:sz w:val="30"/>
          <w:szCs w:val="30"/>
        </w:rPr>
        <w:t>（征求意见稿）</w:t>
      </w:r>
    </w:p>
    <w:p w:rsidR="0034659C" w:rsidRDefault="00A873F0">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各县（市）医保局、区分局，龙港市社会事业局、经开区社保分局，省、市属公立医院，部队医院：</w:t>
      </w:r>
    </w:p>
    <w:p w:rsidR="0034659C" w:rsidRDefault="00A873F0">
      <w:pPr>
        <w:overflowPunct w:val="0"/>
        <w:spacing w:line="560" w:lineRule="exact"/>
        <w:ind w:firstLineChars="200" w:firstLine="640"/>
        <w:rPr>
          <w:rFonts w:ascii="仿宋_GB2312" w:eastAsia="仿宋_GB2312" w:hAnsi="仿宋_GB2312" w:cs="仿宋_GB2312"/>
          <w:sz w:val="32"/>
          <w:szCs w:val="32"/>
        </w:rPr>
      </w:pPr>
      <w:bookmarkStart w:id="0" w:name="_Hlk59001861"/>
      <w:r>
        <w:rPr>
          <w:rFonts w:ascii="仿宋_GB2312" w:eastAsia="仿宋_GB2312" w:hAnsi="仿宋_GB2312" w:cs="仿宋_GB2312" w:hint="eastAsia"/>
          <w:sz w:val="32"/>
          <w:szCs w:val="32"/>
        </w:rPr>
        <w:t>为进一步</w:t>
      </w:r>
      <w:r>
        <w:rPr>
          <w:rFonts w:ascii="仿宋_GB2312" w:eastAsia="仿宋_GB2312" w:hAnsi="仿宋_GB2312" w:cs="仿宋_GB2312"/>
          <w:sz w:val="32"/>
          <w:szCs w:val="32"/>
        </w:rPr>
        <w:t>理顺</w:t>
      </w:r>
      <w:r>
        <w:rPr>
          <w:rFonts w:ascii="仿宋_GB2312" w:eastAsia="仿宋_GB2312" w:hAnsi="仿宋_GB2312" w:cs="仿宋_GB2312" w:hint="eastAsia"/>
          <w:sz w:val="32"/>
          <w:szCs w:val="32"/>
        </w:rPr>
        <w:t>我市</w:t>
      </w:r>
      <w:r>
        <w:rPr>
          <w:rFonts w:ascii="仿宋_GB2312" w:eastAsia="仿宋_GB2312" w:hAnsi="仿宋_GB2312" w:cs="仿宋_GB2312"/>
          <w:sz w:val="32"/>
          <w:szCs w:val="32"/>
        </w:rPr>
        <w:t>医疗服务比价关系,</w:t>
      </w:r>
      <w:r>
        <w:rPr>
          <w:rFonts w:ascii="仿宋_GB2312" w:eastAsia="仿宋_GB2312" w:hAnsi="仿宋_GB2312" w:cs="仿宋_GB2312" w:hint="eastAsia"/>
          <w:sz w:val="32"/>
          <w:szCs w:val="32"/>
        </w:rPr>
        <w:t>形成成本和收入结构变化为触发的</w:t>
      </w:r>
      <w:r>
        <w:rPr>
          <w:rFonts w:ascii="仿宋_GB2312" w:eastAsia="仿宋_GB2312" w:hAnsi="仿宋_GB2312" w:cs="仿宋_GB2312"/>
          <w:sz w:val="32"/>
          <w:szCs w:val="32"/>
        </w:rPr>
        <w:t>医疗服务价格</w:t>
      </w:r>
      <w:r>
        <w:rPr>
          <w:rFonts w:ascii="仿宋_GB2312" w:eastAsia="仿宋_GB2312" w:hAnsi="仿宋_GB2312" w:cs="仿宋_GB2312" w:hint="eastAsia"/>
          <w:sz w:val="32"/>
          <w:szCs w:val="32"/>
        </w:rPr>
        <w:t>动态调整机制，按照“控总量、腾空间、调结构、保衔接、强监管”的调价原则，根据《国务院办公厅关于印发治理高值医用耗材改革方案的通知》（国办发〔2019〕37号）、《浙江省医疗保障局关于印发浙江省公立医疗机构部分医用耗材带量采购工作方案的通知》（浙医保发〔2020</w:t>
      </w:r>
      <w:bookmarkStart w:id="1" w:name="_GoBack"/>
      <w:r>
        <w:rPr>
          <w:rFonts w:ascii="仿宋_GB2312" w:eastAsia="仿宋_GB2312" w:hAnsi="仿宋_GB2312" w:cs="仿宋_GB2312" w:hint="eastAsia"/>
          <w:sz w:val="32"/>
          <w:szCs w:val="32"/>
        </w:rPr>
        <w:t>〕</w:t>
      </w:r>
      <w:bookmarkEnd w:id="1"/>
      <w:r>
        <w:rPr>
          <w:rFonts w:ascii="仿宋_GB2312" w:eastAsia="仿宋_GB2312" w:hAnsi="仿宋_GB2312" w:cs="仿宋_GB2312" w:hint="eastAsia"/>
          <w:sz w:val="32"/>
          <w:szCs w:val="32"/>
        </w:rPr>
        <w:t>17号）、《</w:t>
      </w:r>
      <w:bookmarkStart w:id="2" w:name="Title"/>
      <w:r>
        <w:rPr>
          <w:rFonts w:ascii="仿宋_GB2312" w:eastAsia="仿宋_GB2312" w:hAnsi="仿宋_GB2312" w:cs="仿宋_GB2312" w:hint="eastAsia"/>
          <w:sz w:val="32"/>
          <w:szCs w:val="32"/>
        </w:rPr>
        <w:t>浙江省医疗保障局</w:t>
      </w:r>
      <w:r>
        <w:rPr>
          <w:rFonts w:ascii="仿宋_GB2312" w:eastAsia="仿宋_GB2312" w:hAnsi="仿宋_GB2312" w:cs="仿宋_GB2312"/>
          <w:sz w:val="32"/>
          <w:szCs w:val="32"/>
        </w:rPr>
        <w:t xml:space="preserve"> 浙江省卫生健康委员会关于调整省级公立医院部分医疗服务项目价格等</w:t>
      </w:r>
      <w:r>
        <w:rPr>
          <w:rFonts w:ascii="仿宋_GB2312" w:eastAsia="仿宋_GB2312" w:hAnsi="仿宋_GB2312" w:cs="仿宋_GB2312" w:hint="eastAsia"/>
          <w:sz w:val="32"/>
          <w:szCs w:val="32"/>
        </w:rPr>
        <w:t>有关事项的通知</w:t>
      </w:r>
      <w:bookmarkEnd w:id="2"/>
      <w:r>
        <w:rPr>
          <w:rFonts w:ascii="仿宋_GB2312" w:eastAsia="仿宋_GB2312" w:hAnsi="仿宋_GB2312" w:cs="仿宋_GB2312" w:hint="eastAsia"/>
          <w:sz w:val="32"/>
          <w:szCs w:val="32"/>
        </w:rPr>
        <w:t>》（浙医保联发〔2020〕31号）文件精神，对标省价</w:t>
      </w:r>
      <w:bookmarkEnd w:id="0"/>
      <w:r>
        <w:rPr>
          <w:rFonts w:ascii="仿宋_GB2312" w:eastAsia="仿宋_GB2312" w:hAnsi="仿宋_GB2312" w:cs="仿宋_GB2312" w:hint="eastAsia"/>
          <w:sz w:val="32"/>
          <w:szCs w:val="32"/>
        </w:rPr>
        <w:t>，现对温州市公立医院部分医疗服务项目</w:t>
      </w:r>
      <w:r w:rsidR="00647A1C">
        <w:rPr>
          <w:rFonts w:ascii="仿宋_GB2312" w:eastAsia="仿宋_GB2312" w:hAnsi="仿宋_GB2312" w:cs="仿宋_GB2312" w:hint="eastAsia"/>
          <w:sz w:val="32"/>
          <w:szCs w:val="32"/>
        </w:rPr>
        <w:t>价格</w:t>
      </w:r>
      <w:r>
        <w:rPr>
          <w:rFonts w:ascii="仿宋_GB2312" w:eastAsia="仿宋_GB2312" w:hAnsi="仿宋_GB2312" w:cs="仿宋_GB2312" w:hint="eastAsia"/>
          <w:sz w:val="32"/>
          <w:szCs w:val="32"/>
        </w:rPr>
        <w:t>进行市县统筹联动调整，并就有关事项通知如下：</w:t>
      </w:r>
    </w:p>
    <w:p w:rsidR="0034659C" w:rsidRDefault="00A873F0">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一、调整冠脉介入、冠脉搭桥、髋关节等部分医疗服务项目价格（详见附件），按规定纳入医保支付范围。</w:t>
      </w:r>
    </w:p>
    <w:p w:rsidR="0034659C" w:rsidRDefault="00A873F0">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二、调整部分项目备注栏内容：12040000700“小儿静脉输液（门诊/含输液器）”、12040000702“小儿静脉输液（门诊/不含输液器）”备注栏改为“限6周岁以下儿童输液。对静脉输液病人不得收取动静脉置管护理”。</w:t>
      </w:r>
    </w:p>
    <w:p w:rsidR="0034659C" w:rsidRDefault="00A873F0">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kern w:val="2"/>
          <w:sz w:val="32"/>
          <w:szCs w:val="32"/>
        </w:rPr>
        <w:lastRenderedPageBreak/>
        <w:t>三、各公立医院要加强内部管理，规范诊疗行为，严格按规定向患者提供医疗服务并收取费用，完善价格公示制度，切实保障患者的合法权益</w:t>
      </w:r>
      <w:r>
        <w:rPr>
          <w:rFonts w:ascii="仿宋_GB2312" w:eastAsia="仿宋_GB2312" w:hAnsi="仿宋_GB2312" w:cs="仿宋_GB2312"/>
          <w:color w:val="000000"/>
          <w:sz w:val="32"/>
          <w:szCs w:val="32"/>
        </w:rPr>
        <w:t>，自觉接受社会监督</w:t>
      </w:r>
      <w:r>
        <w:rPr>
          <w:rFonts w:ascii="仿宋_GB2312" w:eastAsia="仿宋_GB2312" w:hAnsi="仿宋_GB2312" w:cs="仿宋_GB2312" w:hint="eastAsia"/>
          <w:color w:val="000000"/>
          <w:kern w:val="2"/>
          <w:sz w:val="32"/>
          <w:szCs w:val="32"/>
        </w:rPr>
        <w:t>。</w:t>
      </w:r>
    </w:p>
    <w:p w:rsidR="0034659C" w:rsidRDefault="00A873F0">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四、市、县两级医保、卫健部门要各司其职，落实责任，确保本次价格调整工作平稳顺利完成。</w:t>
      </w:r>
    </w:p>
    <w:p w:rsidR="0034659C" w:rsidRDefault="00A873F0">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五、调整后的价格自20</w:t>
      </w:r>
      <w:r>
        <w:rPr>
          <w:rFonts w:ascii="仿宋_GB2312" w:eastAsia="仿宋_GB2312" w:hAnsi="仿宋_GB2312" w:cs="仿宋_GB2312"/>
          <w:color w:val="000000"/>
          <w:sz w:val="32"/>
          <w:szCs w:val="32"/>
        </w:rPr>
        <w:t>2</w:t>
      </w:r>
      <w:r w:rsidR="0095092D">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年</w:t>
      </w:r>
      <w:r w:rsidR="0025160D">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月</w:t>
      </w:r>
      <w:r w:rsidR="0025160D">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日起执行。</w:t>
      </w:r>
    </w:p>
    <w:p w:rsidR="0034659C" w:rsidRDefault="0034659C">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34659C" w:rsidRDefault="00A873F0">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附件：部分医疗服务项目价格调整表</w:t>
      </w:r>
    </w:p>
    <w:p w:rsidR="0034659C" w:rsidRDefault="0034659C">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34659C" w:rsidRDefault="0034659C">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34659C" w:rsidRDefault="0034659C">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p>
    <w:p w:rsidR="0034659C" w:rsidRDefault="00A873F0">
      <w:pPr>
        <w:pStyle w:val="a6"/>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温州市医疗保障局            温州市卫生健康委员会</w:t>
      </w:r>
    </w:p>
    <w:p w:rsidR="0034659C" w:rsidRDefault="00A873F0">
      <w:pPr>
        <w:pStyle w:val="a6"/>
        <w:widowControl w:val="0"/>
        <w:shd w:val="clear" w:color="auto" w:fill="FFFFFF"/>
        <w:overflowPunct w:val="0"/>
        <w:spacing w:before="0" w:beforeAutospacing="0" w:after="0" w:afterAutospacing="0" w:line="560" w:lineRule="exact"/>
        <w:ind w:firstLineChars="1750" w:firstLine="5600"/>
        <w:jc w:val="both"/>
        <w:rPr>
          <w:rFonts w:ascii="仿宋_GB2312" w:eastAsia="仿宋_GB2312" w:hAnsi="仿宋_GB2312" w:cs="仿宋_GB2312"/>
          <w:sz w:val="32"/>
          <w:szCs w:val="32"/>
        </w:rPr>
        <w:sectPr w:rsidR="0034659C">
          <w:footerReference w:type="default" r:id="rId7"/>
          <w:pgSz w:w="11906" w:h="16838"/>
          <w:pgMar w:top="2098" w:right="1474" w:bottom="1984" w:left="1587" w:header="851" w:footer="992" w:gutter="0"/>
          <w:cols w:space="425"/>
          <w:docGrid w:type="lines" w:linePitch="312"/>
        </w:sectPr>
      </w:pPr>
      <w:r>
        <w:rPr>
          <w:rFonts w:ascii="仿宋_GB2312" w:eastAsia="仿宋_GB2312" w:hAnsi="仿宋_GB2312" w:cs="仿宋_GB2312" w:hint="eastAsia"/>
          <w:sz w:val="32"/>
          <w:szCs w:val="32"/>
        </w:rPr>
        <w:t>202</w:t>
      </w:r>
      <w:r w:rsidR="0095092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920FE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920FE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34659C" w:rsidRDefault="00A873F0">
      <w:pPr>
        <w:overflowPunct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p>
    <w:p w:rsidR="0034659C" w:rsidRDefault="00A873F0">
      <w:pPr>
        <w:overflowPunct w:val="0"/>
        <w:spacing w:line="560" w:lineRule="exact"/>
        <w:jc w:val="center"/>
        <w:rPr>
          <w:rFonts w:ascii="方正小标宋简体" w:eastAsia="方正小标宋简体" w:hAnsi="方正小标宋简体" w:cs="方正小标宋简体"/>
          <w:sz w:val="44"/>
          <w:szCs w:val="44"/>
        </w:rPr>
      </w:pPr>
      <w:bookmarkStart w:id="3" w:name="_Hlk59001778"/>
      <w:r>
        <w:rPr>
          <w:rFonts w:ascii="方正小标宋简体" w:eastAsia="方正小标宋简体" w:hAnsi="方正小标宋简体" w:cs="方正小标宋简体" w:hint="eastAsia"/>
          <w:sz w:val="44"/>
          <w:szCs w:val="44"/>
        </w:rPr>
        <w:t>部分医疗服务项目价格调整表</w:t>
      </w:r>
    </w:p>
    <w:p w:rsidR="0034659C" w:rsidRDefault="0034659C">
      <w:pPr>
        <w:overflowPunct w:val="0"/>
        <w:spacing w:line="560" w:lineRule="exact"/>
        <w:jc w:val="center"/>
        <w:rPr>
          <w:rFonts w:ascii="黑体" w:eastAsia="黑体" w:hAnsi="黑体" w:cs="黑体"/>
          <w:sz w:val="32"/>
          <w:szCs w:val="32"/>
        </w:rPr>
      </w:pP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483"/>
        <w:gridCol w:w="1583"/>
        <w:gridCol w:w="2667"/>
        <w:gridCol w:w="2967"/>
        <w:gridCol w:w="1566"/>
        <w:gridCol w:w="717"/>
        <w:gridCol w:w="850"/>
        <w:gridCol w:w="745"/>
        <w:gridCol w:w="967"/>
        <w:gridCol w:w="1833"/>
      </w:tblGrid>
      <w:tr w:rsidR="0034659C">
        <w:trPr>
          <w:trHeight w:val="567"/>
          <w:jc w:val="center"/>
        </w:trPr>
        <w:tc>
          <w:tcPr>
            <w:tcW w:w="498" w:type="dxa"/>
            <w:shd w:val="clear" w:color="auto" w:fill="auto"/>
            <w:noWrap/>
            <w:vAlign w:val="center"/>
          </w:tcPr>
          <w:bookmarkEnd w:id="3"/>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序号</w:t>
            </w:r>
          </w:p>
        </w:tc>
        <w:tc>
          <w:tcPr>
            <w:tcW w:w="483"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分类</w:t>
            </w:r>
          </w:p>
        </w:tc>
        <w:tc>
          <w:tcPr>
            <w:tcW w:w="1583"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项目收费</w:t>
            </w:r>
          </w:p>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编码</w:t>
            </w:r>
          </w:p>
        </w:tc>
        <w:tc>
          <w:tcPr>
            <w:tcW w:w="2667"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项目名称</w:t>
            </w:r>
          </w:p>
        </w:tc>
        <w:tc>
          <w:tcPr>
            <w:tcW w:w="2967"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项目内涵</w:t>
            </w:r>
          </w:p>
        </w:tc>
        <w:tc>
          <w:tcPr>
            <w:tcW w:w="1566"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除外内容</w:t>
            </w:r>
          </w:p>
        </w:tc>
        <w:tc>
          <w:tcPr>
            <w:tcW w:w="717" w:type="dxa"/>
            <w:shd w:val="clear" w:color="auto" w:fill="auto"/>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计价单位</w:t>
            </w:r>
          </w:p>
        </w:tc>
        <w:tc>
          <w:tcPr>
            <w:tcW w:w="850"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三甲</w:t>
            </w:r>
          </w:p>
        </w:tc>
        <w:tc>
          <w:tcPr>
            <w:tcW w:w="745"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三乙</w:t>
            </w:r>
          </w:p>
        </w:tc>
        <w:tc>
          <w:tcPr>
            <w:tcW w:w="967"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二甲及以下</w:t>
            </w:r>
          </w:p>
        </w:tc>
        <w:tc>
          <w:tcPr>
            <w:tcW w:w="1833" w:type="dxa"/>
            <w:shd w:val="clear" w:color="auto" w:fill="auto"/>
            <w:noWrap/>
            <w:vAlign w:val="center"/>
          </w:tcPr>
          <w:p w:rsidR="0034659C" w:rsidRDefault="00A873F0">
            <w:pPr>
              <w:overflowPunct w:val="0"/>
              <w:spacing w:line="320" w:lineRule="exact"/>
              <w:jc w:val="center"/>
              <w:rPr>
                <w:rFonts w:ascii="黑体" w:eastAsia="黑体" w:hAnsi="黑体" w:cs="黑体"/>
                <w:kern w:val="0"/>
                <w:sz w:val="24"/>
                <w:szCs w:val="24"/>
              </w:rPr>
            </w:pPr>
            <w:r>
              <w:rPr>
                <w:rFonts w:ascii="黑体" w:eastAsia="黑体" w:hAnsi="黑体" w:cs="黑体" w:hint="eastAsia"/>
                <w:kern w:val="0"/>
                <w:sz w:val="24"/>
                <w:szCs w:val="24"/>
              </w:rPr>
              <w:t>备注</w:t>
            </w: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31070200400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射频消融术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射频导管（针）</w:t>
            </w: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1600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31070200701</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三腔起搏器手术（CRT）加收</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起搏器</w:t>
            </w: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780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780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780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32050000100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冠状动脉造影术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1600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32050000101</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冠状动脉、</w:t>
            </w:r>
          </w:p>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左心室同时造影加收</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32050000200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w w:val="92"/>
                <w:kern w:val="0"/>
                <w:sz w:val="24"/>
                <w:szCs w:val="24"/>
              </w:rPr>
              <w:t>经皮冠状动脉腔内成形术</w:t>
            </w:r>
            <w:r>
              <w:rPr>
                <w:rFonts w:ascii="仿宋_GB2312" w:eastAsia="仿宋_GB2312" w:hAnsi="仿宋_GB2312" w:cs="仿宋_GB2312" w:hint="eastAsia"/>
                <w:kern w:val="0"/>
                <w:sz w:val="24"/>
                <w:szCs w:val="24"/>
              </w:rPr>
              <w:t>（PTCA）</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含PTCA</w:t>
            </w:r>
            <w:r>
              <w:rPr>
                <w:rFonts w:ascii="仿宋_GB2312" w:eastAsia="仿宋_GB2312" w:hAnsi="仿宋_GB2312" w:cs="仿宋_GB2312" w:hint="eastAsia"/>
                <w:kern w:val="0"/>
                <w:sz w:val="24"/>
                <w:szCs w:val="24"/>
              </w:rPr>
              <w:t>前的靶血管造影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2640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32050000300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经皮冠状动脉内支架</w:t>
            </w:r>
          </w:p>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置入术（STENT）</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含为放置冠脉内支架而进行的球囊预扩张和支架打开后的支架内球囊高压扩张及术前的靶血管造影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3800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3420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3040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32050000400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经皮冠状动脉腔内激光成形术（ELCA）</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含激光消融后球囊扩张和/</w:t>
            </w:r>
            <w:r>
              <w:rPr>
                <w:rFonts w:ascii="仿宋_GB2312" w:eastAsia="仿宋_GB2312" w:hAnsi="仿宋_GB2312" w:cs="仿宋_GB2312" w:hint="eastAsia"/>
                <w:kern w:val="0"/>
                <w:sz w:val="24"/>
                <w:szCs w:val="24"/>
              </w:rPr>
              <w:t>或支架置入及术前的靶血管造影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4000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8</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32050000500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w w:val="92"/>
                <w:kern w:val="0"/>
                <w:sz w:val="24"/>
                <w:szCs w:val="24"/>
              </w:rPr>
            </w:pPr>
            <w:r>
              <w:rPr>
                <w:rFonts w:ascii="仿宋_GB2312" w:eastAsia="仿宋_GB2312" w:hAnsi="仿宋_GB2312" w:cs="仿宋_GB2312" w:hint="eastAsia"/>
                <w:w w:val="92"/>
                <w:kern w:val="0"/>
                <w:sz w:val="24"/>
                <w:szCs w:val="24"/>
              </w:rPr>
              <w:t>高速冠状动脉内膜旋磨术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含旋磨后球囊扩张和/</w:t>
            </w:r>
            <w:r>
              <w:rPr>
                <w:rFonts w:ascii="仿宋_GB2312" w:eastAsia="仿宋_GB2312" w:hAnsi="仿宋_GB2312" w:cs="仿宋_GB2312" w:hint="eastAsia"/>
                <w:kern w:val="0"/>
                <w:sz w:val="24"/>
                <w:szCs w:val="24"/>
              </w:rPr>
              <w:t>或支架置入及术前的靶血管造影</w:t>
            </w:r>
          </w:p>
        </w:tc>
        <w:tc>
          <w:tcPr>
            <w:tcW w:w="1566"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磨头、推送器</w:t>
            </w: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4000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32050000600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定向冠脉内膜旋切术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含术前的靶血管造影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4000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32050000700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冠脉血管内超声检查术（IVUS）</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含术前的靶血管造影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2640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11</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32050000701</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冠脉血管内压力导丝测定术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含术前的靶血管造影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2640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12</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32050000900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主动脉内球囊反搏（IABP）运行监测</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含氦气，不含心电、压力连续示波监护</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小时</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36</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13</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32050001100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经皮冠状动脉内溶栓术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含冠脉造影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2640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32050001101</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经皮冠状动脉瘘封堵术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含冠脉造影</w:t>
            </w:r>
          </w:p>
        </w:tc>
        <w:tc>
          <w:tcPr>
            <w:tcW w:w="1566"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栓塞材料</w:t>
            </w: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2640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32050001500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冠脉内局部药物释放治疗术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含冠脉造影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4000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16</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32050001600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w w:val="92"/>
                <w:kern w:val="0"/>
                <w:sz w:val="24"/>
                <w:szCs w:val="24"/>
              </w:rPr>
            </w:pPr>
            <w:r>
              <w:rPr>
                <w:rFonts w:ascii="仿宋_GB2312" w:eastAsia="仿宋_GB2312" w:hAnsi="仿宋_GB2312" w:cs="仿宋_GB2312" w:hint="eastAsia"/>
                <w:w w:val="92"/>
                <w:kern w:val="0"/>
                <w:sz w:val="24"/>
                <w:szCs w:val="24"/>
              </w:rPr>
              <w:t>肥厚型心肌病化学消融术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4500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4000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17</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E</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32050001700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冠脉光学相干断层</w:t>
            </w:r>
          </w:p>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扫描（OCT）检查</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不含冠状动脉造影</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810</w:t>
            </w:r>
          </w:p>
        </w:tc>
        <w:tc>
          <w:tcPr>
            <w:tcW w:w="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720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18</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33080200200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w w:val="88"/>
                <w:kern w:val="0"/>
                <w:sz w:val="24"/>
                <w:szCs w:val="24"/>
              </w:rPr>
              <w:t>冠状动脉起源异常矫治术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8300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7470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6640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33080200300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冠状动脉搭桥术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含搭桥血管材料的获取术</w:t>
            </w: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10500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9450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8400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20</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33080200400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冠脉搭桥+换瓣术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8910</w:t>
            </w:r>
          </w:p>
        </w:tc>
        <w:tc>
          <w:tcPr>
            <w:tcW w:w="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7920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33080200401</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冠脉搭桥+瓣成形术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8910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7920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22</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33080200500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冠脉搭桥+人工血管置换术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8910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7920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23</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33080200600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非体外循环冠状动脉搭桥术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9400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8460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7520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33080200700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小切口冠状动脉搭桥术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8010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7120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25</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33080200701</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经胸腔镜取乳内动脉术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支</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8010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7120</w:t>
            </w:r>
          </w:p>
        </w:tc>
        <w:tc>
          <w:tcPr>
            <w:tcW w:w="183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单位“</w:t>
            </w:r>
            <w:r>
              <w:rPr>
                <w:rFonts w:ascii="仿宋_GB2312" w:eastAsia="仿宋_GB2312" w:hAnsi="仿宋_GB2312" w:cs="仿宋_GB2312" w:hint="eastAsia"/>
                <w:kern w:val="0"/>
                <w:sz w:val="24"/>
                <w:szCs w:val="24"/>
              </w:rPr>
              <w:t>支”表示每支吻合血管</w:t>
            </w:r>
          </w:p>
        </w:tc>
      </w:tr>
      <w:tr w:rsidR="0034659C">
        <w:trPr>
          <w:trHeight w:val="567"/>
          <w:jc w:val="center"/>
        </w:trPr>
        <w:tc>
          <w:tcPr>
            <w:tcW w:w="498"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26</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33080200800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冠状动脉内膜切除术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5400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4860</w:t>
            </w:r>
          </w:p>
        </w:tc>
        <w:tc>
          <w:tcPr>
            <w:tcW w:w="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4320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33080302300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w w:val="92"/>
                <w:kern w:val="0"/>
                <w:sz w:val="24"/>
                <w:szCs w:val="24"/>
              </w:rPr>
              <w:t>主动脉内球囊反搏置管术</w:t>
            </w:r>
          </w:p>
        </w:tc>
        <w:tc>
          <w:tcPr>
            <w:tcW w:w="2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含主动脉内球囊及导管撤离术</w:t>
            </w:r>
          </w:p>
        </w:tc>
        <w:tc>
          <w:tcPr>
            <w:tcW w:w="1566"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w w:val="90"/>
                <w:kern w:val="0"/>
                <w:sz w:val="24"/>
                <w:szCs w:val="24"/>
              </w:rPr>
              <w:t>球囊反搏导管</w:t>
            </w: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2700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2430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2160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28</w:t>
            </w:r>
          </w:p>
        </w:tc>
        <w:tc>
          <w:tcPr>
            <w:tcW w:w="4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33150700500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人工全髋关节置换术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4900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4410</w:t>
            </w:r>
          </w:p>
        </w:tc>
        <w:tc>
          <w:tcPr>
            <w:tcW w:w="96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3920</w:t>
            </w:r>
          </w:p>
        </w:tc>
        <w:tc>
          <w:tcPr>
            <w:tcW w:w="1833"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r w:rsidR="0034659C">
        <w:trPr>
          <w:trHeight w:val="567"/>
          <w:jc w:val="center"/>
        </w:trPr>
        <w:tc>
          <w:tcPr>
            <w:tcW w:w="498"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29</w:t>
            </w:r>
          </w:p>
        </w:tc>
        <w:tc>
          <w:tcPr>
            <w:tcW w:w="483"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G</w:t>
            </w:r>
          </w:p>
        </w:tc>
        <w:tc>
          <w:tcPr>
            <w:tcW w:w="1583"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33150790100</w:t>
            </w:r>
          </w:p>
        </w:tc>
        <w:tc>
          <w:tcPr>
            <w:tcW w:w="26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人工关节翻修术</w:t>
            </w:r>
          </w:p>
        </w:tc>
        <w:tc>
          <w:tcPr>
            <w:tcW w:w="2967"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1566" w:type="dxa"/>
            <w:shd w:val="clear" w:color="auto" w:fill="auto"/>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c>
          <w:tcPr>
            <w:tcW w:w="717"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次</w:t>
            </w:r>
          </w:p>
        </w:tc>
        <w:tc>
          <w:tcPr>
            <w:tcW w:w="850"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7000</w:t>
            </w:r>
          </w:p>
        </w:tc>
        <w:tc>
          <w:tcPr>
            <w:tcW w:w="745" w:type="dxa"/>
            <w:shd w:val="clear" w:color="auto" w:fill="auto"/>
            <w:noWrap/>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6300</w:t>
            </w:r>
          </w:p>
        </w:tc>
        <w:tc>
          <w:tcPr>
            <w:tcW w:w="967" w:type="dxa"/>
            <w:shd w:val="clear" w:color="auto" w:fill="auto"/>
            <w:vAlign w:val="center"/>
          </w:tcPr>
          <w:p w:rsidR="0034659C" w:rsidRDefault="00A873F0">
            <w:pPr>
              <w:overflowPunct w:val="0"/>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5600</w:t>
            </w:r>
          </w:p>
        </w:tc>
        <w:tc>
          <w:tcPr>
            <w:tcW w:w="1833" w:type="dxa"/>
            <w:shd w:val="clear" w:color="auto" w:fill="auto"/>
            <w:noWrap/>
            <w:vAlign w:val="center"/>
          </w:tcPr>
          <w:p w:rsidR="0034659C" w:rsidRDefault="0034659C">
            <w:pPr>
              <w:overflowPunct w:val="0"/>
              <w:spacing w:line="320" w:lineRule="exact"/>
              <w:jc w:val="center"/>
              <w:rPr>
                <w:rFonts w:ascii="仿宋_GB2312" w:eastAsia="仿宋_GB2312" w:hAnsi="仿宋_GB2312" w:cs="仿宋_GB2312"/>
                <w:kern w:val="0"/>
                <w:sz w:val="24"/>
                <w:szCs w:val="24"/>
              </w:rPr>
            </w:pPr>
          </w:p>
        </w:tc>
      </w:tr>
    </w:tbl>
    <w:p w:rsidR="0034659C" w:rsidRDefault="0034659C">
      <w:pPr>
        <w:spacing w:line="20" w:lineRule="exact"/>
      </w:pPr>
    </w:p>
    <w:sectPr w:rsidR="0034659C" w:rsidSect="0034659C">
      <w:pgSz w:w="16838" w:h="11906" w:orient="landscape"/>
      <w:pgMar w:top="2098" w:right="1474" w:bottom="1984" w:left="158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4F9" w:rsidRDefault="000F34F9">
      <w:pPr>
        <w:spacing w:line="240" w:lineRule="auto"/>
      </w:pPr>
      <w:r>
        <w:separator/>
      </w:r>
    </w:p>
  </w:endnote>
  <w:endnote w:type="continuationSeparator" w:id="1">
    <w:p w:rsidR="000F34F9" w:rsidRDefault="000F3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蒂剪纸体">
    <w:altName w:val="宋体"/>
    <w:charset w:val="86"/>
    <w:family w:val="script"/>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9C" w:rsidRDefault="005B1D65">
    <w:pPr>
      <w:pStyle w:val="a5"/>
    </w:pPr>
    <w:r>
      <w:pict>
        <v:shapetype id="_x0000_t202" coordsize="21600,21600" o:spt="202" path="m,l,21600r21600,l21600,xe">
          <v:stroke joinstyle="miter"/>
          <v:path gradientshapeok="t" o:connecttype="rect"/>
        </v:shapetype>
        <v:shape id="_x0000_s1026" type="#_x0000_t202" style="position:absolute;margin-left:312pt;margin-top:-34.65pt;width:2in;height:2in;z-index:251659264;mso-wrap-style:none;mso-position-horizontal:outside;mso-position-horizontal-relative:margin" o:gfxdata="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GBS+bdUAAAAIAQAADwAAAAAAAAABACAAAAAiAAAAZHJzL2Rvd25y&#10;ZXYueG1sUEsBAhQAFAAAAAgAh07iQOSi/s/IAQAAmQMAAA4AAAAAAAAAAQAgAAAAJAEAAGRycy9l&#10;Mm9Eb2MueG1sUEsFBgAAAAAGAAYAWQEAAF4FAAAAAA==&#10;" filled="f" stroked="f">
          <v:textbox style="mso-fit-shape-to-text:t" inset="0,0,0,0">
            <w:txbxContent>
              <w:p w:rsidR="0034659C" w:rsidRDefault="00A873F0">
                <w:pPr>
                  <w:pStyle w:val="a5"/>
                  <w:ind w:leftChars="100" w:left="210" w:rightChars="100" w:right="210"/>
                  <w:jc w:val="right"/>
                </w:pPr>
                <w:r>
                  <w:rPr>
                    <w:rStyle w:val="a7"/>
                    <w:rFonts w:ascii="宋体" w:hAnsi="宋体" w:cs="宋体" w:hint="eastAsia"/>
                    <w:sz w:val="28"/>
                    <w:szCs w:val="28"/>
                  </w:rPr>
                  <w:t xml:space="preserve">— </w:t>
                </w:r>
                <w:r w:rsidR="005B1D65">
                  <w:rPr>
                    <w:rFonts w:ascii="宋体" w:hAnsi="宋体" w:cs="宋体" w:hint="eastAsia"/>
                    <w:sz w:val="28"/>
                    <w:szCs w:val="28"/>
                  </w:rPr>
                  <w:fldChar w:fldCharType="begin"/>
                </w:r>
                <w:r>
                  <w:rPr>
                    <w:rStyle w:val="a7"/>
                    <w:rFonts w:ascii="宋体" w:hAnsi="宋体" w:cs="宋体" w:hint="eastAsia"/>
                    <w:sz w:val="28"/>
                    <w:szCs w:val="28"/>
                  </w:rPr>
                  <w:instrText xml:space="preserve">PAGE  </w:instrText>
                </w:r>
                <w:r w:rsidR="005B1D65">
                  <w:rPr>
                    <w:rFonts w:ascii="宋体" w:hAnsi="宋体" w:cs="宋体" w:hint="eastAsia"/>
                    <w:sz w:val="28"/>
                    <w:szCs w:val="28"/>
                  </w:rPr>
                  <w:fldChar w:fldCharType="separate"/>
                </w:r>
                <w:r w:rsidR="0095092D">
                  <w:rPr>
                    <w:rStyle w:val="a7"/>
                    <w:rFonts w:ascii="宋体" w:hAnsi="宋体" w:cs="宋体"/>
                    <w:noProof/>
                    <w:sz w:val="28"/>
                    <w:szCs w:val="28"/>
                  </w:rPr>
                  <w:t>2</w:t>
                </w:r>
                <w:r w:rsidR="005B1D65">
                  <w:rPr>
                    <w:rFonts w:ascii="宋体" w:hAnsi="宋体" w:cs="宋体" w:hint="eastAsia"/>
                    <w:sz w:val="28"/>
                    <w:szCs w:val="28"/>
                  </w:rPr>
                  <w:fldChar w:fldCharType="end"/>
                </w:r>
                <w:r>
                  <w:rPr>
                    <w:rStyle w:val="a7"/>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4F9" w:rsidRDefault="000F34F9">
      <w:pPr>
        <w:spacing w:line="240" w:lineRule="auto"/>
      </w:pPr>
      <w:r>
        <w:separator/>
      </w:r>
    </w:p>
  </w:footnote>
  <w:footnote w:type="continuationSeparator" w:id="1">
    <w:p w:rsidR="000F34F9" w:rsidRDefault="000F34F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024BAF"/>
    <w:rsid w:val="000F34F9"/>
    <w:rsid w:val="0025160D"/>
    <w:rsid w:val="0034659C"/>
    <w:rsid w:val="004F5CE8"/>
    <w:rsid w:val="005B1D65"/>
    <w:rsid w:val="00647A1C"/>
    <w:rsid w:val="00920FE6"/>
    <w:rsid w:val="0095092D"/>
    <w:rsid w:val="00A873F0"/>
    <w:rsid w:val="00CC3A38"/>
    <w:rsid w:val="01EF385F"/>
    <w:rsid w:val="06BB0200"/>
    <w:rsid w:val="0BA468B0"/>
    <w:rsid w:val="1C291306"/>
    <w:rsid w:val="1D754D3E"/>
    <w:rsid w:val="21C40896"/>
    <w:rsid w:val="2200046E"/>
    <w:rsid w:val="29A408E0"/>
    <w:rsid w:val="310266F2"/>
    <w:rsid w:val="32F25388"/>
    <w:rsid w:val="33024BAF"/>
    <w:rsid w:val="355A61C6"/>
    <w:rsid w:val="39CE162A"/>
    <w:rsid w:val="3C3D6B7D"/>
    <w:rsid w:val="3CB30FAD"/>
    <w:rsid w:val="3FF12C61"/>
    <w:rsid w:val="423D20E2"/>
    <w:rsid w:val="4F472AF0"/>
    <w:rsid w:val="505037E2"/>
    <w:rsid w:val="53515BF1"/>
    <w:rsid w:val="5E4F45FC"/>
    <w:rsid w:val="5EA2252E"/>
    <w:rsid w:val="5FA15CD8"/>
    <w:rsid w:val="6DDD6AD5"/>
    <w:rsid w:val="6E460A0B"/>
    <w:rsid w:val="78E76705"/>
    <w:rsid w:val="7F2F66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Body Text" w:semiHidden="1"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4659C"/>
    <w:pPr>
      <w:widowControl w:val="0"/>
      <w:spacing w:line="360" w:lineRule="auto"/>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34659C"/>
    <w:pPr>
      <w:autoSpaceDE w:val="0"/>
      <w:autoSpaceDN w:val="0"/>
      <w:adjustRightInd w:val="0"/>
      <w:spacing w:after="0" w:line="500" w:lineRule="exact"/>
      <w:ind w:left="108" w:firstLine="420"/>
      <w:jc w:val="left"/>
    </w:pPr>
    <w:rPr>
      <w:rFonts w:ascii="新蒂剪纸体" w:eastAsia="宋体" w:hAnsi="新蒂剪纸体" w:hint="eastAsia"/>
      <w:kern w:val="0"/>
      <w:sz w:val="28"/>
      <w:szCs w:val="20"/>
    </w:rPr>
  </w:style>
  <w:style w:type="paragraph" w:styleId="a4">
    <w:name w:val="Body Text"/>
    <w:basedOn w:val="a"/>
    <w:next w:val="a0"/>
    <w:uiPriority w:val="99"/>
    <w:semiHidden/>
    <w:unhideWhenUsed/>
    <w:qFormat/>
    <w:rsid w:val="0034659C"/>
    <w:pPr>
      <w:spacing w:after="120"/>
    </w:pPr>
  </w:style>
  <w:style w:type="paragraph" w:styleId="a5">
    <w:name w:val="footer"/>
    <w:basedOn w:val="a"/>
    <w:uiPriority w:val="99"/>
    <w:unhideWhenUsed/>
    <w:qFormat/>
    <w:rsid w:val="0034659C"/>
    <w:pPr>
      <w:tabs>
        <w:tab w:val="center" w:pos="4153"/>
        <w:tab w:val="right" w:pos="8306"/>
      </w:tabs>
      <w:snapToGrid w:val="0"/>
      <w:spacing w:line="240" w:lineRule="auto"/>
      <w:jc w:val="left"/>
    </w:pPr>
    <w:rPr>
      <w:sz w:val="18"/>
      <w:szCs w:val="18"/>
    </w:rPr>
  </w:style>
  <w:style w:type="paragraph" w:styleId="a6">
    <w:name w:val="Normal (Web)"/>
    <w:basedOn w:val="a"/>
    <w:uiPriority w:val="99"/>
    <w:unhideWhenUsed/>
    <w:qFormat/>
    <w:rsid w:val="0034659C"/>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page number"/>
    <w:basedOn w:val="a1"/>
    <w:qFormat/>
    <w:rsid w:val="0034659C"/>
  </w:style>
  <w:style w:type="paragraph" w:styleId="a8">
    <w:name w:val="header"/>
    <w:basedOn w:val="a"/>
    <w:link w:val="Char"/>
    <w:rsid w:val="00647A1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8"/>
    <w:rsid w:val="00647A1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dc:creator>
  <cp:lastModifiedBy>PC</cp:lastModifiedBy>
  <cp:revision>5</cp:revision>
  <cp:lastPrinted>2021-05-07T00:53:00Z</cp:lastPrinted>
  <dcterms:created xsi:type="dcterms:W3CDTF">2021-03-11T01:23:00Z</dcterms:created>
  <dcterms:modified xsi:type="dcterms:W3CDTF">2021-05-07T03:32:00Z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C1454FAF60A44DD49B61596FC5F1C406</vt:lpwstr>
  </property>
</Properties>
</file>