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w w:val="95"/>
          <w:sz w:val="44"/>
          <w:szCs w:val="44"/>
          <w:highlight w:val="none"/>
        </w:rPr>
      </w:pPr>
      <w:r>
        <w:rPr>
          <w:rFonts w:hint="eastAsia" w:ascii="方正小标宋简体" w:hAnsi="方正小标宋简体" w:eastAsia="方正小标宋简体" w:cs="方正小标宋简体"/>
          <w:color w:val="auto"/>
          <w:w w:val="95"/>
          <w:sz w:val="44"/>
          <w:szCs w:val="44"/>
          <w:highlight w:val="none"/>
        </w:rPr>
        <w:t>青田至文成高速公路文成段重大行政决策草案</w:t>
      </w:r>
    </w:p>
    <w:p>
      <w:pPr>
        <w:pageBreakBefore w:val="0"/>
        <w:kinsoku/>
        <w:wordWrap/>
        <w:overflowPunct/>
        <w:topLinePunct w:val="0"/>
        <w:autoSpaceDE/>
        <w:autoSpaceDN/>
        <w:bidi w:val="0"/>
        <w:spacing w:line="560" w:lineRule="exact"/>
        <w:ind w:left="0" w:leftChars="0" w:firstLine="0" w:firstLineChars="0"/>
        <w:jc w:val="center"/>
        <w:textAlignment w:val="auto"/>
        <w:rPr>
          <w:rFonts w:hint="eastAsia" w:ascii="仿宋" w:hAnsi="仿宋" w:eastAsia="仿宋" w:cs="仿宋"/>
          <w:b/>
          <w:bCs/>
          <w:sz w:val="52"/>
          <w:szCs w:val="52"/>
        </w:rPr>
      </w:pPr>
      <w:r>
        <w:rPr>
          <w:rFonts w:hint="eastAsia" w:ascii="仿宋" w:hAnsi="仿宋" w:eastAsia="仿宋" w:cs="仿宋"/>
          <w:sz w:val="32"/>
          <w:szCs w:val="32"/>
        </w:rPr>
        <w:t>（</w:t>
      </w:r>
      <w:r>
        <w:rPr>
          <w:rFonts w:hint="eastAsia" w:ascii="仿宋" w:hAnsi="仿宋" w:cs="仿宋"/>
          <w:sz w:val="32"/>
          <w:szCs w:val="32"/>
          <w:lang w:val="en-US" w:eastAsia="zh-CN"/>
        </w:rPr>
        <w:t>征求意见</w:t>
      </w:r>
      <w:r>
        <w:rPr>
          <w:rFonts w:hint="eastAsia" w:ascii="仿宋" w:hAnsi="仿宋" w:eastAsia="仿宋" w:cs="仿宋"/>
          <w:sz w:val="32"/>
          <w:szCs w:val="32"/>
        </w:rPr>
        <w:t>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一、</w:t>
      </w:r>
      <w:r>
        <w:rPr>
          <w:rFonts w:hint="eastAsia" w:ascii="黑体" w:hAnsi="黑体" w:eastAsia="黑体" w:cs="黑体"/>
          <w:color w:val="auto"/>
          <w:highlight w:val="none"/>
        </w:rPr>
        <w:t>决策事项名称</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青田至文成高速公路文成段。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二、</w:t>
      </w:r>
      <w:r>
        <w:rPr>
          <w:rFonts w:hint="eastAsia" w:ascii="黑体" w:hAnsi="黑体" w:eastAsia="黑体" w:cs="黑体"/>
          <w:color w:val="auto"/>
          <w:highlight w:val="none"/>
        </w:rPr>
        <w:t>决策依据</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（一）根据《浙江省综合交通运输发展“十四五”规划》（浙政办发〔2021〕36号），青田至文成高速公路文成段为推动共同富裕的重要项目，并已纳入“十四五”实施类项目。</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（二）根据《温州市综合交通运输发展“十四五”规划》，本项目是加快构建都市区“大环线”，加快完善高速公路“射线”的重要支撑项目。</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（三）</w:t>
      </w:r>
      <w:r>
        <w:rPr>
          <w:rFonts w:hint="eastAsia" w:eastAsia="仿宋_GB2312" w:cs="Times New Roman"/>
          <w:color w:val="auto"/>
          <w:kern w:val="2"/>
          <w:sz w:val="32"/>
          <w:szCs w:val="32"/>
          <w:highlight w:val="none"/>
          <w:lang w:val="en-US" w:eastAsia="zh-CN" w:bidi="ar-SA"/>
        </w:rPr>
        <w:t>本</w:t>
      </w:r>
      <w:r>
        <w:rPr>
          <w:rFonts w:hint="eastAsia" w:ascii="Times New Roman" w:hAnsi="Times New Roman" w:eastAsia="仿宋_GB2312" w:cs="Times New Roman"/>
          <w:color w:val="auto"/>
          <w:kern w:val="2"/>
          <w:sz w:val="32"/>
          <w:szCs w:val="32"/>
          <w:highlight w:val="none"/>
          <w:lang w:val="en-US" w:eastAsia="zh-CN" w:bidi="ar-SA"/>
        </w:rPr>
        <w:t>项目的建设已纳入文成县“十四五”交通发展规划。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三、必</w:t>
      </w:r>
      <w:r>
        <w:rPr>
          <w:rFonts w:hint="eastAsia" w:ascii="黑体" w:hAnsi="黑体" w:eastAsia="黑体" w:cs="黑体"/>
          <w:color w:val="auto"/>
          <w:highlight w:val="none"/>
        </w:rPr>
        <w:t>要性和可行性</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青田至文成高速公路工程</w:t>
      </w:r>
      <w:r>
        <w:rPr>
          <w:rFonts w:hint="eastAsia" w:eastAsia="仿宋_GB2312" w:cs="Times New Roman"/>
          <w:color w:val="auto"/>
          <w:kern w:val="2"/>
          <w:sz w:val="32"/>
          <w:szCs w:val="32"/>
          <w:highlight w:val="none"/>
          <w:lang w:val="en-US" w:eastAsia="zh-CN" w:bidi="ar-SA"/>
        </w:rPr>
        <w:t>为</w:t>
      </w:r>
      <w:r>
        <w:rPr>
          <w:rFonts w:hint="eastAsia" w:ascii="Times New Roman" w:hAnsi="Times New Roman" w:eastAsia="仿宋_GB2312" w:cs="Times New Roman"/>
          <w:color w:val="auto"/>
          <w:kern w:val="2"/>
          <w:sz w:val="32"/>
          <w:szCs w:val="32"/>
          <w:highlight w:val="none"/>
          <w:lang w:val="en-US" w:eastAsia="zh-CN" w:bidi="ar-SA"/>
        </w:rPr>
        <w:t>浙江省国民经济和社会发展第十四个五年规划综合交通重大项目，为省综合交通运输发展“十四五”规划“六纵六横”之纵向通道——浙闽粤通道的重要组成部分，同时也是《浙江省综合立体交通网规划》</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2021-2050年）“九纵九横五环五通道多连”高速公路网中五环之一。青文高速</w:t>
      </w:r>
      <w:r>
        <w:rPr>
          <w:rFonts w:hint="eastAsia" w:eastAsia="仿宋_GB2312" w:cs="Times New Roman"/>
          <w:color w:val="auto"/>
          <w:kern w:val="2"/>
          <w:sz w:val="32"/>
          <w:szCs w:val="32"/>
          <w:highlight w:val="none"/>
          <w:lang w:val="en-US" w:eastAsia="zh-CN" w:bidi="ar-SA"/>
        </w:rPr>
        <w:t>也是</w:t>
      </w:r>
      <w:r>
        <w:rPr>
          <w:rFonts w:hint="eastAsia" w:ascii="Times New Roman" w:hAnsi="Times New Roman" w:eastAsia="仿宋_GB2312" w:cs="Times New Roman"/>
          <w:color w:val="auto"/>
          <w:kern w:val="2"/>
          <w:sz w:val="32"/>
          <w:szCs w:val="32"/>
          <w:highlight w:val="none"/>
          <w:lang w:val="en-US" w:eastAsia="zh-CN" w:bidi="ar-SA"/>
        </w:rPr>
        <w:t>温州市规划高速公路网“一绕一环九射五连”中西环部分，同时构成连接金丽温高速与溧阳至宁德国家高速景文段、文泰段以及龙丽温高速文瑞段的重要纵向通道。青文高速的建设，对于强化提升通道能级、构建内畅外联的现代综合交通网络，进一步加密、完善浙西南高速公路路网布局，促进青田、文成等地区经济社会高质量发展，加强飞云江沿线与瓯江沿线的经济交流，加快泰顺、文成、青田的经济、社会发展以及加快交旅融合、保障国防运输等具有重要意义。</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青田至文成高速公路是两条国高网的联络通道，也是浙闽粤通道的重要组成部分，是贯彻落实省委、省政府《浙江建设高水平交通强省的实施意见》，高质量发展建设共同富裕示范区，加快“山区26县”基础设施建设的具体举措，根据工程可行性研究论证，结合沿线地形、地质等建设条件和交通量预测结果分析，采用四车道高速公路标准，工程采用经济合理均衡的技术指标及沿线设施，工程技术方案成熟可行。项目的国民经济评价内部收益率大于国家规定的社会贴现率8%，国民经济分析可行；结合不同投融资模式，在适当提高资本金比例情况，财务基本可行；项目方案用地可以控制在公路建设项目用地指标内；在项目设计、建设和运营阶段采用适当的工程措施是可以将环境影响控制在最低限度，环境影响可行；高速公路在营运期间可带来汽车燃油的节约，节能效益明显；公路交通作为国民经济的基础产业，将对社会经济的发展带来巨大的支撑和推动作用，社会效益明显。</w:t>
      </w:r>
    </w:p>
    <w:p>
      <w:pPr>
        <w:autoSpaceDE/>
        <w:autoSpaceDN/>
        <w:spacing w:before="0" w:after="0" w:line="560" w:lineRule="exact"/>
        <w:ind w:left="0" w:right="0" w:firstLine="640" w:firstLineChars="200"/>
        <w:jc w:val="left"/>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四、</w:t>
      </w:r>
      <w:r>
        <w:rPr>
          <w:rFonts w:hint="eastAsia" w:ascii="黑体" w:hAnsi="黑体" w:eastAsia="黑体" w:cs="黑体"/>
          <w:color w:val="auto"/>
          <w:highlight w:val="none"/>
        </w:rPr>
        <w:t>建设方案</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sz w:val="32"/>
          <w:szCs w:val="20"/>
          <w:highlight w:val="none"/>
          <w:lang w:eastAsia="zh-CN"/>
        </w:rPr>
      </w:pPr>
      <w:r>
        <w:rPr>
          <w:rFonts w:ascii="Times New Roman" w:hAnsi="Times New Roman" w:eastAsia="仿宋_GB2312" w:cs="Times New Roman"/>
          <w:color w:val="auto"/>
          <w:sz w:val="32"/>
          <w:szCs w:val="32"/>
          <w:highlight w:val="none"/>
        </w:rPr>
        <w:t>本项目采用《公路工程技术标准》（JTGB01-2014）中</w:t>
      </w:r>
      <w:r>
        <w:rPr>
          <w:rFonts w:hint="eastAsia" w:ascii="Times New Roman" w:hAnsi="Times New Roman" w:eastAsia="仿宋_GB2312" w:cs="Times New Roman"/>
          <w:color w:val="auto"/>
          <w:sz w:val="32"/>
          <w:szCs w:val="32"/>
          <w:highlight w:val="none"/>
        </w:rPr>
        <w:t>双向四车道全封闭高速公路标准，</w:t>
      </w:r>
      <w:r>
        <w:rPr>
          <w:rFonts w:ascii="Times New Roman" w:hAnsi="Times New Roman" w:eastAsia="仿宋_GB2312" w:cs="Times New Roman"/>
          <w:color w:val="auto"/>
          <w:sz w:val="32"/>
          <w:szCs w:val="32"/>
          <w:highlight w:val="none"/>
        </w:rPr>
        <w:t>设计速度为</w:t>
      </w:r>
      <w:r>
        <w:rPr>
          <w:rFonts w:hint="eastAsia" w:ascii="Times New Roman" w:hAnsi="Times New Roman" w:eastAsia="仿宋_GB2312"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0公里/小时，路基宽度</w:t>
      </w:r>
      <w:r>
        <w:rPr>
          <w:rFonts w:hint="eastAsia" w:ascii="Times New Roman" w:hAnsi="Times New Roman" w:eastAsia="仿宋_GB2312" w:cs="Times New Roman"/>
          <w:color w:val="auto"/>
          <w:sz w:val="32"/>
          <w:szCs w:val="32"/>
          <w:highlight w:val="none"/>
          <w:lang w:val="en-US" w:eastAsia="zh-CN"/>
        </w:rPr>
        <w:t>25.5</w:t>
      </w:r>
      <w:r>
        <w:rPr>
          <w:rFonts w:ascii="Times New Roman" w:hAnsi="Times New Roman" w:eastAsia="仿宋_GB2312" w:cs="Times New Roman"/>
          <w:color w:val="auto"/>
          <w:sz w:val="32"/>
          <w:szCs w:val="32"/>
          <w:highlight w:val="none"/>
        </w:rPr>
        <w:t>米，</w:t>
      </w:r>
      <w:r>
        <w:rPr>
          <w:rFonts w:hint="eastAsia" w:ascii="Times New Roman" w:hAnsi="Times New Roman" w:eastAsia="仿宋_GB2312" w:cs="Times New Roman"/>
          <w:color w:val="auto"/>
          <w:sz w:val="32"/>
          <w:szCs w:val="20"/>
          <w:highlight w:val="none"/>
          <w:lang w:eastAsia="zh-CN"/>
        </w:rPr>
        <w:t>汽车</w:t>
      </w:r>
      <w:r>
        <w:rPr>
          <w:rFonts w:ascii="Times New Roman" w:hAnsi="Times New Roman" w:eastAsia="仿宋_GB2312" w:cs="Times New Roman"/>
          <w:color w:val="auto"/>
          <w:sz w:val="32"/>
          <w:szCs w:val="20"/>
          <w:highlight w:val="none"/>
        </w:rPr>
        <w:t>荷载等级：公路—I级，其余技术指标符合相应技术标准规范的要求</w:t>
      </w:r>
      <w:r>
        <w:rPr>
          <w:rFonts w:hint="eastAsia" w:ascii="Times New Roman" w:hAnsi="Times New Roman" w:eastAsia="仿宋_GB2312" w:cs="Times New Roman"/>
          <w:color w:val="auto"/>
          <w:sz w:val="32"/>
          <w:szCs w:val="20"/>
          <w:highlight w:val="none"/>
          <w:lang w:eastAsia="zh-CN"/>
        </w:rPr>
        <w:t>。</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青田至文成高速公路文成段起点桩号 YK32+044，为青田汤垟乡至文成玉壶镇走廊中间分界，位于李山隧道中间</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路线由北向南，自李山隧道出洞后跨越东溪，沿东溪向南布线，在东溪三级水电站附近进入石柱坪隧道，出洞后两次跨越东溪至炭场。随后再次跨越东溪并设置玉壶互通兼服务区，路线向南跨越玉泉溪，之后路线经塘下园，沿沟谷展线至下坑头设置中南长隧道（2255m）穿越大湾顶，从坑下出洞跨越溪流，在郑家村下方设特长隧道穿越诸葛岭从樟龙村的西北沟谷中出洞，设置樟台互通接现有的老56省道，路线在樟台乡东侧山坡设置桥梁通过，向南接入龙丽温高速文成枢纽，终点桩号YK52+385.609文成段全长20.395km。</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2"/>
          <w:sz w:val="32"/>
          <w:szCs w:val="32"/>
          <w:highlight w:val="none"/>
          <w:lang w:val="en-US" w:eastAsia="zh-CN" w:bidi="ar-SA"/>
        </w:rPr>
        <w:t>青田至文成高速公路文成段</w:t>
      </w:r>
      <w:r>
        <w:rPr>
          <w:rFonts w:ascii="Times New Roman" w:hAnsi="Times New Roman" w:eastAsia="仿宋_GB2312" w:cs="Times New Roman"/>
          <w:color w:val="auto"/>
          <w:sz w:val="32"/>
          <w:szCs w:val="32"/>
          <w:highlight w:val="none"/>
        </w:rPr>
        <w:t>估算</w:t>
      </w:r>
      <w:r>
        <w:rPr>
          <w:rFonts w:hint="eastAsia" w:eastAsia="仿宋_GB2312" w:cs="Times New Roman"/>
          <w:color w:val="auto"/>
          <w:sz w:val="32"/>
          <w:szCs w:val="32"/>
          <w:highlight w:val="none"/>
          <w:lang w:val="en-US" w:eastAsia="zh-CN"/>
        </w:rPr>
        <w:t>总</w:t>
      </w:r>
      <w:r>
        <w:rPr>
          <w:rFonts w:ascii="Times New Roman" w:hAnsi="Times New Roman" w:eastAsia="仿宋_GB2312" w:cs="Times New Roman"/>
          <w:color w:val="auto"/>
          <w:sz w:val="32"/>
          <w:szCs w:val="32"/>
          <w:highlight w:val="none"/>
        </w:rPr>
        <w:t>投资约</w:t>
      </w:r>
      <w:r>
        <w:rPr>
          <w:rFonts w:hint="eastAsia" w:eastAsia="仿宋_GB2312" w:cs="Times New Roman"/>
          <w:color w:val="auto"/>
          <w:sz w:val="32"/>
          <w:szCs w:val="32"/>
          <w:highlight w:val="none"/>
          <w:lang w:val="en-US" w:eastAsia="zh-CN"/>
        </w:rPr>
        <w:t>为</w:t>
      </w:r>
      <w:r>
        <w:rPr>
          <w:rFonts w:hint="eastAsia" w:ascii="Times New Roman" w:hAnsi="Times New Roman" w:eastAsia="仿宋_GB2312" w:cs="Times New Roman"/>
          <w:color w:val="auto"/>
          <w:sz w:val="32"/>
          <w:szCs w:val="32"/>
          <w:highlight w:val="none"/>
        </w:rPr>
        <w:t>55.4</w:t>
      </w: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亿元</w:t>
      </w:r>
      <w:r>
        <w:rPr>
          <w:rFonts w:ascii="Times New Roman" w:hAnsi="Times New Roman" w:eastAsia="仿宋_GB2312" w:cs="Times New Roman"/>
          <w:color w:val="auto"/>
          <w:sz w:val="32"/>
          <w:szCs w:val="32"/>
          <w:highlight w:val="none"/>
        </w:rPr>
        <w:t>，其中建安费约</w:t>
      </w:r>
      <w:r>
        <w:rPr>
          <w:rFonts w:hint="eastAsia" w:eastAsia="仿宋_GB2312" w:cs="Times New Roman"/>
          <w:color w:val="auto"/>
          <w:sz w:val="32"/>
          <w:szCs w:val="32"/>
          <w:highlight w:val="none"/>
          <w:lang w:val="en-US" w:eastAsia="zh-CN"/>
        </w:rPr>
        <w:t>为</w:t>
      </w:r>
      <w:r>
        <w:rPr>
          <w:rFonts w:hint="eastAsia" w:ascii="Times New Roman" w:hAnsi="Times New Roman" w:eastAsia="仿宋_GB2312" w:cs="Times New Roman"/>
          <w:color w:val="auto"/>
          <w:sz w:val="32"/>
          <w:szCs w:val="32"/>
          <w:highlight w:val="none"/>
        </w:rPr>
        <w:t>38.4</w:t>
      </w: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rPr>
        <w:t>亿元</w:t>
      </w:r>
      <w:r>
        <w:rPr>
          <w:rFonts w:ascii="Times New Roman" w:hAnsi="Times New Roman" w:eastAsia="仿宋_GB2312" w:cs="Times New Roman"/>
          <w:color w:val="auto"/>
          <w:sz w:val="32"/>
          <w:szCs w:val="32"/>
          <w:highlight w:val="none"/>
        </w:rPr>
        <w:t>，项目资本金为</w:t>
      </w:r>
      <w:r>
        <w:rPr>
          <w:rFonts w:hint="eastAsia" w:ascii="Times New Roman" w:hAnsi="Times New Roman" w:eastAsia="仿宋_GB2312" w:cs="Times New Roman"/>
          <w:color w:val="auto"/>
          <w:sz w:val="32"/>
          <w:szCs w:val="32"/>
          <w:highlight w:val="none"/>
        </w:rPr>
        <w:t>22.</w:t>
      </w:r>
      <w:bookmarkStart w:id="0" w:name="_GoBack"/>
      <w:bookmarkEnd w:id="0"/>
      <w:r>
        <w:rPr>
          <w:rFonts w:hint="eastAsia" w:ascii="Times New Roman" w:hAnsi="Times New Roman" w:eastAsia="仿宋_GB2312" w:cs="Times New Roman"/>
          <w:color w:val="auto"/>
          <w:sz w:val="32"/>
          <w:szCs w:val="32"/>
          <w:highlight w:val="none"/>
        </w:rPr>
        <w:t>17亿元</w:t>
      </w:r>
      <w:r>
        <w:rPr>
          <w:rFonts w:ascii="Times New Roman" w:hAnsi="Times New Roman" w:eastAsia="仿宋_GB2312" w:cs="Times New Roman"/>
          <w:color w:val="auto"/>
          <w:sz w:val="32"/>
          <w:szCs w:val="32"/>
          <w:highlight w:val="none"/>
        </w:rPr>
        <w:t>（约占总投资的40%）</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资金由项目投资人中标后自行筹措。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五、项目实施可能产生的影响及预防补救措施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项目实施可能产生的影响：工程实施需要征用土地，拆迁沿线房屋等设施，公路运营会给沿线群众造成噪声、尾气等污染；施工过程中会给沿线群众出行和车辆行驶带来不便，容易造成阻车、交通事故等；（二）预防和补救措施：工程方案用地控制在公路建设项目用地指标内，设计、建设和运营阶段采用适当的工程措施可以将环境影响控制在最低限度，科学制定施工期交通组织方案可以确保道路的安全畅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六、时间步骤</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本工程建设期共计4年（48个月）</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计划</w:t>
      </w:r>
      <w:r>
        <w:rPr>
          <w:rFonts w:hint="eastAsia" w:ascii="仿宋_GB2312" w:eastAsia="仿宋_GB2312" w:cstheme="minorBidi"/>
          <w:bCs w:val="0"/>
          <w:kern w:val="2"/>
          <w:sz w:val="32"/>
          <w:szCs w:val="24"/>
          <w:lang w:val="en-US" w:eastAsia="zh-CN" w:bidi="ar-SA"/>
        </w:rPr>
        <w:t>于“十四五”期间开工。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七、决策实施单位</w:t>
      </w:r>
    </w:p>
    <w:p>
      <w:pPr>
        <w:autoSpaceDE/>
        <w:autoSpaceDN/>
        <w:spacing w:before="0" w:after="0" w:line="560" w:lineRule="exact"/>
        <w:ind w:left="0" w:right="0"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温州市交通运输局。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highlight w:val="none"/>
        </w:rPr>
      </w:pPr>
    </w:p>
    <w:sectPr>
      <w:headerReference r:id="rId5" w:type="default"/>
      <w:footerReference r:id="rId6" w:type="default"/>
      <w:pgSz w:w="11906" w:h="16838"/>
      <w:pgMar w:top="1701" w:right="1701" w:bottom="1701"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6px;height:26px" o:bullet="t">
        <v:imagedata r:id="rId1" o:title=""/>
      </v:shape>
    </w:pict>
  </w:numPicBullet>
  <w:abstractNum w:abstractNumId="0">
    <w:nsid w:val="2A3612FA"/>
    <w:multiLevelType w:val="multilevel"/>
    <w:tmpl w:val="2A3612FA"/>
    <w:lvl w:ilvl="0" w:tentative="0">
      <w:start w:val="1"/>
      <w:numFmt w:val="chineseCountingThousand"/>
      <w:suff w:val="space"/>
      <w:lvlText w:val="第%1章"/>
      <w:lvlJc w:val="center"/>
      <w:pPr>
        <w:ind w:left="0" w:firstLine="0"/>
      </w:pPr>
      <w:rPr>
        <w:rFonts w:hint="default" w:ascii="Times New Roman" w:hAnsi="Times New Roman" w:eastAsia="仿宋"/>
        <w:b/>
        <w:i w:val="0"/>
        <w:sz w:val="32"/>
        <w:u w:val="none"/>
      </w:rPr>
    </w:lvl>
    <w:lvl w:ilvl="1" w:tentative="0">
      <w:start w:val="1"/>
      <w:numFmt w:val="chineseCountingThousand"/>
      <w:pStyle w:val="2"/>
      <w:suff w:val="nothing"/>
      <w:lvlText w:val="%2、"/>
      <w:lvlJc w:val="left"/>
      <w:pPr>
        <w:ind w:left="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32"/>
        <w:u w:val="none"/>
        <w:vertAlign w:val="baseline"/>
      </w:rPr>
    </w:lvl>
    <w:lvl w:ilvl="2" w:tentative="0">
      <w:start w:val="1"/>
      <w:numFmt w:val="chineseCountingThousand"/>
      <w:suff w:val="nothing"/>
      <w:lvlText w:val="（%3）"/>
      <w:lvlJc w:val="left"/>
      <w:pPr>
        <w:ind w:left="64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24"/>
        <w:u w:val="none"/>
        <w:vertAlign w:val="baseline"/>
      </w:rPr>
    </w:lvl>
    <w:lvl w:ilvl="3" w:tentative="0">
      <w:start w:val="1"/>
      <w:numFmt w:val="decimal"/>
      <w:suff w:val="nothing"/>
      <w:lvlText w:val="%4."/>
      <w:lvlJc w:val="left"/>
      <w:pPr>
        <w:ind w:left="130" w:firstLine="510"/>
      </w:pPr>
      <w:rPr>
        <w:rFonts w:hint="default" w:ascii="Times New Roman" w:hAnsi="Times New Roman" w:eastAsia="仿宋"/>
        <w:b/>
        <w:i w:val="0"/>
        <w:color w:val="auto"/>
        <w:sz w:val="32"/>
        <w:szCs w:val="32"/>
        <w:u w:val="none"/>
      </w:rPr>
    </w:lvl>
    <w:lvl w:ilvl="4" w:tentative="0">
      <w:start w:val="1"/>
      <w:numFmt w:val="decimal"/>
      <w:pStyle w:val="3"/>
      <w:suff w:val="nothing"/>
      <w:lvlText w:val="%5."/>
      <w:lvlJc w:val="left"/>
      <w:pPr>
        <w:ind w:left="0" w:firstLine="680"/>
      </w:pPr>
      <w:rPr>
        <w:rFonts w:hint="default" w:ascii="Times New Roman" w:hAnsi="Times New Roman" w:eastAsia="仿宋"/>
        <w:b w:val="0"/>
        <w:i w:val="0"/>
        <w:color w:val="auto"/>
        <w:sz w:val="32"/>
        <w:szCs w:val="24"/>
        <w:u w:val="none"/>
        <w:lang w:val="en-US"/>
      </w:rPr>
    </w:lvl>
    <w:lvl w:ilvl="5" w:tentative="0">
      <w:start w:val="1"/>
      <w:numFmt w:val="bullet"/>
      <w:suff w:val="nothing"/>
      <w:lvlText w:val=""/>
      <w:lvlPicBulletId w:val="0"/>
      <w:lvlJc w:val="left"/>
      <w:pPr>
        <w:ind w:left="0" w:firstLine="567"/>
      </w:pPr>
      <w:rPr>
        <w:rFonts w:hint="default" w:ascii="Symbol" w:hAnsi="Symbol"/>
        <w:b w:val="0"/>
        <w:i w:val="0"/>
        <w:color w:val="auto"/>
        <w:sz w:val="28"/>
        <w:u w:val="none"/>
      </w:rPr>
    </w:lvl>
    <w:lvl w:ilvl="6" w:tentative="0">
      <w:start w:val="1"/>
      <w:numFmt w:val="bullet"/>
      <w:suff w:val="nothing"/>
      <w:lvlText w:val="·"/>
      <w:lvlJc w:val="left"/>
      <w:pPr>
        <w:ind w:left="0" w:firstLine="567"/>
      </w:pPr>
      <w:rPr>
        <w:rFonts w:hint="eastAsia" w:ascii="楷体" w:hAnsi="楷体" w:eastAsia="楷体"/>
        <w:b w:val="0"/>
        <w:i w:val="0"/>
        <w:color w:val="auto"/>
        <w:sz w:val="28"/>
        <w:u w:val="none"/>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zBiZThmZTFjNmUwNDI2YmQ3MjE0NGE1MTVhY2UifQ=="/>
  </w:docVars>
  <w:rsids>
    <w:rsidRoot w:val="74ED6578"/>
    <w:rsid w:val="022772C2"/>
    <w:rsid w:val="026E3F29"/>
    <w:rsid w:val="044A7BA5"/>
    <w:rsid w:val="16333BB7"/>
    <w:rsid w:val="2B044A07"/>
    <w:rsid w:val="45B93656"/>
    <w:rsid w:val="473F2551"/>
    <w:rsid w:val="4EBD5F1F"/>
    <w:rsid w:val="506C372B"/>
    <w:rsid w:val="5132237F"/>
    <w:rsid w:val="52F3522D"/>
    <w:rsid w:val="659B5D90"/>
    <w:rsid w:val="74F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32"/>
      <w:szCs w:val="24"/>
      <w:lang w:val="en-US" w:eastAsia="zh-CN" w:bidi="ar-SA"/>
    </w:rPr>
  </w:style>
  <w:style w:type="paragraph" w:styleId="2">
    <w:name w:val="heading 2"/>
    <w:basedOn w:val="1"/>
    <w:next w:val="1"/>
    <w:qFormat/>
    <w:uiPriority w:val="9"/>
    <w:pPr>
      <w:keepNext/>
      <w:keepLines/>
      <w:widowControl/>
      <w:numPr>
        <w:ilvl w:val="1"/>
        <w:numId w:val="1"/>
      </w:numPr>
      <w:adjustRightInd w:val="0"/>
      <w:snapToGrid w:val="0"/>
      <w:ind w:firstLineChars="0"/>
      <w:outlineLvl w:val="1"/>
    </w:pPr>
    <w:rPr>
      <w:rFonts w:ascii="Times New Roman" w:hAnsi="Times New Roman"/>
      <w:b/>
      <w:bCs/>
      <w:szCs w:val="28"/>
    </w:rPr>
  </w:style>
  <w:style w:type="paragraph" w:styleId="3">
    <w:name w:val="heading 5"/>
    <w:basedOn w:val="1"/>
    <w:next w:val="1"/>
    <w:qFormat/>
    <w:uiPriority w:val="0"/>
    <w:pPr>
      <w:widowControl/>
      <w:numPr>
        <w:ilvl w:val="4"/>
        <w:numId w:val="1"/>
      </w:numPr>
      <w:ind w:firstLine="0" w:firstLineChars="0"/>
      <w:outlineLvl w:val="4"/>
    </w:pPr>
    <w:rPr>
      <w:bC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正文2"/>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1643</Words>
  <Characters>1717</Characters>
  <Lines>0</Lines>
  <Paragraphs>0</Paragraphs>
  <TotalTime>27</TotalTime>
  <ScaleCrop>false</ScaleCrop>
  <LinksUpToDate>false</LinksUpToDate>
  <CharactersWithSpaces>1719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2022-04-26T12:49:00Z</dcterms:created>
  <dc:creator>Xx。</dc:creator>
  <cp:lastModifiedBy>林远志</cp:lastModifiedBy>
  <cp:lastPrinted>2022-04-29T00:32:47Z</cp:lastPrinted>
  <dcterms:modified xsi:type="dcterms:W3CDTF">2022-04-29T00:33:04Z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90359B1B536440CCAACE3E500C4FC5DC</vt:lpwstr>
  </property>
</Properties>
</file>