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绍兴市政府采购委托代理机构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质量评价管理办法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第一章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代理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提升委托代理专业质量，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护政府采购当事人的合法权益，促进政府采购代理机构健康发展，维护政府采购市场秩序，营造公平竞争、规范执业、诚实守信的良好氛围，根据《中华人民共和国采购法》、《中华人民共和国采购法实施条例》、《政府采购代理机构管理暂行办法》（财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2号）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、《关于促进政府采购公平竞争优化营商环境的通知》（财库【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2019】38号）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等法律法规，制定本办法。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第二章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代理机构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名录登记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市财政局根据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财政厅委托，按规定对</w:t>
      </w:r>
      <w:r>
        <w:rPr>
          <w:rFonts w:hint="eastAsia" w:ascii="仿宋_GB2312" w:hAnsi="仿宋_GB2312" w:eastAsia="仿宋_GB2312" w:cs="仿宋_GB2312"/>
          <w:sz w:val="32"/>
          <w:szCs w:val="32"/>
        </w:rPr>
        <w:t>代理机构代理政府采购业务条件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进行审查，对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代理机构实行名录登记管理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代理机构登记信息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应当</w:t>
      </w:r>
      <w:r>
        <w:rPr>
          <w:rFonts w:hint="eastAsia" w:ascii="仿宋_GB2312" w:hAnsi="仿宋_GB2312" w:eastAsia="仿宋_GB2312" w:cs="仿宋_GB2312"/>
          <w:sz w:val="32"/>
          <w:szCs w:val="32"/>
        </w:rPr>
        <w:t>完整清晰，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为其开通相关政府采购管理交易系统信息发布、专家抽取等操作权限。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第三章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采购代理考核评价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市财政局牵头对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项目代理质量进行考核评价，制定《政府采购委托代理考核评价表》（附件），考核评价采用</w:t>
      </w:r>
      <w:r>
        <w:rPr>
          <w:rFonts w:hint="eastAsia" w:ascii="仿宋_GB2312" w:hAnsi="仿宋_GB2312" w:eastAsia="仿宋_GB2312" w:cs="仿宋_GB2312"/>
          <w:sz w:val="32"/>
          <w:szCs w:val="32"/>
        </w:rPr>
        <w:t>百分制量化评分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方法，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考核对象为在我市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，从事代理市级预算部门、单位采购货物、工程和服务的政府采购代理机构。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考核评价内容和指标按考核评价主体和环节，分解设置在政采云评价系统中，从采购代理委托开始直到项目履约验收，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采购人、供应商和评审专家在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政采云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评价系统中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对考核评价指标进行打分，系统自动汇总各评价主体（模块）打分情况，自动生成项目总体得分情况。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采购文件编制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、采购活动办事程序、采购活动执行考核等评价内容在中标人确定之日的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2个工作日内由各评价主体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打分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。采购信息公告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质疑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投诉信访和考核加分项在项目实施完毕后由各评价主体打分。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代理机构发布采购标书，应当说明考核评价相关情况，将《政府采购委托代理考核评价</w:t>
      </w:r>
      <w:r>
        <w:rPr>
          <w:rFonts w:hint="eastAsia" w:ascii="仿宋_GB2312" w:hAnsi="仿宋_GB2312" w:eastAsia="仿宋_GB2312" w:cs="仿宋_GB2312"/>
          <w:b w:val="0"/>
          <w:bCs w:val="0"/>
          <w:color w:val="3D3D3D"/>
          <w:sz w:val="32"/>
          <w:szCs w:val="32"/>
          <w:u w:val="none"/>
          <w:lang w:eastAsia="zh-CN"/>
        </w:rPr>
        <w:t>表》作为标书（公告）附件。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在组织评审、宣布评审工作纪律和程序时，予以告知。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第四章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采购代理服务收费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各部门、单位根据政府采购代理市场招标代理服务收费参考标准，结合项目实际情况，与代理机构明确代理服务范围，商定采购代理收费。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采购人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在采购文件中明示具体收费标准，并随中标、成交结果一并公示。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规范采购代理服务收费管理，倡导使用电子标书，鼓励代理机构免费发放纸质标书，如需出售，不得以营利为目的，应当按弥补成本的原则确定，且不得高于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100元／本。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采购人代表不得获取评审劳务报酬。杜绝收支混乱、变相收费和恶意低价竞争。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代理费用可以由中标、成交供应商支付，也可由采购人支付。由中标、成交供应商支付的，供应商报价应当包含代理费用。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第五章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考核评价结果应用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第十一条  代理机构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代理项目数量、类型和代理质量情况即时公开。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当年度考核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评价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挂钩部分的累计得分按百分值折算收费系数，由采购人在支付当次代理收费时挂钩。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采购人在政府采购活动中委托采购代理机构办理政府采购事宜时，应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代理机构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评价得分情况择优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考核评价中发现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代理机构有违法行为的，按照有关法律规定处以罚款，在一到三年内禁止其代理政府采购业务，其中引起有效诉讼的，三年内禁止其代理政府采购业务。构成犯罪的，依法移送追究刑事责任。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采购人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不得采用招录资格、抓阄、摇号或比选等方式选择采购代理机构。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第十五条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考核评价中反映</w:t>
      </w:r>
      <w:r>
        <w:rPr>
          <w:rFonts w:hint="eastAsia" w:ascii="仿宋" w:hAnsi="仿宋" w:eastAsia="仿宋" w:cs="仿宋"/>
          <w:sz w:val="32"/>
          <w:szCs w:val="32"/>
          <w:u w:val="none"/>
        </w:rPr>
        <w:t>采购代理机构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、采购人、供应商、评审专家违反《政府采购法》等法律法规情形的</w:t>
      </w:r>
      <w:r>
        <w:rPr>
          <w:rFonts w:hint="eastAsia" w:ascii="仿宋" w:hAnsi="仿宋" w:eastAsia="仿宋" w:cs="仿宋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责令其在下次项目代理前提出整改措施，并</w:t>
      </w:r>
      <w:r>
        <w:rPr>
          <w:rFonts w:hint="eastAsia" w:ascii="仿宋" w:hAnsi="仿宋" w:eastAsia="仿宋" w:cs="仿宋"/>
          <w:sz w:val="32"/>
          <w:szCs w:val="32"/>
          <w:u w:val="none"/>
        </w:rPr>
        <w:t>给予警告，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视情</w:t>
      </w:r>
      <w:r>
        <w:rPr>
          <w:rFonts w:hint="eastAsia" w:ascii="仿宋" w:hAnsi="仿宋" w:eastAsia="仿宋" w:cs="仿宋"/>
          <w:sz w:val="32"/>
          <w:szCs w:val="32"/>
          <w:u w:val="none"/>
        </w:rPr>
        <w:t>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以</w:t>
      </w:r>
      <w:r>
        <w:rPr>
          <w:rFonts w:hint="eastAsia" w:ascii="仿宋" w:hAnsi="仿宋" w:eastAsia="仿宋" w:cs="仿宋"/>
          <w:sz w:val="32"/>
          <w:szCs w:val="32"/>
          <w:u w:val="none"/>
        </w:rPr>
        <w:t>罚款，构成犯罪的，依法追究刑事责任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383838"/>
          <w:sz w:val="24"/>
          <w:szCs w:val="24"/>
          <w:u w:val="none"/>
          <w:shd w:val="clear" w:color="auto" w:fill="FFFFFF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第六章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信用救济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代理机构可以在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政采云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系统中查询本机构的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代理质量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评价结果，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如对打分情况有异议的，在考核评价结果出来的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个工作日内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就有关情况作出说明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申请信用修复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，市财政局采监处在接到申请后在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个工作日内作出审核结论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采购人、供应商、评审专家应当客观、实事求是的对项目代理质量作出评价，不得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恶意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给予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差评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、敷衍了事随意评分，对其违规违法行为依法进行处理，并记录到诚信体系。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非代理机构原因，项目终止，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项目评价结果予以取消。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第七章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本办法由绍兴市财政局负责解释，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年月日起执行。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宋体" w:hAnsi="宋体" w:eastAsia="宋体" w:cs="宋体"/>
          <w:b/>
          <w:bCs/>
          <w:color w:val="3D3D3D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D3D3D"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3D3D3D"/>
          <w:sz w:val="36"/>
          <w:szCs w:val="36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color w:val="3D3D3D"/>
          <w:sz w:val="36"/>
          <w:szCs w:val="36"/>
          <w:lang w:eastAsia="zh-CN"/>
        </w:rPr>
        <w:t>（货物／工程／服务</w:t>
      </w:r>
      <w:r>
        <w:rPr>
          <w:rFonts w:hint="eastAsia" w:ascii="宋体" w:hAnsi="宋体" w:eastAsia="宋体" w:cs="宋体"/>
          <w:b/>
          <w:bCs/>
          <w:color w:val="3D3D3D"/>
          <w:sz w:val="36"/>
          <w:szCs w:val="36"/>
          <w:lang w:val="en-US" w:eastAsia="zh-CN"/>
        </w:rPr>
        <w:t>××类××</w:t>
      </w:r>
      <w:r>
        <w:rPr>
          <w:rFonts w:hint="eastAsia" w:ascii="宋体" w:hAnsi="宋体" w:eastAsia="宋体" w:cs="宋体"/>
          <w:b/>
          <w:bCs/>
          <w:color w:val="3D3D3D"/>
          <w:sz w:val="36"/>
          <w:szCs w:val="36"/>
          <w:lang w:eastAsia="zh-CN"/>
        </w:rPr>
        <w:t>）项目</w:t>
      </w:r>
      <w:r>
        <w:rPr>
          <w:rFonts w:hint="eastAsia" w:ascii="宋体" w:hAnsi="宋体" w:eastAsia="宋体" w:cs="宋体"/>
          <w:b/>
          <w:bCs/>
          <w:color w:val="3D3D3D"/>
          <w:sz w:val="36"/>
          <w:szCs w:val="36"/>
        </w:rPr>
        <w:t>政府采购代理评价</w:t>
      </w:r>
      <w:r>
        <w:rPr>
          <w:rFonts w:hint="eastAsia" w:ascii="宋体" w:hAnsi="宋体" w:eastAsia="宋体" w:cs="宋体"/>
          <w:b/>
          <w:bCs/>
          <w:color w:val="3D3D3D"/>
          <w:sz w:val="36"/>
          <w:szCs w:val="36"/>
          <w:lang w:eastAsia="zh-CN"/>
        </w:rPr>
        <w:t>体系表</w:t>
      </w:r>
    </w:p>
    <w:tbl>
      <w:tblPr>
        <w:tblStyle w:val="6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37"/>
        <w:gridCol w:w="4420"/>
        <w:gridCol w:w="2411"/>
        <w:gridCol w:w="1470"/>
        <w:gridCol w:w="1020"/>
        <w:gridCol w:w="106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4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文件依据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评价主体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评价环节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得分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扣分原因说明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239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采购文件编制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35分）</w:t>
            </w: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根据《国务院办公厅关于建立政府强制采购节能产品制度的通知》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《关于调整优化节能产品、环境标志产品政府采购执行机制的通知》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，未执行节约能源、保护环境、扶贫、促进中小企业发展等政府采购政策，发现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一例扣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，扣完为止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《政府采购法实施条例》第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评审专家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采购标书内容表述不完整、准确，引起重大误解的；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发现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一例扣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，扣完为止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《政府采购货物和服务招投标管理办法》第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11条，第20条，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评审专家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采购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标的功能、质量、数量、技术规格、物理特性、服务标准、期限、验收标准等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需求不完整、不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明确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、产生歧义的；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发现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一例扣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，扣完为止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《政府采购货物和服务招投标管理办法》第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11条，第20条，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评审专家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应当执行国家强制性技术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标准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规范而不执行的；无国家标准应当参照行业标准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、地方标准或其他标准规范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而未执行的；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发现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一例扣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，扣完为止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《政府采购货物和服务招投标管理办法》第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11条，第20条，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评审专家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编制的采购文件（合同，标书等）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以供应商的所有制形式、组织形式或股权结构，对供应商实施差别待遇或歧视待遇，对民营企业设置不平等条款，对内资企业和外资企业在中国境内生产的产品、提供的服务区别对待的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发现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一例扣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，扣完为止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《政府采购货物和服务招投标管理办法》第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《关于促进政府采购公平竞争优化营商环境的通知》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供应商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超规定收费标准出售标书，不得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《政府采购货物和服务招投标管理办法》第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供应商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未实现在线发布采购公告、提供采购文件、提交投标（响应）文件，实现电子开标、评审的。不得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《关于促进政府采购公平竞争优化营商环境的通知》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政采云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未向供应商免费提供纸质采购文件的。不得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《关于促进政府采购公平竞争优化营商环境的通知》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政采云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采购活动办事程序（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15分）</w:t>
            </w: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无不可抗拒事由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在法定的媒体和法定期限内发布采购招标公告、中标（成交）公告的，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《政府采购信息公告管理办法》第30条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政采云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供应商法人代表出具委托书，仍要求供应商法人代表亲自到领购采购文件或到现场参加开标、谈判的，不得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《关于促进政府采购公平竞争优化营商环境的通知》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供应商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采购人、采购代理机构可以通过互联网或相关信息系统查询的信息，仍要求提供的，不得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《关于促进政府采购公平竞争优化营商环境的通知》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供应商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供应商能够在线提供的材料，仍然要求提供纸质材料的，不得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《关于促进政府采购公平竞争优化营商环境的通知》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供应商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供应商按规定提交各类声明函、承诺函的、仍要求其提供有关部门出具的相关证明材料的，不得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《关于促进政府采购公平竞争优化营商环境的通知》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供应商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采购活动执行（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30分）</w:t>
            </w: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对因装订、纸张、文件排序等非实质性的格式、形式问题限制和影响供应商投标（响应）的，发现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一例扣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，扣完为止。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《关于促进政府采购公平竞争优化营商环境的通知》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供应商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未按规定安装监控系统的扣分，安装后未按规定使用的，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《政府采购货物和服务招投标管理办法》第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评审专家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按照规定组织重新评审的，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书面报告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市财政局的，不得分。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《政府采购法实施条例》第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，《政府采购货物和服务招投标管理办法》第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评审专家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项目评标未按程序执行，未按招标文件中规定的评标标准设置评分项的，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发现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一例扣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，扣完为止。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《政府采购货物和服务招投标管理办法》第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评审专家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对评审专家在政府采购活动中的专业技术水平、职业道德素质和评审工作等职责履行情况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予以记录报告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的，不得分。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《政府采购货物和服务招投标管理办法》第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政采云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发现供应商有行贿、提供虚假材料或者串通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供应商在履约过程中有政府采购法律法规规定的违法违规行为的，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予以记录报告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的，不得分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《政府采购货物和服务招投标管理办法》第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政采云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对评审数据进行校对、核对，对畸高、畸低的重大差异评分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提示评审委员会复核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书面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理由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的，不得分。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《政府采购货物和服务招投标管理办法》第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64条，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《财政部关于进一步规范政府采购评审工作有关问题的通知》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政采云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采购信息公告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10分）</w:t>
            </w: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采购信息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（招标公告、资格预审公告、成交供应商、中标通知、合同公告）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未在指定的媒体发布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信息发布不及时的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，不得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71条，《政府采购信息公告管理办法》第30条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《政府采购货物和服务招投标管理办法》第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政采云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格式不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内容存在虚假欺诈情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形、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公告中标、成交结果和评委会名单、评审意见不符合规定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的，不得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《政府采购信息公告管理办法》第30条，第31条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采购人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按规定及时将评审报告送交采购人，确定中标成交供应商后，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个工作日内向中标、成交供应商发出中标、成交通知书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的，不得分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《政府采购信息公告管理办法》第30条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采购人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接受采购人委托，未按约定组织对供应商履约验收，出具验收书的，不得分。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68条，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采购人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政府采购合同未约定采购资金支付方式、时间和条件，明确逾期支付违约责任的，不得分。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《关于促进政府采购公平竞争优化营商环境的通知》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采购人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39" w:type="dxa"/>
            <w:vMerge w:val="restar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、投诉、信访（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10分）</w:t>
            </w: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因代理机构原因，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正当质疑未及时答复的，不得分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《政府采购质疑和投诉办法》第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36条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政采云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39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2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转入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投诉的，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《政府采购质疑和投诉办法》第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36条，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政采云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imes">
    <w:altName w:val="Times New Roman"/>
    <w:panose1 w:val="020005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Microsoft YaHei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八大山人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Bauhaus 93">
    <w:altName w:val="Lath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TypeLand.com 康熙字典體 試用版">
    <w:altName w:val="MingLiU"/>
    <w:panose1 w:val="00000000000000000000"/>
    <w:charset w:val="88"/>
    <w:family w:val="auto"/>
    <w:pitch w:val="default"/>
    <w:sig w:usb0="00000000" w:usb1="00000000" w:usb2="00000012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 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仿宋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26387"/>
    <w:rsid w:val="015308E3"/>
    <w:rsid w:val="04F019C7"/>
    <w:rsid w:val="07056B31"/>
    <w:rsid w:val="0753545E"/>
    <w:rsid w:val="0B973466"/>
    <w:rsid w:val="0C64107C"/>
    <w:rsid w:val="0CDF07FB"/>
    <w:rsid w:val="13021784"/>
    <w:rsid w:val="159C2D69"/>
    <w:rsid w:val="15DE53D5"/>
    <w:rsid w:val="17A95C24"/>
    <w:rsid w:val="17CD69BE"/>
    <w:rsid w:val="184F331D"/>
    <w:rsid w:val="1BC60F0C"/>
    <w:rsid w:val="1CAA69BE"/>
    <w:rsid w:val="1FDA6C43"/>
    <w:rsid w:val="22C56255"/>
    <w:rsid w:val="27392EC6"/>
    <w:rsid w:val="28BD3974"/>
    <w:rsid w:val="2C526387"/>
    <w:rsid w:val="2F7F40B3"/>
    <w:rsid w:val="304022EB"/>
    <w:rsid w:val="30724D60"/>
    <w:rsid w:val="33110E7F"/>
    <w:rsid w:val="33DE72EE"/>
    <w:rsid w:val="350B55D1"/>
    <w:rsid w:val="353F7122"/>
    <w:rsid w:val="408B07E3"/>
    <w:rsid w:val="43113BAF"/>
    <w:rsid w:val="433C4ED1"/>
    <w:rsid w:val="43F26480"/>
    <w:rsid w:val="47397CBA"/>
    <w:rsid w:val="47EC64BA"/>
    <w:rsid w:val="499A562D"/>
    <w:rsid w:val="4A325A7D"/>
    <w:rsid w:val="4B48346E"/>
    <w:rsid w:val="4ED83AD1"/>
    <w:rsid w:val="50EF3C5F"/>
    <w:rsid w:val="514C1714"/>
    <w:rsid w:val="518F781B"/>
    <w:rsid w:val="51BC40FF"/>
    <w:rsid w:val="52124159"/>
    <w:rsid w:val="52BB6068"/>
    <w:rsid w:val="5B553460"/>
    <w:rsid w:val="5DAC66B4"/>
    <w:rsid w:val="5E5C564D"/>
    <w:rsid w:val="614E1FCF"/>
    <w:rsid w:val="6CE040DD"/>
    <w:rsid w:val="709F4AA7"/>
    <w:rsid w:val="7668708E"/>
    <w:rsid w:val="7A116357"/>
    <w:rsid w:val="7AD7336E"/>
    <w:rsid w:val="7F8677E5"/>
    <w:rsid w:val="7F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apple-converted-space"/>
    <w:basedOn w:val="3"/>
    <w:qFormat/>
    <w:uiPriority w:val="0"/>
  </w:style>
  <w:style w:type="paragraph" w:customStyle="1" w:styleId="8">
    <w:name w:val="普通(网站)1"/>
    <w:basedOn w:val="1"/>
    <w:qFormat/>
    <w:uiPriority w:val="0"/>
    <w:pPr>
      <w:widowControl/>
      <w:autoSpaceDE/>
      <w:autoSpaceDN/>
      <w:adjustRightInd/>
      <w:snapToGrid/>
      <w:spacing w:before="100" w:beforeAutospacing="1" w:after="100" w:afterAutospacing="1" w:line="240" w:lineRule="auto"/>
      <w:jc w:val="left"/>
    </w:pPr>
    <w:rPr>
      <w:rFonts w:eastAsia="宋体"/>
      <w:spacing w:val="0"/>
      <w:kern w:val="0"/>
      <w:sz w:val="30"/>
      <w:szCs w:val="30"/>
    </w:rPr>
  </w:style>
  <w:style w:type="paragraph" w:customStyle="1" w:styleId="9">
    <w:name w:val="l正文"/>
    <w:basedOn w:val="1"/>
    <w:qFormat/>
    <w:uiPriority w:val="0"/>
    <w:pPr>
      <w:widowControl w:val="0"/>
      <w:overflowPunct/>
      <w:autoSpaceDE/>
      <w:autoSpaceDN/>
      <w:adjustRightInd/>
      <w:spacing w:line="300" w:lineRule="auto"/>
      <w:ind w:firstLine="200" w:firstLineChars="200"/>
    </w:pPr>
    <w:rPr>
      <w:rFonts w:ascii="楷体_GB2312" w:hAnsi="Times" w:eastAsia="楷体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2019-10-31T06:15:00Z</dcterms:created>
  <dc:creator>竺铭</dc:creator>
  <cp:lastModifiedBy>王小炜</cp:lastModifiedBy>
  <cp:lastPrinted>2019-11-26T02:29:00Z</cp:lastPrinted>
  <dcterms:modified xsi:type="dcterms:W3CDTF">2019-11-28T03:49:35Z</dcterms:modified>
  <dc:title>绍兴市政府采购代理机构信用评价管理办法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