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黑体" w:eastAsia="黑体"/>
          <w:sz w:val="40"/>
          <w:szCs w:val="40"/>
        </w:rPr>
      </w:pPr>
      <w:r>
        <w:rPr>
          <w:rFonts w:hint="eastAsia" w:ascii="黑体" w:hAnsi="黑体" w:eastAsia="黑体"/>
          <w:sz w:val="40"/>
          <w:szCs w:val="40"/>
        </w:rPr>
        <w:t>温州市瓯江口产业集聚区</w:t>
      </w:r>
      <w:r>
        <w:rPr>
          <w:rFonts w:hint="eastAsia" w:ascii="黑体" w:hAnsi="黑体" w:eastAsia="黑体"/>
          <w:sz w:val="40"/>
          <w:szCs w:val="40"/>
          <w:lang w:eastAsia="zh-CN"/>
        </w:rPr>
        <w:t>管理</w:t>
      </w:r>
      <w:r>
        <w:rPr>
          <w:rFonts w:hint="eastAsia" w:ascii="黑体" w:hAnsi="黑体" w:eastAsia="黑体"/>
          <w:sz w:val="40"/>
          <w:szCs w:val="40"/>
        </w:rPr>
        <w:t>暂行办法（草案</w:t>
      </w:r>
      <w:r>
        <w:rPr>
          <w:rFonts w:hint="eastAsia" w:ascii="黑体" w:hAnsi="黑体" w:eastAsia="黑体"/>
          <w:sz w:val="40"/>
          <w:szCs w:val="40"/>
          <w:lang w:eastAsia="zh-CN"/>
        </w:rPr>
        <w:t>）</w:t>
      </w:r>
    </w:p>
    <w:p>
      <w:pPr>
        <w:widowControl/>
        <w:spacing w:line="360" w:lineRule="auto"/>
        <w:jc w:val="center"/>
        <w:rPr>
          <w:rFonts w:hint="eastAsia" w:ascii="黑体" w:hAnsi="黑体" w:eastAsia="黑体"/>
          <w:sz w:val="36"/>
          <w:szCs w:val="36"/>
        </w:rPr>
      </w:pPr>
      <w:r>
        <w:rPr>
          <w:rFonts w:hint="eastAsia" w:ascii="黑体" w:hAnsi="黑体" w:eastAsia="黑体"/>
          <w:sz w:val="36"/>
          <w:szCs w:val="36"/>
          <w:lang w:eastAsia="zh-CN"/>
        </w:rPr>
        <w:t>（</w:t>
      </w:r>
      <w:r>
        <w:rPr>
          <w:rFonts w:hint="eastAsia" w:ascii="黑体" w:hAnsi="黑体" w:eastAsia="黑体"/>
          <w:sz w:val="36"/>
          <w:szCs w:val="36"/>
        </w:rPr>
        <w:t>征求意见稿）</w:t>
      </w:r>
    </w:p>
    <w:p>
      <w:pPr>
        <w:widowControl/>
        <w:wordWrap w:val="0"/>
        <w:spacing w:line="360" w:lineRule="auto"/>
        <w:ind w:firstLine="636"/>
        <w:jc w:val="left"/>
        <w:rPr>
          <w:rFonts w:ascii="仿宋" w:hAnsi="仿宋" w:eastAsia="仿宋" w:cs="Arial"/>
          <w:color w:val="000000"/>
          <w:sz w:val="32"/>
          <w:szCs w:val="32"/>
        </w:rPr>
      </w:pPr>
      <w:r>
        <w:rPr>
          <w:rFonts w:hint="eastAsia" w:ascii="仿宋" w:hAnsi="仿宋" w:eastAsia="仿宋" w:cs="Arial"/>
          <w:b/>
          <w:color w:val="000000"/>
          <w:sz w:val="32"/>
          <w:szCs w:val="32"/>
        </w:rPr>
        <w:t>第一条（立法目的）</w:t>
      </w:r>
      <w:r>
        <w:rPr>
          <w:rFonts w:hint="eastAsia" w:ascii="仿宋" w:hAnsi="仿宋" w:eastAsia="仿宋" w:cs="Arial"/>
          <w:color w:val="000000"/>
          <w:sz w:val="32"/>
          <w:szCs w:val="32"/>
        </w:rPr>
        <w:t>为了理顺</w:t>
      </w:r>
      <w:r>
        <w:rPr>
          <w:rFonts w:hint="eastAsia" w:ascii="仿宋" w:hAnsi="仿宋" w:eastAsia="仿宋"/>
          <w:sz w:val="32"/>
          <w:szCs w:val="32"/>
        </w:rPr>
        <w:t>瓯江口产业集聚区</w:t>
      </w:r>
      <w:r>
        <w:rPr>
          <w:rFonts w:hint="eastAsia" w:ascii="仿宋" w:hAnsi="仿宋" w:eastAsia="仿宋" w:cs="Arial"/>
          <w:color w:val="000000"/>
          <w:sz w:val="32"/>
          <w:szCs w:val="32"/>
        </w:rPr>
        <w:t>管理体制机制，发挥</w:t>
      </w:r>
      <w:r>
        <w:rPr>
          <w:rFonts w:hint="eastAsia" w:ascii="仿宋" w:hAnsi="仿宋" w:eastAsia="仿宋"/>
          <w:sz w:val="32"/>
          <w:szCs w:val="32"/>
        </w:rPr>
        <w:t>产业集聚区</w:t>
      </w:r>
      <w:r>
        <w:rPr>
          <w:rFonts w:hint="eastAsia" w:ascii="仿宋" w:hAnsi="仿宋" w:eastAsia="仿宋" w:cs="Arial"/>
          <w:color w:val="000000"/>
          <w:sz w:val="32"/>
          <w:szCs w:val="32"/>
        </w:rPr>
        <w:t>功能优势和开放引领作用，促进区域经济社会高质量发展，根据有关法律、法规规定，结合本市实际，制定本办法。　</w:t>
      </w:r>
      <w:bookmarkStart w:id="0" w:name="2"/>
      <w:bookmarkStart w:id="1" w:name="4"/>
      <w:r>
        <w:rPr>
          <w:rFonts w:hint="eastAsia" w:ascii="仿宋" w:hAnsi="仿宋" w:eastAsia="仿宋" w:cs="Arial"/>
          <w:color w:val="000000"/>
          <w:sz w:val="32"/>
          <w:szCs w:val="32"/>
        </w:rPr>
        <w:t xml:space="preserve">    </w:t>
      </w:r>
    </w:p>
    <w:p>
      <w:pPr>
        <w:widowControl/>
        <w:wordWrap w:val="0"/>
        <w:spacing w:line="360" w:lineRule="auto"/>
        <w:ind w:firstLine="636"/>
        <w:jc w:val="left"/>
        <w:rPr>
          <w:rFonts w:ascii="仿宋" w:hAnsi="仿宋" w:eastAsia="仿宋" w:cs="Arial"/>
          <w:color w:val="000000"/>
          <w:sz w:val="32"/>
          <w:szCs w:val="32"/>
        </w:rPr>
      </w:pPr>
      <w:r>
        <w:rPr>
          <w:rFonts w:hint="eastAsia" w:ascii="仿宋" w:hAnsi="仿宋" w:eastAsia="仿宋" w:cs="Arial"/>
          <w:b/>
          <w:color w:val="000000"/>
          <w:sz w:val="32"/>
          <w:szCs w:val="32"/>
        </w:rPr>
        <w:t>第二条</w:t>
      </w:r>
      <w:bookmarkEnd w:id="0"/>
      <w:r>
        <w:rPr>
          <w:rFonts w:hint="eastAsia" w:ascii="仿宋" w:hAnsi="仿宋" w:eastAsia="仿宋" w:cs="Arial"/>
          <w:b/>
          <w:color w:val="000000"/>
          <w:sz w:val="32"/>
          <w:szCs w:val="32"/>
        </w:rPr>
        <w:t>（适用范围）</w:t>
      </w:r>
      <w:r>
        <w:rPr>
          <w:rFonts w:hint="eastAsia" w:ascii="仿宋" w:hAnsi="仿宋" w:eastAsia="仿宋" w:cs="Arial"/>
          <w:color w:val="000000"/>
          <w:sz w:val="32"/>
          <w:szCs w:val="32"/>
        </w:rPr>
        <w:t>本办法适用于瓯江口</w:t>
      </w:r>
      <w:r>
        <w:rPr>
          <w:rFonts w:hint="eastAsia" w:ascii="仿宋" w:hAnsi="仿宋" w:eastAsia="仿宋"/>
          <w:sz w:val="32"/>
          <w:szCs w:val="32"/>
        </w:rPr>
        <w:t>产业集聚区管委会（以下简称管委会）</w:t>
      </w:r>
      <w:r>
        <w:rPr>
          <w:rFonts w:hint="eastAsia" w:ascii="仿宋" w:hAnsi="仿宋" w:eastAsia="仿宋" w:cs="Arial"/>
          <w:color w:val="000000"/>
          <w:sz w:val="32"/>
          <w:szCs w:val="32"/>
        </w:rPr>
        <w:t>的行政职能设定、运行及其相关活动。</w:t>
      </w:r>
    </w:p>
    <w:p>
      <w:pPr>
        <w:wordWrap w:val="0"/>
        <w:spacing w:line="345" w:lineRule="atLeast"/>
        <w:ind w:firstLine="648"/>
        <w:rPr>
          <w:rFonts w:ascii="仿宋" w:hAnsi="仿宋" w:eastAsia="仿宋" w:cs="Arial"/>
          <w:color w:val="000000"/>
          <w:sz w:val="32"/>
          <w:szCs w:val="32"/>
        </w:rPr>
      </w:pPr>
      <w:r>
        <w:rPr>
          <w:rFonts w:hint="eastAsia" w:ascii="仿宋" w:hAnsi="仿宋" w:eastAsia="仿宋" w:cs="Arial"/>
          <w:color w:val="000000"/>
          <w:sz w:val="32"/>
          <w:szCs w:val="32"/>
        </w:rPr>
        <w:t>本办法所称瓯江口产业集聚区，是指市人民政府确定由管委会统一管理的区域。</w:t>
      </w:r>
    </w:p>
    <w:p>
      <w:pPr>
        <w:wordWrap w:val="0"/>
        <w:spacing w:line="360" w:lineRule="auto"/>
        <w:ind w:firstLine="648"/>
        <w:rPr>
          <w:rFonts w:ascii="仿宋" w:hAnsi="仿宋" w:eastAsia="仿宋" w:cs="Arial"/>
          <w:color w:val="000000"/>
          <w:kern w:val="0"/>
          <w:sz w:val="32"/>
          <w:szCs w:val="32"/>
        </w:rPr>
      </w:pPr>
      <w:bookmarkStart w:id="2" w:name="6"/>
      <w:r>
        <w:rPr>
          <w:rFonts w:hint="eastAsia" w:ascii="仿宋" w:hAnsi="仿宋" w:eastAsia="仿宋" w:cs="Arial"/>
          <w:b/>
          <w:color w:val="000000"/>
          <w:kern w:val="0"/>
          <w:sz w:val="32"/>
          <w:szCs w:val="32"/>
        </w:rPr>
        <w:t>第三条</w:t>
      </w:r>
      <w:bookmarkEnd w:id="2"/>
      <w:r>
        <w:rPr>
          <w:rFonts w:hint="eastAsia" w:ascii="仿宋" w:hAnsi="仿宋" w:eastAsia="仿宋" w:cs="Arial"/>
          <w:b/>
          <w:color w:val="000000"/>
          <w:kern w:val="0"/>
          <w:sz w:val="32"/>
          <w:szCs w:val="32"/>
        </w:rPr>
        <w:t>（机构设置）</w:t>
      </w:r>
      <w:r>
        <w:rPr>
          <w:rFonts w:hint="eastAsia" w:ascii="仿宋" w:hAnsi="仿宋" w:eastAsia="仿宋" w:cs="Arial"/>
          <w:color w:val="000000"/>
          <w:sz w:val="32"/>
          <w:szCs w:val="32"/>
        </w:rPr>
        <w:t>瓯江口</w:t>
      </w:r>
      <w:r>
        <w:rPr>
          <w:rFonts w:hint="eastAsia" w:ascii="仿宋" w:hAnsi="仿宋" w:eastAsia="仿宋"/>
          <w:sz w:val="32"/>
          <w:szCs w:val="32"/>
        </w:rPr>
        <w:t>产业集聚区管委会</w:t>
      </w:r>
      <w:r>
        <w:rPr>
          <w:rFonts w:hint="eastAsia" w:ascii="仿宋" w:hAnsi="仿宋" w:eastAsia="仿宋" w:cs="Arial"/>
          <w:color w:val="000000"/>
          <w:kern w:val="0"/>
          <w:sz w:val="32"/>
          <w:szCs w:val="32"/>
        </w:rPr>
        <w:t>是市人民政府的派出机关，依法对</w:t>
      </w:r>
      <w:r>
        <w:rPr>
          <w:rFonts w:hint="eastAsia" w:ascii="仿宋" w:hAnsi="仿宋" w:eastAsia="仿宋" w:cs="Arial"/>
          <w:color w:val="000000"/>
          <w:sz w:val="32"/>
          <w:szCs w:val="32"/>
        </w:rPr>
        <w:t>瓯江口</w:t>
      </w:r>
      <w:r>
        <w:rPr>
          <w:rFonts w:hint="eastAsia" w:ascii="仿宋" w:hAnsi="仿宋" w:eastAsia="仿宋"/>
          <w:sz w:val="32"/>
          <w:szCs w:val="32"/>
        </w:rPr>
        <w:t>产业集聚区</w:t>
      </w:r>
      <w:r>
        <w:rPr>
          <w:rFonts w:hint="eastAsia" w:ascii="仿宋" w:hAnsi="仿宋" w:eastAsia="仿宋" w:cs="Arial"/>
          <w:color w:val="000000"/>
          <w:kern w:val="0"/>
          <w:sz w:val="32"/>
          <w:szCs w:val="32"/>
        </w:rPr>
        <w:t>实行统一管理，行使本办法规定的管理权限，承担相应的法律责任。</w:t>
      </w:r>
    </w:p>
    <w:p>
      <w:pPr>
        <w:wordWrap w:val="0"/>
        <w:spacing w:line="360" w:lineRule="auto"/>
        <w:ind w:firstLine="648"/>
        <w:rPr>
          <w:rFonts w:ascii="仿宋" w:hAnsi="仿宋" w:eastAsia="仿宋" w:cs="Arial"/>
          <w:b/>
          <w:color w:val="000000"/>
          <w:kern w:val="0"/>
          <w:sz w:val="32"/>
          <w:szCs w:val="32"/>
        </w:rPr>
      </w:pPr>
      <w:bookmarkStart w:id="3" w:name="7"/>
      <w:r>
        <w:rPr>
          <w:rFonts w:hint="eastAsia" w:ascii="仿宋" w:hAnsi="仿宋" w:eastAsia="仿宋" w:cs="Arial"/>
          <w:b/>
          <w:color w:val="000000"/>
          <w:kern w:val="0"/>
          <w:sz w:val="32"/>
          <w:szCs w:val="32"/>
        </w:rPr>
        <w:t>第四条（行政授权）</w:t>
      </w:r>
      <w:r>
        <w:rPr>
          <w:rFonts w:hint="eastAsia" w:ascii="仿宋" w:hAnsi="仿宋" w:eastAsia="仿宋" w:cs="Arial"/>
          <w:color w:val="000000"/>
          <w:kern w:val="0"/>
          <w:sz w:val="32"/>
          <w:szCs w:val="32"/>
        </w:rPr>
        <w:t>管委会授权行使下列市级行政管理权限：</w:t>
      </w:r>
    </w:p>
    <w:p>
      <w:pPr>
        <w:wordWrap w:val="0"/>
        <w:spacing w:line="360" w:lineRule="auto"/>
        <w:ind w:firstLine="648"/>
        <w:rPr>
          <w:rFonts w:ascii="仿宋" w:hAnsi="仿宋" w:eastAsia="仿宋" w:cs="Arial"/>
          <w:color w:val="000000"/>
          <w:kern w:val="0"/>
          <w:sz w:val="32"/>
          <w:szCs w:val="32"/>
        </w:rPr>
      </w:pPr>
      <w:r>
        <w:rPr>
          <w:rFonts w:hint="eastAsia" w:ascii="仿宋" w:hAnsi="仿宋" w:eastAsia="仿宋" w:cs="Arial"/>
          <w:color w:val="000000"/>
          <w:kern w:val="0"/>
          <w:sz w:val="32"/>
          <w:szCs w:val="32"/>
        </w:rPr>
        <w:t>（一）</w:t>
      </w:r>
      <w:r>
        <w:rPr>
          <w:rFonts w:hint="eastAsia" w:ascii="仿宋" w:hAnsi="仿宋" w:eastAsia="仿宋" w:cs="Arial"/>
          <w:color w:val="000000"/>
          <w:sz w:val="32"/>
          <w:szCs w:val="32"/>
        </w:rPr>
        <w:t>依据温州市城市总体规划和经济社会发展规划，编制瓯江口</w:t>
      </w:r>
      <w:r>
        <w:rPr>
          <w:rFonts w:hint="eastAsia" w:ascii="仿宋" w:hAnsi="仿宋" w:eastAsia="仿宋"/>
          <w:sz w:val="30"/>
          <w:szCs w:val="30"/>
        </w:rPr>
        <w:t>产业集聚区</w:t>
      </w:r>
      <w:r>
        <w:rPr>
          <w:rFonts w:hint="eastAsia" w:ascii="仿宋" w:hAnsi="仿宋" w:eastAsia="仿宋" w:cs="Arial"/>
          <w:color w:val="000000"/>
          <w:kern w:val="0"/>
          <w:sz w:val="32"/>
          <w:szCs w:val="32"/>
        </w:rPr>
        <w:t>经济社会发展规划、国土空间规划、产业发展规划</w:t>
      </w:r>
      <w:r>
        <w:rPr>
          <w:rFonts w:hint="eastAsia" w:ascii="仿宋" w:hAnsi="仿宋" w:eastAsia="仿宋" w:cs="Arial"/>
          <w:color w:val="000000"/>
          <w:sz w:val="32"/>
          <w:szCs w:val="32"/>
        </w:rPr>
        <w:t>，经批准后组织实施；</w:t>
      </w:r>
    </w:p>
    <w:p>
      <w:pPr>
        <w:spacing w:line="360" w:lineRule="auto"/>
        <w:ind w:firstLine="645"/>
        <w:rPr>
          <w:rFonts w:ascii="仿宋" w:hAnsi="仿宋" w:eastAsia="仿宋" w:cs="Arial"/>
          <w:color w:val="000000"/>
          <w:kern w:val="0"/>
          <w:sz w:val="32"/>
          <w:szCs w:val="32"/>
        </w:rPr>
      </w:pPr>
      <w:r>
        <w:rPr>
          <w:rFonts w:hint="eastAsia" w:ascii="仿宋" w:hAnsi="仿宋" w:eastAsia="仿宋" w:cs="Arial"/>
          <w:color w:val="000000"/>
          <w:kern w:val="0"/>
          <w:sz w:val="32"/>
          <w:szCs w:val="32"/>
        </w:rPr>
        <w:t>（二）</w:t>
      </w:r>
      <w:r>
        <w:rPr>
          <w:rFonts w:hint="eastAsia" w:ascii="仿宋" w:hAnsi="仿宋" w:eastAsia="仿宋" w:cs="Arial"/>
          <w:color w:val="000000"/>
          <w:sz w:val="32"/>
          <w:szCs w:val="32"/>
        </w:rPr>
        <w:t>负责财政、国有资产管理工作；</w:t>
      </w:r>
    </w:p>
    <w:p>
      <w:pPr>
        <w:spacing w:line="360" w:lineRule="auto"/>
        <w:ind w:firstLine="645"/>
        <w:rPr>
          <w:rFonts w:ascii="仿宋" w:hAnsi="仿宋" w:eastAsia="仿宋" w:cs="Times New Roman"/>
          <w:sz w:val="32"/>
          <w:szCs w:val="32"/>
        </w:rPr>
      </w:pPr>
      <w:r>
        <w:rPr>
          <w:rFonts w:hint="eastAsia" w:ascii="仿宋" w:hAnsi="仿宋" w:eastAsia="仿宋" w:cs="Arial"/>
          <w:color w:val="000000"/>
          <w:kern w:val="0"/>
          <w:sz w:val="32"/>
          <w:szCs w:val="32"/>
        </w:rPr>
        <w:t>（三）负责农业农村</w:t>
      </w:r>
      <w:r>
        <w:rPr>
          <w:rFonts w:hint="eastAsia" w:ascii="仿宋" w:hAnsi="仿宋" w:eastAsia="仿宋" w:cs="仿宋_GB2312"/>
          <w:sz w:val="32"/>
          <w:szCs w:val="32"/>
        </w:rPr>
        <w:t>和非法占用农村宅基地建设住宅认定</w:t>
      </w:r>
      <w:r>
        <w:rPr>
          <w:rFonts w:ascii="仿宋" w:hAnsi="仿宋" w:eastAsia="仿宋" w:cs="Times New Roman"/>
          <w:sz w:val="32"/>
          <w:szCs w:val="32"/>
        </w:rPr>
        <w:t>等管理工作</w:t>
      </w:r>
      <w:r>
        <w:rPr>
          <w:rFonts w:hint="eastAsia" w:ascii="仿宋" w:hAnsi="仿宋" w:eastAsia="仿宋" w:cs="Times New Roman"/>
          <w:sz w:val="32"/>
          <w:szCs w:val="32"/>
        </w:rPr>
        <w:t>；</w:t>
      </w:r>
    </w:p>
    <w:p>
      <w:pPr>
        <w:wordWrap w:val="0"/>
        <w:spacing w:line="360" w:lineRule="auto"/>
        <w:ind w:firstLine="648"/>
        <w:rPr>
          <w:rFonts w:ascii="仿宋" w:hAnsi="仿宋" w:eastAsia="仿宋" w:cs="Arial"/>
          <w:color w:val="000000"/>
          <w:kern w:val="0"/>
          <w:sz w:val="32"/>
          <w:szCs w:val="32"/>
        </w:rPr>
      </w:pPr>
      <w:r>
        <w:rPr>
          <w:rFonts w:hint="eastAsia" w:ascii="仿宋" w:hAnsi="仿宋" w:eastAsia="仿宋" w:cs="Arial"/>
          <w:color w:val="000000"/>
          <w:kern w:val="0"/>
          <w:sz w:val="32"/>
          <w:szCs w:val="32"/>
        </w:rPr>
        <w:t>（四）负责招商引资和项目投资、知识产权、科技创新促进等领域工作；</w:t>
      </w:r>
    </w:p>
    <w:p>
      <w:pPr>
        <w:wordWrap w:val="0"/>
        <w:spacing w:line="360" w:lineRule="auto"/>
        <w:ind w:firstLine="648"/>
        <w:rPr>
          <w:rFonts w:ascii="仿宋" w:hAnsi="仿宋" w:eastAsia="仿宋" w:cs="Arial"/>
          <w:color w:val="000000"/>
          <w:kern w:val="0"/>
          <w:sz w:val="32"/>
          <w:szCs w:val="32"/>
        </w:rPr>
      </w:pPr>
      <w:r>
        <w:rPr>
          <w:rFonts w:hint="eastAsia" w:ascii="仿宋" w:hAnsi="仿宋" w:eastAsia="仿宋" w:cs="Arial"/>
          <w:color w:val="000000"/>
          <w:kern w:val="0"/>
          <w:sz w:val="32"/>
          <w:szCs w:val="32"/>
        </w:rPr>
        <w:t>（五）市人民政府授予的其他行政职权。</w:t>
      </w:r>
    </w:p>
    <w:p>
      <w:pPr>
        <w:spacing w:line="360" w:lineRule="auto"/>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管委会在授权范围内，以管委会的名义实施行政管理。</w:t>
      </w:r>
    </w:p>
    <w:p>
      <w:pPr>
        <w:wordWrap w:val="0"/>
        <w:spacing w:line="360" w:lineRule="auto"/>
        <w:ind w:firstLine="648"/>
        <w:rPr>
          <w:rFonts w:ascii="仿宋" w:hAnsi="仿宋" w:eastAsia="仿宋" w:cs="Times New Roman"/>
          <w:sz w:val="32"/>
          <w:szCs w:val="32"/>
        </w:rPr>
      </w:pPr>
      <w:r>
        <w:rPr>
          <w:rFonts w:hint="eastAsia" w:ascii="仿宋" w:hAnsi="仿宋" w:eastAsia="仿宋" w:cs="Arial"/>
          <w:b/>
          <w:color w:val="000000"/>
          <w:kern w:val="0"/>
          <w:sz w:val="32"/>
          <w:szCs w:val="32"/>
        </w:rPr>
        <w:t>第五条</w:t>
      </w:r>
      <w:bookmarkEnd w:id="3"/>
      <w:r>
        <w:rPr>
          <w:rFonts w:hint="eastAsia" w:ascii="仿宋" w:hAnsi="仿宋" w:eastAsia="仿宋" w:cs="Arial"/>
          <w:b/>
          <w:color w:val="000000"/>
          <w:kern w:val="0"/>
          <w:sz w:val="32"/>
          <w:szCs w:val="32"/>
        </w:rPr>
        <w:t>（派出机构）</w:t>
      </w:r>
      <w:r>
        <w:rPr>
          <w:rFonts w:hint="eastAsia" w:ascii="仿宋" w:hAnsi="仿宋" w:eastAsia="仿宋" w:cs="Arial"/>
          <w:color w:val="000000"/>
          <w:kern w:val="0"/>
          <w:sz w:val="32"/>
          <w:szCs w:val="32"/>
        </w:rPr>
        <w:t>市</w:t>
      </w:r>
      <w:r>
        <w:rPr>
          <w:rFonts w:ascii="仿宋" w:hAnsi="仿宋" w:eastAsia="仿宋" w:cs="Times New Roman"/>
          <w:sz w:val="32"/>
          <w:szCs w:val="32"/>
        </w:rPr>
        <w:t>公安、市场监管、税务、综合行政执法、自然资源与规划、生态环境、住房和城乡建设</w:t>
      </w:r>
      <w:r>
        <w:rPr>
          <w:rFonts w:hint="eastAsia" w:ascii="仿宋" w:hAnsi="仿宋" w:eastAsia="仿宋" w:cs="Times New Roman"/>
          <w:sz w:val="32"/>
          <w:szCs w:val="32"/>
        </w:rPr>
        <w:t>、水利、人防</w:t>
      </w:r>
      <w:r>
        <w:rPr>
          <w:rFonts w:ascii="仿宋" w:hAnsi="仿宋" w:eastAsia="仿宋" w:cs="Times New Roman"/>
          <w:sz w:val="32"/>
          <w:szCs w:val="32"/>
        </w:rPr>
        <w:t>、退役军人事务等部门可以在瓯江口产业集聚区设立派出机构</w:t>
      </w:r>
      <w:r>
        <w:rPr>
          <w:rFonts w:hint="eastAsia" w:ascii="仿宋" w:hAnsi="仿宋" w:eastAsia="仿宋" w:cs="Times New Roman"/>
          <w:sz w:val="32"/>
          <w:szCs w:val="32"/>
        </w:rPr>
        <w:t>，也可以委托管委会</w:t>
      </w:r>
      <w:r>
        <w:rPr>
          <w:rFonts w:hint="eastAsia" w:ascii="仿宋" w:hAnsi="仿宋" w:eastAsia="仿宋" w:cs="Arial"/>
          <w:color w:val="000000"/>
          <w:kern w:val="0"/>
          <w:sz w:val="32"/>
          <w:szCs w:val="32"/>
        </w:rPr>
        <w:t>行使市级行政管理权限。</w:t>
      </w:r>
    </w:p>
    <w:p>
      <w:pPr>
        <w:wordWrap w:val="0"/>
        <w:spacing w:line="360" w:lineRule="auto"/>
        <w:ind w:firstLine="648"/>
        <w:rPr>
          <w:rFonts w:ascii="仿宋" w:hAnsi="仿宋" w:eastAsia="仿宋" w:cs="Arial"/>
          <w:b/>
          <w:color w:val="000000"/>
          <w:kern w:val="0"/>
          <w:sz w:val="32"/>
          <w:szCs w:val="32"/>
        </w:rPr>
      </w:pPr>
      <w:r>
        <w:rPr>
          <w:rFonts w:hint="eastAsia" w:ascii="仿宋" w:hAnsi="仿宋" w:eastAsia="仿宋" w:cs="Arial"/>
          <w:b/>
          <w:color w:val="000000"/>
          <w:kern w:val="0"/>
          <w:sz w:val="32"/>
          <w:szCs w:val="32"/>
        </w:rPr>
        <w:t>第六条（合署办公）</w:t>
      </w:r>
      <w:r>
        <w:rPr>
          <w:rFonts w:hint="eastAsia" w:ascii="仿宋" w:hAnsi="仿宋" w:eastAsia="仿宋" w:cs="Arial"/>
          <w:color w:val="000000"/>
          <w:kern w:val="0"/>
          <w:sz w:val="32"/>
          <w:szCs w:val="32"/>
        </w:rPr>
        <w:t>市</w:t>
      </w:r>
      <w:r>
        <w:rPr>
          <w:rFonts w:hint="eastAsia" w:ascii="仿宋" w:hAnsi="仿宋" w:eastAsia="仿宋" w:cs="Arial"/>
          <w:color w:val="000000"/>
          <w:sz w:val="32"/>
          <w:szCs w:val="32"/>
        </w:rPr>
        <w:t>政府有关行政管理部门在瓯江口</w:t>
      </w:r>
      <w:r>
        <w:rPr>
          <w:rFonts w:hint="eastAsia" w:ascii="仿宋" w:hAnsi="仿宋" w:eastAsia="仿宋"/>
          <w:sz w:val="32"/>
          <w:szCs w:val="32"/>
        </w:rPr>
        <w:t>产业集聚区设立</w:t>
      </w:r>
      <w:r>
        <w:rPr>
          <w:rFonts w:hint="eastAsia" w:ascii="仿宋" w:hAnsi="仿宋" w:eastAsia="仿宋" w:cs="Arial"/>
          <w:color w:val="000000"/>
          <w:sz w:val="32"/>
          <w:szCs w:val="32"/>
        </w:rPr>
        <w:t>的派出机构，应当与</w:t>
      </w:r>
      <w:r>
        <w:rPr>
          <w:rFonts w:hint="eastAsia" w:ascii="仿宋" w:hAnsi="仿宋" w:eastAsia="仿宋" w:cs="Arial"/>
          <w:color w:val="000000"/>
          <w:kern w:val="0"/>
          <w:sz w:val="32"/>
          <w:szCs w:val="32"/>
        </w:rPr>
        <w:t>管委会所属的职能机构合署办公，接受管委会领导和</w:t>
      </w:r>
      <w:r>
        <w:rPr>
          <w:rFonts w:hint="eastAsia" w:ascii="仿宋" w:hAnsi="仿宋" w:eastAsia="仿宋" w:cs="Arial"/>
          <w:color w:val="000000"/>
          <w:sz w:val="32"/>
          <w:szCs w:val="32"/>
        </w:rPr>
        <w:t>组织协调，依法开展相关工作。</w:t>
      </w:r>
    </w:p>
    <w:p>
      <w:pPr>
        <w:spacing w:line="360" w:lineRule="auto"/>
        <w:ind w:firstLine="643" w:firstLineChars="200"/>
        <w:rPr>
          <w:rFonts w:ascii="仿宋" w:hAnsi="仿宋" w:eastAsia="仿宋" w:cs="Arial"/>
          <w:color w:val="000000"/>
          <w:kern w:val="0"/>
          <w:sz w:val="32"/>
          <w:szCs w:val="32"/>
        </w:rPr>
      </w:pPr>
      <w:r>
        <w:rPr>
          <w:rFonts w:hint="eastAsia" w:ascii="仿宋" w:hAnsi="仿宋" w:eastAsia="仿宋" w:cs="Arial"/>
          <w:b/>
          <w:color w:val="000000"/>
          <w:kern w:val="0"/>
          <w:sz w:val="32"/>
          <w:szCs w:val="32"/>
        </w:rPr>
        <w:t>第七条（行政委托）</w:t>
      </w:r>
      <w:r>
        <w:rPr>
          <w:rFonts w:hint="eastAsia" w:ascii="仿宋" w:hAnsi="仿宋" w:eastAsia="仿宋" w:cs="Arial"/>
          <w:color w:val="000000"/>
          <w:kern w:val="0"/>
          <w:sz w:val="32"/>
          <w:szCs w:val="32"/>
        </w:rPr>
        <w:t>管委会可以接受洞头区人民政府有关行政管理部门的委托，行使</w:t>
      </w:r>
      <w:r>
        <w:rPr>
          <w:rFonts w:hint="eastAsia" w:ascii="仿宋" w:hAnsi="仿宋" w:eastAsia="仿宋" w:cs="Arial"/>
          <w:color w:val="000000"/>
          <w:sz w:val="32"/>
          <w:szCs w:val="32"/>
        </w:rPr>
        <w:t>发展和改革、统计、人力资源和社会保障、</w:t>
      </w:r>
      <w:r>
        <w:rPr>
          <w:rFonts w:ascii="仿宋" w:hAnsi="仿宋" w:eastAsia="仿宋" w:cs="Arial"/>
          <w:color w:val="000000"/>
          <w:kern w:val="0"/>
          <w:sz w:val="32"/>
          <w:szCs w:val="32"/>
        </w:rPr>
        <w:t>经信</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科技</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商务</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招商引资</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民政</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教育</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卫生健康</w:t>
      </w:r>
      <w:r>
        <w:rPr>
          <w:rFonts w:hint="eastAsia" w:ascii="仿宋" w:hAnsi="仿宋" w:eastAsia="仿宋" w:cs="Arial"/>
          <w:color w:val="000000"/>
          <w:kern w:val="0"/>
          <w:sz w:val="32"/>
          <w:szCs w:val="32"/>
        </w:rPr>
        <w:t>、应急管理、</w:t>
      </w:r>
      <w:r>
        <w:rPr>
          <w:rFonts w:ascii="仿宋" w:hAnsi="仿宋" w:eastAsia="仿宋" w:cs="Arial"/>
          <w:color w:val="000000"/>
          <w:kern w:val="0"/>
          <w:sz w:val="32"/>
          <w:szCs w:val="32"/>
        </w:rPr>
        <w:t>综合治理</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信访</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宗教</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流动人口管理等行政职能</w:t>
      </w:r>
      <w:r>
        <w:rPr>
          <w:rFonts w:hint="eastAsia" w:ascii="仿宋" w:hAnsi="仿宋" w:eastAsia="仿宋" w:cs="Arial"/>
          <w:color w:val="000000"/>
          <w:kern w:val="0"/>
          <w:sz w:val="32"/>
          <w:szCs w:val="32"/>
        </w:rPr>
        <w:t>。</w:t>
      </w:r>
    </w:p>
    <w:p>
      <w:pPr>
        <w:wordWrap w:val="0"/>
        <w:spacing w:line="360" w:lineRule="auto"/>
        <w:ind w:firstLine="648"/>
        <w:rPr>
          <w:rFonts w:ascii="仿宋" w:hAnsi="仿宋" w:eastAsia="仿宋" w:cs="Arial"/>
          <w:color w:val="000000"/>
          <w:kern w:val="0"/>
          <w:sz w:val="32"/>
          <w:szCs w:val="32"/>
        </w:rPr>
      </w:pPr>
      <w:bookmarkStart w:id="4" w:name="8"/>
      <w:r>
        <w:rPr>
          <w:rFonts w:hint="eastAsia" w:ascii="仿宋" w:hAnsi="仿宋" w:eastAsia="仿宋" w:cs="Arial"/>
          <w:b/>
          <w:color w:val="000000"/>
          <w:kern w:val="0"/>
          <w:sz w:val="32"/>
          <w:szCs w:val="32"/>
        </w:rPr>
        <w:t>第八条（委托协议）</w:t>
      </w:r>
      <w:r>
        <w:rPr>
          <w:rFonts w:hint="eastAsia" w:ascii="仿宋" w:hAnsi="仿宋" w:eastAsia="仿宋" w:cs="Arial"/>
          <w:vanish/>
          <w:color w:val="FFFFFF"/>
          <w:kern w:val="0"/>
          <w:sz w:val="32"/>
          <w:szCs w:val="32"/>
          <w:vertAlign w:val="superscript"/>
        </w:rPr>
        <w:t>北大法宝，版权所有</w:t>
      </w:r>
      <w:r>
        <w:rPr>
          <w:rFonts w:hint="eastAsia" w:ascii="仿宋" w:hAnsi="仿宋" w:eastAsia="仿宋" w:cs="Arial"/>
          <w:color w:val="000000"/>
          <w:kern w:val="0"/>
          <w:sz w:val="32"/>
          <w:szCs w:val="32"/>
        </w:rPr>
        <w:t>有关行政管理部门委托管委会实施行政管理的，双方应当签订行政管理委托书。</w:t>
      </w:r>
    </w:p>
    <w:p>
      <w:pPr>
        <w:wordWrap w:val="0"/>
        <w:spacing w:line="360" w:lineRule="auto"/>
        <w:ind w:firstLine="648"/>
        <w:rPr>
          <w:rFonts w:ascii="仿宋" w:hAnsi="仿宋" w:eastAsia="仿宋" w:cs="Arial"/>
          <w:color w:val="000000"/>
          <w:kern w:val="0"/>
          <w:sz w:val="32"/>
          <w:szCs w:val="32"/>
        </w:rPr>
      </w:pPr>
      <w:r>
        <w:rPr>
          <w:rFonts w:hint="eastAsia" w:ascii="仿宋" w:hAnsi="仿宋" w:eastAsia="仿宋" w:cs="Arial"/>
          <w:color w:val="000000"/>
          <w:kern w:val="0"/>
          <w:sz w:val="32"/>
          <w:szCs w:val="32"/>
        </w:rPr>
        <w:t>委托书内容应当包括委托部门和受委托管委会的名称、委托事项和权限、委托期限、责任承担以及双方认为需要明确的其他事项。</w:t>
      </w:r>
    </w:p>
    <w:p>
      <w:pPr>
        <w:wordWrap w:val="0"/>
        <w:spacing w:line="360" w:lineRule="auto"/>
        <w:ind w:firstLine="648"/>
        <w:rPr>
          <w:rFonts w:ascii="仿宋" w:hAnsi="仿宋" w:eastAsia="仿宋" w:cs="Arial"/>
          <w:color w:val="000000"/>
          <w:kern w:val="0"/>
          <w:sz w:val="32"/>
          <w:szCs w:val="32"/>
        </w:rPr>
      </w:pPr>
      <w:r>
        <w:rPr>
          <w:rFonts w:hint="eastAsia" w:ascii="仿宋" w:hAnsi="仿宋" w:eastAsia="仿宋" w:cs="Arial"/>
          <w:color w:val="000000"/>
          <w:kern w:val="0"/>
          <w:sz w:val="32"/>
          <w:szCs w:val="32"/>
        </w:rPr>
        <w:t>行政委托书签订后应当报市人民政府备案。行政委托书格式由市司法行政部门制定。</w:t>
      </w:r>
    </w:p>
    <w:bookmarkEnd w:id="4"/>
    <w:p>
      <w:pPr>
        <w:wordWrap w:val="0"/>
        <w:spacing w:line="360" w:lineRule="auto"/>
        <w:ind w:firstLine="648"/>
        <w:rPr>
          <w:rFonts w:ascii="仿宋" w:hAnsi="仿宋" w:eastAsia="仿宋" w:cs="Arial"/>
          <w:color w:val="000000"/>
          <w:kern w:val="0"/>
          <w:sz w:val="32"/>
          <w:szCs w:val="32"/>
        </w:rPr>
      </w:pPr>
      <w:r>
        <w:rPr>
          <w:rFonts w:hint="eastAsia" w:ascii="仿宋" w:hAnsi="仿宋" w:eastAsia="仿宋" w:cs="Arial"/>
          <w:b/>
          <w:color w:val="000000"/>
          <w:kern w:val="0"/>
          <w:sz w:val="32"/>
          <w:szCs w:val="32"/>
        </w:rPr>
        <w:t>第九条（权力清单）</w:t>
      </w:r>
      <w:r>
        <w:rPr>
          <w:rFonts w:hint="eastAsia" w:ascii="仿宋" w:hAnsi="仿宋" w:eastAsia="仿宋" w:cs="Arial"/>
          <w:color w:val="000000"/>
          <w:kern w:val="0"/>
          <w:sz w:val="32"/>
          <w:szCs w:val="32"/>
        </w:rPr>
        <w:t>管委会应当依据有关法律、法规、规章梳理行政权力清单、责任清单，提请市人民政府确定并公布。</w:t>
      </w:r>
    </w:p>
    <w:p>
      <w:pPr>
        <w:ind w:firstLine="643" w:firstLineChars="200"/>
        <w:rPr>
          <w:rFonts w:ascii="仿宋" w:hAnsi="仿宋" w:eastAsia="仿宋" w:cs="Arial"/>
          <w:color w:val="000000"/>
          <w:sz w:val="32"/>
          <w:szCs w:val="32"/>
        </w:rPr>
      </w:pPr>
      <w:r>
        <w:rPr>
          <w:rFonts w:hint="eastAsia" w:ascii="仿宋" w:hAnsi="仿宋" w:eastAsia="仿宋" w:cs="Arial"/>
          <w:b/>
          <w:color w:val="000000"/>
          <w:kern w:val="0"/>
          <w:sz w:val="32"/>
          <w:szCs w:val="32"/>
        </w:rPr>
        <w:t>第十条（综合执法）</w:t>
      </w:r>
      <w:r>
        <w:rPr>
          <w:rFonts w:hint="eastAsia" w:ascii="仿宋" w:hAnsi="仿宋" w:eastAsia="仿宋" w:cs="Arial"/>
          <w:color w:val="000000"/>
          <w:sz w:val="32"/>
          <w:szCs w:val="32"/>
        </w:rPr>
        <w:t>管委会应当在机构编制管理部门核定的机构总数内，按照精简原则设置职能机构，在自然资源与规划、城市管理、农业农村、民政、文化教育、卫生健康、生态环境保护、安全生产、应急管理</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综合治理</w:t>
      </w:r>
      <w:r>
        <w:rPr>
          <w:rFonts w:hint="eastAsia" w:ascii="仿宋" w:hAnsi="仿宋" w:eastAsia="仿宋" w:cs="Arial"/>
          <w:color w:val="000000"/>
          <w:sz w:val="32"/>
          <w:szCs w:val="32"/>
        </w:rPr>
        <w:t>等领域，实行综合执法。</w:t>
      </w:r>
    </w:p>
    <w:p>
      <w:pPr>
        <w:wordWrap w:val="0"/>
        <w:spacing w:line="360" w:lineRule="auto"/>
        <w:ind w:firstLine="648"/>
        <w:rPr>
          <w:rFonts w:ascii="仿宋" w:hAnsi="仿宋" w:eastAsia="仿宋" w:cs="Times New Roman"/>
          <w:sz w:val="32"/>
          <w:szCs w:val="32"/>
        </w:rPr>
      </w:pPr>
      <w:r>
        <w:rPr>
          <w:rFonts w:hint="eastAsia" w:ascii="仿宋" w:hAnsi="仿宋" w:eastAsia="仿宋" w:cs="Arial"/>
          <w:b/>
          <w:color w:val="000000"/>
          <w:kern w:val="0"/>
          <w:sz w:val="32"/>
          <w:szCs w:val="32"/>
        </w:rPr>
        <w:t>第十一条（印章管理）</w:t>
      </w:r>
      <w:r>
        <w:rPr>
          <w:rFonts w:hint="eastAsia" w:ascii="仿宋" w:hAnsi="仿宋" w:eastAsia="仿宋" w:cs="Arial"/>
          <w:color w:val="000000"/>
          <w:kern w:val="0"/>
          <w:sz w:val="32"/>
          <w:szCs w:val="32"/>
        </w:rPr>
        <w:t>本办法涉及的行政执法事项，由市人民政府及相关行政管理部门、洞头区人民政府相关行政管理部门委托管委会实施，可以根据需要刻制行政处罚、行政许可等专用印章，交管委会使用。</w:t>
      </w:r>
      <w:bookmarkStart w:id="5" w:name="11"/>
    </w:p>
    <w:bookmarkEnd w:id="5"/>
    <w:p>
      <w:pPr>
        <w:spacing w:line="360" w:lineRule="auto"/>
        <w:ind w:firstLine="643" w:firstLineChars="200"/>
        <w:rPr>
          <w:rFonts w:ascii="仿宋" w:hAnsi="仿宋" w:eastAsia="仿宋" w:cs="Arial"/>
          <w:color w:val="000000"/>
          <w:kern w:val="0"/>
          <w:sz w:val="32"/>
          <w:szCs w:val="32"/>
        </w:rPr>
      </w:pPr>
      <w:bookmarkStart w:id="6" w:name="12"/>
      <w:r>
        <w:rPr>
          <w:rFonts w:hint="eastAsia" w:ascii="仿宋" w:hAnsi="仿宋" w:eastAsia="仿宋" w:cs="Arial"/>
          <w:b/>
          <w:color w:val="000000"/>
          <w:kern w:val="0"/>
          <w:sz w:val="32"/>
          <w:szCs w:val="32"/>
        </w:rPr>
        <w:t>第十二条（执法名义）</w:t>
      </w:r>
      <w:r>
        <w:rPr>
          <w:rFonts w:hint="eastAsia" w:ascii="仿宋" w:hAnsi="仿宋" w:eastAsia="仿宋" w:cs="Arial"/>
          <w:color w:val="000000"/>
          <w:kern w:val="0"/>
          <w:sz w:val="32"/>
          <w:szCs w:val="32"/>
        </w:rPr>
        <w:t xml:space="preserve">管委会在委托范围内，以委托部门的名义实施行政管理，不得再委托其他组织或者个人实施行政管理。　　  </w:t>
      </w:r>
    </w:p>
    <w:p>
      <w:pPr>
        <w:spacing w:line="360" w:lineRule="auto"/>
        <w:ind w:firstLine="643" w:firstLineChars="200"/>
        <w:rPr>
          <w:rFonts w:ascii="仿宋" w:hAnsi="仿宋" w:eastAsia="仿宋" w:cs="Arial"/>
          <w:color w:val="000000"/>
          <w:kern w:val="0"/>
          <w:sz w:val="32"/>
          <w:szCs w:val="32"/>
        </w:rPr>
      </w:pPr>
      <w:r>
        <w:rPr>
          <w:rFonts w:hint="eastAsia" w:ascii="仿宋" w:hAnsi="仿宋" w:eastAsia="仿宋" w:cs="Arial"/>
          <w:b/>
          <w:color w:val="000000"/>
          <w:kern w:val="0"/>
          <w:sz w:val="32"/>
          <w:szCs w:val="32"/>
        </w:rPr>
        <w:t>第十三条（责任承担）</w:t>
      </w:r>
      <w:r>
        <w:rPr>
          <w:rFonts w:hint="eastAsia" w:ascii="仿宋" w:hAnsi="仿宋" w:eastAsia="仿宋" w:cs="Arial"/>
          <w:color w:val="000000"/>
          <w:kern w:val="0"/>
          <w:sz w:val="32"/>
          <w:szCs w:val="32"/>
        </w:rPr>
        <w:t>委托行政管理部门对管委会在委托范围内实施行政执法的后果承担法律责任。管委会在委托范围内违法实施行政执法，侵犯公民、法人或者其他组织合法权益造成损害的，由委托行政管理部门依法予以赔偿。</w:t>
      </w:r>
    </w:p>
    <w:p>
      <w:pPr>
        <w:spacing w:line="360" w:lineRule="auto"/>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委托行政管理部门赔偿损失后，可以向管委会或者责任人员追偿部分或者全部赔偿费用。对违法实施行政执法的责任人员，由有关部门依法追究责任。</w:t>
      </w:r>
      <w:bookmarkStart w:id="7" w:name="14"/>
    </w:p>
    <w:bookmarkEnd w:id="7"/>
    <w:p>
      <w:pPr>
        <w:spacing w:line="360" w:lineRule="auto"/>
        <w:ind w:firstLine="643" w:firstLineChars="200"/>
        <w:rPr>
          <w:rFonts w:ascii="仿宋" w:hAnsi="仿宋" w:eastAsia="仿宋" w:cs="Arial"/>
          <w:color w:val="000000"/>
          <w:kern w:val="0"/>
          <w:sz w:val="32"/>
          <w:szCs w:val="32"/>
        </w:rPr>
      </w:pPr>
      <w:r>
        <w:rPr>
          <w:rFonts w:hint="eastAsia" w:ascii="仿宋" w:hAnsi="仿宋" w:eastAsia="仿宋" w:cs="Arial"/>
          <w:b/>
          <w:color w:val="000000"/>
          <w:kern w:val="0"/>
          <w:sz w:val="32"/>
          <w:szCs w:val="32"/>
        </w:rPr>
        <w:t>第十四条（执法监督）</w:t>
      </w:r>
      <w:r>
        <w:rPr>
          <w:rFonts w:hint="eastAsia" w:ascii="仿宋" w:hAnsi="仿宋" w:eastAsia="仿宋" w:cs="Arial"/>
          <w:color w:val="000000"/>
          <w:kern w:val="0"/>
          <w:sz w:val="32"/>
          <w:szCs w:val="32"/>
        </w:rPr>
        <w:t>管委会应当加强与委托行政管理部门的联系和沟通，定期向委托行政管理部门报告行政执法情况，重大行政执法事项应当及时报告委托部门。</w:t>
      </w:r>
    </w:p>
    <w:p>
      <w:pPr>
        <w:spacing w:line="360" w:lineRule="auto"/>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委托行政管理部门应当加强对管委会实施行政执法的指导和监督，发现管委会行政执法行为违法或者不当的，应当及时指出并要求其依法纠正。</w:t>
      </w:r>
    </w:p>
    <w:p>
      <w:pPr>
        <w:spacing w:line="360" w:lineRule="auto"/>
        <w:ind w:firstLine="643" w:firstLineChars="200"/>
        <w:rPr>
          <w:rFonts w:ascii="仿宋" w:hAnsi="仿宋" w:eastAsia="仿宋" w:cs="Arial"/>
          <w:color w:val="000000"/>
          <w:kern w:val="0"/>
          <w:sz w:val="32"/>
          <w:szCs w:val="32"/>
        </w:rPr>
      </w:pPr>
      <w:r>
        <w:rPr>
          <w:rFonts w:hint="eastAsia" w:ascii="仿宋" w:hAnsi="仿宋" w:eastAsia="仿宋" w:cs="Arial"/>
          <w:b/>
          <w:color w:val="000000"/>
          <w:sz w:val="32"/>
          <w:szCs w:val="32"/>
        </w:rPr>
        <w:t>第十五条</w:t>
      </w:r>
      <w:bookmarkEnd w:id="6"/>
      <w:r>
        <w:rPr>
          <w:rFonts w:hint="eastAsia" w:ascii="仿宋" w:hAnsi="仿宋" w:eastAsia="仿宋" w:cs="Arial"/>
          <w:b/>
          <w:color w:val="000000"/>
          <w:sz w:val="32"/>
          <w:szCs w:val="32"/>
        </w:rPr>
        <w:t>（效率管理）</w:t>
      </w:r>
      <w:r>
        <w:rPr>
          <w:rFonts w:hint="eastAsia" w:ascii="仿宋" w:hAnsi="仿宋" w:eastAsia="仿宋" w:cs="Arial"/>
          <w:color w:val="000000"/>
          <w:sz w:val="32"/>
          <w:szCs w:val="32"/>
        </w:rPr>
        <w:t>管委会应当推进政府职能转变，建立完善政务信息公开制度，加快推进政务服务与互联网相结合，健全网上政务服务，实现政务服务平台化、协同化、标准化和便捷化，优化营商环境。　　</w:t>
      </w:r>
    </w:p>
    <w:bookmarkEnd w:id="1"/>
    <w:p>
      <w:pPr>
        <w:spacing w:line="360" w:lineRule="auto"/>
        <w:ind w:firstLine="630"/>
        <w:rPr>
          <w:rFonts w:ascii="仿宋" w:hAnsi="仿宋" w:eastAsia="仿宋"/>
          <w:kern w:val="0"/>
          <w:sz w:val="32"/>
          <w:szCs w:val="32"/>
        </w:rPr>
      </w:pPr>
      <w:bookmarkStart w:id="8" w:name="40"/>
      <w:r>
        <w:rPr>
          <w:rFonts w:hint="eastAsia" w:ascii="仿宋" w:hAnsi="仿宋" w:eastAsia="仿宋"/>
          <w:b/>
          <w:kern w:val="0"/>
          <w:sz w:val="32"/>
          <w:szCs w:val="32"/>
        </w:rPr>
        <w:t>第十六条</w:t>
      </w:r>
      <w:bookmarkEnd w:id="8"/>
      <w:r>
        <w:rPr>
          <w:rFonts w:hint="eastAsia" w:ascii="仿宋" w:hAnsi="仿宋" w:eastAsia="仿宋"/>
          <w:b/>
          <w:kern w:val="0"/>
          <w:sz w:val="32"/>
          <w:szCs w:val="32"/>
        </w:rPr>
        <w:t>（投诉管理）</w:t>
      </w:r>
      <w:r>
        <w:rPr>
          <w:rFonts w:hint="eastAsia" w:ascii="仿宋" w:hAnsi="仿宋" w:eastAsia="仿宋"/>
          <w:kern w:val="0"/>
          <w:sz w:val="32"/>
          <w:szCs w:val="32"/>
        </w:rPr>
        <w:t>管委会应当建立健全维权和投诉协调机制，受理企业和投资者反映的维权诉求及对违法、违规行为的投诉和举报，对受理的属于管委会职责范围内的维权、投诉和举报，应当及时处理；不属于管委会职责范围内的，应当及时转送有关主管部门处理。</w:t>
      </w:r>
      <w:bookmarkStart w:id="9" w:name="41"/>
    </w:p>
    <w:p>
      <w:pPr>
        <w:spacing w:line="360" w:lineRule="auto"/>
        <w:ind w:firstLine="630"/>
        <w:rPr>
          <w:rFonts w:ascii="仿宋" w:hAnsi="仿宋" w:eastAsia="仿宋"/>
          <w:kern w:val="0"/>
          <w:sz w:val="32"/>
          <w:szCs w:val="32"/>
        </w:rPr>
      </w:pPr>
      <w:r>
        <w:rPr>
          <w:rFonts w:hint="eastAsia" w:ascii="仿宋" w:hAnsi="仿宋" w:eastAsia="仿宋"/>
          <w:b/>
          <w:kern w:val="0"/>
          <w:sz w:val="32"/>
          <w:szCs w:val="32"/>
        </w:rPr>
        <w:t>第十七条</w:t>
      </w:r>
      <w:bookmarkEnd w:id="9"/>
      <w:r>
        <w:rPr>
          <w:rFonts w:hint="eastAsia" w:ascii="仿宋" w:hAnsi="仿宋" w:eastAsia="仿宋"/>
          <w:b/>
          <w:kern w:val="0"/>
          <w:sz w:val="32"/>
          <w:szCs w:val="32"/>
        </w:rPr>
        <w:t>（干预禁止）</w:t>
      </w:r>
      <w:r>
        <w:rPr>
          <w:rFonts w:hint="eastAsia" w:ascii="仿宋" w:hAnsi="仿宋" w:eastAsia="仿宋"/>
          <w:kern w:val="0"/>
          <w:sz w:val="32"/>
          <w:szCs w:val="32"/>
        </w:rPr>
        <w:t>任何国家机关及其工作人员不得干扰管委会依法行使行政管理职权。</w:t>
      </w:r>
    </w:p>
    <w:p>
      <w:pPr>
        <w:spacing w:line="360" w:lineRule="auto"/>
        <w:ind w:firstLine="643" w:firstLineChars="200"/>
        <w:rPr>
          <w:rFonts w:ascii="仿宋" w:hAnsi="仿宋" w:eastAsia="仿宋" w:cs="Arial"/>
          <w:color w:val="000000"/>
          <w:kern w:val="0"/>
          <w:sz w:val="32"/>
          <w:szCs w:val="32"/>
        </w:rPr>
      </w:pPr>
      <w:bookmarkStart w:id="10" w:name="43"/>
      <w:r>
        <w:rPr>
          <w:rFonts w:hint="eastAsia" w:ascii="仿宋" w:hAnsi="仿宋" w:eastAsia="仿宋" w:cs="Arial"/>
          <w:b/>
          <w:color w:val="000000"/>
          <w:kern w:val="0"/>
          <w:sz w:val="32"/>
          <w:szCs w:val="32"/>
        </w:rPr>
        <w:t>第十八条</w:t>
      </w:r>
      <w:bookmarkEnd w:id="10"/>
      <w:r>
        <w:rPr>
          <w:rFonts w:hint="eastAsia" w:ascii="仿宋" w:hAnsi="仿宋" w:eastAsia="仿宋" w:cs="Arial"/>
          <w:b/>
          <w:color w:val="000000"/>
          <w:kern w:val="0"/>
          <w:sz w:val="32"/>
          <w:szCs w:val="32"/>
        </w:rPr>
        <w:t>（行政责任）</w:t>
      </w:r>
      <w:r>
        <w:rPr>
          <w:rFonts w:hint="eastAsia" w:ascii="仿宋" w:hAnsi="仿宋" w:eastAsia="仿宋"/>
          <w:kern w:val="0"/>
          <w:sz w:val="32"/>
          <w:szCs w:val="32"/>
        </w:rPr>
        <w:t>管委会</w:t>
      </w:r>
      <w:r>
        <w:rPr>
          <w:rFonts w:hint="eastAsia" w:ascii="仿宋" w:hAnsi="仿宋" w:eastAsia="仿宋" w:cs="Arial"/>
          <w:color w:val="000000"/>
          <w:kern w:val="0"/>
          <w:sz w:val="32"/>
          <w:szCs w:val="32"/>
        </w:rPr>
        <w:t>工作人员在开发区管理和服务工作中滥用职权、玩忽职守、徇私舞弊的，依法给予处分；构成犯罪的，依法追究刑事责任。</w:t>
      </w:r>
    </w:p>
    <w:p>
      <w:pPr>
        <w:spacing w:line="360" w:lineRule="auto"/>
        <w:ind w:firstLine="432"/>
        <w:rPr>
          <w:rFonts w:ascii="仿宋" w:hAnsi="仿宋" w:eastAsia="仿宋"/>
          <w:sz w:val="32"/>
          <w:szCs w:val="32"/>
        </w:rPr>
      </w:pPr>
      <w:r>
        <w:rPr>
          <w:rFonts w:hint="eastAsia" w:ascii="仿宋" w:hAnsi="仿宋" w:eastAsia="仿宋" w:cs="Arial"/>
          <w:color w:val="000000"/>
          <w:kern w:val="0"/>
          <w:sz w:val="32"/>
          <w:szCs w:val="32"/>
        </w:rPr>
        <w:t xml:space="preserve"> </w:t>
      </w:r>
      <w:r>
        <w:rPr>
          <w:rFonts w:hint="eastAsia" w:ascii="仿宋" w:hAnsi="仿宋" w:eastAsia="仿宋" w:cs="Arial"/>
          <w:b/>
          <w:color w:val="000000"/>
          <w:kern w:val="0"/>
          <w:sz w:val="32"/>
          <w:szCs w:val="32"/>
        </w:rPr>
        <w:t>第十九条（生效时间）</w:t>
      </w:r>
      <w:r>
        <w:rPr>
          <w:rFonts w:hint="eastAsia" w:ascii="仿宋" w:hAnsi="仿宋" w:eastAsia="仿宋" w:cs="Arial"/>
          <w:color w:val="000000"/>
          <w:kern w:val="0"/>
          <w:sz w:val="32"/>
          <w:szCs w:val="32"/>
        </w:rPr>
        <w:t>本办法自</w:t>
      </w:r>
      <w:r>
        <w:rPr>
          <w:rFonts w:ascii="仿宋" w:hAnsi="仿宋" w:eastAsia="仿宋" w:cs="Arial"/>
          <w:color w:val="000000"/>
          <w:kern w:val="0"/>
          <w:sz w:val="32"/>
          <w:szCs w:val="32"/>
        </w:rPr>
        <w:t>2021年</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月</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日</w:t>
      </w:r>
      <w:r>
        <w:rPr>
          <w:rFonts w:hint="eastAsia" w:ascii="仿宋" w:hAnsi="仿宋" w:eastAsia="仿宋" w:cs="Arial"/>
          <w:color w:val="000000"/>
          <w:kern w:val="0"/>
          <w:sz w:val="32"/>
          <w:szCs w:val="32"/>
        </w:rPr>
        <w:t>起</w:t>
      </w:r>
      <w:r>
        <w:rPr>
          <w:rFonts w:ascii="仿宋" w:hAnsi="仿宋" w:eastAsia="仿宋" w:cs="Arial"/>
          <w:color w:val="000000"/>
          <w:kern w:val="0"/>
          <w:sz w:val="32"/>
          <w:szCs w:val="32"/>
        </w:rPr>
        <w:t>施行</w:t>
      </w:r>
      <w:r>
        <w:rPr>
          <w:rFonts w:hint="eastAsia" w:ascii="仿宋" w:hAnsi="仿宋" w:eastAsia="仿宋" w:cs="Arial"/>
          <w:color w:val="000000"/>
          <w:kern w:val="0"/>
          <w:sz w:val="32"/>
          <w:szCs w:val="32"/>
        </w:rPr>
        <w:t>。</w:t>
      </w:r>
      <w:bookmarkStart w:id="11" w:name="_GoBack"/>
      <w:bookmarkEnd w:id="1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21043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41"/>
    <w:rsid w:val="00034A0C"/>
    <w:rsid w:val="00055FCA"/>
    <w:rsid w:val="00084A88"/>
    <w:rsid w:val="000D1354"/>
    <w:rsid w:val="00112241"/>
    <w:rsid w:val="00135995"/>
    <w:rsid w:val="00136E91"/>
    <w:rsid w:val="00170E7C"/>
    <w:rsid w:val="0018196D"/>
    <w:rsid w:val="001B01F4"/>
    <w:rsid w:val="001B241A"/>
    <w:rsid w:val="001C0E3D"/>
    <w:rsid w:val="001E11A3"/>
    <w:rsid w:val="00213DDB"/>
    <w:rsid w:val="00215423"/>
    <w:rsid w:val="002428C0"/>
    <w:rsid w:val="00282558"/>
    <w:rsid w:val="00283155"/>
    <w:rsid w:val="002958D5"/>
    <w:rsid w:val="002A3823"/>
    <w:rsid w:val="00335502"/>
    <w:rsid w:val="00351CBD"/>
    <w:rsid w:val="003643DC"/>
    <w:rsid w:val="00372A52"/>
    <w:rsid w:val="0038200E"/>
    <w:rsid w:val="00393B64"/>
    <w:rsid w:val="003C3330"/>
    <w:rsid w:val="003C39E6"/>
    <w:rsid w:val="003D45DC"/>
    <w:rsid w:val="003E7B3A"/>
    <w:rsid w:val="00406994"/>
    <w:rsid w:val="00447CEB"/>
    <w:rsid w:val="004A25DA"/>
    <w:rsid w:val="004A5A86"/>
    <w:rsid w:val="004B7322"/>
    <w:rsid w:val="004D2A50"/>
    <w:rsid w:val="004F59B0"/>
    <w:rsid w:val="00523F6E"/>
    <w:rsid w:val="00536B4A"/>
    <w:rsid w:val="005442D1"/>
    <w:rsid w:val="005C18EC"/>
    <w:rsid w:val="005D3E96"/>
    <w:rsid w:val="005F21E0"/>
    <w:rsid w:val="005F2D09"/>
    <w:rsid w:val="005F56D2"/>
    <w:rsid w:val="0060656F"/>
    <w:rsid w:val="00621BA5"/>
    <w:rsid w:val="0063379D"/>
    <w:rsid w:val="00676D39"/>
    <w:rsid w:val="00692765"/>
    <w:rsid w:val="006969D3"/>
    <w:rsid w:val="006C2AD8"/>
    <w:rsid w:val="006C3CC4"/>
    <w:rsid w:val="007415A8"/>
    <w:rsid w:val="007A6D66"/>
    <w:rsid w:val="007B6591"/>
    <w:rsid w:val="007B6C93"/>
    <w:rsid w:val="007D1F19"/>
    <w:rsid w:val="007E2EAE"/>
    <w:rsid w:val="00836640"/>
    <w:rsid w:val="008369EC"/>
    <w:rsid w:val="00845A61"/>
    <w:rsid w:val="00846FA7"/>
    <w:rsid w:val="00872072"/>
    <w:rsid w:val="00882292"/>
    <w:rsid w:val="008A3BB4"/>
    <w:rsid w:val="008B623C"/>
    <w:rsid w:val="008C720B"/>
    <w:rsid w:val="00901A5A"/>
    <w:rsid w:val="009153AA"/>
    <w:rsid w:val="009564DB"/>
    <w:rsid w:val="009A3C4F"/>
    <w:rsid w:val="009F47F3"/>
    <w:rsid w:val="00A6082A"/>
    <w:rsid w:val="00A7346A"/>
    <w:rsid w:val="00AA1900"/>
    <w:rsid w:val="00AB37CA"/>
    <w:rsid w:val="00AB6E3B"/>
    <w:rsid w:val="00B103FA"/>
    <w:rsid w:val="00B30C67"/>
    <w:rsid w:val="00B623A9"/>
    <w:rsid w:val="00B95CF9"/>
    <w:rsid w:val="00BE02BC"/>
    <w:rsid w:val="00C12226"/>
    <w:rsid w:val="00C25FF1"/>
    <w:rsid w:val="00C47700"/>
    <w:rsid w:val="00CB506F"/>
    <w:rsid w:val="00D30976"/>
    <w:rsid w:val="00D30AD5"/>
    <w:rsid w:val="00D32628"/>
    <w:rsid w:val="00DC324A"/>
    <w:rsid w:val="00DC3E89"/>
    <w:rsid w:val="00DD46A6"/>
    <w:rsid w:val="00E02BA9"/>
    <w:rsid w:val="00E34F6F"/>
    <w:rsid w:val="00E624C5"/>
    <w:rsid w:val="00E90D4C"/>
    <w:rsid w:val="00EA35D0"/>
    <w:rsid w:val="00EB388C"/>
    <w:rsid w:val="00EE5CF1"/>
    <w:rsid w:val="00F06458"/>
    <w:rsid w:val="00F27DD9"/>
    <w:rsid w:val="00F464FA"/>
    <w:rsid w:val="00F506CD"/>
    <w:rsid w:val="00F748A1"/>
    <w:rsid w:val="00FE4267"/>
    <w:rsid w:val="00FF7886"/>
    <w:rsid w:val="210266E0"/>
    <w:rsid w:val="32415930"/>
    <w:rsid w:val="49192AC0"/>
    <w:rsid w:val="5F0815A1"/>
    <w:rsid w:val="6EC90EB5"/>
    <w:rsid w:val="7F901880"/>
    <w:rsid w:val="7FB2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rFonts w:hint="default" w:ascii="Arial" w:hAnsi="Arial" w:cs="Arial"/>
      <w:color w:val="000000"/>
      <w:u w:val="none"/>
    </w:rPr>
  </w:style>
  <w:style w:type="paragraph" w:styleId="9">
    <w:name w:val="List Paragraph"/>
    <w:basedOn w:val="1"/>
    <w:qFormat/>
    <w:uiPriority w:val="34"/>
    <w:pPr>
      <w:ind w:firstLine="420" w:firstLineChars="200"/>
    </w:pPr>
  </w:style>
  <w:style w:type="paragraph" w:customStyle="1" w:styleId="10">
    <w:name w:val="zhang"/>
    <w:basedOn w:val="1"/>
    <w:qFormat/>
    <w:uiPriority w:val="0"/>
    <w:pPr>
      <w:widowControl/>
      <w:spacing w:before="100" w:beforeAutospacing="1" w:after="100" w:afterAutospacing="1"/>
      <w:jc w:val="left"/>
    </w:pPr>
    <w:rPr>
      <w:rFonts w:ascii="宋体" w:hAnsi="宋体" w:eastAsia="宋体" w:cs="宋体"/>
      <w:b/>
      <w:bCs/>
      <w:smallCaps/>
      <w:color w:val="000000"/>
      <w:kern w:val="0"/>
      <w:szCs w:val="21"/>
    </w:rPr>
  </w:style>
  <w:style w:type="character" w:customStyle="1" w:styleId="11">
    <w:name w:val="style_kwd1"/>
    <w:basedOn w:val="7"/>
    <w:qFormat/>
    <w:uiPriority w:val="0"/>
    <w:rPr>
      <w:shd w:val="clear" w:color="auto" w:fill="FFFFA6"/>
    </w:r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WJW</Company>
  <Pages>5</Pages>
  <Words>287</Words>
  <Characters>1636</Characters>
  <Lines>13</Lines>
  <Paragraphs>3</Paragraphs>
  <TotalTime>0</TotalTime>
  <ScaleCrop>false</ScaleCrop>
  <LinksUpToDate>false</LinksUpToDate>
  <CharactersWithSpaces>1920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2021-03-01T11:30:00Z</dcterms:created>
  <dc:creator>a</dc:creator>
  <cp:lastModifiedBy>chang2254622105</cp:lastModifiedBy>
  <cp:lastPrinted>2021-02-25T06:10:00Z</cp:lastPrinted>
  <dcterms:modified xsi:type="dcterms:W3CDTF">2021-04-20T02:34:02Z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E76E8FC462EE41AD9B84B8A589E17B96</vt:lpwstr>
  </property>
</Properties>
</file>