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推进“双强行动”加快农业高质量发展的实施计划（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val="en-US" w:eastAsia="zh-CN"/>
        </w:rPr>
        <w:t>2021-2025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》《支持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农业“双强”行动的若干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政策意见》的起草说明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一、起草背景及过程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23日，省政府召开全省农业高质量发展大会，深入学习贯彻习近平总书记关于“三农”工作的重要论述精神，认真落实省委工作要求，部署实施科技强农、机械强农“双强行动”，全面提高农业生产效率和效益，打好农业高质量发展攻坚战，确保一年大突破、三年大跨越、五年创一流，为推进共同富裕奠定重要产业基础和物质基础。温州市委市政府高度重视，第一时间传达贯彻大会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刘小涛书记赴泰顺县、文成县、苍南县等地调研时,强调要以“双强行动”为牵引,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加快农业高质量发展，走好山区蝶变之路。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姚高员市长、娄绍光副市长赴鹿城区专题调研农业“双强行动”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。9月3日，市政府常务会议传达全省农业高质量发展大会精神，姚市长对筹备全市农业高质量发展大会和出台五年计划、2021年任务、配套政策，作了具体部署。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9月28日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实施农业“双强行动”推进农业高质量发展大会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召开，刘小涛书记作重要批示，姚高员市长作了全面部署。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《关于推进“双强行动”加快农业高质量发展的实施计划（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2021-2025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）》（简称《实施计划》）和《关于支持农业“双强”行动的若干政策意见》（简称《政策意见》）由市农业农村局牵头代拟，联合市科技局、市财政局等单位组织多次专题讨论。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9月13日，根据娄市长的指示进行了修改。9月15日，市政府专题召集市相关部门进行了研究讨论。9月18日，以书面形式向市直相关部门和县（市、区）农业农村局征求意见，进行了修改完善。9月28日，全市</w:t>
      </w:r>
      <w:r>
        <w:rPr>
          <w:rFonts w:hint="eastAsia" w:ascii="仿宋_GB2312" w:hAnsi="仿宋_GB2312" w:eastAsia="仿宋_GB2312" w:cs="仿宋_GB2312"/>
          <w:sz w:val="32"/>
          <w:szCs w:val="40"/>
          <w:lang w:val="en"/>
        </w:rPr>
        <w:t>实施农业“双强行动”推进农业高质量发展大会</w:t>
      </w:r>
      <w:r>
        <w:rPr>
          <w:rFonts w:hint="eastAsia" w:ascii="仿宋_GB2312" w:hAnsi="仿宋_GB2312" w:eastAsia="仿宋_GB2312" w:cs="仿宋_GB2312"/>
          <w:sz w:val="32"/>
          <w:szCs w:val="40"/>
          <w:lang w:val="en" w:eastAsia="zh-CN"/>
        </w:rPr>
        <w:t>上印发了征求意见稿。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10月15日，由市府办再次发文征求了各县（市、区）、相关部门的意见，我们进一步完善，形成送审稿。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二、总体框架和基本思路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）《实施计划》。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五部分。第一部分，指导思想和工作目标。第二部分，实施科技强农行动，全面提高农业技术创新水平。一是推进种业振兴计划。二是打造高能级农业科创平台。三是提升农产品精深加工能力。四是创新农业绿色低碳模式。五是推进数字农业工厂建设。第三部分，实施机械强农行动，全力提升农业装备应用水平。一是创新特色农机适用推广。二是开展全程机械化示范试点。三是加快推进宜机化改造。四是做强农机综合社会化服务。第四部分，创新要素支撑机制，建立健全政策支持保护体系。一是创新一二三产融合机制。二是创新多元化投融资机制。三是创新重大项目招大引强机制。第五部分，强化组织实施保障，构建高效协同推进格局。一是加强组织保障。二是加强要素保障。三是加强“赛马”机制。附件是2021年农业“双强行动”重点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（二）《政策意见》。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5部分、21条。第一部分，全面提高农业科技创新水平。一是打造高能级农业科创平台。二是创新发展数字工厂化农业。三是提升农产品精深加工水平。四是发展绿色生态种养。五是加快农业全产业链创新。第二部分，加快提升农业装备应用水平。六是加快丘陵山区农业机械化。七是示范推广先进机械装备。八是引导发展农机综合社会化服务。九是推进农地适度规模经营。第三部分，实施种业振兴计划。十是大力培育现代种业龙头。十一是加强种质资源保护利用。十二是支持新品种自主研发。十三是做大做强展示展销平台。第四，不断强化农业人才支撑。十四是培养农业“双强”领军人才。十五是强化农技推广队伍建设。十六是深入实施科技特派员制度。第五部分，加大金融要素支持力度。十七是加大金融政策支持。十八是拓宽多元化融资渠道。十九是加强设施用地保障。二十是推行农业“标准地”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永中黑体" w:hAnsi="永中黑体" w:eastAsia="永中黑体" w:cs="永中黑体"/>
          <w:sz w:val="32"/>
          <w:szCs w:val="32"/>
        </w:rPr>
      </w:pP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三、几点说明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（一）关于指导思想。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我们的目标定位是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eastAsia="zh-CN"/>
        </w:rPr>
        <w:t>紧抓打造高质量发展建设共同富裕市域样板、争创农业农村现代化先行市等重大机遇，紧扣“走前列、创特色、育样板、惠农民”要求，力争“一年大突破、三年大跨越、五年创一流”。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sz w:val="32"/>
          <w:szCs w:val="32"/>
          <w:lang w:eastAsia="zh-CN"/>
        </w:rPr>
        <w:t>（二）关于主要指标。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市仍存较明显的短板。一是农业劳动生产率。2020年为1.9万元/人，低于全省4.1万元/人，2025年目标是5万元/人。二是农业（除捕捞、林业外）亩均产出率。2020年为5388元/亩，低于全省8800元/亩，2025年目标是8000元/亩。三是土地规模经营占比。2020年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，100亩以上种植业集中连片适度规模经营比例为43.5%，低于全省55%的比例，2025年完成60%目标的难度大。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（三）关于政策配套。</w:t>
      </w:r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财政政策重点支持科技、农机、种业、人才、金融等方面，突出农业科创平台</w:t>
      </w:r>
      <w:bookmarkStart w:id="0" w:name="_GoBack"/>
      <w:bookmarkEnd w:id="0"/>
      <w:r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打造、农产品精深加工、数字工厂化项目揭绑挂帅、农机服务社会化建设与集团企业招引、种业龙头企业培育。市级重点做好顶层设计、试点示范、关键项目攻坚、产业延链补链强链等工作，通过示范推广，推动各县（市、区）科技强农、机械强农。经初步测算，2022年-2025年，每年需市财政资金8000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11"/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温州市农业“双强行动”主要指标汇总</w:t>
      </w:r>
    </w:p>
    <w:tbl>
      <w:tblPr>
        <w:tblStyle w:val="9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394"/>
        <w:gridCol w:w="1240"/>
        <w:gridCol w:w="1242"/>
        <w:gridCol w:w="124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tblHeader/>
          <w:jc w:val="right"/>
        </w:trPr>
        <w:tc>
          <w:tcPr>
            <w:tcW w:w="5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指标名称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2020年指数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2025年目标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right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浙江省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温州市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浙江省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农业劳动生产率（万元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1.9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农村居民人均可支配收入（元）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31930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32428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44000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山区县与全省（全市）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农村居民收入倍差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1.32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1.3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农业科技进步贡献率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65%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65%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71%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农业高新技术企业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每千个农业从业人员拥有基层农技推广服务人员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2.9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数字农业工厂（家）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农作物耕种收综合机械化率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81.1%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84%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设施种植业机械化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31.5%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27.22%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水产机械化率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47.9%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36.59%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畜牧机械化率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43.4%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62.49%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农业（除捕捞、林业外）亩均产出率（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元/亩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8800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5388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农村土地规模经营比例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61.4%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61.21%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68%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100亩以上种植业集中连片适度规模经营比例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55%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43.5%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60%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省主导品种占有率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70%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79.7%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高标准农机综合服务中心建设（个）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农机创新研究试验基地（个）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高水平农艺农机融合示范基地建设（个）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right"/>
        </w:trPr>
        <w:tc>
          <w:tcPr>
            <w:tcW w:w="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农创客数量（人）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7221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715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100000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10000</w:t>
            </w:r>
          </w:p>
        </w:tc>
      </w:tr>
    </w:tbl>
    <w:p/>
    <w:sectPr>
      <w:footerReference r:id="rId3" w:type="default"/>
      <w:pgSz w:w="11906" w:h="16838"/>
      <w:pgMar w:top="2041" w:right="1587" w:bottom="1701" w:left="1587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F2CC3"/>
    <w:rsid w:val="166DA937"/>
    <w:rsid w:val="24FF1FA1"/>
    <w:rsid w:val="26DFB5DA"/>
    <w:rsid w:val="2A6FAE17"/>
    <w:rsid w:val="2DB3B07E"/>
    <w:rsid w:val="2FF714DA"/>
    <w:rsid w:val="3BF939B4"/>
    <w:rsid w:val="3E8A897A"/>
    <w:rsid w:val="3EAB0813"/>
    <w:rsid w:val="3ECBC440"/>
    <w:rsid w:val="3EF2FAD4"/>
    <w:rsid w:val="3F7D2209"/>
    <w:rsid w:val="3FF7BF80"/>
    <w:rsid w:val="3FFD28F9"/>
    <w:rsid w:val="42FE2107"/>
    <w:rsid w:val="477FAC76"/>
    <w:rsid w:val="47BED133"/>
    <w:rsid w:val="57710F56"/>
    <w:rsid w:val="577FEF8B"/>
    <w:rsid w:val="5DFB68C2"/>
    <w:rsid w:val="5EFA7CCD"/>
    <w:rsid w:val="5FA70439"/>
    <w:rsid w:val="5FCE0B9A"/>
    <w:rsid w:val="5FFF5BF6"/>
    <w:rsid w:val="5FFF658B"/>
    <w:rsid w:val="67EFF1C1"/>
    <w:rsid w:val="6A9B38AA"/>
    <w:rsid w:val="6AF7A97C"/>
    <w:rsid w:val="6E5F11EE"/>
    <w:rsid w:val="6EF23A3B"/>
    <w:rsid w:val="6EFFFE4D"/>
    <w:rsid w:val="6F77F336"/>
    <w:rsid w:val="6FF33321"/>
    <w:rsid w:val="71BFB452"/>
    <w:rsid w:val="72AFE9E6"/>
    <w:rsid w:val="75FF93C3"/>
    <w:rsid w:val="763E7479"/>
    <w:rsid w:val="77771C97"/>
    <w:rsid w:val="77EF72F7"/>
    <w:rsid w:val="786FA496"/>
    <w:rsid w:val="7BDF233C"/>
    <w:rsid w:val="7CFE8536"/>
    <w:rsid w:val="7DE7133D"/>
    <w:rsid w:val="7DEFFBBA"/>
    <w:rsid w:val="7F6FD612"/>
    <w:rsid w:val="7F8F37A3"/>
    <w:rsid w:val="7FEFAD5E"/>
    <w:rsid w:val="7FFF9EF1"/>
    <w:rsid w:val="7FFFA0D1"/>
    <w:rsid w:val="9FEF6520"/>
    <w:rsid w:val="AFAF7905"/>
    <w:rsid w:val="AFFF1391"/>
    <w:rsid w:val="AFFF3DC9"/>
    <w:rsid w:val="AFFFE943"/>
    <w:rsid w:val="B97F0CD8"/>
    <w:rsid w:val="B9BE4055"/>
    <w:rsid w:val="BA7B23C6"/>
    <w:rsid w:val="BC0BD46C"/>
    <w:rsid w:val="BCF681A2"/>
    <w:rsid w:val="BD7F3C8C"/>
    <w:rsid w:val="BE9D5DEF"/>
    <w:rsid w:val="BEFF29C6"/>
    <w:rsid w:val="BF849396"/>
    <w:rsid w:val="BFBDA9BE"/>
    <w:rsid w:val="BFCD6865"/>
    <w:rsid w:val="C377683B"/>
    <w:rsid w:val="CDF521FD"/>
    <w:rsid w:val="CF79EB17"/>
    <w:rsid w:val="CFFD71B6"/>
    <w:rsid w:val="D5DD40E5"/>
    <w:rsid w:val="D874729C"/>
    <w:rsid w:val="DF6F077A"/>
    <w:rsid w:val="DFBB4BA6"/>
    <w:rsid w:val="E4CEA10E"/>
    <w:rsid w:val="EBBDE26D"/>
    <w:rsid w:val="EEFB0053"/>
    <w:rsid w:val="EFB763B0"/>
    <w:rsid w:val="EFB7D33A"/>
    <w:rsid w:val="EFBF37E6"/>
    <w:rsid w:val="EFFF338A"/>
    <w:rsid w:val="F6CF789F"/>
    <w:rsid w:val="F7CBA920"/>
    <w:rsid w:val="FA31EEAF"/>
    <w:rsid w:val="FB7DB52F"/>
    <w:rsid w:val="FBBFC008"/>
    <w:rsid w:val="FBD9D415"/>
    <w:rsid w:val="FD6D77B8"/>
    <w:rsid w:val="FDF71D47"/>
    <w:rsid w:val="FE9FB67A"/>
    <w:rsid w:val="FEFBC4E5"/>
    <w:rsid w:val="FEFF8F0B"/>
    <w:rsid w:val="FF52F707"/>
    <w:rsid w:val="FFB65B4F"/>
    <w:rsid w:val="FFDF0795"/>
    <w:rsid w:val="FFEADCF8"/>
    <w:rsid w:val="FFEF0665"/>
    <w:rsid w:val="FFF31A41"/>
    <w:rsid w:val="FFF5523F"/>
    <w:rsid w:val="FFFC7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  <w:rPr>
      <w:rFonts w:cs="Times New Roman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ormalCharacter"/>
    <w:qFormat/>
    <w:uiPriority w:val="99"/>
  </w:style>
  <w:style w:type="paragraph" w:customStyle="1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greatwall</cp:lastModifiedBy>
  <dcterms:modified xsi:type="dcterms:W3CDTF">2021-11-03T15:41:19Z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