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3"/>
        <w:ind w:firstLine="1044"/>
        <w:rPr>
          <w:rFonts w:ascii="Calibri" w:hAnsi="Calibri" w:eastAsia="宋体"/>
          <w:b/>
          <w:bCs/>
          <w:color w:val="000000"/>
          <w:sz w:val="52"/>
          <w:szCs w:val="52"/>
        </w:rPr>
      </w:pPr>
    </w:p>
    <w:p>
      <w:pPr>
        <w:pStyle w:val="33"/>
        <w:ind w:firstLine="1044"/>
        <w:rPr>
          <w:rFonts w:ascii="Calibri" w:hAnsi="Calibri" w:eastAsia="宋体"/>
          <w:b/>
          <w:bCs/>
          <w:color w:val="000000"/>
          <w:sz w:val="52"/>
          <w:szCs w:val="52"/>
        </w:rPr>
      </w:pPr>
    </w:p>
    <w:p>
      <w:pPr>
        <w:jc w:val="center"/>
        <w:rPr>
          <w:rFonts w:ascii="Calibri" w:hAnsi="Calibri"/>
          <w:b/>
          <w:bCs/>
          <w:color w:val="000000"/>
          <w:sz w:val="52"/>
          <w:szCs w:val="52"/>
        </w:rPr>
      </w:pPr>
    </w:p>
    <w:p>
      <w:pPr>
        <w:jc w:val="center"/>
        <w:rPr>
          <w:rFonts w:ascii="Calibri" w:hAnsi="Calibri"/>
          <w:b/>
          <w:bCs/>
          <w:color w:val="000000"/>
          <w:sz w:val="52"/>
          <w:szCs w:val="52"/>
        </w:rPr>
      </w:pPr>
    </w:p>
    <w:p>
      <w:pPr>
        <w:jc w:val="both"/>
        <w:rPr>
          <w:rFonts w:ascii="Calibri" w:hAnsi="Calibri"/>
          <w:b/>
          <w:bCs/>
          <w:color w:val="000000"/>
          <w:sz w:val="44"/>
          <w:szCs w:val="44"/>
        </w:rPr>
      </w:pPr>
      <w:r>
        <w:rPr>
          <w:rFonts w:hint="eastAsia" w:ascii="Calibri" w:hAnsi="Calibri"/>
          <w:b/>
          <w:bCs/>
          <w:color w:val="000000"/>
          <w:sz w:val="52"/>
          <w:szCs w:val="52"/>
        </w:rPr>
        <w:t>温州市科学技术发展“十四五”规划</w:t>
      </w:r>
    </w:p>
    <w:p>
      <w:pPr>
        <w:jc w:val="center"/>
        <w:rPr>
          <w:rFonts w:ascii="楷体_GB2312" w:hAnsi="楷体_GB2312" w:eastAsia="楷体_GB2312" w:cs="黑体"/>
          <w:color w:val="000000"/>
          <w:sz w:val="46"/>
          <w:szCs w:val="46"/>
        </w:rPr>
      </w:pPr>
    </w:p>
    <w:p>
      <w:pPr>
        <w:jc w:val="center"/>
        <w:rPr>
          <w:rFonts w:ascii="楷体_GB2312" w:hAnsi="楷体_GB2312" w:eastAsia="楷体_GB2312" w:cs="黑体"/>
          <w:color w:val="000000"/>
          <w:sz w:val="46"/>
          <w:szCs w:val="46"/>
        </w:rPr>
      </w:pPr>
      <w:r>
        <w:rPr>
          <w:rFonts w:hint="eastAsia" w:ascii="楷体_GB2312" w:hAnsi="楷体_GB2312" w:eastAsia="楷体_GB2312" w:cs="黑体"/>
          <w:color w:val="000000"/>
          <w:sz w:val="46"/>
          <w:szCs w:val="46"/>
        </w:rPr>
        <w:t>（</w:t>
      </w:r>
      <w:r>
        <w:rPr>
          <w:rFonts w:hint="eastAsia" w:ascii="楷体_GB2312" w:hAnsi="楷体_GB2312" w:eastAsia="楷体_GB2312" w:cs="黑体"/>
          <w:color w:val="000000"/>
          <w:sz w:val="46"/>
          <w:szCs w:val="46"/>
          <w:lang w:val="en-US" w:eastAsia="zh-CN"/>
        </w:rPr>
        <w:t>征求意见</w:t>
      </w:r>
      <w:bookmarkStart w:id="511" w:name="_GoBack"/>
      <w:bookmarkEnd w:id="511"/>
      <w:r>
        <w:rPr>
          <w:rFonts w:hint="eastAsia" w:ascii="楷体_GB2312" w:hAnsi="楷体_GB2312" w:eastAsia="楷体_GB2312" w:cs="黑体"/>
          <w:color w:val="000000"/>
          <w:sz w:val="46"/>
          <w:szCs w:val="46"/>
        </w:rPr>
        <w:t>稿）</w:t>
      </w:r>
    </w:p>
    <w:p>
      <w:pPr>
        <w:pStyle w:val="33"/>
        <w:ind w:firstLine="0" w:firstLineChars="0"/>
        <w:rPr>
          <w:rFonts w:ascii="楷体_GB2312" w:hAnsi="楷体_GB2312" w:eastAsia="楷体_GB2312" w:cs="黑体"/>
          <w:color w:val="000000"/>
          <w:sz w:val="46"/>
          <w:szCs w:val="46"/>
        </w:rPr>
      </w:pPr>
    </w:p>
    <w:p>
      <w:pPr>
        <w:pStyle w:val="33"/>
        <w:ind w:firstLine="0" w:firstLineChars="0"/>
        <w:rPr>
          <w:rFonts w:ascii="楷体_GB2312" w:hAnsi="楷体_GB2312" w:eastAsia="楷体_GB2312" w:cs="黑体"/>
          <w:color w:val="000000"/>
          <w:sz w:val="46"/>
          <w:szCs w:val="46"/>
        </w:rPr>
      </w:pPr>
    </w:p>
    <w:p>
      <w:pPr>
        <w:pStyle w:val="33"/>
        <w:ind w:firstLine="0" w:firstLineChars="0"/>
        <w:rPr>
          <w:rFonts w:ascii="楷体_GB2312" w:hAnsi="楷体_GB2312" w:eastAsia="楷体_GB2312" w:cs="黑体"/>
          <w:color w:val="000000"/>
          <w:sz w:val="46"/>
          <w:szCs w:val="46"/>
        </w:rPr>
      </w:pPr>
    </w:p>
    <w:p>
      <w:pPr>
        <w:pStyle w:val="33"/>
        <w:ind w:firstLine="0" w:firstLineChars="0"/>
        <w:rPr>
          <w:rFonts w:ascii="楷体_GB2312" w:hAnsi="楷体_GB2312" w:eastAsia="楷体_GB2312" w:cs="黑体"/>
          <w:color w:val="000000"/>
          <w:sz w:val="46"/>
          <w:szCs w:val="46"/>
        </w:rPr>
      </w:pPr>
    </w:p>
    <w:p>
      <w:pPr>
        <w:pStyle w:val="33"/>
        <w:ind w:firstLine="0" w:firstLineChars="0"/>
        <w:rPr>
          <w:rFonts w:ascii="楷体_GB2312" w:hAnsi="楷体_GB2312" w:eastAsia="楷体_GB2312" w:cs="黑体"/>
          <w:color w:val="000000"/>
          <w:sz w:val="46"/>
          <w:szCs w:val="46"/>
        </w:rPr>
      </w:pPr>
    </w:p>
    <w:p>
      <w:pPr>
        <w:pStyle w:val="33"/>
        <w:ind w:firstLine="0" w:firstLineChars="0"/>
        <w:rPr>
          <w:rFonts w:ascii="楷体_GB2312" w:hAnsi="楷体_GB2312" w:eastAsia="楷体_GB2312" w:cs="黑体"/>
          <w:color w:val="000000"/>
          <w:sz w:val="46"/>
          <w:szCs w:val="46"/>
        </w:rPr>
      </w:pPr>
    </w:p>
    <w:p>
      <w:pPr>
        <w:pStyle w:val="33"/>
        <w:ind w:firstLine="0" w:firstLineChars="0"/>
        <w:rPr>
          <w:rFonts w:ascii="楷体_GB2312" w:hAnsi="楷体_GB2312" w:eastAsia="楷体_GB2312" w:cs="黑体"/>
          <w:color w:val="000000"/>
          <w:sz w:val="46"/>
          <w:szCs w:val="46"/>
        </w:rPr>
      </w:pPr>
    </w:p>
    <w:p>
      <w:pPr>
        <w:pStyle w:val="33"/>
        <w:ind w:firstLine="0" w:firstLineChars="0"/>
        <w:rPr>
          <w:rFonts w:ascii="楷体_GB2312" w:hAnsi="楷体_GB2312" w:eastAsia="楷体_GB2312" w:cs="黑体"/>
          <w:color w:val="000000"/>
          <w:sz w:val="46"/>
          <w:szCs w:val="46"/>
        </w:rPr>
      </w:pPr>
    </w:p>
    <w:p>
      <w:pPr>
        <w:pStyle w:val="33"/>
        <w:ind w:firstLine="0" w:firstLineChars="0"/>
        <w:rPr>
          <w:rFonts w:ascii="楷体_GB2312" w:hAnsi="楷体_GB2312" w:eastAsia="楷体_GB2312" w:cs="黑体"/>
          <w:color w:val="000000"/>
          <w:sz w:val="46"/>
          <w:szCs w:val="46"/>
        </w:rPr>
      </w:pPr>
    </w:p>
    <w:p>
      <w:pPr>
        <w:pStyle w:val="33"/>
        <w:ind w:firstLine="0" w:firstLineChars="0"/>
        <w:rPr>
          <w:rFonts w:ascii="楷体_GB2312" w:hAnsi="楷体_GB2312" w:eastAsia="楷体_GB2312" w:cs="黑体"/>
          <w:color w:val="000000"/>
          <w:sz w:val="46"/>
          <w:szCs w:val="46"/>
        </w:rPr>
      </w:pPr>
    </w:p>
    <w:p>
      <w:pPr>
        <w:pStyle w:val="33"/>
        <w:ind w:firstLine="0" w:firstLineChars="0"/>
        <w:rPr>
          <w:rFonts w:ascii="楷体_GB2312" w:hAnsi="楷体_GB2312" w:eastAsia="楷体_GB2312" w:cs="黑体"/>
          <w:color w:val="000000"/>
          <w:sz w:val="46"/>
          <w:szCs w:val="46"/>
        </w:rPr>
      </w:pPr>
    </w:p>
    <w:p>
      <w:pPr>
        <w:spacing w:line="64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温州市科技局</w:t>
      </w:r>
    </w:p>
    <w:p>
      <w:pPr>
        <w:pStyle w:val="33"/>
        <w:ind w:firstLine="0" w:firstLineChars="0"/>
        <w:jc w:val="center"/>
        <w:rPr>
          <w:rFonts w:ascii="仿宋_GB2312" w:hAnsi="仿宋_GB2312" w:cs="仿宋_GB2312"/>
          <w:color w:val="000000"/>
          <w:szCs w:val="32"/>
        </w:rPr>
      </w:pPr>
      <w:r>
        <w:rPr>
          <w:rFonts w:hint="eastAsia" w:ascii="仿宋_GB2312" w:hAnsi="仿宋_GB2312" w:cs="仿宋_GB2312"/>
          <w:color w:val="000000"/>
          <w:szCs w:val="32"/>
        </w:rPr>
        <w:t>2021年6月</w:t>
      </w:r>
    </w:p>
    <w:p>
      <w:pPr>
        <w:pStyle w:val="33"/>
        <w:ind w:firstLine="0" w:firstLineChars="0"/>
        <w:rPr>
          <w:rFonts w:ascii="楷体_GB2312" w:hAnsi="楷体_GB2312" w:eastAsia="楷体_GB2312" w:cs="黑体"/>
          <w:color w:val="000000"/>
          <w:sz w:val="46"/>
          <w:szCs w:val="46"/>
        </w:rPr>
      </w:pPr>
    </w:p>
    <w:p>
      <w:pPr>
        <w:pStyle w:val="33"/>
        <w:ind w:firstLine="0" w:firstLineChars="0"/>
        <w:rPr>
          <w:rFonts w:ascii="楷体_GB2312" w:hAnsi="楷体_GB2312" w:eastAsia="楷体_GB2312" w:cs="黑体"/>
          <w:color w:val="000000"/>
          <w:sz w:val="46"/>
          <w:szCs w:val="46"/>
        </w:rPr>
      </w:pPr>
    </w:p>
    <w:p>
      <w:pPr>
        <w:pStyle w:val="33"/>
        <w:ind w:firstLine="0" w:firstLineChars="0"/>
        <w:rPr>
          <w:rFonts w:ascii="楷体_GB2312" w:hAnsi="楷体_GB2312" w:eastAsia="楷体_GB2312" w:cs="黑体"/>
          <w:color w:val="000000"/>
          <w:sz w:val="46"/>
          <w:szCs w:val="46"/>
        </w:rPr>
        <w:sectPr>
          <w:footerReference r:id="rId4" w:type="first"/>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720" w:num="1"/>
          <w:titlePg/>
          <w:docGrid w:type="lines" w:linePitch="312" w:charSpace="0"/>
        </w:sectPr>
      </w:pPr>
    </w:p>
    <w:p>
      <w:pPr>
        <w:spacing w:line="560" w:lineRule="exact"/>
        <w:jc w:val="center"/>
        <w:rPr>
          <w:rFonts w:ascii="宋体" w:hAnsi="宋体"/>
          <w:color w:val="000000"/>
        </w:rPr>
      </w:pPr>
    </w:p>
    <w:p>
      <w:pPr>
        <w:spacing w:line="560" w:lineRule="exact"/>
        <w:jc w:val="center"/>
        <w:rPr>
          <w:rFonts w:ascii="方正小标宋简体" w:hAnsi="黑体" w:eastAsia="方正小标宋简体"/>
          <w:color w:val="000000"/>
          <w:sz w:val="44"/>
          <w:szCs w:val="44"/>
        </w:rPr>
      </w:pPr>
      <w:r>
        <w:rPr>
          <w:rFonts w:hint="eastAsia" w:ascii="方正小标宋简体" w:hAnsi="黑体" w:eastAsia="方正小标宋简体"/>
          <w:color w:val="000000"/>
          <w:sz w:val="44"/>
          <w:szCs w:val="44"/>
        </w:rPr>
        <w:t>目</w:t>
      </w:r>
      <w:r>
        <w:rPr>
          <w:rFonts w:hint="eastAsia" w:ascii="方正小标宋简体" w:hAnsi="黑体" w:eastAsia="方正小标宋简体"/>
          <w:color w:val="000000"/>
          <w:sz w:val="44"/>
          <w:szCs w:val="44"/>
          <w:lang w:val="en-US" w:eastAsia="zh-CN"/>
        </w:rPr>
        <w:t xml:space="preserve">  </w:t>
      </w:r>
      <w:r>
        <w:rPr>
          <w:rFonts w:hint="eastAsia" w:ascii="方正小标宋简体" w:hAnsi="黑体" w:eastAsia="方正小标宋简体"/>
          <w:color w:val="000000"/>
          <w:sz w:val="44"/>
          <w:szCs w:val="44"/>
        </w:rPr>
        <w:t>录</w:t>
      </w:r>
    </w:p>
    <w:p>
      <w:pPr>
        <w:spacing w:line="560" w:lineRule="exact"/>
        <w:jc w:val="center"/>
        <w:rPr>
          <w:rFonts w:ascii="方正小标宋简体" w:hAnsi="黑体" w:eastAsia="方正小标宋简体"/>
          <w:color w:val="000000"/>
          <w:sz w:val="44"/>
          <w:szCs w:val="44"/>
        </w:rPr>
      </w:pPr>
    </w:p>
    <w:p>
      <w:pPr>
        <w:pStyle w:val="12"/>
        <w:tabs>
          <w:tab w:val="right" w:leader="dot" w:pos="8306"/>
        </w:tabs>
        <w:spacing w:line="560" w:lineRule="exact"/>
        <w:rPr>
          <w:rFonts w:ascii="黑体" w:eastAsia="黑体"/>
          <w:w w:val="89"/>
          <w:szCs w:val="32"/>
        </w:rPr>
      </w:pPr>
      <w:r>
        <w:rPr>
          <w:rFonts w:hint="eastAsia" w:ascii="方正楷体_GB2312" w:hAnsi="方正楷体_GB2312" w:eastAsia="方正楷体_GB2312" w:cs="方正楷体_GB2312"/>
          <w:color w:val="000000"/>
          <w:w w:val="89"/>
          <w:szCs w:val="32"/>
        </w:rPr>
        <w:fldChar w:fldCharType="begin"/>
      </w:r>
      <w:r>
        <w:rPr>
          <w:rFonts w:hint="eastAsia" w:ascii="方正楷体_GB2312" w:hAnsi="方正楷体_GB2312" w:eastAsia="方正楷体_GB2312" w:cs="方正楷体_GB2312"/>
          <w:color w:val="000000"/>
          <w:w w:val="89"/>
          <w:szCs w:val="32"/>
        </w:rPr>
        <w:instrText xml:space="preserve">TOC \o "1-2" \h \u </w:instrText>
      </w:r>
      <w:r>
        <w:rPr>
          <w:rFonts w:hint="eastAsia" w:ascii="方正楷体_GB2312" w:hAnsi="方正楷体_GB2312" w:eastAsia="方正楷体_GB2312" w:cs="方正楷体_GB2312"/>
          <w:color w:val="000000"/>
          <w:w w:val="89"/>
          <w:szCs w:val="32"/>
        </w:rPr>
        <w:fldChar w:fldCharType="separate"/>
      </w:r>
      <w:r>
        <w:rPr>
          <w:w w:val="100"/>
        </w:rPr>
        <w:fldChar w:fldCharType="begin"/>
      </w:r>
      <w:r>
        <w:rPr>
          <w:w w:val="100"/>
        </w:rPr>
        <w:instrText xml:space="preserve"> HYPERLINK \l "_Toc30208"</w:instrText>
      </w:r>
      <w:r>
        <w:rPr>
          <w:w w:val="100"/>
        </w:rPr>
        <w:fldChar w:fldCharType="separate"/>
      </w:r>
      <w:r>
        <w:rPr>
          <w:rFonts w:hint="eastAsia" w:ascii="黑体" w:eastAsia="黑体"/>
          <w:w w:val="100"/>
          <w:szCs w:val="32"/>
        </w:rPr>
        <w:t>一、开启高水平创新型城市建设新征程</w:t>
      </w:r>
      <w:r>
        <w:rPr>
          <w:rFonts w:ascii="黑体" w:eastAsia="黑体"/>
          <w:w w:val="100"/>
          <w:szCs w:val="32"/>
        </w:rPr>
        <w:tab/>
      </w:r>
      <w:r>
        <w:rPr>
          <w:rFonts w:hint="eastAsia"/>
          <w:w w:val="100"/>
        </w:rPr>
        <w:t>（1）</w:t>
      </w:r>
      <w:r>
        <w:rPr>
          <w:rFonts w:ascii="黑体" w:eastAsia="黑体"/>
          <w:w w:val="100"/>
          <w:szCs w:val="32"/>
        </w:rPr>
        <w:fldChar w:fldCharType="end"/>
      </w:r>
    </w:p>
    <w:p>
      <w:pPr>
        <w:pStyle w:val="13"/>
        <w:tabs>
          <w:tab w:val="right" w:leader="dot" w:pos="8306"/>
        </w:tabs>
        <w:spacing w:line="560" w:lineRule="exact"/>
        <w:rPr>
          <w:w w:val="100"/>
        </w:rPr>
      </w:pPr>
      <w:r>
        <w:rPr>
          <w:w w:val="100"/>
        </w:rPr>
        <w:fldChar w:fldCharType="begin"/>
      </w:r>
      <w:r>
        <w:rPr>
          <w:w w:val="100"/>
        </w:rPr>
        <w:instrText xml:space="preserve"> HYPERLINK \l "_Toc1989" </w:instrText>
      </w:r>
      <w:r>
        <w:rPr>
          <w:w w:val="100"/>
        </w:rPr>
        <w:fldChar w:fldCharType="separate"/>
      </w:r>
      <w:r>
        <w:rPr>
          <w:rFonts w:hint="eastAsia"/>
          <w:w w:val="100"/>
        </w:rPr>
        <w:t>（一）</w:t>
      </w:r>
      <w:r>
        <w:rPr>
          <w:rFonts w:hint="eastAsia"/>
          <w:w w:val="100"/>
          <w:lang w:eastAsia="zh-CN"/>
        </w:rPr>
        <w:t>现实</w:t>
      </w:r>
      <w:r>
        <w:rPr>
          <w:rFonts w:hint="eastAsia"/>
          <w:w w:val="100"/>
        </w:rPr>
        <w:t>基础</w:t>
      </w:r>
      <w:r>
        <w:rPr>
          <w:w w:val="100"/>
        </w:rPr>
        <w:tab/>
      </w:r>
      <w:r>
        <w:rPr>
          <w:rFonts w:hint="eastAsia"/>
          <w:w w:val="89"/>
        </w:rPr>
        <w:t>（</w:t>
      </w:r>
      <w:r>
        <w:rPr>
          <w:rFonts w:hint="eastAsia"/>
          <w:w w:val="100"/>
        </w:rPr>
        <w:fldChar w:fldCharType="end"/>
      </w:r>
      <w:r>
        <w:rPr>
          <w:rFonts w:hint="eastAsia"/>
          <w:w w:val="89"/>
        </w:rPr>
        <w:t>1）</w:t>
      </w:r>
    </w:p>
    <w:p>
      <w:pPr>
        <w:pStyle w:val="13"/>
        <w:tabs>
          <w:tab w:val="right" w:leader="dot" w:pos="8306"/>
        </w:tabs>
        <w:spacing w:line="560" w:lineRule="exact"/>
        <w:rPr>
          <w:w w:val="100"/>
        </w:rPr>
      </w:pPr>
      <w:r>
        <w:rPr>
          <w:w w:val="100"/>
        </w:rPr>
        <w:fldChar w:fldCharType="begin"/>
      </w:r>
      <w:r>
        <w:rPr>
          <w:w w:val="100"/>
        </w:rPr>
        <w:instrText xml:space="preserve"> HYPERLINK \l "_Toc24409"</w:instrText>
      </w:r>
      <w:r>
        <w:rPr>
          <w:w w:val="100"/>
        </w:rPr>
        <w:fldChar w:fldCharType="separate"/>
      </w:r>
      <w:r>
        <w:rPr>
          <w:rFonts w:hint="eastAsia"/>
          <w:w w:val="100"/>
        </w:rPr>
        <w:t>（二）</w:t>
      </w:r>
      <w:r>
        <w:rPr>
          <w:rFonts w:hint="eastAsia"/>
          <w:w w:val="100"/>
          <w:lang w:eastAsia="zh-CN"/>
        </w:rPr>
        <w:t>发展</w:t>
      </w:r>
      <w:r>
        <w:rPr>
          <w:rFonts w:hint="eastAsia"/>
          <w:w w:val="100"/>
        </w:rPr>
        <w:t>形势</w:t>
      </w:r>
      <w:r>
        <w:rPr>
          <w:w w:val="100"/>
        </w:rPr>
        <w:tab/>
      </w:r>
      <w:r>
        <w:rPr>
          <w:rFonts w:hint="eastAsia"/>
          <w:w w:val="89"/>
        </w:rPr>
        <w:t>（4）</w:t>
      </w:r>
      <w:r>
        <w:rPr>
          <w:w w:val="100"/>
        </w:rPr>
        <w:fldChar w:fldCharType="end"/>
      </w:r>
    </w:p>
    <w:p>
      <w:pPr>
        <w:pStyle w:val="13"/>
        <w:tabs>
          <w:tab w:val="right" w:leader="dot" w:pos="8306"/>
        </w:tabs>
        <w:spacing w:line="560" w:lineRule="exact"/>
        <w:rPr>
          <w:w w:val="100"/>
        </w:rPr>
      </w:pPr>
      <w:r>
        <w:rPr>
          <w:w w:val="100"/>
        </w:rPr>
        <w:fldChar w:fldCharType="begin"/>
      </w:r>
      <w:r>
        <w:rPr>
          <w:w w:val="100"/>
        </w:rPr>
        <w:instrText xml:space="preserve"> HYPERLINK \l "_Toc2147"</w:instrText>
      </w:r>
      <w:r>
        <w:rPr>
          <w:w w:val="100"/>
        </w:rPr>
        <w:fldChar w:fldCharType="separate"/>
      </w:r>
      <w:r>
        <w:rPr>
          <w:rFonts w:hint="eastAsia"/>
          <w:w w:val="100"/>
        </w:rPr>
        <w:t>（三）指导思想</w:t>
      </w:r>
      <w:r>
        <w:rPr>
          <w:w w:val="100"/>
        </w:rPr>
        <w:tab/>
      </w:r>
      <w:r>
        <w:rPr>
          <w:rFonts w:hint="eastAsia"/>
          <w:w w:val="89"/>
        </w:rPr>
        <w:t>（</w:t>
      </w:r>
      <w:r>
        <w:rPr>
          <w:rFonts w:hint="eastAsia"/>
          <w:w w:val="89"/>
          <w:lang w:val="en-US" w:eastAsia="zh-CN"/>
        </w:rPr>
        <w:t>5</w:t>
      </w:r>
      <w:r>
        <w:rPr>
          <w:rFonts w:hint="eastAsia"/>
          <w:w w:val="89"/>
        </w:rPr>
        <w:t>）</w:t>
      </w:r>
      <w:r>
        <w:rPr>
          <w:w w:val="100"/>
        </w:rPr>
        <w:fldChar w:fldCharType="end"/>
      </w:r>
    </w:p>
    <w:p>
      <w:pPr>
        <w:pStyle w:val="13"/>
        <w:tabs>
          <w:tab w:val="right" w:leader="dot" w:pos="8306"/>
        </w:tabs>
        <w:spacing w:line="560" w:lineRule="exact"/>
        <w:rPr>
          <w:w w:val="100"/>
        </w:rPr>
      </w:pPr>
      <w:r>
        <w:rPr>
          <w:w w:val="100"/>
        </w:rPr>
        <w:fldChar w:fldCharType="begin"/>
      </w:r>
      <w:r>
        <w:rPr>
          <w:w w:val="100"/>
        </w:rPr>
        <w:instrText xml:space="preserve"> HYPERLINK \l "_Toc15008"</w:instrText>
      </w:r>
      <w:r>
        <w:rPr>
          <w:w w:val="100"/>
        </w:rPr>
        <w:fldChar w:fldCharType="separate"/>
      </w:r>
      <w:r>
        <w:rPr>
          <w:rFonts w:hint="eastAsia"/>
          <w:w w:val="100"/>
        </w:rPr>
        <w:t>（四）基本原则</w:t>
      </w:r>
      <w:r>
        <w:rPr>
          <w:w w:val="100"/>
        </w:rPr>
        <w:tab/>
      </w:r>
      <w:r>
        <w:rPr>
          <w:rFonts w:hint="eastAsia"/>
          <w:w w:val="89"/>
        </w:rPr>
        <w:t>（6）</w:t>
      </w:r>
      <w:r>
        <w:rPr>
          <w:w w:val="100"/>
        </w:rPr>
        <w:fldChar w:fldCharType="end"/>
      </w:r>
    </w:p>
    <w:p>
      <w:pPr>
        <w:pStyle w:val="13"/>
        <w:tabs>
          <w:tab w:val="right" w:leader="dot" w:pos="8306"/>
        </w:tabs>
        <w:spacing w:line="560" w:lineRule="exact"/>
        <w:rPr>
          <w:w w:val="100"/>
        </w:rPr>
      </w:pPr>
      <w:r>
        <w:rPr>
          <w:w w:val="100"/>
        </w:rPr>
        <w:fldChar w:fldCharType="begin"/>
      </w:r>
      <w:r>
        <w:rPr>
          <w:w w:val="100"/>
        </w:rPr>
        <w:instrText xml:space="preserve"> HYPERLINK \l "_Toc9677"</w:instrText>
      </w:r>
      <w:r>
        <w:rPr>
          <w:w w:val="100"/>
        </w:rPr>
        <w:fldChar w:fldCharType="separate"/>
      </w:r>
      <w:r>
        <w:rPr>
          <w:rFonts w:hint="eastAsia"/>
          <w:w w:val="100"/>
        </w:rPr>
        <w:t>（五）主要目标</w:t>
      </w:r>
      <w:r>
        <w:rPr>
          <w:w w:val="100"/>
        </w:rPr>
        <w:tab/>
      </w:r>
      <w:r>
        <w:rPr>
          <w:rFonts w:hint="eastAsia"/>
          <w:w w:val="89"/>
        </w:rPr>
        <w:t>（7）</w:t>
      </w:r>
      <w:r>
        <w:rPr>
          <w:w w:val="100"/>
        </w:rPr>
        <w:fldChar w:fldCharType="end"/>
      </w:r>
    </w:p>
    <w:p>
      <w:pPr>
        <w:pStyle w:val="12"/>
        <w:tabs>
          <w:tab w:val="right" w:leader="dot" w:pos="8306"/>
        </w:tabs>
        <w:spacing w:line="560" w:lineRule="exact"/>
        <w:rPr>
          <w:w w:val="89"/>
        </w:rPr>
      </w:pPr>
      <w:r>
        <w:rPr>
          <w:w w:val="90"/>
        </w:rPr>
        <w:fldChar w:fldCharType="begin"/>
      </w:r>
      <w:r>
        <w:rPr>
          <w:w w:val="90"/>
        </w:rPr>
        <w:instrText xml:space="preserve"> HYPERLINK \l "_Toc206" </w:instrText>
      </w:r>
      <w:r>
        <w:rPr>
          <w:w w:val="90"/>
        </w:rPr>
        <w:fldChar w:fldCharType="separate"/>
      </w:r>
      <w:r>
        <w:rPr>
          <w:rFonts w:hint="eastAsia" w:ascii="黑体" w:eastAsia="黑体"/>
          <w:w w:val="90"/>
          <w:szCs w:val="32"/>
        </w:rPr>
        <w:t>二、</w:t>
      </w:r>
      <w:r>
        <w:rPr>
          <w:rFonts w:hint="eastAsia" w:ascii="黑体" w:eastAsia="黑体"/>
          <w:w w:val="90"/>
          <w:szCs w:val="32"/>
        </w:rPr>
        <w:fldChar w:fldCharType="end"/>
      </w:r>
      <w:r>
        <w:rPr>
          <w:w w:val="90"/>
        </w:rPr>
        <w:fldChar w:fldCharType="begin"/>
      </w:r>
      <w:r>
        <w:rPr>
          <w:w w:val="90"/>
        </w:rPr>
        <w:instrText xml:space="preserve"> HYPERLINK \l "_Toc29604"</w:instrText>
      </w:r>
      <w:r>
        <w:rPr>
          <w:w w:val="90"/>
        </w:rPr>
        <w:fldChar w:fldCharType="separate"/>
      </w:r>
      <w:r>
        <w:rPr>
          <w:rFonts w:ascii="黑体" w:eastAsia="黑体"/>
          <w:w w:val="90"/>
          <w:szCs w:val="32"/>
        </w:rPr>
        <w:t>实施高能级平台建设攻坚工程，打造全域创新强大引擎</w:t>
      </w:r>
      <w:r>
        <w:rPr>
          <w:w w:val="90"/>
        </w:rPr>
        <w:tab/>
      </w:r>
      <w:r>
        <w:rPr>
          <w:rFonts w:hint="eastAsia"/>
          <w:w w:val="90"/>
        </w:rPr>
        <w:t>（</w:t>
      </w:r>
      <w:r>
        <w:rPr>
          <w:rFonts w:hint="eastAsia"/>
          <w:w w:val="90"/>
          <w:lang w:val="en-US" w:eastAsia="zh-CN"/>
        </w:rPr>
        <w:t>9</w:t>
      </w:r>
      <w:r>
        <w:rPr>
          <w:rFonts w:hint="eastAsia"/>
          <w:w w:val="90"/>
        </w:rPr>
        <w:t>）</w:t>
      </w:r>
      <w:r>
        <w:rPr>
          <w:w w:val="90"/>
        </w:rPr>
        <w:fldChar w:fldCharType="end"/>
      </w:r>
    </w:p>
    <w:p>
      <w:pPr>
        <w:pStyle w:val="13"/>
        <w:tabs>
          <w:tab w:val="right" w:leader="dot" w:pos="8306"/>
        </w:tabs>
        <w:spacing w:line="560" w:lineRule="exact"/>
        <w:rPr>
          <w:w w:val="100"/>
        </w:rPr>
      </w:pPr>
      <w:r>
        <w:rPr>
          <w:w w:val="100"/>
        </w:rPr>
        <w:fldChar w:fldCharType="begin"/>
      </w:r>
      <w:r>
        <w:rPr>
          <w:w w:val="100"/>
        </w:rPr>
        <w:instrText xml:space="preserve"> HYPERLINK \l "_Toc17221"</w:instrText>
      </w:r>
      <w:r>
        <w:rPr>
          <w:w w:val="100"/>
        </w:rPr>
        <w:fldChar w:fldCharType="separate"/>
      </w:r>
      <w:r>
        <w:rPr>
          <w:rFonts w:hint="eastAsia"/>
          <w:w w:val="100"/>
        </w:rPr>
        <w:t>（一）全域推进国家自主创新示范区建设</w:t>
      </w:r>
      <w:r>
        <w:rPr>
          <w:w w:val="100"/>
        </w:rPr>
        <w:tab/>
      </w:r>
      <w:r>
        <w:rPr>
          <w:rFonts w:hint="eastAsia"/>
          <w:w w:val="89"/>
        </w:rPr>
        <w:t>（</w:t>
      </w:r>
      <w:r>
        <w:rPr>
          <w:rFonts w:hint="eastAsia"/>
          <w:w w:val="89"/>
          <w:lang w:val="en-US" w:eastAsia="zh-CN"/>
        </w:rPr>
        <w:t>9</w:t>
      </w:r>
      <w:r>
        <w:rPr>
          <w:rFonts w:hint="eastAsia"/>
          <w:w w:val="89"/>
        </w:rPr>
        <w:t>）</w:t>
      </w:r>
      <w:r>
        <w:rPr>
          <w:w w:val="100"/>
        </w:rPr>
        <w:fldChar w:fldCharType="end"/>
      </w:r>
    </w:p>
    <w:p>
      <w:pPr>
        <w:pStyle w:val="13"/>
        <w:tabs>
          <w:tab w:val="right" w:leader="dot" w:pos="8306"/>
        </w:tabs>
        <w:spacing w:line="560" w:lineRule="exact"/>
        <w:rPr>
          <w:w w:val="100"/>
        </w:rPr>
      </w:pPr>
      <w:r>
        <w:rPr>
          <w:w w:val="100"/>
        </w:rPr>
        <w:fldChar w:fldCharType="begin"/>
      </w:r>
      <w:r>
        <w:rPr>
          <w:w w:val="100"/>
        </w:rPr>
        <w:instrText xml:space="preserve"> HYPERLINK \l "_Toc228"</w:instrText>
      </w:r>
      <w:r>
        <w:rPr>
          <w:w w:val="100"/>
        </w:rPr>
        <w:fldChar w:fldCharType="separate"/>
      </w:r>
      <w:r>
        <w:rPr>
          <w:rFonts w:hint="eastAsia"/>
          <w:w w:val="100"/>
        </w:rPr>
        <w:t>（二）全力打造环大罗山科创走廊</w:t>
      </w:r>
      <w:r>
        <w:rPr>
          <w:w w:val="100"/>
        </w:rPr>
        <w:tab/>
      </w:r>
      <w:r>
        <w:rPr>
          <w:rFonts w:hint="eastAsia"/>
          <w:w w:val="89"/>
        </w:rPr>
        <w:t>（1</w:t>
      </w:r>
      <w:r>
        <w:rPr>
          <w:rFonts w:hint="eastAsia"/>
          <w:w w:val="89"/>
          <w:lang w:val="en-US" w:eastAsia="zh-CN"/>
        </w:rPr>
        <w:t>1</w:t>
      </w:r>
      <w:r>
        <w:rPr>
          <w:rFonts w:hint="eastAsia"/>
          <w:w w:val="89"/>
        </w:rPr>
        <w:t>）</w:t>
      </w:r>
      <w:r>
        <w:rPr>
          <w:w w:val="100"/>
        </w:rPr>
        <w:fldChar w:fldCharType="end"/>
      </w:r>
    </w:p>
    <w:p>
      <w:pPr>
        <w:pStyle w:val="13"/>
        <w:tabs>
          <w:tab w:val="right" w:leader="dot" w:pos="8306"/>
        </w:tabs>
        <w:spacing w:line="560" w:lineRule="exact"/>
        <w:rPr>
          <w:w w:val="100"/>
        </w:rPr>
      </w:pPr>
      <w:r>
        <w:rPr>
          <w:w w:val="100"/>
        </w:rPr>
        <w:fldChar w:fldCharType="begin"/>
      </w:r>
      <w:r>
        <w:rPr>
          <w:w w:val="100"/>
        </w:rPr>
        <w:instrText xml:space="preserve"> HYPERLINK \l "_Toc5040"</w:instrText>
      </w:r>
      <w:r>
        <w:rPr>
          <w:w w:val="100"/>
        </w:rPr>
        <w:fldChar w:fldCharType="separate"/>
      </w:r>
      <w:r>
        <w:rPr>
          <w:rFonts w:hint="eastAsia"/>
          <w:w w:val="100"/>
        </w:rPr>
        <w:t>（三）加快高新技术产业园区高质量发展</w:t>
      </w:r>
      <w:r>
        <w:rPr>
          <w:w w:val="100"/>
        </w:rPr>
        <w:tab/>
      </w:r>
      <w:r>
        <w:rPr>
          <w:rFonts w:hint="eastAsia"/>
          <w:w w:val="89"/>
        </w:rPr>
        <w:t>（1</w:t>
      </w:r>
      <w:r>
        <w:rPr>
          <w:rFonts w:hint="eastAsia"/>
          <w:w w:val="89"/>
          <w:lang w:val="en-US" w:eastAsia="zh-CN"/>
        </w:rPr>
        <w:t>2</w:t>
      </w:r>
      <w:r>
        <w:rPr>
          <w:rFonts w:hint="eastAsia"/>
          <w:w w:val="89"/>
        </w:rPr>
        <w:t>）</w:t>
      </w:r>
      <w:r>
        <w:rPr>
          <w:w w:val="100"/>
        </w:rPr>
        <w:fldChar w:fldCharType="end"/>
      </w:r>
    </w:p>
    <w:p>
      <w:pPr>
        <w:pStyle w:val="12"/>
        <w:tabs>
          <w:tab w:val="right" w:leader="dot" w:pos="8306"/>
        </w:tabs>
        <w:spacing w:line="560" w:lineRule="exact"/>
        <w:rPr>
          <w:w w:val="89"/>
        </w:rPr>
      </w:pPr>
      <w:r>
        <w:rPr>
          <w:w w:val="89"/>
        </w:rPr>
        <w:fldChar w:fldCharType="begin"/>
      </w:r>
      <w:r>
        <w:rPr>
          <w:w w:val="89"/>
        </w:rPr>
        <w:instrText xml:space="preserve"> HYPERLINK \l "_Toc17602"</w:instrText>
      </w:r>
      <w:r>
        <w:rPr>
          <w:w w:val="89"/>
        </w:rPr>
        <w:fldChar w:fldCharType="separate"/>
      </w:r>
      <w:r>
        <w:rPr>
          <w:rFonts w:ascii="黑体" w:eastAsia="黑体"/>
          <w:w w:val="89"/>
          <w:szCs w:val="32"/>
        </w:rPr>
        <w:t>三、</w:t>
      </w:r>
      <w:r>
        <w:rPr>
          <w:rFonts w:hint="eastAsia" w:ascii="黑体" w:eastAsia="黑体"/>
          <w:w w:val="95"/>
          <w:szCs w:val="32"/>
        </w:rPr>
        <w:t>实施创新主体倍增提质工程，推动产业高级化发展</w:t>
      </w:r>
      <w:r>
        <w:rPr>
          <w:color w:val="auto"/>
          <w:w w:val="95"/>
        </w:rPr>
        <w:tab/>
      </w:r>
      <w:r>
        <w:rPr>
          <w:rFonts w:hint="eastAsia"/>
          <w:w w:val="95"/>
        </w:rPr>
        <w:t>（1</w:t>
      </w:r>
      <w:r>
        <w:rPr>
          <w:rFonts w:hint="eastAsia"/>
          <w:w w:val="95"/>
          <w:lang w:val="en-US" w:eastAsia="zh-CN"/>
        </w:rPr>
        <w:t>4</w:t>
      </w:r>
      <w:r>
        <w:rPr>
          <w:rFonts w:hint="eastAsia"/>
          <w:w w:val="95"/>
        </w:rPr>
        <w:t>）</w:t>
      </w:r>
      <w:r>
        <w:rPr>
          <w:w w:val="89"/>
        </w:rPr>
        <w:fldChar w:fldCharType="end"/>
      </w:r>
    </w:p>
    <w:p>
      <w:pPr>
        <w:pStyle w:val="13"/>
        <w:tabs>
          <w:tab w:val="right" w:leader="dot" w:pos="8306"/>
        </w:tabs>
        <w:spacing w:line="560" w:lineRule="exact"/>
        <w:rPr>
          <w:w w:val="100"/>
        </w:rPr>
      </w:pPr>
      <w:r>
        <w:rPr>
          <w:w w:val="100"/>
        </w:rPr>
        <w:fldChar w:fldCharType="begin"/>
      </w:r>
      <w:r>
        <w:rPr>
          <w:w w:val="100"/>
        </w:rPr>
        <w:instrText xml:space="preserve"> HYPERLINK \l "_Toc20439"</w:instrText>
      </w:r>
      <w:r>
        <w:rPr>
          <w:w w:val="100"/>
        </w:rPr>
        <w:fldChar w:fldCharType="separate"/>
      </w:r>
      <w:r>
        <w:rPr>
          <w:rFonts w:hint="default"/>
          <w:w w:val="100"/>
        </w:rPr>
        <w:t>（一）培育科技企业雁阵梯队</w:t>
      </w:r>
      <w:r>
        <w:rPr>
          <w:w w:val="100"/>
        </w:rPr>
        <w:tab/>
      </w:r>
      <w:r>
        <w:rPr>
          <w:rFonts w:hint="default"/>
          <w:w w:val="89"/>
        </w:rPr>
        <w:t>（1</w:t>
      </w:r>
      <w:r>
        <w:rPr>
          <w:rFonts w:hint="eastAsia"/>
          <w:w w:val="89"/>
          <w:lang w:val="en-US" w:eastAsia="zh-CN"/>
        </w:rPr>
        <w:t>4</w:t>
      </w:r>
      <w:r>
        <w:rPr>
          <w:rFonts w:hint="default"/>
          <w:w w:val="89"/>
        </w:rPr>
        <w:t>）</w:t>
      </w:r>
      <w:r>
        <w:rPr>
          <w:w w:val="100"/>
        </w:rPr>
        <w:fldChar w:fldCharType="end"/>
      </w:r>
    </w:p>
    <w:p>
      <w:pPr>
        <w:pStyle w:val="13"/>
        <w:tabs>
          <w:tab w:val="right" w:leader="dot" w:pos="8306"/>
        </w:tabs>
        <w:spacing w:line="560" w:lineRule="exact"/>
        <w:rPr>
          <w:w w:val="100"/>
        </w:rPr>
      </w:pPr>
      <w:r>
        <w:rPr>
          <w:w w:val="100"/>
        </w:rPr>
        <w:fldChar w:fldCharType="begin"/>
      </w:r>
      <w:r>
        <w:rPr>
          <w:w w:val="100"/>
        </w:rPr>
        <w:instrText xml:space="preserve"> HYPERLINK \l "_Toc936"</w:instrText>
      </w:r>
      <w:r>
        <w:rPr>
          <w:w w:val="100"/>
        </w:rPr>
        <w:fldChar w:fldCharType="separate"/>
      </w:r>
      <w:r>
        <w:rPr>
          <w:rFonts w:hint="default"/>
          <w:w w:val="100"/>
        </w:rPr>
        <w:t>（二）构建技术创新中心体系</w:t>
      </w:r>
      <w:r>
        <w:rPr>
          <w:w w:val="100"/>
        </w:rPr>
        <w:tab/>
      </w:r>
      <w:r>
        <w:rPr>
          <w:rFonts w:hint="default"/>
          <w:w w:val="89"/>
        </w:rPr>
        <w:t>（1</w:t>
      </w:r>
      <w:r>
        <w:rPr>
          <w:rFonts w:hint="eastAsia"/>
          <w:w w:val="89"/>
          <w:lang w:val="en-US" w:eastAsia="zh-CN"/>
        </w:rPr>
        <w:t>5</w:t>
      </w:r>
      <w:r>
        <w:rPr>
          <w:rFonts w:hint="default"/>
          <w:w w:val="89"/>
        </w:rPr>
        <w:t>）</w:t>
      </w:r>
      <w:r>
        <w:rPr>
          <w:w w:val="100"/>
        </w:rPr>
        <w:fldChar w:fldCharType="end"/>
      </w:r>
    </w:p>
    <w:p>
      <w:pPr>
        <w:pStyle w:val="13"/>
        <w:tabs>
          <w:tab w:val="right" w:leader="dot" w:pos="8306"/>
        </w:tabs>
        <w:spacing w:line="560" w:lineRule="exact"/>
        <w:rPr>
          <w:w w:val="100"/>
        </w:rPr>
      </w:pPr>
      <w:r>
        <w:rPr>
          <w:w w:val="100"/>
        </w:rPr>
        <w:fldChar w:fldCharType="begin"/>
      </w:r>
      <w:r>
        <w:rPr>
          <w:w w:val="100"/>
        </w:rPr>
        <w:instrText xml:space="preserve"> HYPERLINK \l "_Toc6458"</w:instrText>
      </w:r>
      <w:r>
        <w:rPr>
          <w:w w:val="100"/>
        </w:rPr>
        <w:fldChar w:fldCharType="separate"/>
      </w:r>
      <w:r>
        <w:rPr>
          <w:rFonts w:hint="default"/>
          <w:w w:val="100"/>
        </w:rPr>
        <w:t>（三）扩大高新技术产业有效投资</w:t>
      </w:r>
      <w:r>
        <w:rPr>
          <w:w w:val="100"/>
        </w:rPr>
        <w:tab/>
      </w:r>
      <w:r>
        <w:rPr>
          <w:rFonts w:hint="default"/>
          <w:w w:val="89"/>
        </w:rPr>
        <w:t>（1</w:t>
      </w:r>
      <w:r>
        <w:rPr>
          <w:rFonts w:hint="eastAsia"/>
          <w:w w:val="89"/>
          <w:lang w:val="en-US" w:eastAsia="zh-CN"/>
        </w:rPr>
        <w:t>6</w:t>
      </w:r>
      <w:r>
        <w:rPr>
          <w:rFonts w:hint="default"/>
          <w:w w:val="89"/>
        </w:rPr>
        <w:t>）</w:t>
      </w:r>
      <w:r>
        <w:rPr>
          <w:w w:val="100"/>
        </w:rPr>
        <w:fldChar w:fldCharType="end"/>
      </w:r>
    </w:p>
    <w:p>
      <w:pPr>
        <w:pStyle w:val="13"/>
        <w:tabs>
          <w:tab w:val="right" w:leader="dot" w:pos="8306"/>
        </w:tabs>
        <w:spacing w:line="560" w:lineRule="exact"/>
        <w:rPr>
          <w:w w:val="100"/>
        </w:rPr>
      </w:pPr>
      <w:r>
        <w:rPr>
          <w:w w:val="100"/>
        </w:rPr>
        <w:fldChar w:fldCharType="begin"/>
      </w:r>
      <w:r>
        <w:rPr>
          <w:w w:val="100"/>
        </w:rPr>
        <w:instrText xml:space="preserve"> HYPERLINK \l "_Toc29924"</w:instrText>
      </w:r>
      <w:r>
        <w:rPr>
          <w:w w:val="100"/>
        </w:rPr>
        <w:fldChar w:fldCharType="separate"/>
      </w:r>
      <w:r>
        <w:rPr>
          <w:rFonts w:hint="default"/>
          <w:w w:val="100"/>
        </w:rPr>
        <w:t>（四）打造重量级创新型产业集群</w:t>
      </w:r>
      <w:r>
        <w:rPr>
          <w:w w:val="100"/>
        </w:rPr>
        <w:tab/>
      </w:r>
      <w:r>
        <w:rPr>
          <w:rFonts w:hint="default"/>
          <w:w w:val="89"/>
        </w:rPr>
        <w:t>（1</w:t>
      </w:r>
      <w:r>
        <w:rPr>
          <w:rFonts w:hint="eastAsia"/>
          <w:w w:val="89"/>
          <w:lang w:val="en-US" w:eastAsia="zh-CN"/>
        </w:rPr>
        <w:t>6</w:t>
      </w:r>
      <w:r>
        <w:rPr>
          <w:rFonts w:hint="default"/>
          <w:w w:val="89"/>
        </w:rPr>
        <w:t>）</w:t>
      </w:r>
      <w:r>
        <w:rPr>
          <w:w w:val="100"/>
        </w:rPr>
        <w:fldChar w:fldCharType="end"/>
      </w:r>
    </w:p>
    <w:p>
      <w:pPr>
        <w:pStyle w:val="13"/>
        <w:tabs>
          <w:tab w:val="right" w:leader="dot" w:pos="8306"/>
        </w:tabs>
        <w:spacing w:line="560" w:lineRule="exact"/>
        <w:rPr>
          <w:w w:val="100"/>
        </w:rPr>
      </w:pPr>
      <w:r>
        <w:rPr>
          <w:w w:val="100"/>
        </w:rPr>
        <w:fldChar w:fldCharType="begin"/>
      </w:r>
      <w:r>
        <w:rPr>
          <w:w w:val="100"/>
        </w:rPr>
        <w:instrText xml:space="preserve"> HYPERLINK \l "_Toc15989"</w:instrText>
      </w:r>
      <w:r>
        <w:rPr>
          <w:w w:val="100"/>
        </w:rPr>
        <w:fldChar w:fldCharType="separate"/>
      </w:r>
      <w:r>
        <w:rPr>
          <w:rFonts w:hint="default"/>
          <w:w w:val="100"/>
        </w:rPr>
        <w:t>（五）推进产业创新服务综合体建设</w:t>
      </w:r>
      <w:r>
        <w:rPr>
          <w:w w:val="100"/>
        </w:rPr>
        <w:tab/>
      </w:r>
      <w:r>
        <w:rPr>
          <w:rFonts w:hint="default"/>
          <w:w w:val="89"/>
        </w:rPr>
        <w:t>（1</w:t>
      </w:r>
      <w:r>
        <w:rPr>
          <w:rFonts w:hint="eastAsia"/>
          <w:w w:val="89"/>
          <w:lang w:val="en-US" w:eastAsia="zh-CN"/>
        </w:rPr>
        <w:t>7</w:t>
      </w:r>
      <w:r>
        <w:rPr>
          <w:rFonts w:hint="default"/>
          <w:w w:val="89"/>
        </w:rPr>
        <w:t>）</w:t>
      </w:r>
      <w:r>
        <w:rPr>
          <w:w w:val="100"/>
        </w:rPr>
        <w:fldChar w:fldCharType="end"/>
      </w:r>
    </w:p>
    <w:p>
      <w:pPr>
        <w:pStyle w:val="12"/>
        <w:tabs>
          <w:tab w:val="right" w:leader="dot" w:pos="8306"/>
        </w:tabs>
        <w:spacing w:line="560" w:lineRule="exact"/>
        <w:rPr>
          <w:w w:val="90"/>
        </w:rPr>
      </w:pPr>
      <w:r>
        <w:rPr>
          <w:w w:val="90"/>
        </w:rPr>
        <w:fldChar w:fldCharType="begin"/>
      </w:r>
      <w:r>
        <w:rPr>
          <w:w w:val="90"/>
        </w:rPr>
        <w:instrText xml:space="preserve"> HYPERLINK \l "_Toc30470"</w:instrText>
      </w:r>
      <w:r>
        <w:rPr>
          <w:w w:val="90"/>
        </w:rPr>
        <w:fldChar w:fldCharType="separate"/>
      </w:r>
      <w:r>
        <w:rPr>
          <w:rFonts w:hint="eastAsia" w:ascii="黑体" w:eastAsia="黑体"/>
          <w:w w:val="90"/>
          <w:szCs w:val="32"/>
        </w:rPr>
        <w:t>四、实施科技人才引育集聚工程，打造全球“人才蓄水池”</w:t>
      </w:r>
      <w:r>
        <w:rPr>
          <w:rFonts w:hint="default"/>
          <w:w w:val="90"/>
        </w:rPr>
        <w:t>（1</w:t>
      </w:r>
      <w:r>
        <w:rPr>
          <w:rFonts w:hint="eastAsia"/>
          <w:w w:val="90"/>
          <w:lang w:val="en-US" w:eastAsia="zh-CN"/>
        </w:rPr>
        <w:t>7</w:t>
      </w:r>
      <w:r>
        <w:rPr>
          <w:rFonts w:hint="default"/>
          <w:w w:val="90"/>
        </w:rPr>
        <w:t>）</w:t>
      </w:r>
      <w:r>
        <w:rPr>
          <w:w w:val="90"/>
        </w:rPr>
        <w:fldChar w:fldCharType="end"/>
      </w:r>
    </w:p>
    <w:p>
      <w:pPr>
        <w:pStyle w:val="13"/>
        <w:tabs>
          <w:tab w:val="right" w:leader="dot" w:pos="8306"/>
        </w:tabs>
        <w:spacing w:line="560" w:lineRule="exact"/>
        <w:rPr>
          <w:w w:val="100"/>
        </w:rPr>
      </w:pPr>
      <w:r>
        <w:rPr>
          <w:w w:val="100"/>
        </w:rPr>
        <w:fldChar w:fldCharType="begin"/>
      </w:r>
      <w:r>
        <w:rPr>
          <w:w w:val="100"/>
        </w:rPr>
        <w:instrText xml:space="preserve"> HYPERLINK \l "_Toc19633"</w:instrText>
      </w:r>
      <w:r>
        <w:rPr>
          <w:w w:val="100"/>
        </w:rPr>
        <w:fldChar w:fldCharType="separate"/>
      </w:r>
      <w:r>
        <w:rPr>
          <w:rFonts w:hint="default"/>
          <w:w w:val="100"/>
        </w:rPr>
        <w:t>（一）大力引育高端创新人才</w:t>
      </w:r>
      <w:r>
        <w:rPr>
          <w:w w:val="100"/>
        </w:rPr>
        <w:tab/>
      </w:r>
      <w:r>
        <w:rPr>
          <w:rFonts w:hint="default"/>
          <w:w w:val="89"/>
        </w:rPr>
        <w:t>（1</w:t>
      </w:r>
      <w:r>
        <w:rPr>
          <w:rFonts w:hint="eastAsia"/>
          <w:w w:val="89"/>
          <w:lang w:val="en-US" w:eastAsia="zh-CN"/>
        </w:rPr>
        <w:t>7</w:t>
      </w:r>
      <w:r>
        <w:rPr>
          <w:rFonts w:hint="default"/>
          <w:w w:val="89"/>
        </w:rPr>
        <w:t>）</w:t>
      </w:r>
      <w:r>
        <w:rPr>
          <w:w w:val="100"/>
        </w:rPr>
        <w:fldChar w:fldCharType="end"/>
      </w:r>
    </w:p>
    <w:p>
      <w:pPr>
        <w:pStyle w:val="13"/>
        <w:tabs>
          <w:tab w:val="right" w:leader="dot" w:pos="8306"/>
        </w:tabs>
        <w:spacing w:line="560" w:lineRule="exact"/>
        <w:rPr>
          <w:w w:val="100"/>
        </w:rPr>
      </w:pPr>
      <w:r>
        <w:rPr>
          <w:w w:val="100"/>
        </w:rPr>
        <w:fldChar w:fldCharType="begin"/>
      </w:r>
      <w:r>
        <w:rPr>
          <w:w w:val="100"/>
        </w:rPr>
        <w:instrText xml:space="preserve"> HYPERLINK \l "_Toc20488"</w:instrText>
      </w:r>
      <w:r>
        <w:rPr>
          <w:w w:val="100"/>
        </w:rPr>
        <w:fldChar w:fldCharType="separate"/>
      </w:r>
      <w:r>
        <w:rPr>
          <w:rFonts w:hint="default"/>
          <w:w w:val="100"/>
        </w:rPr>
        <w:t>（二）加快汇聚青年科技人才</w:t>
      </w:r>
      <w:r>
        <w:rPr>
          <w:w w:val="100"/>
        </w:rPr>
        <w:tab/>
      </w:r>
      <w:r>
        <w:rPr>
          <w:rFonts w:hint="default"/>
          <w:w w:val="89"/>
        </w:rPr>
        <w:t>（</w:t>
      </w:r>
      <w:r>
        <w:rPr>
          <w:rFonts w:hint="default"/>
          <w:w w:val="89"/>
          <w:lang w:eastAsia="zh-CN"/>
        </w:rPr>
        <w:t>1</w:t>
      </w:r>
      <w:r>
        <w:rPr>
          <w:rFonts w:hint="eastAsia"/>
          <w:w w:val="89"/>
          <w:lang w:val="en-US" w:eastAsia="zh-CN"/>
        </w:rPr>
        <w:t>8</w:t>
      </w:r>
      <w:r>
        <w:rPr>
          <w:rFonts w:hint="default"/>
          <w:w w:val="89"/>
        </w:rPr>
        <w:t>）</w:t>
      </w:r>
      <w:r>
        <w:rPr>
          <w:w w:val="100"/>
        </w:rPr>
        <w:fldChar w:fldCharType="end"/>
      </w:r>
    </w:p>
    <w:p>
      <w:pPr>
        <w:pStyle w:val="13"/>
        <w:tabs>
          <w:tab w:val="right" w:leader="dot" w:pos="8306"/>
        </w:tabs>
        <w:spacing w:line="560" w:lineRule="exact"/>
        <w:rPr>
          <w:w w:val="100"/>
        </w:rPr>
      </w:pPr>
      <w:r>
        <w:rPr>
          <w:w w:val="100"/>
        </w:rPr>
        <w:fldChar w:fldCharType="begin"/>
      </w:r>
      <w:r>
        <w:rPr>
          <w:w w:val="100"/>
        </w:rPr>
        <w:instrText xml:space="preserve"> HYPERLINK \l "_Toc29103"</w:instrText>
      </w:r>
      <w:r>
        <w:rPr>
          <w:w w:val="100"/>
        </w:rPr>
        <w:fldChar w:fldCharType="separate"/>
      </w:r>
      <w:r>
        <w:rPr>
          <w:rFonts w:hint="default"/>
          <w:w w:val="100"/>
        </w:rPr>
        <w:t>（三）加强产业人才队伍建设</w:t>
      </w:r>
      <w:r>
        <w:rPr>
          <w:w w:val="100"/>
        </w:rPr>
        <w:tab/>
      </w:r>
      <w:r>
        <w:rPr>
          <w:rFonts w:hint="default"/>
          <w:w w:val="89"/>
        </w:rPr>
        <w:t>（</w:t>
      </w:r>
      <w:r>
        <w:rPr>
          <w:rFonts w:hint="eastAsia"/>
          <w:w w:val="89"/>
          <w:lang w:val="en-US" w:eastAsia="zh-CN"/>
        </w:rPr>
        <w:t>18</w:t>
      </w:r>
      <w:r>
        <w:rPr>
          <w:rFonts w:hint="default"/>
          <w:w w:val="89"/>
        </w:rPr>
        <w:t>）</w:t>
      </w:r>
      <w:r>
        <w:rPr>
          <w:w w:val="100"/>
        </w:rPr>
        <w:fldChar w:fldCharType="end"/>
      </w:r>
    </w:p>
    <w:p>
      <w:pPr>
        <w:pStyle w:val="13"/>
        <w:tabs>
          <w:tab w:val="right" w:leader="dot" w:pos="8306"/>
        </w:tabs>
        <w:spacing w:line="560" w:lineRule="exact"/>
        <w:rPr>
          <w:w w:val="100"/>
        </w:rPr>
      </w:pPr>
      <w:r>
        <w:rPr>
          <w:w w:val="100"/>
        </w:rPr>
        <w:fldChar w:fldCharType="begin"/>
      </w:r>
      <w:r>
        <w:rPr>
          <w:w w:val="100"/>
        </w:rPr>
        <w:instrText xml:space="preserve"> HYPERLINK \l "_Toc8099"</w:instrText>
      </w:r>
      <w:r>
        <w:rPr>
          <w:w w:val="100"/>
        </w:rPr>
        <w:fldChar w:fldCharType="separate"/>
      </w:r>
      <w:r>
        <w:rPr>
          <w:rFonts w:hint="default"/>
          <w:w w:val="100"/>
        </w:rPr>
        <w:t>（四）充分激发人才创新创业活力</w:t>
      </w:r>
      <w:r>
        <w:rPr>
          <w:w w:val="100"/>
        </w:rPr>
        <w:tab/>
      </w:r>
      <w:r>
        <w:rPr>
          <w:rFonts w:hint="default"/>
          <w:w w:val="89"/>
        </w:rPr>
        <w:t>（</w:t>
      </w:r>
      <w:r>
        <w:rPr>
          <w:rFonts w:hint="eastAsia"/>
          <w:w w:val="89"/>
          <w:lang w:val="en-US" w:eastAsia="zh-CN"/>
        </w:rPr>
        <w:t>19</w:t>
      </w:r>
      <w:r>
        <w:rPr>
          <w:rFonts w:hint="default"/>
          <w:w w:val="89"/>
        </w:rPr>
        <w:t>）</w:t>
      </w:r>
      <w:r>
        <w:rPr>
          <w:w w:val="100"/>
        </w:rPr>
        <w:fldChar w:fldCharType="end"/>
      </w:r>
    </w:p>
    <w:p>
      <w:pPr>
        <w:pStyle w:val="12"/>
        <w:tabs>
          <w:tab w:val="right" w:leader="dot" w:pos="8306"/>
        </w:tabs>
        <w:spacing w:line="560" w:lineRule="exact"/>
        <w:rPr>
          <w:w w:val="89"/>
        </w:rPr>
      </w:pPr>
      <w:r>
        <w:rPr>
          <w:w w:val="89"/>
        </w:rPr>
        <w:fldChar w:fldCharType="begin"/>
      </w:r>
      <w:r>
        <w:rPr>
          <w:w w:val="89"/>
        </w:rPr>
        <w:instrText xml:space="preserve"> HYPERLINK \l "_Toc23354"</w:instrText>
      </w:r>
      <w:r>
        <w:rPr>
          <w:w w:val="89"/>
        </w:rPr>
        <w:fldChar w:fldCharType="separate"/>
      </w:r>
      <w:r>
        <w:rPr>
          <w:rFonts w:ascii="黑体" w:eastAsia="黑体"/>
          <w:w w:val="95"/>
          <w:sz w:val="32"/>
          <w:szCs w:val="32"/>
        </w:rPr>
        <w:t>五、实施基础研究提能造峰工程，加快打造创新策源地</w:t>
      </w:r>
      <w:r>
        <w:rPr>
          <w:w w:val="95"/>
          <w:sz w:val="32"/>
        </w:rPr>
        <w:tab/>
      </w:r>
      <w:r>
        <w:rPr>
          <w:rFonts w:hint="default"/>
          <w:w w:val="89"/>
        </w:rPr>
        <w:t>（2</w:t>
      </w:r>
      <w:r>
        <w:rPr>
          <w:rFonts w:hint="eastAsia"/>
          <w:w w:val="89"/>
          <w:lang w:val="en-US" w:eastAsia="zh-CN"/>
        </w:rPr>
        <w:t>0</w:t>
      </w:r>
      <w:r>
        <w:rPr>
          <w:rFonts w:hint="default"/>
          <w:w w:val="89"/>
        </w:rPr>
        <w:t>）</w:t>
      </w:r>
      <w:r>
        <w:rPr>
          <w:w w:val="89"/>
        </w:rPr>
        <w:fldChar w:fldCharType="end"/>
      </w:r>
    </w:p>
    <w:p>
      <w:pPr>
        <w:pStyle w:val="13"/>
        <w:tabs>
          <w:tab w:val="right" w:leader="dot" w:pos="8306"/>
        </w:tabs>
        <w:spacing w:line="560" w:lineRule="exact"/>
        <w:rPr>
          <w:w w:val="100"/>
        </w:rPr>
      </w:pPr>
      <w:r>
        <w:rPr>
          <w:w w:val="100"/>
        </w:rPr>
        <w:fldChar w:fldCharType="begin"/>
      </w:r>
      <w:r>
        <w:rPr>
          <w:w w:val="100"/>
        </w:rPr>
        <w:instrText xml:space="preserve"> HYPERLINK \l "_Toc7567"</w:instrText>
      </w:r>
      <w:r>
        <w:rPr>
          <w:w w:val="100"/>
        </w:rPr>
        <w:fldChar w:fldCharType="separate"/>
      </w:r>
      <w:r>
        <w:rPr>
          <w:rFonts w:hint="default"/>
          <w:w w:val="100"/>
        </w:rPr>
        <w:t>（一）加快提升高校院所科研能力</w:t>
      </w:r>
      <w:r>
        <w:rPr>
          <w:w w:val="100"/>
        </w:rPr>
        <w:tab/>
      </w:r>
      <w:r>
        <w:rPr>
          <w:rFonts w:hint="default"/>
          <w:w w:val="89"/>
        </w:rPr>
        <w:t>（2</w:t>
      </w:r>
      <w:r>
        <w:rPr>
          <w:rFonts w:hint="eastAsia"/>
          <w:w w:val="89"/>
          <w:lang w:val="en-US" w:eastAsia="zh-CN"/>
        </w:rPr>
        <w:t>0</w:t>
      </w:r>
      <w:r>
        <w:rPr>
          <w:rFonts w:hint="default"/>
          <w:w w:val="89"/>
        </w:rPr>
        <w:t>）</w:t>
      </w:r>
      <w:r>
        <w:rPr>
          <w:w w:val="100"/>
        </w:rPr>
        <w:fldChar w:fldCharType="end"/>
      </w:r>
    </w:p>
    <w:p>
      <w:pPr>
        <w:pStyle w:val="13"/>
        <w:tabs>
          <w:tab w:val="right" w:leader="dot" w:pos="8306"/>
        </w:tabs>
        <w:spacing w:line="560" w:lineRule="exact"/>
        <w:rPr>
          <w:w w:val="100"/>
        </w:rPr>
      </w:pPr>
      <w:r>
        <w:rPr>
          <w:w w:val="100"/>
        </w:rPr>
        <w:fldChar w:fldCharType="begin"/>
      </w:r>
      <w:r>
        <w:rPr>
          <w:w w:val="100"/>
        </w:rPr>
        <w:instrText xml:space="preserve"> HYPERLINK \l "_Toc26358" </w:instrText>
      </w:r>
      <w:r>
        <w:rPr>
          <w:w w:val="100"/>
        </w:rPr>
        <w:fldChar w:fldCharType="separate"/>
      </w:r>
      <w:r>
        <w:rPr>
          <w:rFonts w:hint="default"/>
          <w:w w:val="100"/>
        </w:rPr>
        <w:t>（二）加快构建新型实验室体系</w:t>
      </w:r>
      <w:r>
        <w:rPr>
          <w:w w:val="100"/>
        </w:rPr>
        <w:tab/>
      </w:r>
      <w:r>
        <w:rPr>
          <w:w w:val="100"/>
        </w:rPr>
        <w:fldChar w:fldCharType="end"/>
      </w:r>
      <w:r>
        <w:rPr>
          <w:rFonts w:hint="default"/>
          <w:w w:val="89"/>
        </w:rPr>
        <w:t>（2</w:t>
      </w:r>
      <w:r>
        <w:rPr>
          <w:rFonts w:hint="eastAsia"/>
          <w:w w:val="89"/>
          <w:lang w:val="en-US" w:eastAsia="zh-CN"/>
        </w:rPr>
        <w:t>1</w:t>
      </w:r>
      <w:r>
        <w:rPr>
          <w:rFonts w:hint="default"/>
          <w:w w:val="89"/>
        </w:rPr>
        <w:t>）</w:t>
      </w:r>
    </w:p>
    <w:p>
      <w:pPr>
        <w:pStyle w:val="13"/>
        <w:tabs>
          <w:tab w:val="right" w:leader="dot" w:pos="8306"/>
        </w:tabs>
        <w:spacing w:line="560" w:lineRule="exact"/>
        <w:rPr>
          <w:w w:val="100"/>
        </w:rPr>
      </w:pPr>
      <w:r>
        <w:rPr>
          <w:w w:val="100"/>
        </w:rPr>
        <w:fldChar w:fldCharType="begin"/>
      </w:r>
      <w:r>
        <w:rPr>
          <w:w w:val="100"/>
        </w:rPr>
        <w:instrText xml:space="preserve"> HYPERLINK \l "_Toc19067"</w:instrText>
      </w:r>
      <w:r>
        <w:rPr>
          <w:w w:val="100"/>
        </w:rPr>
        <w:fldChar w:fldCharType="separate"/>
      </w:r>
      <w:r>
        <w:rPr>
          <w:rFonts w:hint="default"/>
          <w:w w:val="100"/>
        </w:rPr>
        <w:t>（三）大力引进培育高端新型研发机构</w:t>
      </w:r>
      <w:r>
        <w:rPr>
          <w:w w:val="100"/>
        </w:rPr>
        <w:tab/>
      </w:r>
      <w:r>
        <w:rPr>
          <w:rFonts w:hint="default"/>
          <w:w w:val="89"/>
        </w:rPr>
        <w:t>（2</w:t>
      </w:r>
      <w:r>
        <w:rPr>
          <w:rFonts w:hint="eastAsia"/>
          <w:w w:val="89"/>
          <w:lang w:val="en-US" w:eastAsia="zh-CN"/>
        </w:rPr>
        <w:t>2</w:t>
      </w:r>
      <w:r>
        <w:rPr>
          <w:rFonts w:hint="default"/>
          <w:w w:val="89"/>
        </w:rPr>
        <w:t>）</w:t>
      </w:r>
      <w:r>
        <w:rPr>
          <w:w w:val="100"/>
        </w:rPr>
        <w:fldChar w:fldCharType="end"/>
      </w:r>
    </w:p>
    <w:p>
      <w:pPr>
        <w:pStyle w:val="12"/>
        <w:tabs>
          <w:tab w:val="right" w:leader="dot" w:pos="8306"/>
        </w:tabs>
        <w:spacing w:line="560" w:lineRule="exact"/>
        <w:rPr>
          <w:w w:val="89"/>
        </w:rPr>
      </w:pPr>
      <w:r>
        <w:rPr>
          <w:w w:val="89"/>
        </w:rPr>
        <w:fldChar w:fldCharType="begin"/>
      </w:r>
      <w:r>
        <w:rPr>
          <w:w w:val="89"/>
        </w:rPr>
        <w:instrText xml:space="preserve"> HYPERLINK \l "_Toc19950"</w:instrText>
      </w:r>
      <w:r>
        <w:rPr>
          <w:w w:val="89"/>
        </w:rPr>
        <w:fldChar w:fldCharType="separate"/>
      </w:r>
      <w:r>
        <w:rPr>
          <w:rFonts w:ascii="黑体" w:eastAsia="黑体"/>
          <w:w w:val="89"/>
          <w:szCs w:val="32"/>
        </w:rPr>
        <w:t>六、实施关键核心技术攻关引领工程，努力抢占发展制高点</w:t>
      </w:r>
      <w:r>
        <w:rPr>
          <w:rFonts w:ascii="黑体" w:eastAsia="黑体"/>
          <w:w w:val="89"/>
          <w:szCs w:val="32"/>
        </w:rPr>
        <w:tab/>
      </w:r>
      <w:r>
        <w:rPr>
          <w:rFonts w:hint="eastAsia"/>
          <w:w w:val="89"/>
        </w:rPr>
        <w:t>（</w:t>
      </w:r>
      <w:r>
        <w:rPr>
          <w:rFonts w:hint="default"/>
          <w:w w:val="89"/>
        </w:rPr>
        <w:t>2</w:t>
      </w:r>
      <w:r>
        <w:rPr>
          <w:rFonts w:hint="eastAsia"/>
          <w:w w:val="89"/>
          <w:lang w:val="en-US" w:eastAsia="zh-CN"/>
        </w:rPr>
        <w:t>2</w:t>
      </w:r>
      <w:r>
        <w:rPr>
          <w:rFonts w:hint="default"/>
          <w:w w:val="89"/>
        </w:rPr>
        <w:t>）</w:t>
      </w:r>
      <w:r>
        <w:rPr>
          <w:w w:val="89"/>
        </w:rPr>
        <w:fldChar w:fldCharType="end"/>
      </w:r>
    </w:p>
    <w:p>
      <w:pPr>
        <w:pStyle w:val="13"/>
        <w:tabs>
          <w:tab w:val="right" w:leader="dot" w:pos="8306"/>
        </w:tabs>
        <w:spacing w:line="560" w:lineRule="exact"/>
        <w:rPr>
          <w:w w:val="100"/>
        </w:rPr>
      </w:pPr>
      <w:r>
        <w:rPr>
          <w:w w:val="100"/>
        </w:rPr>
        <w:fldChar w:fldCharType="begin"/>
      </w:r>
      <w:r>
        <w:rPr>
          <w:w w:val="100"/>
        </w:rPr>
        <w:instrText xml:space="preserve"> HYPERLINK \l "_Toc12796"</w:instrText>
      </w:r>
      <w:r>
        <w:rPr>
          <w:w w:val="100"/>
        </w:rPr>
        <w:fldChar w:fldCharType="separate"/>
      </w:r>
      <w:r>
        <w:rPr>
          <w:rFonts w:hint="default"/>
          <w:w w:val="100"/>
        </w:rPr>
        <w:t>（一）实施战略性新兴产业核心技术攻坚计划</w:t>
      </w:r>
      <w:r>
        <w:rPr>
          <w:w w:val="100"/>
        </w:rPr>
        <w:tab/>
      </w:r>
      <w:r>
        <w:rPr>
          <w:rFonts w:hint="default"/>
          <w:w w:val="89"/>
        </w:rPr>
        <w:t>（2</w:t>
      </w:r>
      <w:r>
        <w:rPr>
          <w:rFonts w:hint="eastAsia"/>
          <w:w w:val="89"/>
          <w:lang w:val="en-US" w:eastAsia="zh-CN"/>
        </w:rPr>
        <w:t>3</w:t>
      </w:r>
      <w:r>
        <w:rPr>
          <w:rFonts w:hint="default"/>
          <w:w w:val="89"/>
        </w:rPr>
        <w:t>）</w:t>
      </w:r>
      <w:r>
        <w:rPr>
          <w:w w:val="100"/>
        </w:rPr>
        <w:fldChar w:fldCharType="end"/>
      </w:r>
    </w:p>
    <w:p>
      <w:pPr>
        <w:pStyle w:val="13"/>
        <w:tabs>
          <w:tab w:val="right" w:leader="dot" w:pos="8306"/>
        </w:tabs>
        <w:spacing w:line="560" w:lineRule="exact"/>
        <w:rPr>
          <w:w w:val="100"/>
        </w:rPr>
      </w:pPr>
      <w:r>
        <w:rPr>
          <w:w w:val="100"/>
        </w:rPr>
        <w:fldChar w:fldCharType="begin"/>
      </w:r>
      <w:r>
        <w:rPr>
          <w:w w:val="100"/>
        </w:rPr>
        <w:instrText xml:space="preserve"> HYPERLINK \l "_Toc4432"</w:instrText>
      </w:r>
      <w:r>
        <w:rPr>
          <w:w w:val="100"/>
        </w:rPr>
        <w:fldChar w:fldCharType="separate"/>
      </w:r>
      <w:r>
        <w:rPr>
          <w:rFonts w:hint="default"/>
          <w:w w:val="100"/>
        </w:rPr>
        <w:t>（二）实施传统产业赋能提升计划</w:t>
      </w:r>
      <w:r>
        <w:rPr>
          <w:w w:val="100"/>
        </w:rPr>
        <w:tab/>
      </w:r>
      <w:r>
        <w:rPr>
          <w:rFonts w:hint="default"/>
          <w:w w:val="89"/>
        </w:rPr>
        <w:t>（2</w:t>
      </w:r>
      <w:r>
        <w:rPr>
          <w:rFonts w:hint="eastAsia"/>
          <w:w w:val="89"/>
          <w:lang w:val="en-US" w:eastAsia="zh-CN"/>
        </w:rPr>
        <w:t>5</w:t>
      </w:r>
      <w:r>
        <w:rPr>
          <w:rFonts w:hint="default"/>
          <w:w w:val="89"/>
        </w:rPr>
        <w:t>）</w:t>
      </w:r>
      <w:r>
        <w:rPr>
          <w:w w:val="100"/>
        </w:rPr>
        <w:fldChar w:fldCharType="end"/>
      </w:r>
    </w:p>
    <w:p>
      <w:pPr>
        <w:pStyle w:val="13"/>
        <w:tabs>
          <w:tab w:val="right" w:leader="dot" w:pos="8306"/>
        </w:tabs>
        <w:spacing w:line="560" w:lineRule="exact"/>
        <w:rPr>
          <w:w w:val="100"/>
        </w:rPr>
      </w:pPr>
      <w:r>
        <w:rPr>
          <w:w w:val="100"/>
        </w:rPr>
        <w:fldChar w:fldCharType="begin"/>
      </w:r>
      <w:r>
        <w:rPr>
          <w:w w:val="100"/>
        </w:rPr>
        <w:instrText xml:space="preserve"> HYPERLINK \l "_Toc3273"</w:instrText>
      </w:r>
      <w:r>
        <w:rPr>
          <w:w w:val="100"/>
        </w:rPr>
        <w:fldChar w:fldCharType="separate"/>
      </w:r>
      <w:r>
        <w:rPr>
          <w:rFonts w:hint="default"/>
          <w:w w:val="100"/>
        </w:rPr>
        <w:t>（三）实施前沿技术引领计划</w:t>
      </w:r>
      <w:r>
        <w:rPr>
          <w:w w:val="100"/>
        </w:rPr>
        <w:tab/>
      </w:r>
      <w:r>
        <w:rPr>
          <w:rFonts w:hint="default"/>
          <w:w w:val="89"/>
        </w:rPr>
        <w:t>（2</w:t>
      </w:r>
      <w:r>
        <w:rPr>
          <w:rFonts w:hint="eastAsia"/>
          <w:w w:val="89"/>
          <w:lang w:val="en-US" w:eastAsia="zh-CN"/>
        </w:rPr>
        <w:t>7</w:t>
      </w:r>
      <w:r>
        <w:rPr>
          <w:rFonts w:hint="default"/>
          <w:w w:val="89"/>
        </w:rPr>
        <w:t>）</w:t>
      </w:r>
      <w:r>
        <w:rPr>
          <w:w w:val="100"/>
        </w:rPr>
        <w:fldChar w:fldCharType="end"/>
      </w:r>
    </w:p>
    <w:p>
      <w:pPr>
        <w:pStyle w:val="12"/>
        <w:tabs>
          <w:tab w:val="right" w:leader="dot" w:pos="8306"/>
        </w:tabs>
        <w:spacing w:line="560" w:lineRule="exact"/>
        <w:rPr>
          <w:w w:val="89"/>
        </w:rPr>
      </w:pPr>
      <w:r>
        <w:rPr>
          <w:w w:val="92"/>
          <w:sz w:val="32"/>
        </w:rPr>
        <w:fldChar w:fldCharType="begin"/>
      </w:r>
      <w:r>
        <w:rPr>
          <w:w w:val="92"/>
          <w:sz w:val="32"/>
        </w:rPr>
        <w:instrText xml:space="preserve"> HYPERLINK \l "_Toc23088" </w:instrText>
      </w:r>
      <w:r>
        <w:rPr>
          <w:w w:val="92"/>
          <w:sz w:val="32"/>
        </w:rPr>
        <w:fldChar w:fldCharType="separate"/>
      </w:r>
      <w:r>
        <w:rPr>
          <w:rFonts w:ascii="黑体" w:eastAsia="黑体"/>
          <w:w w:val="92"/>
          <w:sz w:val="32"/>
          <w:szCs w:val="32"/>
        </w:rPr>
        <w:t>七、实施科技成果转化应用工程，建立健全技术转移体系</w:t>
      </w:r>
      <w:r>
        <w:rPr>
          <w:w w:val="92"/>
          <w:sz w:val="32"/>
        </w:rPr>
        <w:tab/>
      </w:r>
      <w:r>
        <w:rPr>
          <w:w w:val="92"/>
          <w:sz w:val="32"/>
        </w:rPr>
        <w:fldChar w:fldCharType="end"/>
      </w:r>
      <w:r>
        <w:rPr>
          <w:rFonts w:hint="eastAsia"/>
          <w:w w:val="89"/>
        </w:rPr>
        <w:t>（</w:t>
      </w:r>
      <w:r>
        <w:rPr>
          <w:rFonts w:hint="eastAsia"/>
          <w:w w:val="89"/>
          <w:lang w:val="en-US" w:eastAsia="zh-CN"/>
        </w:rPr>
        <w:t>28</w:t>
      </w:r>
      <w:r>
        <w:rPr>
          <w:rFonts w:hint="default"/>
          <w:w w:val="89"/>
        </w:rPr>
        <w:t>）</w:t>
      </w:r>
    </w:p>
    <w:p>
      <w:pPr>
        <w:pStyle w:val="13"/>
        <w:tabs>
          <w:tab w:val="right" w:leader="dot" w:pos="8306"/>
        </w:tabs>
        <w:spacing w:line="560" w:lineRule="exact"/>
        <w:rPr>
          <w:w w:val="100"/>
        </w:rPr>
      </w:pPr>
      <w:r>
        <w:rPr>
          <w:w w:val="100"/>
        </w:rPr>
        <w:fldChar w:fldCharType="begin"/>
      </w:r>
      <w:r>
        <w:rPr>
          <w:w w:val="100"/>
        </w:rPr>
        <w:instrText xml:space="preserve"> HYPERLINK \l "_Toc19961" </w:instrText>
      </w:r>
      <w:r>
        <w:rPr>
          <w:w w:val="100"/>
        </w:rPr>
        <w:fldChar w:fldCharType="separate"/>
      </w:r>
      <w:r>
        <w:rPr>
          <w:rFonts w:hint="default"/>
          <w:w w:val="100"/>
        </w:rPr>
        <w:t>（一）完善技术要素市场化配置机制</w:t>
      </w:r>
      <w:r>
        <w:rPr>
          <w:w w:val="100"/>
        </w:rPr>
        <w:tab/>
      </w:r>
      <w:r>
        <w:rPr>
          <w:w w:val="100"/>
        </w:rPr>
        <w:fldChar w:fldCharType="end"/>
      </w:r>
      <w:r>
        <w:rPr>
          <w:rFonts w:hint="default"/>
          <w:w w:val="89"/>
        </w:rPr>
        <w:t>（</w:t>
      </w:r>
      <w:r>
        <w:rPr>
          <w:rFonts w:hint="eastAsia"/>
          <w:w w:val="89"/>
          <w:lang w:val="en-US" w:eastAsia="zh-CN"/>
        </w:rPr>
        <w:t>28</w:t>
      </w:r>
      <w:r>
        <w:rPr>
          <w:rFonts w:hint="default"/>
          <w:w w:val="89"/>
        </w:rPr>
        <w:t>）</w:t>
      </w:r>
    </w:p>
    <w:p>
      <w:pPr>
        <w:pStyle w:val="13"/>
        <w:tabs>
          <w:tab w:val="right" w:leader="dot" w:pos="8306"/>
        </w:tabs>
        <w:spacing w:line="560" w:lineRule="exact"/>
        <w:rPr>
          <w:w w:val="100"/>
        </w:rPr>
      </w:pPr>
      <w:r>
        <w:rPr>
          <w:w w:val="100"/>
        </w:rPr>
        <w:fldChar w:fldCharType="begin"/>
      </w:r>
      <w:r>
        <w:rPr>
          <w:w w:val="100"/>
        </w:rPr>
        <w:instrText xml:space="preserve"> HYPERLINK \l "_Toc19537" </w:instrText>
      </w:r>
      <w:r>
        <w:rPr>
          <w:w w:val="100"/>
        </w:rPr>
        <w:fldChar w:fldCharType="separate"/>
      </w:r>
      <w:r>
        <w:rPr>
          <w:rFonts w:hint="default"/>
          <w:w w:val="100"/>
        </w:rPr>
        <w:t>（二）加快科技服务体系建设</w:t>
      </w:r>
      <w:r>
        <w:rPr>
          <w:w w:val="100"/>
        </w:rPr>
        <w:tab/>
      </w:r>
      <w:r>
        <w:rPr>
          <w:w w:val="100"/>
        </w:rPr>
        <w:fldChar w:fldCharType="end"/>
      </w:r>
      <w:r>
        <w:rPr>
          <w:rFonts w:hint="default"/>
          <w:w w:val="89"/>
        </w:rPr>
        <w:t>（</w:t>
      </w:r>
      <w:r>
        <w:rPr>
          <w:rFonts w:hint="eastAsia"/>
          <w:w w:val="89"/>
          <w:lang w:val="en-US" w:eastAsia="zh-CN"/>
        </w:rPr>
        <w:t>29</w:t>
      </w:r>
      <w:r>
        <w:rPr>
          <w:rFonts w:hint="default"/>
          <w:w w:val="89"/>
        </w:rPr>
        <w:t>）</w:t>
      </w:r>
    </w:p>
    <w:p>
      <w:pPr>
        <w:pStyle w:val="13"/>
        <w:tabs>
          <w:tab w:val="right" w:leader="dot" w:pos="8306"/>
        </w:tabs>
        <w:spacing w:line="560" w:lineRule="exact"/>
        <w:rPr>
          <w:w w:val="100"/>
        </w:rPr>
      </w:pPr>
      <w:r>
        <w:rPr>
          <w:w w:val="100"/>
        </w:rPr>
        <w:fldChar w:fldCharType="begin"/>
      </w:r>
      <w:r>
        <w:rPr>
          <w:w w:val="100"/>
        </w:rPr>
        <w:instrText xml:space="preserve"> HYPERLINK \l "_Toc15142" </w:instrText>
      </w:r>
      <w:r>
        <w:rPr>
          <w:w w:val="100"/>
        </w:rPr>
        <w:fldChar w:fldCharType="separate"/>
      </w:r>
      <w:r>
        <w:rPr>
          <w:rFonts w:hint="default"/>
          <w:w w:val="100"/>
        </w:rPr>
        <w:t>（三）加快推动科技成果落地转化</w:t>
      </w:r>
      <w:r>
        <w:rPr>
          <w:w w:val="100"/>
        </w:rPr>
        <w:tab/>
      </w:r>
      <w:r>
        <w:rPr>
          <w:w w:val="100"/>
        </w:rPr>
        <w:fldChar w:fldCharType="end"/>
      </w:r>
      <w:r>
        <w:rPr>
          <w:rFonts w:hint="default"/>
          <w:w w:val="89"/>
        </w:rPr>
        <w:t>（3</w:t>
      </w:r>
      <w:r>
        <w:rPr>
          <w:rFonts w:hint="eastAsia"/>
          <w:w w:val="89"/>
          <w:lang w:val="en-US" w:eastAsia="zh-CN"/>
        </w:rPr>
        <w:t>0</w:t>
      </w:r>
      <w:r>
        <w:rPr>
          <w:rFonts w:hint="default"/>
          <w:w w:val="89"/>
        </w:rPr>
        <w:t>）</w:t>
      </w:r>
    </w:p>
    <w:p>
      <w:pPr>
        <w:pStyle w:val="12"/>
        <w:tabs>
          <w:tab w:val="right" w:leader="dot" w:pos="8306"/>
        </w:tabs>
        <w:spacing w:line="560" w:lineRule="exact"/>
        <w:rPr>
          <w:w w:val="89"/>
        </w:rPr>
      </w:pPr>
      <w:r>
        <w:rPr>
          <w:w w:val="89"/>
        </w:rPr>
        <w:fldChar w:fldCharType="begin"/>
      </w:r>
      <w:r>
        <w:rPr>
          <w:w w:val="89"/>
        </w:rPr>
        <w:instrText xml:space="preserve"> HYPERLINK \l "_Toc3134"</w:instrText>
      </w:r>
      <w:r>
        <w:rPr>
          <w:w w:val="89"/>
        </w:rPr>
        <w:fldChar w:fldCharType="separate"/>
      </w:r>
      <w:r>
        <w:rPr>
          <w:rFonts w:ascii="黑体" w:eastAsia="黑体"/>
          <w:w w:val="95"/>
          <w:szCs w:val="32"/>
        </w:rPr>
        <w:t>八、实施品质生活科技赋能工程，提升人民群众获得感</w:t>
      </w:r>
      <w:r>
        <w:rPr>
          <w:w w:val="95"/>
        </w:rPr>
        <w:tab/>
      </w:r>
      <w:r>
        <w:rPr>
          <w:rFonts w:hint="default"/>
          <w:w w:val="95"/>
        </w:rPr>
        <w:t>（3</w:t>
      </w:r>
      <w:r>
        <w:rPr>
          <w:rFonts w:hint="eastAsia"/>
          <w:w w:val="95"/>
          <w:lang w:val="en-US" w:eastAsia="zh-CN"/>
        </w:rPr>
        <w:t>0</w:t>
      </w:r>
      <w:r>
        <w:rPr>
          <w:rFonts w:hint="default"/>
          <w:w w:val="89"/>
        </w:rPr>
        <w:t>）</w:t>
      </w:r>
      <w:r>
        <w:rPr>
          <w:w w:val="89"/>
        </w:rPr>
        <w:fldChar w:fldCharType="end"/>
      </w:r>
    </w:p>
    <w:p>
      <w:pPr>
        <w:pStyle w:val="13"/>
        <w:tabs>
          <w:tab w:val="right" w:leader="dot" w:pos="8306"/>
        </w:tabs>
        <w:spacing w:line="560" w:lineRule="exact"/>
        <w:rPr>
          <w:w w:val="100"/>
        </w:rPr>
      </w:pPr>
      <w:r>
        <w:rPr>
          <w:w w:val="100"/>
        </w:rPr>
        <w:fldChar w:fldCharType="begin"/>
      </w:r>
      <w:r>
        <w:rPr>
          <w:w w:val="100"/>
        </w:rPr>
        <w:instrText xml:space="preserve"> HYPERLINK \l "_Toc28315"</w:instrText>
      </w:r>
      <w:r>
        <w:rPr>
          <w:w w:val="100"/>
        </w:rPr>
        <w:fldChar w:fldCharType="separate"/>
      </w:r>
      <w:r>
        <w:rPr>
          <w:rFonts w:hint="default"/>
          <w:w w:val="100"/>
        </w:rPr>
        <w:t>（一）全面支撑乡村振兴</w:t>
      </w:r>
      <w:r>
        <w:rPr>
          <w:w w:val="100"/>
        </w:rPr>
        <w:tab/>
      </w:r>
      <w:r>
        <w:rPr>
          <w:rFonts w:hint="default"/>
          <w:w w:val="89"/>
        </w:rPr>
        <w:t>（3</w:t>
      </w:r>
      <w:r>
        <w:rPr>
          <w:rFonts w:hint="eastAsia"/>
          <w:w w:val="89"/>
          <w:lang w:val="en-US" w:eastAsia="zh-CN"/>
        </w:rPr>
        <w:t>0</w:t>
      </w:r>
      <w:r>
        <w:rPr>
          <w:rFonts w:hint="default"/>
          <w:w w:val="89"/>
        </w:rPr>
        <w:t>）</w:t>
      </w:r>
      <w:r>
        <w:rPr>
          <w:w w:val="100"/>
        </w:rPr>
        <w:fldChar w:fldCharType="end"/>
      </w:r>
    </w:p>
    <w:p>
      <w:pPr>
        <w:pStyle w:val="13"/>
        <w:tabs>
          <w:tab w:val="right" w:leader="dot" w:pos="8306"/>
        </w:tabs>
        <w:spacing w:line="560" w:lineRule="exact"/>
        <w:rPr>
          <w:w w:val="100"/>
        </w:rPr>
      </w:pPr>
      <w:r>
        <w:rPr>
          <w:w w:val="100"/>
        </w:rPr>
        <w:fldChar w:fldCharType="begin"/>
      </w:r>
      <w:r>
        <w:rPr>
          <w:w w:val="100"/>
        </w:rPr>
        <w:instrText xml:space="preserve"> HYPERLINK \l "_Toc31558" </w:instrText>
      </w:r>
      <w:r>
        <w:rPr>
          <w:w w:val="100"/>
        </w:rPr>
        <w:fldChar w:fldCharType="separate"/>
      </w:r>
      <w:r>
        <w:rPr>
          <w:rFonts w:hint="default"/>
          <w:w w:val="100"/>
        </w:rPr>
        <w:t>（二）推动生命健康领域科技创新</w:t>
      </w:r>
      <w:r>
        <w:rPr>
          <w:w w:val="100"/>
        </w:rPr>
        <w:tab/>
      </w:r>
      <w:r>
        <w:rPr>
          <w:w w:val="100"/>
        </w:rPr>
        <w:fldChar w:fldCharType="end"/>
      </w:r>
      <w:r>
        <w:rPr>
          <w:rFonts w:hint="default"/>
          <w:w w:val="89"/>
        </w:rPr>
        <w:t>（3</w:t>
      </w:r>
      <w:r>
        <w:rPr>
          <w:rFonts w:hint="eastAsia"/>
          <w:w w:val="89"/>
          <w:lang w:val="en-US" w:eastAsia="zh-CN"/>
        </w:rPr>
        <w:t>1</w:t>
      </w:r>
      <w:r>
        <w:rPr>
          <w:rFonts w:hint="default"/>
          <w:w w:val="89"/>
        </w:rPr>
        <w:t>）</w:t>
      </w:r>
    </w:p>
    <w:p>
      <w:pPr>
        <w:pStyle w:val="13"/>
        <w:tabs>
          <w:tab w:val="right" w:leader="dot" w:pos="8306"/>
        </w:tabs>
        <w:spacing w:line="560" w:lineRule="exact"/>
        <w:rPr>
          <w:w w:val="100"/>
        </w:rPr>
      </w:pPr>
      <w:r>
        <w:rPr>
          <w:w w:val="100"/>
        </w:rPr>
        <w:fldChar w:fldCharType="begin"/>
      </w:r>
      <w:r>
        <w:rPr>
          <w:w w:val="100"/>
        </w:rPr>
        <w:instrText xml:space="preserve"> HYPERLINK \l "_Toc23540"</w:instrText>
      </w:r>
      <w:r>
        <w:rPr>
          <w:w w:val="100"/>
        </w:rPr>
        <w:fldChar w:fldCharType="separate"/>
      </w:r>
      <w:r>
        <w:rPr>
          <w:rFonts w:hint="default"/>
          <w:w w:val="100"/>
        </w:rPr>
        <w:t>（三）强化“碳达峰碳中和”科技支撑</w:t>
      </w:r>
      <w:r>
        <w:rPr>
          <w:w w:val="100"/>
        </w:rPr>
        <w:tab/>
      </w:r>
      <w:r>
        <w:rPr>
          <w:rFonts w:hint="default"/>
          <w:w w:val="89"/>
        </w:rPr>
        <w:t>（3</w:t>
      </w:r>
      <w:r>
        <w:rPr>
          <w:rFonts w:hint="eastAsia"/>
          <w:w w:val="89"/>
          <w:lang w:val="en-US" w:eastAsia="zh-CN"/>
        </w:rPr>
        <w:t>1</w:t>
      </w:r>
      <w:r>
        <w:rPr>
          <w:rFonts w:hint="default"/>
          <w:w w:val="89"/>
        </w:rPr>
        <w:t>）</w:t>
      </w:r>
      <w:r>
        <w:rPr>
          <w:w w:val="100"/>
        </w:rPr>
        <w:fldChar w:fldCharType="end"/>
      </w:r>
    </w:p>
    <w:p>
      <w:pPr>
        <w:pStyle w:val="13"/>
        <w:tabs>
          <w:tab w:val="right" w:leader="dot" w:pos="8306"/>
        </w:tabs>
        <w:spacing w:line="560" w:lineRule="exact"/>
        <w:rPr>
          <w:w w:val="100"/>
        </w:rPr>
      </w:pPr>
      <w:r>
        <w:rPr>
          <w:w w:val="100"/>
        </w:rPr>
        <w:fldChar w:fldCharType="begin"/>
      </w:r>
      <w:r>
        <w:rPr>
          <w:w w:val="100"/>
        </w:rPr>
        <w:instrText xml:space="preserve"> HYPERLINK \l "_Toc7" </w:instrText>
      </w:r>
      <w:r>
        <w:rPr>
          <w:w w:val="100"/>
        </w:rPr>
        <w:fldChar w:fldCharType="separate"/>
      </w:r>
      <w:r>
        <w:rPr>
          <w:rFonts w:hint="default"/>
          <w:w w:val="100"/>
        </w:rPr>
        <w:t>（四）强化科技支撑社会可持续发展</w:t>
      </w:r>
      <w:r>
        <w:rPr>
          <w:w w:val="100"/>
        </w:rPr>
        <w:tab/>
      </w:r>
      <w:r>
        <w:rPr>
          <w:w w:val="100"/>
        </w:rPr>
        <w:fldChar w:fldCharType="end"/>
      </w:r>
      <w:r>
        <w:rPr>
          <w:rFonts w:hint="default"/>
          <w:w w:val="89"/>
        </w:rPr>
        <w:t>（3</w:t>
      </w:r>
      <w:r>
        <w:rPr>
          <w:rFonts w:hint="eastAsia"/>
          <w:w w:val="89"/>
          <w:lang w:val="en-US" w:eastAsia="zh-CN"/>
        </w:rPr>
        <w:t>1</w:t>
      </w:r>
      <w:r>
        <w:rPr>
          <w:rFonts w:hint="default"/>
          <w:w w:val="89"/>
        </w:rPr>
        <w:t>）</w:t>
      </w:r>
    </w:p>
    <w:p>
      <w:pPr>
        <w:pStyle w:val="12"/>
        <w:tabs>
          <w:tab w:val="right" w:leader="dot" w:pos="8306"/>
        </w:tabs>
        <w:spacing w:line="560" w:lineRule="exact"/>
        <w:rPr>
          <w:w w:val="93"/>
        </w:rPr>
      </w:pPr>
      <w:r>
        <w:rPr>
          <w:w w:val="93"/>
        </w:rPr>
        <w:fldChar w:fldCharType="begin"/>
      </w:r>
      <w:r>
        <w:rPr>
          <w:w w:val="93"/>
        </w:rPr>
        <w:instrText xml:space="preserve"> HYPERLINK \l "_Toc29414"</w:instrText>
      </w:r>
      <w:r>
        <w:rPr>
          <w:w w:val="93"/>
        </w:rPr>
        <w:fldChar w:fldCharType="separate"/>
      </w:r>
      <w:r>
        <w:rPr>
          <w:rFonts w:ascii="黑体" w:eastAsia="黑体"/>
          <w:w w:val="93"/>
          <w:szCs w:val="32"/>
        </w:rPr>
        <w:t>九、实施科技合作开放深化工程，构建双循环创新大网络</w:t>
      </w:r>
      <w:r>
        <w:rPr>
          <w:w w:val="93"/>
        </w:rPr>
        <w:tab/>
      </w:r>
      <w:r>
        <w:rPr>
          <w:w w:val="93"/>
        </w:rPr>
        <w:fldChar w:fldCharType="end"/>
      </w:r>
      <w:r>
        <w:rPr>
          <w:rFonts w:hint="eastAsia"/>
          <w:w w:val="93"/>
        </w:rPr>
        <w:t>（3</w:t>
      </w:r>
      <w:r>
        <w:rPr>
          <w:rFonts w:hint="eastAsia"/>
          <w:w w:val="93"/>
          <w:lang w:val="en-US" w:eastAsia="zh-CN"/>
        </w:rPr>
        <w:t>2</w:t>
      </w:r>
      <w:r>
        <w:rPr>
          <w:rFonts w:hint="eastAsia"/>
          <w:w w:val="93"/>
        </w:rPr>
        <w:t>）</w:t>
      </w:r>
    </w:p>
    <w:p>
      <w:pPr>
        <w:pStyle w:val="13"/>
        <w:tabs>
          <w:tab w:val="right" w:leader="dot" w:pos="8306"/>
        </w:tabs>
        <w:spacing w:line="560" w:lineRule="exact"/>
        <w:rPr>
          <w:w w:val="100"/>
        </w:rPr>
      </w:pPr>
      <w:r>
        <w:rPr>
          <w:w w:val="100"/>
        </w:rPr>
        <w:fldChar w:fldCharType="begin"/>
      </w:r>
      <w:r>
        <w:rPr>
          <w:w w:val="100"/>
        </w:rPr>
        <w:instrText xml:space="preserve"> HYPERLINK \l "_Toc10419"</w:instrText>
      </w:r>
      <w:r>
        <w:rPr>
          <w:w w:val="100"/>
        </w:rPr>
        <w:fldChar w:fldCharType="separate"/>
      </w:r>
      <w:r>
        <w:rPr>
          <w:rFonts w:hint="default"/>
          <w:w w:val="100"/>
        </w:rPr>
        <w:t>（一）深化国内科技合作</w:t>
      </w:r>
      <w:r>
        <w:rPr>
          <w:w w:val="100"/>
        </w:rPr>
        <w:tab/>
      </w:r>
      <w:r>
        <w:rPr>
          <w:rFonts w:hint="default"/>
          <w:w w:val="89"/>
        </w:rPr>
        <w:t>（3</w:t>
      </w:r>
      <w:r>
        <w:rPr>
          <w:rFonts w:hint="eastAsia"/>
          <w:w w:val="89"/>
          <w:lang w:val="en-US" w:eastAsia="zh-CN"/>
        </w:rPr>
        <w:t>2</w:t>
      </w:r>
      <w:r>
        <w:rPr>
          <w:rFonts w:hint="default"/>
          <w:w w:val="89"/>
        </w:rPr>
        <w:t>）</w:t>
      </w:r>
      <w:r>
        <w:rPr>
          <w:w w:val="100"/>
        </w:rPr>
        <w:fldChar w:fldCharType="end"/>
      </w:r>
    </w:p>
    <w:p>
      <w:pPr>
        <w:pStyle w:val="13"/>
        <w:tabs>
          <w:tab w:val="right" w:leader="dot" w:pos="8306"/>
        </w:tabs>
        <w:spacing w:line="560" w:lineRule="exact"/>
        <w:rPr>
          <w:w w:val="100"/>
        </w:rPr>
      </w:pPr>
      <w:r>
        <w:rPr>
          <w:w w:val="100"/>
        </w:rPr>
        <w:fldChar w:fldCharType="begin"/>
      </w:r>
      <w:r>
        <w:rPr>
          <w:w w:val="100"/>
        </w:rPr>
        <w:instrText xml:space="preserve"> HYPERLINK \l "_Toc6397" </w:instrText>
      </w:r>
      <w:r>
        <w:rPr>
          <w:w w:val="100"/>
        </w:rPr>
        <w:fldChar w:fldCharType="separate"/>
      </w:r>
      <w:r>
        <w:rPr>
          <w:rFonts w:hint="default"/>
          <w:w w:val="100"/>
        </w:rPr>
        <w:t>（二）积极开展海外科技合作</w:t>
      </w:r>
      <w:r>
        <w:rPr>
          <w:w w:val="100"/>
        </w:rPr>
        <w:tab/>
      </w:r>
      <w:r>
        <w:rPr>
          <w:w w:val="100"/>
        </w:rPr>
        <w:fldChar w:fldCharType="end"/>
      </w:r>
      <w:r>
        <w:rPr>
          <w:rFonts w:hint="default"/>
          <w:w w:val="89"/>
        </w:rPr>
        <w:t>（3</w:t>
      </w:r>
      <w:r>
        <w:rPr>
          <w:rFonts w:hint="eastAsia"/>
          <w:w w:val="89"/>
          <w:lang w:val="en-US" w:eastAsia="zh-CN"/>
        </w:rPr>
        <w:t>3</w:t>
      </w:r>
      <w:r>
        <w:rPr>
          <w:rFonts w:hint="default"/>
          <w:w w:val="89"/>
        </w:rPr>
        <w:t>）</w:t>
      </w:r>
    </w:p>
    <w:p>
      <w:pPr>
        <w:pStyle w:val="13"/>
        <w:tabs>
          <w:tab w:val="right" w:leader="dot" w:pos="8306"/>
        </w:tabs>
        <w:spacing w:line="560" w:lineRule="exact"/>
        <w:rPr>
          <w:w w:val="100"/>
        </w:rPr>
      </w:pPr>
      <w:r>
        <w:rPr>
          <w:w w:val="100"/>
        </w:rPr>
        <w:fldChar w:fldCharType="begin"/>
      </w:r>
      <w:r>
        <w:rPr>
          <w:w w:val="100"/>
        </w:rPr>
        <w:instrText xml:space="preserve"> HYPERLINK \l "_Toc7229" </w:instrText>
      </w:r>
      <w:r>
        <w:rPr>
          <w:w w:val="100"/>
        </w:rPr>
        <w:fldChar w:fldCharType="separate"/>
      </w:r>
      <w:r>
        <w:rPr>
          <w:rFonts w:hint="default"/>
          <w:w w:val="100"/>
        </w:rPr>
        <w:t>（</w:t>
      </w:r>
      <w:r>
        <w:rPr>
          <w:w w:val="100"/>
        </w:rPr>
        <w:t>三</w:t>
      </w:r>
      <w:r>
        <w:rPr>
          <w:rFonts w:hint="default"/>
          <w:w w:val="100"/>
        </w:rPr>
        <w:t>）推动市县协同创新</w:t>
      </w:r>
      <w:r>
        <w:rPr>
          <w:w w:val="100"/>
        </w:rPr>
        <w:tab/>
      </w:r>
      <w:r>
        <w:rPr>
          <w:w w:val="100"/>
        </w:rPr>
        <w:fldChar w:fldCharType="end"/>
      </w:r>
      <w:r>
        <w:rPr>
          <w:rFonts w:hint="default"/>
          <w:w w:val="89"/>
        </w:rPr>
        <w:t>（3</w:t>
      </w:r>
      <w:r>
        <w:rPr>
          <w:rFonts w:hint="eastAsia"/>
          <w:w w:val="89"/>
          <w:lang w:val="en-US" w:eastAsia="zh-CN"/>
        </w:rPr>
        <w:t>3</w:t>
      </w:r>
      <w:r>
        <w:rPr>
          <w:rFonts w:hint="default"/>
          <w:w w:val="89"/>
        </w:rPr>
        <w:t>）</w:t>
      </w:r>
    </w:p>
    <w:p>
      <w:pPr>
        <w:pStyle w:val="12"/>
        <w:tabs>
          <w:tab w:val="right" w:leader="dot" w:pos="8306"/>
        </w:tabs>
        <w:spacing w:line="560" w:lineRule="exact"/>
        <w:rPr>
          <w:w w:val="89"/>
        </w:rPr>
      </w:pPr>
      <w:r>
        <w:rPr>
          <w:w w:val="89"/>
        </w:rPr>
        <w:fldChar w:fldCharType="begin"/>
      </w:r>
      <w:r>
        <w:rPr>
          <w:w w:val="89"/>
        </w:rPr>
        <w:instrText xml:space="preserve"> HYPERLINK \l "_Toc14996" </w:instrText>
      </w:r>
      <w:r>
        <w:rPr>
          <w:w w:val="89"/>
        </w:rPr>
        <w:fldChar w:fldCharType="separate"/>
      </w:r>
      <w:r>
        <w:rPr>
          <w:rFonts w:ascii="黑体" w:eastAsia="黑体"/>
          <w:w w:val="95"/>
          <w:sz w:val="32"/>
          <w:szCs w:val="32"/>
        </w:rPr>
        <w:t>十、实施创新治理体系现代化工程，营造良好创新生态</w:t>
      </w:r>
      <w:r>
        <w:rPr>
          <w:w w:val="89"/>
        </w:rPr>
        <w:tab/>
      </w:r>
      <w:r>
        <w:rPr>
          <w:w w:val="89"/>
        </w:rPr>
        <w:fldChar w:fldCharType="end"/>
      </w:r>
      <w:r>
        <w:rPr>
          <w:rFonts w:hint="default"/>
          <w:w w:val="89"/>
        </w:rPr>
        <w:t>（3</w:t>
      </w:r>
      <w:r>
        <w:rPr>
          <w:rFonts w:hint="eastAsia"/>
          <w:w w:val="89"/>
          <w:lang w:val="en-US" w:eastAsia="zh-CN"/>
        </w:rPr>
        <w:t>6</w:t>
      </w:r>
      <w:r>
        <w:rPr>
          <w:rFonts w:hint="default"/>
          <w:w w:val="89"/>
        </w:rPr>
        <w:t>）</w:t>
      </w:r>
    </w:p>
    <w:p>
      <w:pPr>
        <w:pStyle w:val="13"/>
        <w:tabs>
          <w:tab w:val="right" w:leader="dot" w:pos="8306"/>
        </w:tabs>
        <w:spacing w:line="560" w:lineRule="exact"/>
        <w:rPr>
          <w:w w:val="100"/>
        </w:rPr>
      </w:pPr>
      <w:r>
        <w:rPr>
          <w:w w:val="100"/>
        </w:rPr>
        <w:fldChar w:fldCharType="begin"/>
      </w:r>
      <w:r>
        <w:rPr>
          <w:w w:val="100"/>
        </w:rPr>
        <w:instrText xml:space="preserve"> HYPERLINK \l "_Toc14848"</w:instrText>
      </w:r>
      <w:r>
        <w:rPr>
          <w:w w:val="100"/>
        </w:rPr>
        <w:fldChar w:fldCharType="separate"/>
      </w:r>
      <w:r>
        <w:rPr>
          <w:rFonts w:hint="default"/>
          <w:w w:val="100"/>
        </w:rPr>
        <w:t>（一）加快科技管理体制改革</w:t>
      </w:r>
      <w:r>
        <w:rPr>
          <w:w w:val="100"/>
        </w:rPr>
        <w:tab/>
      </w:r>
      <w:r>
        <w:rPr>
          <w:rFonts w:hint="default"/>
          <w:w w:val="89"/>
        </w:rPr>
        <w:t>（3</w:t>
      </w:r>
      <w:r>
        <w:rPr>
          <w:rFonts w:hint="eastAsia"/>
          <w:w w:val="89"/>
          <w:lang w:val="en-US" w:eastAsia="zh-CN"/>
        </w:rPr>
        <w:t>6</w:t>
      </w:r>
      <w:r>
        <w:rPr>
          <w:rFonts w:hint="default"/>
          <w:w w:val="89"/>
        </w:rPr>
        <w:t>）</w:t>
      </w:r>
      <w:r>
        <w:rPr>
          <w:w w:val="100"/>
        </w:rPr>
        <w:fldChar w:fldCharType="end"/>
      </w:r>
    </w:p>
    <w:p>
      <w:pPr>
        <w:pStyle w:val="13"/>
        <w:tabs>
          <w:tab w:val="right" w:leader="dot" w:pos="8306"/>
        </w:tabs>
        <w:spacing w:line="560" w:lineRule="exact"/>
        <w:rPr>
          <w:w w:val="100"/>
        </w:rPr>
      </w:pPr>
      <w:r>
        <w:rPr>
          <w:w w:val="100"/>
        </w:rPr>
        <w:fldChar w:fldCharType="begin"/>
      </w:r>
      <w:r>
        <w:rPr>
          <w:w w:val="100"/>
        </w:rPr>
        <w:instrText xml:space="preserve"> HYPERLINK \l "_Toc29784"</w:instrText>
      </w:r>
      <w:r>
        <w:rPr>
          <w:w w:val="100"/>
        </w:rPr>
        <w:fldChar w:fldCharType="separate"/>
      </w:r>
      <w:r>
        <w:rPr>
          <w:rFonts w:hint="default"/>
          <w:w w:val="100"/>
        </w:rPr>
        <w:t>（二）推进科技领域数字化改革</w:t>
      </w:r>
      <w:r>
        <w:rPr>
          <w:w w:val="100"/>
        </w:rPr>
        <w:tab/>
      </w:r>
      <w:r>
        <w:rPr>
          <w:rFonts w:hint="default"/>
          <w:w w:val="89"/>
        </w:rPr>
        <w:t>（3</w:t>
      </w:r>
      <w:r>
        <w:rPr>
          <w:rFonts w:hint="eastAsia"/>
          <w:w w:val="89"/>
          <w:lang w:val="en-US" w:eastAsia="zh-CN"/>
        </w:rPr>
        <w:t>6</w:t>
      </w:r>
      <w:r>
        <w:rPr>
          <w:rFonts w:hint="default"/>
          <w:w w:val="89"/>
        </w:rPr>
        <w:t>）</w:t>
      </w:r>
      <w:r>
        <w:rPr>
          <w:w w:val="100"/>
        </w:rPr>
        <w:fldChar w:fldCharType="end"/>
      </w:r>
    </w:p>
    <w:p>
      <w:pPr>
        <w:pStyle w:val="13"/>
        <w:tabs>
          <w:tab w:val="right" w:leader="dot" w:pos="8306"/>
        </w:tabs>
        <w:spacing w:line="560" w:lineRule="exact"/>
        <w:rPr>
          <w:w w:val="100"/>
        </w:rPr>
      </w:pPr>
      <w:r>
        <w:rPr>
          <w:w w:val="100"/>
        </w:rPr>
        <w:fldChar w:fldCharType="begin"/>
      </w:r>
      <w:r>
        <w:rPr>
          <w:w w:val="100"/>
        </w:rPr>
        <w:instrText xml:space="preserve"> HYPERLINK \l "_Toc938" </w:instrText>
      </w:r>
      <w:r>
        <w:rPr>
          <w:w w:val="100"/>
        </w:rPr>
        <w:fldChar w:fldCharType="separate"/>
      </w:r>
      <w:r>
        <w:rPr>
          <w:rFonts w:hint="default"/>
          <w:w w:val="100"/>
        </w:rPr>
        <w:t>（三）加强科技金融融合</w:t>
      </w:r>
      <w:r>
        <w:rPr>
          <w:w w:val="100"/>
        </w:rPr>
        <w:tab/>
      </w:r>
      <w:r>
        <w:rPr>
          <w:w w:val="100"/>
        </w:rPr>
        <w:fldChar w:fldCharType="end"/>
      </w:r>
      <w:r>
        <w:rPr>
          <w:rFonts w:hint="default"/>
          <w:w w:val="89"/>
        </w:rPr>
        <w:t>（3</w:t>
      </w:r>
      <w:r>
        <w:rPr>
          <w:rFonts w:hint="eastAsia"/>
          <w:w w:val="89"/>
          <w:lang w:val="en-US" w:eastAsia="zh-CN"/>
        </w:rPr>
        <w:t>7</w:t>
      </w:r>
      <w:r>
        <w:rPr>
          <w:rFonts w:hint="default"/>
          <w:w w:val="89"/>
        </w:rPr>
        <w:t>）</w:t>
      </w:r>
    </w:p>
    <w:p>
      <w:pPr>
        <w:pStyle w:val="13"/>
        <w:tabs>
          <w:tab w:val="right" w:leader="dot" w:pos="8306"/>
        </w:tabs>
        <w:spacing w:line="560" w:lineRule="exact"/>
        <w:rPr>
          <w:w w:val="100"/>
        </w:rPr>
      </w:pPr>
      <w:r>
        <w:rPr>
          <w:w w:val="100"/>
        </w:rPr>
        <w:fldChar w:fldCharType="begin"/>
      </w:r>
      <w:r>
        <w:rPr>
          <w:w w:val="100"/>
        </w:rPr>
        <w:instrText xml:space="preserve"> HYPERLINK \l "_Toc8722" </w:instrText>
      </w:r>
      <w:r>
        <w:rPr>
          <w:w w:val="100"/>
        </w:rPr>
        <w:fldChar w:fldCharType="separate"/>
      </w:r>
      <w:r>
        <w:rPr>
          <w:rFonts w:hint="default"/>
          <w:w w:val="100"/>
        </w:rPr>
        <w:t>（四）健全知识产权法治环境</w:t>
      </w:r>
      <w:r>
        <w:rPr>
          <w:w w:val="100"/>
        </w:rPr>
        <w:tab/>
      </w:r>
      <w:r>
        <w:rPr>
          <w:w w:val="100"/>
        </w:rPr>
        <w:fldChar w:fldCharType="end"/>
      </w:r>
      <w:r>
        <w:rPr>
          <w:rFonts w:hint="default"/>
          <w:w w:val="89"/>
        </w:rPr>
        <w:t>（3</w:t>
      </w:r>
      <w:r>
        <w:rPr>
          <w:rFonts w:hint="eastAsia"/>
          <w:w w:val="89"/>
          <w:lang w:val="en-US" w:eastAsia="zh-CN"/>
        </w:rPr>
        <w:t>8</w:t>
      </w:r>
      <w:r>
        <w:rPr>
          <w:rFonts w:hint="default"/>
          <w:w w:val="89"/>
        </w:rPr>
        <w:t>）</w:t>
      </w:r>
    </w:p>
    <w:p>
      <w:pPr>
        <w:pStyle w:val="13"/>
        <w:tabs>
          <w:tab w:val="right" w:leader="dot" w:pos="8306"/>
        </w:tabs>
        <w:spacing w:line="560" w:lineRule="exact"/>
        <w:rPr>
          <w:w w:val="100"/>
        </w:rPr>
      </w:pPr>
      <w:r>
        <w:rPr>
          <w:w w:val="100"/>
        </w:rPr>
        <w:fldChar w:fldCharType="begin"/>
      </w:r>
      <w:r>
        <w:rPr>
          <w:w w:val="100"/>
        </w:rPr>
        <w:instrText xml:space="preserve"> HYPERLINK \l "_Toc2927" </w:instrText>
      </w:r>
      <w:r>
        <w:rPr>
          <w:w w:val="100"/>
        </w:rPr>
        <w:fldChar w:fldCharType="separate"/>
      </w:r>
      <w:r>
        <w:rPr>
          <w:rFonts w:hint="default"/>
          <w:w w:val="100"/>
        </w:rPr>
        <w:t>（五）强化创新氛围营造</w:t>
      </w:r>
      <w:r>
        <w:rPr>
          <w:w w:val="100"/>
        </w:rPr>
        <w:tab/>
      </w:r>
      <w:r>
        <w:rPr>
          <w:w w:val="100"/>
        </w:rPr>
        <w:fldChar w:fldCharType="end"/>
      </w:r>
      <w:r>
        <w:rPr>
          <w:rFonts w:hint="default"/>
          <w:w w:val="89"/>
        </w:rPr>
        <w:t>（</w:t>
      </w:r>
      <w:r>
        <w:rPr>
          <w:rFonts w:hint="default"/>
          <w:w w:val="89"/>
          <w:lang w:eastAsia="zh-CN"/>
        </w:rPr>
        <w:t>3</w:t>
      </w:r>
      <w:r>
        <w:rPr>
          <w:rFonts w:hint="eastAsia"/>
          <w:w w:val="89"/>
          <w:lang w:val="en-US" w:eastAsia="zh-CN"/>
        </w:rPr>
        <w:t>8</w:t>
      </w:r>
      <w:r>
        <w:rPr>
          <w:rFonts w:hint="default"/>
          <w:w w:val="89"/>
        </w:rPr>
        <w:t>）</w:t>
      </w:r>
    </w:p>
    <w:p>
      <w:pPr>
        <w:pStyle w:val="12"/>
        <w:tabs>
          <w:tab w:val="right" w:leader="dot" w:pos="8306"/>
        </w:tabs>
        <w:spacing w:line="560" w:lineRule="exact"/>
        <w:rPr>
          <w:w w:val="89"/>
        </w:rPr>
      </w:pPr>
      <w:r>
        <w:rPr>
          <w:w w:val="100"/>
          <w:sz w:val="32"/>
        </w:rPr>
        <w:fldChar w:fldCharType="begin"/>
      </w:r>
      <w:r>
        <w:rPr>
          <w:w w:val="100"/>
          <w:sz w:val="32"/>
        </w:rPr>
        <w:instrText xml:space="preserve"> HYPERLINK \l "_Toc17549"</w:instrText>
      </w:r>
      <w:r>
        <w:rPr>
          <w:w w:val="100"/>
          <w:sz w:val="32"/>
        </w:rPr>
        <w:fldChar w:fldCharType="separate"/>
      </w:r>
      <w:r>
        <w:rPr>
          <w:rFonts w:hint="default" w:ascii="黑体" w:eastAsia="黑体"/>
          <w:w w:val="100"/>
          <w:sz w:val="32"/>
          <w:szCs w:val="32"/>
        </w:rPr>
        <w:t>十一、强化政策供给，保障规划落实</w:t>
      </w:r>
      <w:r>
        <w:rPr>
          <w:w w:val="100"/>
          <w:sz w:val="32"/>
        </w:rPr>
        <w:tab/>
      </w:r>
      <w:r>
        <w:rPr>
          <w:w w:val="100"/>
          <w:sz w:val="32"/>
        </w:rPr>
        <w:fldChar w:fldCharType="end"/>
      </w:r>
      <w:r>
        <w:rPr>
          <w:rFonts w:hint="eastAsia"/>
          <w:w w:val="89"/>
        </w:rPr>
        <w:t>（</w:t>
      </w:r>
      <w:r>
        <w:rPr>
          <w:rFonts w:hint="eastAsia"/>
          <w:w w:val="89"/>
          <w:lang w:val="en-US" w:eastAsia="zh-CN"/>
        </w:rPr>
        <w:t>38</w:t>
      </w:r>
      <w:r>
        <w:rPr>
          <w:rFonts w:hint="default"/>
          <w:w w:val="89"/>
        </w:rPr>
        <w:t>）</w:t>
      </w:r>
    </w:p>
    <w:p>
      <w:pPr>
        <w:pStyle w:val="13"/>
        <w:tabs>
          <w:tab w:val="right" w:leader="dot" w:pos="8306"/>
        </w:tabs>
        <w:spacing w:line="560" w:lineRule="exact"/>
        <w:rPr>
          <w:w w:val="100"/>
        </w:rPr>
      </w:pPr>
      <w:r>
        <w:rPr>
          <w:w w:val="100"/>
        </w:rPr>
        <w:fldChar w:fldCharType="begin"/>
      </w:r>
      <w:r>
        <w:rPr>
          <w:w w:val="100"/>
        </w:rPr>
        <w:instrText xml:space="preserve"> HYPERLINK \l "_Toc12487" </w:instrText>
      </w:r>
      <w:r>
        <w:rPr>
          <w:w w:val="100"/>
        </w:rPr>
        <w:fldChar w:fldCharType="separate"/>
      </w:r>
      <w:r>
        <w:rPr>
          <w:rFonts w:hint="default"/>
          <w:w w:val="100"/>
        </w:rPr>
        <w:t>（一）加强组织领导</w:t>
      </w:r>
      <w:r>
        <w:rPr>
          <w:w w:val="100"/>
        </w:rPr>
        <w:tab/>
      </w:r>
      <w:r>
        <w:rPr>
          <w:w w:val="100"/>
        </w:rPr>
        <w:fldChar w:fldCharType="end"/>
      </w:r>
      <w:r>
        <w:rPr>
          <w:rFonts w:hint="default"/>
          <w:w w:val="89"/>
        </w:rPr>
        <w:t>（</w:t>
      </w:r>
      <w:r>
        <w:rPr>
          <w:rFonts w:hint="eastAsia"/>
          <w:w w:val="89"/>
          <w:lang w:val="en-US" w:eastAsia="zh-CN"/>
        </w:rPr>
        <w:t>38</w:t>
      </w:r>
      <w:r>
        <w:rPr>
          <w:rFonts w:hint="default"/>
          <w:w w:val="89"/>
        </w:rPr>
        <w:t>）</w:t>
      </w:r>
    </w:p>
    <w:p>
      <w:pPr>
        <w:pStyle w:val="13"/>
        <w:tabs>
          <w:tab w:val="right" w:leader="dot" w:pos="8306"/>
        </w:tabs>
        <w:spacing w:line="560" w:lineRule="exact"/>
        <w:rPr>
          <w:w w:val="100"/>
        </w:rPr>
      </w:pPr>
      <w:r>
        <w:rPr>
          <w:w w:val="100"/>
        </w:rPr>
        <w:fldChar w:fldCharType="begin"/>
      </w:r>
      <w:r>
        <w:rPr>
          <w:w w:val="100"/>
        </w:rPr>
        <w:instrText xml:space="preserve"> HYPERLINK \l "_Toc32716" </w:instrText>
      </w:r>
      <w:r>
        <w:rPr>
          <w:w w:val="100"/>
        </w:rPr>
        <w:fldChar w:fldCharType="separate"/>
      </w:r>
      <w:r>
        <w:rPr>
          <w:rFonts w:hint="default"/>
          <w:w w:val="100"/>
        </w:rPr>
        <w:t>（二）加强政策供给</w:t>
      </w:r>
      <w:r>
        <w:rPr>
          <w:w w:val="100"/>
        </w:rPr>
        <w:tab/>
      </w:r>
      <w:r>
        <w:rPr>
          <w:w w:val="100"/>
        </w:rPr>
        <w:fldChar w:fldCharType="end"/>
      </w:r>
      <w:r>
        <w:rPr>
          <w:rFonts w:hint="default"/>
          <w:w w:val="89"/>
        </w:rPr>
        <w:t>（</w:t>
      </w:r>
      <w:r>
        <w:rPr>
          <w:rFonts w:hint="eastAsia"/>
          <w:w w:val="89"/>
          <w:lang w:val="en-US" w:eastAsia="zh-CN"/>
        </w:rPr>
        <w:t>39</w:t>
      </w:r>
      <w:r>
        <w:rPr>
          <w:rFonts w:hint="default"/>
          <w:w w:val="89"/>
        </w:rPr>
        <w:t>）</w:t>
      </w:r>
    </w:p>
    <w:p>
      <w:pPr>
        <w:pStyle w:val="13"/>
        <w:tabs>
          <w:tab w:val="right" w:leader="dot" w:pos="8306"/>
        </w:tabs>
        <w:spacing w:line="560" w:lineRule="exact"/>
        <w:rPr>
          <w:w w:val="100"/>
        </w:rPr>
      </w:pPr>
      <w:r>
        <w:rPr>
          <w:w w:val="100"/>
        </w:rPr>
        <w:fldChar w:fldCharType="begin"/>
      </w:r>
      <w:r>
        <w:rPr>
          <w:w w:val="100"/>
        </w:rPr>
        <w:instrText xml:space="preserve"> HYPERLINK \l "_Toc2129" </w:instrText>
      </w:r>
      <w:r>
        <w:rPr>
          <w:w w:val="100"/>
        </w:rPr>
        <w:fldChar w:fldCharType="separate"/>
      </w:r>
      <w:r>
        <w:rPr>
          <w:rFonts w:hint="default"/>
          <w:w w:val="100"/>
        </w:rPr>
        <w:t>（三）加大财政科技投入</w:t>
      </w:r>
      <w:r>
        <w:rPr>
          <w:w w:val="100"/>
        </w:rPr>
        <w:tab/>
      </w:r>
      <w:r>
        <w:rPr>
          <w:w w:val="100"/>
        </w:rPr>
        <w:fldChar w:fldCharType="end"/>
      </w:r>
      <w:r>
        <w:rPr>
          <w:rFonts w:hint="default"/>
          <w:w w:val="89"/>
        </w:rPr>
        <w:t>（</w:t>
      </w:r>
      <w:r>
        <w:rPr>
          <w:rFonts w:hint="eastAsia"/>
          <w:w w:val="89"/>
          <w:lang w:val="en-US" w:eastAsia="zh-CN"/>
        </w:rPr>
        <w:t>39</w:t>
      </w:r>
      <w:r>
        <w:rPr>
          <w:rFonts w:hint="default"/>
          <w:w w:val="89"/>
        </w:rPr>
        <w:t>）</w:t>
      </w:r>
    </w:p>
    <w:p>
      <w:pPr>
        <w:pStyle w:val="13"/>
        <w:tabs>
          <w:tab w:val="right" w:leader="dot" w:pos="8306"/>
        </w:tabs>
        <w:spacing w:line="560" w:lineRule="exact"/>
        <w:rPr>
          <w:w w:val="100"/>
        </w:rPr>
      </w:pPr>
      <w:r>
        <w:rPr>
          <w:w w:val="100"/>
        </w:rPr>
        <w:fldChar w:fldCharType="begin"/>
      </w:r>
      <w:r>
        <w:rPr>
          <w:w w:val="100"/>
        </w:rPr>
        <w:instrText xml:space="preserve"> HYPERLINK \l "_Toc15352" </w:instrText>
      </w:r>
      <w:r>
        <w:rPr>
          <w:w w:val="100"/>
        </w:rPr>
        <w:fldChar w:fldCharType="separate"/>
      </w:r>
      <w:r>
        <w:rPr>
          <w:rFonts w:hint="default"/>
          <w:w w:val="100"/>
        </w:rPr>
        <w:t>（四）强化考核评价</w:t>
      </w:r>
      <w:r>
        <w:rPr>
          <w:w w:val="100"/>
        </w:rPr>
        <w:tab/>
      </w:r>
      <w:r>
        <w:rPr>
          <w:w w:val="100"/>
        </w:rPr>
        <w:fldChar w:fldCharType="end"/>
      </w:r>
      <w:r>
        <w:rPr>
          <w:rFonts w:hint="default"/>
          <w:w w:val="89"/>
        </w:rPr>
        <w:t>（4</w:t>
      </w:r>
      <w:r>
        <w:rPr>
          <w:rFonts w:hint="eastAsia"/>
          <w:w w:val="89"/>
          <w:lang w:val="en-US" w:eastAsia="zh-CN"/>
        </w:rPr>
        <w:t>0</w:t>
      </w:r>
      <w:r>
        <w:rPr>
          <w:rFonts w:hint="default"/>
          <w:w w:val="89"/>
        </w:rPr>
        <w:t>）</w:t>
      </w:r>
    </w:p>
    <w:p>
      <w:pPr>
        <w:pStyle w:val="12"/>
        <w:tabs>
          <w:tab w:val="right" w:leader="dot" w:pos="8306"/>
        </w:tabs>
        <w:spacing w:line="560" w:lineRule="exact"/>
        <w:rPr>
          <w:w w:val="89"/>
        </w:rPr>
      </w:pPr>
    </w:p>
    <w:p>
      <w:pPr>
        <w:pStyle w:val="12"/>
        <w:tabs>
          <w:tab w:val="right" w:leader="dot" w:pos="8306"/>
        </w:tabs>
        <w:spacing w:line="560" w:lineRule="exact"/>
        <w:rPr>
          <w:w w:val="89"/>
        </w:rPr>
      </w:pPr>
    </w:p>
    <w:p>
      <w:pPr>
        <w:pStyle w:val="12"/>
        <w:tabs>
          <w:tab w:val="right" w:leader="dot" w:pos="8306"/>
        </w:tabs>
        <w:spacing w:line="560" w:lineRule="exact"/>
        <w:rPr>
          <w:rFonts w:ascii="黑体" w:eastAsia="黑体"/>
          <w:w w:val="100"/>
          <w:szCs w:val="32"/>
        </w:rPr>
      </w:pPr>
      <w:r>
        <w:rPr>
          <w:rFonts w:ascii="黑体" w:eastAsia="黑体"/>
          <w:w w:val="100"/>
          <w:szCs w:val="32"/>
        </w:rPr>
        <w:fldChar w:fldCharType="begin"/>
      </w:r>
      <w:r>
        <w:rPr>
          <w:rFonts w:ascii="黑体" w:eastAsia="黑体"/>
          <w:w w:val="100"/>
          <w:szCs w:val="32"/>
        </w:rPr>
        <w:instrText xml:space="preserve"> HYPERLINK \l "_Toc28555"</w:instrText>
      </w:r>
      <w:r>
        <w:rPr>
          <w:rFonts w:ascii="黑体" w:eastAsia="黑体"/>
          <w:w w:val="100"/>
          <w:szCs w:val="32"/>
        </w:rPr>
        <w:fldChar w:fldCharType="separate"/>
      </w:r>
      <w:r>
        <w:rPr>
          <w:rFonts w:hint="default" w:ascii="黑体" w:hAnsi="Times New Roman" w:eastAsia="黑体" w:cs="Times New Roman"/>
          <w:w w:val="100"/>
          <w:szCs w:val="32"/>
        </w:rPr>
        <w:t>附件：1.重大平台</w:t>
      </w:r>
      <w:r>
        <w:rPr>
          <w:rFonts w:ascii="黑体" w:eastAsia="黑体"/>
          <w:w w:val="100"/>
          <w:szCs w:val="32"/>
        </w:rPr>
        <w:tab/>
      </w:r>
      <w:r>
        <w:rPr>
          <w:rFonts w:ascii="黑体" w:eastAsia="黑体"/>
          <w:w w:val="100"/>
          <w:szCs w:val="32"/>
        </w:rPr>
        <w:fldChar w:fldCharType="end"/>
      </w:r>
      <w:r>
        <w:rPr>
          <w:rFonts w:hint="default"/>
          <w:w w:val="89"/>
        </w:rPr>
        <w:t>（4</w:t>
      </w:r>
      <w:r>
        <w:rPr>
          <w:rFonts w:hint="eastAsia"/>
          <w:w w:val="89"/>
          <w:lang w:val="en-US" w:eastAsia="zh-CN"/>
        </w:rPr>
        <w:t>1</w:t>
      </w:r>
      <w:r>
        <w:rPr>
          <w:rFonts w:hint="default"/>
          <w:w w:val="89"/>
        </w:rPr>
        <w:t>）</w:t>
      </w:r>
    </w:p>
    <w:p>
      <w:pPr>
        <w:pStyle w:val="12"/>
        <w:tabs>
          <w:tab w:val="right" w:leader="dot" w:pos="8306"/>
        </w:tabs>
        <w:spacing w:line="560" w:lineRule="exact"/>
        <w:ind w:firstLine="960" w:firstLineChars="300"/>
        <w:rPr>
          <w:rFonts w:ascii="黑体" w:eastAsia="黑体"/>
          <w:w w:val="100"/>
          <w:szCs w:val="32"/>
        </w:rPr>
      </w:pPr>
      <w:r>
        <w:rPr>
          <w:rFonts w:ascii="黑体" w:eastAsia="黑体"/>
          <w:w w:val="100"/>
          <w:szCs w:val="32"/>
        </w:rPr>
        <w:fldChar w:fldCharType="begin"/>
      </w:r>
      <w:r>
        <w:rPr>
          <w:rFonts w:ascii="黑体" w:eastAsia="黑体"/>
          <w:w w:val="100"/>
          <w:szCs w:val="32"/>
        </w:rPr>
        <w:instrText xml:space="preserve"> HYPERLINK \l "_Toc4986"</w:instrText>
      </w:r>
      <w:r>
        <w:rPr>
          <w:rFonts w:ascii="黑体" w:eastAsia="黑体"/>
          <w:w w:val="100"/>
          <w:szCs w:val="32"/>
        </w:rPr>
        <w:fldChar w:fldCharType="separate"/>
      </w:r>
      <w:r>
        <w:rPr>
          <w:rFonts w:hint="default" w:ascii="黑体" w:hAnsi="Times New Roman" w:eastAsia="黑体" w:cs="Times New Roman"/>
          <w:w w:val="100"/>
          <w:szCs w:val="32"/>
        </w:rPr>
        <w:t>2.重大项目</w:t>
      </w:r>
      <w:r>
        <w:rPr>
          <w:rFonts w:ascii="黑体" w:eastAsia="黑体"/>
          <w:w w:val="100"/>
          <w:szCs w:val="32"/>
        </w:rPr>
        <w:tab/>
      </w:r>
      <w:r>
        <w:rPr>
          <w:rFonts w:hint="default"/>
          <w:w w:val="89"/>
        </w:rPr>
        <w:t>（4</w:t>
      </w:r>
      <w:r>
        <w:rPr>
          <w:rFonts w:hint="eastAsia"/>
          <w:w w:val="89"/>
          <w:lang w:val="en-US" w:eastAsia="zh-CN"/>
        </w:rPr>
        <w:t>5</w:t>
      </w:r>
      <w:r>
        <w:rPr>
          <w:rFonts w:hint="default"/>
          <w:w w:val="89"/>
        </w:rPr>
        <w:t>）</w:t>
      </w:r>
      <w:r>
        <w:rPr>
          <w:rFonts w:ascii="黑体" w:eastAsia="黑体"/>
          <w:w w:val="100"/>
          <w:szCs w:val="32"/>
        </w:rPr>
        <w:fldChar w:fldCharType="end"/>
      </w:r>
    </w:p>
    <w:p>
      <w:pPr>
        <w:pStyle w:val="12"/>
        <w:tabs>
          <w:tab w:val="right" w:leader="dot" w:pos="8306"/>
        </w:tabs>
        <w:spacing w:line="560" w:lineRule="exact"/>
        <w:ind w:firstLine="960" w:firstLineChars="300"/>
        <w:rPr>
          <w:rFonts w:ascii="黑体" w:eastAsia="黑体"/>
          <w:w w:val="100"/>
          <w:szCs w:val="32"/>
        </w:rPr>
      </w:pPr>
      <w:r>
        <w:rPr>
          <w:rFonts w:ascii="黑体" w:eastAsia="黑体"/>
          <w:w w:val="100"/>
          <w:szCs w:val="32"/>
        </w:rPr>
        <w:fldChar w:fldCharType="begin"/>
      </w:r>
      <w:r>
        <w:rPr>
          <w:rFonts w:ascii="黑体" w:eastAsia="黑体"/>
          <w:w w:val="100"/>
          <w:szCs w:val="32"/>
        </w:rPr>
        <w:instrText xml:space="preserve"> HYPERLINK \l "_Toc32627"</w:instrText>
      </w:r>
      <w:r>
        <w:rPr>
          <w:rFonts w:ascii="黑体" w:eastAsia="黑体"/>
          <w:w w:val="100"/>
          <w:szCs w:val="32"/>
        </w:rPr>
        <w:fldChar w:fldCharType="separate"/>
      </w:r>
      <w:r>
        <w:rPr>
          <w:rFonts w:hint="default" w:ascii="黑体" w:hAnsi="Times New Roman" w:eastAsia="黑体" w:cs="Times New Roman"/>
          <w:w w:val="100"/>
          <w:szCs w:val="32"/>
        </w:rPr>
        <w:t>3.重大政策</w:t>
      </w:r>
      <w:r>
        <w:rPr>
          <w:rFonts w:ascii="黑体" w:eastAsia="黑体"/>
          <w:w w:val="100"/>
          <w:szCs w:val="32"/>
        </w:rPr>
        <w:tab/>
      </w:r>
      <w:r>
        <w:rPr>
          <w:rFonts w:hint="default"/>
          <w:w w:val="89"/>
        </w:rPr>
        <w:t>（5</w:t>
      </w:r>
      <w:r>
        <w:rPr>
          <w:rFonts w:hint="eastAsia"/>
          <w:w w:val="89"/>
          <w:lang w:val="en-US" w:eastAsia="zh-CN"/>
        </w:rPr>
        <w:t>4</w:t>
      </w:r>
      <w:r>
        <w:rPr>
          <w:rFonts w:hint="default"/>
          <w:w w:val="89"/>
        </w:rPr>
        <w:t>）</w:t>
      </w:r>
      <w:r>
        <w:rPr>
          <w:rFonts w:ascii="黑体" w:eastAsia="黑体"/>
          <w:w w:val="100"/>
          <w:szCs w:val="32"/>
        </w:rPr>
        <w:fldChar w:fldCharType="end"/>
      </w:r>
    </w:p>
    <w:p>
      <w:pPr>
        <w:pStyle w:val="12"/>
        <w:tabs>
          <w:tab w:val="right" w:leader="dot" w:pos="8306"/>
        </w:tabs>
        <w:spacing w:line="560" w:lineRule="exact"/>
        <w:ind w:firstLine="960" w:firstLineChars="300"/>
        <w:rPr>
          <w:w w:val="89"/>
        </w:rPr>
      </w:pPr>
      <w:r>
        <w:rPr>
          <w:rFonts w:ascii="黑体" w:eastAsia="黑体"/>
          <w:w w:val="100"/>
          <w:szCs w:val="32"/>
        </w:rPr>
        <w:fldChar w:fldCharType="begin"/>
      </w:r>
      <w:r>
        <w:rPr>
          <w:rFonts w:ascii="黑体" w:eastAsia="黑体"/>
          <w:w w:val="100"/>
          <w:szCs w:val="32"/>
        </w:rPr>
        <w:instrText xml:space="preserve"> HYPERLINK \l "_Toc14365"</w:instrText>
      </w:r>
      <w:r>
        <w:rPr>
          <w:rFonts w:ascii="黑体" w:eastAsia="黑体"/>
          <w:w w:val="100"/>
          <w:szCs w:val="32"/>
        </w:rPr>
        <w:fldChar w:fldCharType="separate"/>
      </w:r>
      <w:r>
        <w:rPr>
          <w:rFonts w:hint="default" w:ascii="黑体" w:hAnsi="Times New Roman" w:eastAsia="黑体" w:cs="Times New Roman"/>
          <w:w w:val="100"/>
          <w:szCs w:val="32"/>
        </w:rPr>
        <w:t>4.重大改革</w:t>
      </w:r>
      <w:r>
        <w:rPr>
          <w:rFonts w:ascii="黑体" w:eastAsia="黑体"/>
          <w:w w:val="100"/>
          <w:szCs w:val="32"/>
        </w:rPr>
        <w:tab/>
      </w:r>
      <w:r>
        <w:rPr>
          <w:rFonts w:ascii="黑体" w:eastAsia="黑体"/>
          <w:w w:val="100"/>
          <w:szCs w:val="32"/>
        </w:rPr>
        <w:fldChar w:fldCharType="end"/>
      </w:r>
      <w:r>
        <w:rPr>
          <w:rFonts w:hint="default"/>
          <w:w w:val="89"/>
        </w:rPr>
        <w:t>（5</w:t>
      </w:r>
      <w:r>
        <w:rPr>
          <w:rFonts w:hint="eastAsia"/>
          <w:w w:val="89"/>
          <w:lang w:val="en-US" w:eastAsia="zh-CN"/>
        </w:rPr>
        <w:t>5</w:t>
      </w:r>
      <w:r>
        <w:rPr>
          <w:rFonts w:hint="default"/>
          <w:w w:val="89"/>
        </w:rPr>
        <w:t>）</w:t>
      </w:r>
    </w:p>
    <w:p>
      <w:pPr>
        <w:spacing w:line="560" w:lineRule="exact"/>
        <w:rPr>
          <w:rFonts w:ascii="方正楷体_GB2312" w:hAnsi="方正楷体_GB2312" w:eastAsia="方正楷体_GB2312" w:cs="方正楷体_GB2312"/>
          <w:color w:val="000000"/>
          <w:sz w:val="32"/>
          <w:szCs w:val="32"/>
        </w:rPr>
      </w:pPr>
      <w:r>
        <w:rPr>
          <w:rFonts w:hint="eastAsia" w:ascii="方正楷体_GB2312" w:hAnsi="方正楷体_GB2312" w:eastAsia="方正楷体_GB2312" w:cs="方正楷体_GB2312"/>
          <w:color w:val="000000"/>
          <w:w w:val="89"/>
          <w:szCs w:val="32"/>
        </w:rPr>
        <w:fldChar w:fldCharType="end"/>
      </w:r>
    </w:p>
    <w:p>
      <w:pPr>
        <w:spacing w:line="560" w:lineRule="exact"/>
        <w:rPr>
          <w:rFonts w:ascii="方正楷体_GB2312" w:hAnsi="方正楷体_GB2312" w:eastAsia="方正楷体_GB2312" w:cs="方正楷体_GB2312"/>
          <w:color w:val="000000"/>
          <w:kern w:val="0"/>
          <w:sz w:val="32"/>
          <w:szCs w:val="32"/>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pPr>
    </w:p>
    <w:p>
      <w:pPr>
        <w:spacing w:line="560" w:lineRule="exact"/>
        <w:ind w:firstLine="640"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“十四五”时期是温州坚决贯彻新发展理念，深入实施创新驱动发展战略，开启社会主义现代化建设新征程、实现第二个百年奋斗目标的起步期和关键期。根据</w:t>
      </w:r>
      <w:r>
        <w:rPr>
          <w:rFonts w:hint="eastAsia" w:ascii="仿宋_GB2312" w:hAnsi="仿宋_GB2312" w:eastAsia="仿宋_GB2312" w:cs="仿宋_GB2312"/>
          <w:kern w:val="0"/>
          <w:sz w:val="32"/>
          <w:szCs w:val="32"/>
        </w:rPr>
        <w:t>《浙江省国民经济和社会发展第十四个五年规划和二〇三五年远景目标纲要》，《温州市国民经济和社会发展第十四个五年规划和二〇三五年远景目标纲要》</w:t>
      </w:r>
      <w:r>
        <w:rPr>
          <w:rFonts w:hint="eastAsia" w:ascii="仿宋_GB2312" w:hAnsi="仿宋_GB2312" w:eastAsia="仿宋_GB2312" w:cs="仿宋_GB2312"/>
          <w:color w:val="000000"/>
          <w:kern w:val="0"/>
          <w:sz w:val="32"/>
          <w:szCs w:val="32"/>
        </w:rPr>
        <w:t>，特制定本规划。规划主要描绘未来五年温州科技创新发展蓝图，是指导温州“十四五”科学技术发展的重要纲领性文件，规划基准年为2020年，期限为2021-2025年。</w:t>
      </w:r>
    </w:p>
    <w:p>
      <w:pPr>
        <w:pStyle w:val="5"/>
        <w:spacing w:line="560" w:lineRule="exact"/>
        <w:ind w:firstLine="420" w:firstLineChars="0"/>
      </w:pPr>
      <w:bookmarkStart w:id="0" w:name="_Toc57043391"/>
      <w:bookmarkStart w:id="1" w:name="_Toc24576"/>
      <w:bookmarkStart w:id="2" w:name="_Toc26888"/>
      <w:bookmarkStart w:id="3" w:name="_Toc5356"/>
      <w:bookmarkStart w:id="4" w:name="_Toc30208"/>
      <w:bookmarkStart w:id="5" w:name="_Toc32447"/>
      <w:bookmarkStart w:id="6" w:name="_Toc19749"/>
      <w:bookmarkStart w:id="7" w:name="_Toc6111"/>
      <w:bookmarkStart w:id="8" w:name="_Toc16160"/>
      <w:bookmarkStart w:id="9" w:name="_Toc32763"/>
      <w:r>
        <w:rPr>
          <w:rFonts w:hint="eastAsia"/>
        </w:rPr>
        <w:t>一、</w:t>
      </w:r>
      <w:bookmarkEnd w:id="0"/>
      <w:r>
        <w:rPr>
          <w:rFonts w:hint="eastAsia"/>
        </w:rPr>
        <w:t>开启高水平创新型城市建设新征程</w:t>
      </w:r>
      <w:bookmarkEnd w:id="1"/>
      <w:bookmarkEnd w:id="2"/>
      <w:bookmarkEnd w:id="3"/>
      <w:bookmarkEnd w:id="4"/>
      <w:bookmarkEnd w:id="5"/>
      <w:bookmarkEnd w:id="6"/>
      <w:bookmarkEnd w:id="7"/>
      <w:bookmarkEnd w:id="8"/>
      <w:bookmarkEnd w:id="9"/>
    </w:p>
    <w:p>
      <w:pPr>
        <w:pStyle w:val="6"/>
        <w:adjustRightInd w:val="0"/>
        <w:spacing w:before="0" w:after="0" w:line="560" w:lineRule="exact"/>
        <w:ind w:firstLine="640" w:firstLineChars="200"/>
        <w:rPr>
          <w:rFonts w:ascii="楷体_GB2312" w:eastAsia="楷体_GB2312"/>
          <w:b w:val="0"/>
          <w:bCs w:val="0"/>
        </w:rPr>
      </w:pPr>
      <w:bookmarkStart w:id="10" w:name="_Toc17013"/>
      <w:bookmarkStart w:id="11" w:name="_Toc32084"/>
      <w:bookmarkStart w:id="12" w:name="_Toc23369"/>
      <w:bookmarkStart w:id="13" w:name="_Toc57043392"/>
      <w:bookmarkStart w:id="14" w:name="_Toc21561"/>
      <w:bookmarkStart w:id="15" w:name="_Toc5864"/>
      <w:bookmarkStart w:id="16" w:name="_Toc24948"/>
      <w:bookmarkStart w:id="17" w:name="_Toc1989"/>
      <w:bookmarkStart w:id="18" w:name="_Toc28649"/>
      <w:bookmarkStart w:id="19" w:name="_Toc5168"/>
      <w:r>
        <w:rPr>
          <w:rFonts w:hint="eastAsia" w:ascii="楷体_GB2312" w:hAnsi="Calibri Light" w:eastAsia="楷体_GB2312"/>
          <w:b w:val="0"/>
          <w:bCs w:val="0"/>
          <w:szCs w:val="32"/>
        </w:rPr>
        <w:t>（一）</w:t>
      </w:r>
      <w:r>
        <w:rPr>
          <w:rFonts w:hint="eastAsia" w:ascii="楷体_GB2312" w:eastAsia="楷体_GB2312"/>
          <w:b w:val="0"/>
          <w:bCs w:val="0"/>
        </w:rPr>
        <w:t>现实</w:t>
      </w:r>
      <w:r>
        <w:rPr>
          <w:rFonts w:hint="eastAsia" w:ascii="楷体_GB2312" w:hAnsi="Calibri Light" w:eastAsia="楷体_GB2312"/>
          <w:b w:val="0"/>
          <w:bCs w:val="0"/>
          <w:szCs w:val="32"/>
        </w:rPr>
        <w:t>基础</w:t>
      </w:r>
      <w:bookmarkEnd w:id="10"/>
      <w:bookmarkEnd w:id="11"/>
      <w:bookmarkEnd w:id="12"/>
      <w:bookmarkEnd w:id="13"/>
      <w:bookmarkEnd w:id="14"/>
      <w:bookmarkEnd w:id="15"/>
      <w:bookmarkEnd w:id="16"/>
      <w:bookmarkEnd w:id="17"/>
      <w:bookmarkEnd w:id="18"/>
      <w:bookmarkEnd w:id="19"/>
    </w:p>
    <w:p>
      <w:pPr>
        <w:spacing w:line="560" w:lineRule="exact"/>
        <w:ind w:firstLine="640" w:firstLineChars="200"/>
        <w:rPr>
          <w:rFonts w:ascii="仿宋_GB2312" w:hAnsi="华文仿宋" w:eastAsia="仿宋_GB2312" w:cs="华文仿宋"/>
          <w:bCs/>
          <w:color w:val="000000"/>
          <w:sz w:val="32"/>
          <w:szCs w:val="32"/>
        </w:rPr>
      </w:pPr>
      <w:r>
        <w:rPr>
          <w:rFonts w:hint="eastAsia" w:ascii="仿宋_GB2312" w:hAnsi="华文仿宋" w:eastAsia="仿宋_GB2312" w:cs="华文仿宋"/>
          <w:color w:val="000000"/>
          <w:sz w:val="32"/>
          <w:szCs w:val="32"/>
        </w:rPr>
        <w:t>“十三五”期间，在市委、市政府领导下，温州</w:t>
      </w:r>
      <w:r>
        <w:rPr>
          <w:rFonts w:hint="eastAsia" w:ascii="仿宋_GB2312" w:hAnsi="华文仿宋" w:eastAsia="仿宋_GB2312" w:cs="华文仿宋"/>
          <w:bCs/>
          <w:color w:val="000000"/>
          <w:sz w:val="32"/>
          <w:szCs w:val="32"/>
        </w:rPr>
        <w:t>全面深化科技体制改革，深入实施创新驱动发展战略，着力推进国家自主创新示范区建设，</w:t>
      </w:r>
      <w:r>
        <w:rPr>
          <w:rFonts w:hint="eastAsia" w:ascii="仿宋_GB2312" w:hAnsi="华文仿宋" w:eastAsia="仿宋_GB2312" w:cs="华文仿宋"/>
          <w:color w:val="000000"/>
          <w:sz w:val="32"/>
          <w:szCs w:val="32"/>
        </w:rPr>
        <w:t>科技创新事业快速发展。</w:t>
      </w:r>
    </w:p>
    <w:p>
      <w:pPr>
        <w:spacing w:line="560" w:lineRule="exact"/>
        <w:ind w:firstLine="643" w:firstLineChars="200"/>
        <w:rPr>
          <w:rFonts w:ascii="仿宋_GB2312" w:hAnsi="华文仿宋" w:eastAsia="仿宋_GB2312" w:cs="华文仿宋"/>
          <w:b/>
          <w:bCs/>
          <w:color w:val="000000" w:themeColor="text1"/>
          <w:sz w:val="32"/>
          <w:szCs w:val="32"/>
          <w14:textFill>
            <w14:solidFill>
              <w14:schemeClr w14:val="tx1"/>
            </w14:solidFill>
          </w14:textFill>
        </w:rPr>
      </w:pPr>
      <w:r>
        <w:rPr>
          <w:rFonts w:hint="eastAsia" w:ascii="仿宋_GB2312" w:hAnsi="华文仿宋" w:eastAsia="仿宋_GB2312" w:cs="华文仿宋"/>
          <w:b/>
          <w:bCs/>
          <w:color w:val="000000"/>
          <w:sz w:val="32"/>
          <w:szCs w:val="32"/>
        </w:rPr>
        <w:t>1.高能级平台建设有序推进。</w:t>
      </w:r>
      <w:r>
        <w:rPr>
          <w:rFonts w:hint="eastAsia" w:ascii="仿宋_GB2312" w:hAnsi="华文仿宋" w:eastAsia="仿宋_GB2312" w:cs="华文仿宋"/>
          <w:color w:val="000000"/>
          <w:sz w:val="32"/>
          <w:szCs w:val="32"/>
        </w:rPr>
        <w:t>“十三五”期间，有序开展国家自主创新示范区和环大罗山科创走廊建设。中国科学院大学温州研究院、浙江大学温州研究院、科思技术（温州）研究院、光子集成（温州）创新研究院等创新平台加速落地，高能级创新平台逐步发挥成效，累计引进共建创新载体37家。开展科技飞地建设，启用温州（嘉定）科技创新园等科技飞地10家。推进产业创新服务综合体建设，覆盖传统产业和战略性新兴产业，创成省级产业创新服务综合体14家。眼视光学和视觉科学国家重点实验室获科技部批准建设。温州医科大学附属眼视光医院获批国家临床医学研究中心，温州大学获批城镇水污染生态治理技术国家地方联合工程研究中心。高新区“进等升位”成效显现，2020年国家高新区在全国排名第80位，较2018年上升了19位。</w:t>
      </w:r>
      <w:r>
        <w:rPr>
          <w:rFonts w:hint="eastAsia" w:ascii="仿宋_GB2312" w:hAnsi="华文仿宋" w:eastAsia="仿宋_GB2312" w:cs="华文仿宋"/>
          <w:color w:val="000000" w:themeColor="text1"/>
          <w:sz w:val="32"/>
          <w:szCs w:val="32"/>
          <w14:textFill>
            <w14:solidFill>
              <w14:schemeClr w14:val="tx1"/>
            </w14:solidFill>
          </w14:textFill>
        </w:rPr>
        <w:t>国家农业科技园区获批创建，是目前我省两家正在创建的园区之一。</w:t>
      </w:r>
    </w:p>
    <w:p>
      <w:pPr>
        <w:spacing w:line="560" w:lineRule="exact"/>
        <w:ind w:firstLine="643" w:firstLineChars="200"/>
        <w:rPr>
          <w:rFonts w:hint="eastAsia" w:ascii="仿宋_GB2312" w:hAnsi="仿宋_GB2312" w:eastAsia="仿宋_GB2312" w:cs="仿宋_GB2312"/>
          <w:color w:val="FF0000"/>
          <w:sz w:val="32"/>
          <w:szCs w:val="32"/>
        </w:rPr>
      </w:pPr>
      <w:r>
        <w:rPr>
          <w:rFonts w:hint="eastAsia" w:ascii="仿宋_GB2312" w:hAnsi="华文仿宋" w:eastAsia="仿宋_GB2312" w:cs="华文仿宋"/>
          <w:b/>
          <w:bCs/>
          <w:color w:val="000000"/>
          <w:sz w:val="32"/>
          <w:szCs w:val="32"/>
        </w:rPr>
        <w:t>2.</w:t>
      </w:r>
      <w:r>
        <w:rPr>
          <w:rFonts w:hint="eastAsia" w:ascii="仿宋_GB2312" w:hAnsi="华文仿宋" w:eastAsia="仿宋_GB2312" w:cs="华文仿宋"/>
          <w:b/>
          <w:color w:val="000000"/>
          <w:sz w:val="32"/>
          <w:szCs w:val="32"/>
        </w:rPr>
        <w:t>企业创新能力显著提升。</w:t>
      </w:r>
      <w:r>
        <w:rPr>
          <w:rFonts w:hint="eastAsia" w:ascii="仿宋_GB2312" w:hAnsi="华文仿宋" w:eastAsia="仿宋_GB2312" w:cs="华文仿宋"/>
          <w:bCs/>
          <w:color w:val="000000"/>
          <w:sz w:val="32"/>
          <w:szCs w:val="32"/>
        </w:rPr>
        <w:t>从2015年至2020年</w:t>
      </w:r>
      <w:r>
        <w:rPr>
          <w:rFonts w:hint="eastAsia" w:ascii="仿宋_GB2312" w:hAnsi="华文仿宋" w:eastAsia="仿宋_GB2312" w:cs="华文仿宋"/>
          <w:color w:val="000000"/>
          <w:sz w:val="32"/>
          <w:szCs w:val="32"/>
        </w:rPr>
        <w:t>，规上工业企业R&amp;D经费支出从70.61亿元增加到153.59亿元、规上工业企业研发强度从1.63</w:t>
      </w:r>
      <w:r>
        <w:rPr>
          <w:rFonts w:hint="eastAsia" w:ascii="仿宋_GB2312" w:hAnsi="华文仿宋" w:eastAsia="仿宋_GB2312" w:cs="华文仿宋"/>
          <w:color w:val="000000" w:themeColor="text1"/>
          <w:sz w:val="32"/>
          <w:szCs w:val="32"/>
          <w14:textFill>
            <w14:solidFill>
              <w14:schemeClr w14:val="tx1"/>
            </w14:solidFill>
          </w14:textFill>
        </w:rPr>
        <w:t>%提高到</w:t>
      </w:r>
      <w:r>
        <w:rPr>
          <w:rFonts w:hint="eastAsia" w:ascii="仿宋_GB2312" w:eastAsia="仿宋_GB2312"/>
          <w:color w:val="000000" w:themeColor="text1"/>
          <w:sz w:val="32"/>
          <w:szCs w:val="32"/>
          <w14:textFill>
            <w14:solidFill>
              <w14:schemeClr w14:val="tx1"/>
            </w14:solidFill>
          </w14:textFill>
        </w:rPr>
        <w:t>3.03%</w:t>
      </w:r>
      <w:r>
        <w:rPr>
          <w:rFonts w:hint="eastAsia" w:ascii="仿宋_GB2312" w:hAnsi="华文仿宋" w:eastAsia="仿宋_GB2312" w:cs="华文仿宋"/>
          <w:color w:val="000000" w:themeColor="text1"/>
          <w:sz w:val="32"/>
          <w:szCs w:val="32"/>
          <w14:textFill>
            <w14:solidFill>
              <w14:schemeClr w14:val="tx1"/>
            </w14:solidFill>
          </w14:textFill>
        </w:rPr>
        <w:t>、规</w:t>
      </w:r>
      <w:r>
        <w:rPr>
          <w:rFonts w:hint="eastAsia" w:ascii="仿宋_GB2312" w:hAnsi="华文仿宋" w:eastAsia="仿宋_GB2312" w:cs="华文仿宋"/>
          <w:color w:val="000000"/>
          <w:sz w:val="32"/>
          <w:szCs w:val="32"/>
        </w:rPr>
        <w:t>上工业企业研发活动覆盖率从34.82%提高到59.95%、规上工业企业R&amp;D人员占企业就业人员的比重从6.02%提高到9.75%，</w:t>
      </w:r>
      <w:r>
        <w:rPr>
          <w:rFonts w:hint="eastAsia" w:ascii="仿宋_GB2312" w:hAnsi="仿宋_GB2312" w:eastAsia="仿宋_GB2312" w:cs="仿宋_GB2312"/>
          <w:color w:val="000000"/>
          <w:spacing w:val="-4"/>
          <w:sz w:val="32"/>
          <w:szCs w:val="32"/>
        </w:rPr>
        <w:t>研发强度、研发活动覆盖率、研发人员比重均居全省首位；</w:t>
      </w:r>
      <w:r>
        <w:rPr>
          <w:rFonts w:hint="eastAsia" w:ascii="仿宋_GB2312" w:hAnsi="仿宋_GB2312" w:eastAsia="仿宋_GB2312" w:cs="仿宋_GB2312"/>
          <w:color w:val="000000"/>
          <w:sz w:val="32"/>
          <w:szCs w:val="32"/>
        </w:rPr>
        <w:t>省创新型领军企业（含培育）增加到28家；高新技术企业从618家增加到2404家，规上高新技术企业占规上工业企业比重为24.9%，1200多家传统企业改造提升为高新技术企业；高成长科技型企业增加到781家，省科技型中小企业从2652家增加到10340家；</w:t>
      </w:r>
      <w:r>
        <w:rPr>
          <w:rFonts w:hint="eastAsia" w:ascii="仿宋_GB2312" w:hAnsi="仿宋_GB2312" w:eastAsia="仿宋_GB2312" w:cs="仿宋_GB2312"/>
          <w:color w:val="000000" w:themeColor="text1"/>
          <w:sz w:val="32"/>
          <w:szCs w:val="32"/>
          <w14:textFill>
            <w14:solidFill>
              <w14:schemeClr w14:val="tx1"/>
            </w14:solidFill>
          </w14:textFill>
        </w:rPr>
        <w:t>截至</w:t>
      </w:r>
      <w:r>
        <w:rPr>
          <w:rFonts w:hint="eastAsia" w:ascii="仿宋_GB2312" w:hAnsi="仿宋_GB2312" w:eastAsia="仿宋_GB2312" w:cs="仿宋_GB2312"/>
          <w:color w:val="000000" w:themeColor="text1"/>
          <w:sz w:val="32"/>
          <w:szCs w:val="32"/>
          <w:lang w:eastAsia="zh-CN"/>
          <w14:textFill>
            <w14:solidFill>
              <w14:schemeClr w14:val="tx1"/>
            </w14:solidFill>
          </w14:textFill>
        </w:rPr>
        <w:t>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020</w:t>
      </w:r>
      <w:r>
        <w:rPr>
          <w:rFonts w:hint="eastAsia" w:ascii="仿宋_GB2312" w:hAnsi="仿宋_GB2312" w:eastAsia="仿宋_GB2312" w:cs="仿宋_GB2312"/>
          <w:color w:val="000000" w:themeColor="text1"/>
          <w:sz w:val="32"/>
          <w:szCs w:val="32"/>
          <w14:textFill>
            <w14:solidFill>
              <w14:schemeClr w14:val="tx1"/>
            </w14:solidFill>
          </w14:textFill>
        </w:rPr>
        <w:t>年，</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累计建成</w:t>
      </w:r>
      <w:r>
        <w:rPr>
          <w:rFonts w:hint="eastAsia" w:ascii="仿宋_GB2312" w:hAnsi="仿宋_GB2312" w:eastAsia="仿宋_GB2312" w:cs="仿宋_GB2312"/>
          <w:color w:val="000000" w:themeColor="text1"/>
          <w:sz w:val="32"/>
          <w:szCs w:val="32"/>
          <w14:textFill>
            <w14:solidFill>
              <w14:schemeClr w14:val="tx1"/>
            </w14:solidFill>
          </w14:textFill>
        </w:rPr>
        <w:t>国家级企业技术中心6家</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省级企业研究院19</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7</w:t>
      </w:r>
      <w:r>
        <w:rPr>
          <w:rFonts w:hint="eastAsia" w:ascii="仿宋_GB2312" w:hAnsi="仿宋_GB2312" w:eastAsia="仿宋_GB2312" w:cs="仿宋_GB2312"/>
          <w:color w:val="000000" w:themeColor="text1"/>
          <w:sz w:val="32"/>
          <w:szCs w:val="32"/>
          <w14:textFill>
            <w14:solidFill>
              <w14:schemeClr w14:val="tx1"/>
            </w14:solidFill>
          </w14:textFill>
        </w:rPr>
        <w:t>家（其中省级重点企业研究院</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20</w:t>
      </w:r>
      <w:r>
        <w:rPr>
          <w:rFonts w:hint="eastAsia" w:ascii="仿宋_GB2312" w:hAnsi="仿宋_GB2312" w:eastAsia="仿宋_GB2312" w:cs="仿宋_GB2312"/>
          <w:color w:val="000000" w:themeColor="text1"/>
          <w:sz w:val="32"/>
          <w:szCs w:val="32"/>
          <w14:textFill>
            <w14:solidFill>
              <w14:schemeClr w14:val="tx1"/>
            </w14:solidFill>
          </w14:textFill>
        </w:rPr>
        <w:t>家）、省级高新技术企业研发中心484家、市级企业研发中心1369家。</w:t>
      </w:r>
    </w:p>
    <w:p>
      <w:pPr>
        <w:spacing w:line="560" w:lineRule="exact"/>
        <w:ind w:firstLine="643" w:firstLineChars="200"/>
        <w:rPr>
          <w:rFonts w:hint="eastAsia" w:ascii="仿宋_GB2312" w:hAnsi="华文仿宋" w:eastAsia="仿宋_GB2312" w:cs="华文仿宋"/>
          <w:color w:val="000000"/>
          <w:sz w:val="32"/>
          <w:szCs w:val="32"/>
        </w:rPr>
      </w:pPr>
      <w:r>
        <w:rPr>
          <w:rFonts w:hint="eastAsia" w:ascii="仿宋_GB2312" w:hAnsi="华文仿宋" w:eastAsia="仿宋_GB2312" w:cs="华文仿宋"/>
          <w:b/>
          <w:color w:val="000000"/>
          <w:sz w:val="32"/>
          <w:szCs w:val="32"/>
        </w:rPr>
        <w:t>3.高新技术产业快速发展。</w:t>
      </w:r>
      <w:r>
        <w:rPr>
          <w:rFonts w:hint="eastAsia" w:ascii="仿宋_GB2312" w:hAnsi="华文仿宋" w:eastAsia="仿宋_GB2312" w:cs="华文仿宋"/>
          <w:bCs/>
          <w:color w:val="000000"/>
          <w:sz w:val="32"/>
          <w:szCs w:val="32"/>
        </w:rPr>
        <w:t>从2015年至2020年</w:t>
      </w:r>
      <w:r>
        <w:rPr>
          <w:rFonts w:hint="eastAsia" w:ascii="仿宋_GB2312" w:hAnsi="华文仿宋" w:eastAsia="仿宋_GB2312" w:cs="华文仿宋"/>
          <w:color w:val="000000"/>
          <w:sz w:val="32"/>
          <w:szCs w:val="32"/>
        </w:rPr>
        <w:t>，高新技术产业增加值从404.84亿元提高到673.82亿元，高新技术产业增加值占规上工业增加值的比重从39.43%提高到</w:t>
      </w:r>
      <w:r>
        <w:rPr>
          <w:rFonts w:ascii="仿宋_GB2312" w:hAnsi="华文仿宋" w:eastAsia="仿宋_GB2312" w:cs="华文仿宋"/>
          <w:color w:val="000000"/>
          <w:sz w:val="32"/>
          <w:szCs w:val="32"/>
        </w:rPr>
        <w:t>60.90%</w:t>
      </w:r>
      <w:r>
        <w:rPr>
          <w:rFonts w:hint="eastAsia" w:ascii="仿宋_GB2312" w:hAnsi="华文仿宋" w:eastAsia="仿宋_GB2312" w:cs="华文仿宋"/>
          <w:color w:val="000000"/>
          <w:sz w:val="32"/>
          <w:szCs w:val="32"/>
          <w:lang w:eastAsia="zh-CN"/>
        </w:rPr>
        <w:t>，</w:t>
      </w:r>
      <w:r>
        <w:rPr>
          <w:rFonts w:hint="eastAsia" w:ascii="仿宋_GB2312" w:hAnsi="华文仿宋" w:eastAsia="仿宋_GB2312" w:cs="华文仿宋"/>
          <w:color w:val="000000"/>
          <w:sz w:val="32"/>
          <w:szCs w:val="32"/>
        </w:rPr>
        <w:t>高新技术产品出口额从25.4亿元提高到60.6亿元。2020年，高新技术产业投资增速达到20.3%。</w:t>
      </w:r>
    </w:p>
    <w:p>
      <w:pPr>
        <w:spacing w:line="560" w:lineRule="exact"/>
        <w:ind w:firstLine="643" w:firstLineChars="200"/>
        <w:rPr>
          <w:rFonts w:ascii="仿宋_GB2312" w:eastAsia="仿宋_GB2312"/>
          <w:color w:val="000000"/>
          <w:sz w:val="32"/>
          <w:szCs w:val="32"/>
        </w:rPr>
      </w:pPr>
      <w:r>
        <w:rPr>
          <w:rFonts w:hint="eastAsia" w:ascii="仿宋_GB2312" w:hAnsi="华文仿宋" w:eastAsia="仿宋_GB2312" w:cs="华文仿宋"/>
          <w:b/>
          <w:color w:val="000000"/>
          <w:sz w:val="32"/>
          <w:szCs w:val="32"/>
        </w:rPr>
        <w:t>4.科技创新生态不断优化。</w:t>
      </w:r>
      <w:r>
        <w:rPr>
          <w:rFonts w:hint="eastAsia" w:ascii="仿宋_GB2312" w:hAnsi="华文仿宋" w:eastAsia="仿宋_GB2312" w:cs="华文仿宋"/>
          <w:color w:val="000000"/>
          <w:sz w:val="32"/>
          <w:szCs w:val="32"/>
        </w:rPr>
        <w:t>“十三五”期间，科技创新政策日趋完善，制定出台“科技新政”30条，形成覆盖“工业+农业+服务业”等科技产业全链条扶持体系，实现惠企政策兑现直通车；科技成果产出质量明显提升，水平居全省设区市前列，累计112项科技成果获得省级以上奖励（其中一等奖11项），产生本土首位院士；技术市场趋向繁荣，技术合同总额由2015年的17.8亿元增至2020年的217.37亿元；科技创新体制机制性障碍明显破除，科技经费包干制、成果转化三定向制度、科研诚信红黑榜、职务科技成果权属改革、技术产权证券化试点等系列改革扎实推进，形成一批改革案例和推广经验。</w:t>
      </w:r>
    </w:p>
    <w:p>
      <w:pPr>
        <w:spacing w:line="560" w:lineRule="exact"/>
        <w:ind w:firstLine="640" w:firstLineChars="200"/>
        <w:rPr>
          <w:rFonts w:ascii="华文仿宋" w:hAnsi="华文仿宋" w:eastAsia="仿宋_GB2312" w:cs="华文仿宋"/>
          <w:color w:val="000000"/>
          <w:sz w:val="32"/>
          <w:szCs w:val="32"/>
        </w:rPr>
      </w:pPr>
      <w:r>
        <w:rPr>
          <w:rFonts w:hint="eastAsia" w:ascii="仿宋_GB2312" w:hAnsi="华文仿宋" w:eastAsia="仿宋_GB2312" w:cs="华文仿宋"/>
          <w:color w:val="000000"/>
          <w:sz w:val="32"/>
          <w:szCs w:val="32"/>
        </w:rPr>
        <w:t>虽然“十三五”期间，全市科技创新工作取得显著成效，但也存在一些问题和困难。</w:t>
      </w:r>
      <w:r>
        <w:rPr>
          <w:rFonts w:hint="eastAsia" w:ascii="仿宋_GB2312" w:hAnsi="华文仿宋" w:eastAsia="仿宋_GB2312" w:cs="华文仿宋"/>
          <w:b/>
          <w:color w:val="000000"/>
          <w:sz w:val="32"/>
          <w:szCs w:val="32"/>
        </w:rPr>
        <w:t>一是科技投入力度不强。</w:t>
      </w:r>
      <w:r>
        <w:rPr>
          <w:rFonts w:hint="eastAsia" w:ascii="仿宋_GB2312" w:hAnsi="仿宋_GB2312" w:eastAsia="仿宋_GB2312" w:cs="仿宋_GB2312"/>
          <w:b w:val="0"/>
          <w:bCs w:val="0"/>
          <w:color w:val="000000" w:themeColor="text1"/>
          <w:sz w:val="32"/>
          <w:szCs w:val="32"/>
          <w14:textFill>
            <w14:solidFill>
              <w14:schemeClr w14:val="tx1"/>
            </w14:solidFill>
          </w14:textFill>
        </w:rPr>
        <w:t>20</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20</w:t>
      </w:r>
      <w:r>
        <w:rPr>
          <w:rFonts w:hint="eastAsia" w:ascii="仿宋_GB2312" w:hAnsi="仿宋_GB2312" w:eastAsia="仿宋_GB2312" w:cs="仿宋_GB2312"/>
          <w:b w:val="0"/>
          <w:bCs w:val="0"/>
          <w:color w:val="000000" w:themeColor="text1"/>
          <w:sz w:val="32"/>
          <w:szCs w:val="32"/>
          <w14:textFill>
            <w14:solidFill>
              <w14:schemeClr w14:val="tx1"/>
            </w14:solidFill>
          </w14:textFill>
        </w:rPr>
        <w:t>年，全社会R&amp;D经费投入1</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51</w:t>
      </w:r>
      <w:r>
        <w:rPr>
          <w:rFonts w:hint="eastAsia" w:ascii="仿宋_GB2312" w:hAnsi="仿宋_GB2312" w:eastAsia="仿宋_GB2312" w:cs="仿宋_GB2312"/>
          <w:b w:val="0"/>
          <w:bCs w:val="0"/>
          <w:color w:val="000000" w:themeColor="text1"/>
          <w:sz w:val="32"/>
          <w:szCs w:val="32"/>
          <w14:textFill>
            <w14:solidFill>
              <w14:schemeClr w14:val="tx1"/>
            </w14:solidFill>
          </w14:textFill>
        </w:rPr>
        <w:t>亿元，占地区生产总值比重2.</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sz w:val="32"/>
          <w:szCs w:val="32"/>
          <w14:textFill>
            <w14:solidFill>
              <w14:schemeClr w14:val="tx1"/>
            </w14:solidFill>
          </w14:textFill>
        </w:rPr>
        <w:t>%</w:t>
      </w:r>
      <w:r>
        <w:rPr>
          <w:rFonts w:hint="eastAsia" w:ascii="仿宋_GB2312" w:hAnsi="华文仿宋" w:eastAsia="仿宋_GB2312" w:cs="华文仿宋"/>
          <w:color w:val="000000" w:themeColor="text1"/>
          <w:sz w:val="32"/>
          <w:szCs w:val="32"/>
          <w14:textFill>
            <w14:solidFill>
              <w14:schemeClr w14:val="tx1"/>
            </w14:solidFill>
          </w14:textFill>
        </w:rPr>
        <w:t>。</w:t>
      </w:r>
      <w:r>
        <w:rPr>
          <w:rFonts w:hint="eastAsia" w:ascii="仿宋_GB2312" w:hAnsi="华文仿宋" w:eastAsia="仿宋_GB2312" w:cs="华文仿宋"/>
          <w:b/>
          <w:color w:val="000000"/>
          <w:sz w:val="32"/>
          <w:szCs w:val="32"/>
        </w:rPr>
        <w:t>二是科创资源集聚不足。</w:t>
      </w:r>
      <w:r>
        <w:rPr>
          <w:rFonts w:hint="eastAsia" w:ascii="仿宋_GB2312" w:hAnsi="华文仿宋" w:eastAsia="仿宋_GB2312" w:cs="华文仿宋"/>
          <w:color w:val="000000"/>
          <w:sz w:val="32"/>
          <w:szCs w:val="32"/>
        </w:rPr>
        <w:t>在温高校、院所不多不强，国家级基础研发机构极少。创新型领</w:t>
      </w:r>
      <w:r>
        <w:rPr>
          <w:rFonts w:hint="eastAsia" w:ascii="仿宋_GB2312" w:hAnsi="仿宋_GB2312" w:eastAsia="仿宋_GB2312" w:cs="仿宋_GB2312"/>
          <w:color w:val="000000"/>
          <w:sz w:val="32"/>
          <w:szCs w:val="32"/>
        </w:rPr>
        <w:t>军企业少，</w:t>
      </w:r>
      <w:r>
        <w:rPr>
          <w:rFonts w:ascii="仿宋_GB2312" w:hAnsi="华文仿宋" w:eastAsia="仿宋_GB2312" w:cs="华文仿宋"/>
          <w:color w:val="000000"/>
          <w:sz w:val="32"/>
          <w:szCs w:val="32"/>
        </w:rPr>
        <w:t>2020年度浙江省高新技术企业创新能力百强</w:t>
      </w:r>
      <w:r>
        <w:rPr>
          <w:rFonts w:hint="eastAsia" w:ascii="仿宋_GB2312" w:hAnsi="华文仿宋" w:eastAsia="仿宋_GB2312" w:cs="华文仿宋"/>
          <w:color w:val="000000"/>
          <w:sz w:val="32"/>
          <w:szCs w:val="32"/>
        </w:rPr>
        <w:t>中，温州仅有2家。对人才的吸引力弱，集聚的国家级和省级领军人才数较先进地区有较大差距，高层次创新创业人才不足，</w:t>
      </w:r>
      <w:r>
        <w:rPr>
          <w:rFonts w:hint="eastAsia" w:ascii="仿宋_GB2312" w:hAnsi="华文仿宋" w:eastAsia="仿宋_GB2312" w:cs="华文仿宋"/>
          <w:b w:val="0"/>
          <w:bCs w:val="0"/>
          <w:color w:val="000000" w:themeColor="text1"/>
          <w:sz w:val="32"/>
          <w:szCs w:val="32"/>
          <w14:textFill>
            <w14:solidFill>
              <w14:schemeClr w14:val="tx1"/>
            </w14:solidFill>
          </w14:textFill>
        </w:rPr>
        <w:t>20</w:t>
      </w:r>
      <w:r>
        <w:rPr>
          <w:rFonts w:hint="eastAsia" w:ascii="仿宋_GB2312" w:hAnsi="华文仿宋" w:eastAsia="仿宋_GB2312" w:cs="华文仿宋"/>
          <w:b w:val="0"/>
          <w:bCs w:val="0"/>
          <w:color w:val="000000" w:themeColor="text1"/>
          <w:sz w:val="32"/>
          <w:szCs w:val="32"/>
          <w:lang w:val="en-US" w:eastAsia="zh-CN"/>
          <w14:textFill>
            <w14:solidFill>
              <w14:schemeClr w14:val="tx1"/>
            </w14:solidFill>
          </w14:textFill>
        </w:rPr>
        <w:t>20</w:t>
      </w:r>
      <w:r>
        <w:rPr>
          <w:rFonts w:hint="eastAsia" w:ascii="仿宋_GB2312" w:hAnsi="华文仿宋" w:eastAsia="仿宋_GB2312" w:cs="华文仿宋"/>
          <w:b w:val="0"/>
          <w:bCs w:val="0"/>
          <w:color w:val="000000" w:themeColor="text1"/>
          <w:sz w:val="32"/>
          <w:szCs w:val="32"/>
          <w14:textFill>
            <w14:solidFill>
              <w14:schemeClr w14:val="tx1"/>
            </w14:solidFill>
          </w14:textFill>
        </w:rPr>
        <w:t>年度每万名从业人员中R&amp;D人员数为1</w:t>
      </w:r>
      <w:r>
        <w:rPr>
          <w:rFonts w:hint="eastAsia" w:ascii="仿宋_GB2312" w:hAnsi="华文仿宋" w:eastAsia="仿宋_GB2312" w:cs="华文仿宋"/>
          <w:b w:val="0"/>
          <w:bCs w:val="0"/>
          <w:color w:val="000000" w:themeColor="text1"/>
          <w:sz w:val="32"/>
          <w:szCs w:val="32"/>
          <w:lang w:val="en-US" w:eastAsia="zh-CN"/>
          <w14:textFill>
            <w14:solidFill>
              <w14:schemeClr w14:val="tx1"/>
            </w14:solidFill>
          </w14:textFill>
        </w:rPr>
        <w:t>30</w:t>
      </w:r>
      <w:r>
        <w:rPr>
          <w:rFonts w:hint="eastAsia" w:ascii="仿宋_GB2312" w:hAnsi="华文仿宋" w:eastAsia="仿宋_GB2312" w:cs="华文仿宋"/>
          <w:b w:val="0"/>
          <w:bCs w:val="0"/>
          <w:color w:val="000000" w:themeColor="text1"/>
          <w:sz w:val="32"/>
          <w:szCs w:val="32"/>
          <w14:textFill>
            <w14:solidFill>
              <w14:schemeClr w14:val="tx1"/>
            </w14:solidFill>
          </w14:textFill>
        </w:rPr>
        <w:t>人年</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预估值</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华文仿宋" w:eastAsia="仿宋_GB2312" w:cs="华文仿宋"/>
          <w:b w:val="0"/>
          <w:bCs w:val="0"/>
          <w:color w:val="000000" w:themeColor="text1"/>
          <w:sz w:val="32"/>
          <w:szCs w:val="32"/>
          <w14:textFill>
            <w14:solidFill>
              <w14:schemeClr w14:val="tx1"/>
            </w14:solidFill>
          </w14:textFill>
        </w:rPr>
        <w:t>，居全省第6位</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预估值</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华文仿宋" w:eastAsia="仿宋_GB2312" w:cs="华文仿宋"/>
          <w:color w:val="000000" w:themeColor="text1"/>
          <w:sz w:val="32"/>
          <w:szCs w:val="32"/>
          <w14:textFill>
            <w14:solidFill>
              <w14:schemeClr w14:val="tx1"/>
            </w14:solidFill>
          </w14:textFill>
        </w:rPr>
        <w:t>。</w:t>
      </w:r>
      <w:r>
        <w:rPr>
          <w:rFonts w:hint="eastAsia" w:ascii="仿宋_GB2312" w:hAnsi="仿宋_GB2312" w:eastAsia="仿宋_GB2312" w:cs="仿宋_GB2312"/>
          <w:b/>
          <w:color w:val="000000"/>
          <w:sz w:val="32"/>
          <w:szCs w:val="32"/>
        </w:rPr>
        <w:t>三是产业结构不优</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20</w:t>
      </w:r>
      <w:r>
        <w:rPr>
          <w:rFonts w:hint="eastAsia" w:ascii="仿宋_GB2312" w:hAnsi="仿宋_GB2312" w:eastAsia="仿宋_GB2312" w:cs="仿宋_GB2312"/>
          <w:color w:val="000000"/>
          <w:sz w:val="32"/>
          <w:szCs w:val="32"/>
        </w:rPr>
        <w:t>20</w:t>
      </w:r>
      <w:r>
        <w:rPr>
          <w:rFonts w:ascii="仿宋_GB2312" w:hAnsi="仿宋_GB2312" w:eastAsia="仿宋_GB2312" w:cs="仿宋_GB2312"/>
          <w:color w:val="000000"/>
          <w:sz w:val="32"/>
          <w:szCs w:val="32"/>
        </w:rPr>
        <w:t>年，</w:t>
      </w:r>
      <w:r>
        <w:rPr>
          <w:rFonts w:hint="eastAsia" w:ascii="仿宋_GB2312" w:hAnsi="仿宋_GB2312" w:eastAsia="仿宋_GB2312" w:cs="仿宋_GB2312"/>
          <w:color w:val="000000"/>
          <w:sz w:val="32"/>
          <w:szCs w:val="32"/>
        </w:rPr>
        <w:t>我市战略性新兴产业增加值仅292.61亿元，占全省份额5.3%，居全省第7位，</w:t>
      </w:r>
      <w:r>
        <w:rPr>
          <w:rFonts w:ascii="仿宋_GB2312" w:hAnsi="仿宋_GB2312" w:eastAsia="仿宋_GB2312" w:cs="仿宋_GB2312"/>
          <w:color w:val="000000"/>
          <w:sz w:val="32"/>
          <w:szCs w:val="32"/>
        </w:rPr>
        <w:t>高新技术产业增加值</w:t>
      </w:r>
      <w:r>
        <w:rPr>
          <w:rFonts w:hint="eastAsia" w:ascii="仿宋_GB2312" w:hAnsi="仿宋_GB2312" w:eastAsia="仿宋_GB2312" w:cs="仿宋_GB2312"/>
          <w:color w:val="000000"/>
          <w:sz w:val="32"/>
          <w:szCs w:val="32"/>
        </w:rPr>
        <w:t>673</w:t>
      </w:r>
      <w:r>
        <w:rPr>
          <w:rFonts w:ascii="仿宋_GB2312" w:hAnsi="仿宋_GB2312" w:eastAsia="仿宋_GB2312" w:cs="仿宋_GB2312"/>
          <w:color w:val="000000"/>
          <w:sz w:val="32"/>
          <w:szCs w:val="32"/>
        </w:rPr>
        <w:t>.8</w:t>
      </w:r>
      <w:r>
        <w:rPr>
          <w:rFonts w:hint="eastAsia" w:ascii="仿宋_GB2312" w:hAnsi="仿宋_GB2312" w:eastAsia="仿宋_GB2312" w:cs="仿宋_GB2312"/>
          <w:color w:val="000000"/>
          <w:sz w:val="32"/>
          <w:szCs w:val="32"/>
        </w:rPr>
        <w:t>2</w:t>
      </w:r>
      <w:r>
        <w:rPr>
          <w:rFonts w:ascii="仿宋_GB2312" w:hAnsi="仿宋_GB2312" w:eastAsia="仿宋_GB2312" w:cs="仿宋_GB2312"/>
          <w:color w:val="000000"/>
          <w:sz w:val="32"/>
          <w:szCs w:val="32"/>
        </w:rPr>
        <w:t>亿元，占全省份额</w:t>
      </w:r>
      <w:r>
        <w:rPr>
          <w:rFonts w:hint="eastAsia" w:ascii="仿宋_GB2312" w:hAnsi="仿宋_GB2312" w:eastAsia="仿宋_GB2312" w:cs="仿宋_GB2312"/>
          <w:color w:val="000000"/>
          <w:sz w:val="32"/>
          <w:szCs w:val="32"/>
        </w:rPr>
        <w:t>6</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76</w:t>
      </w:r>
      <w:r>
        <w:rPr>
          <w:rFonts w:ascii="仿宋_GB2312" w:hAnsi="仿宋_GB2312" w:eastAsia="仿宋_GB2312" w:cs="仿宋_GB2312"/>
          <w:color w:val="000000"/>
          <w:sz w:val="32"/>
          <w:szCs w:val="32"/>
        </w:rPr>
        <w:t>%，居全省第</w:t>
      </w:r>
      <w:r>
        <w:rPr>
          <w:rFonts w:hint="eastAsia" w:ascii="仿宋_GB2312" w:hAnsi="仿宋_GB2312" w:eastAsia="仿宋_GB2312" w:cs="仿宋_GB2312"/>
          <w:color w:val="000000"/>
          <w:sz w:val="32"/>
          <w:szCs w:val="32"/>
        </w:rPr>
        <w:t>6</w:t>
      </w:r>
      <w:r>
        <w:rPr>
          <w:rFonts w:ascii="仿宋_GB2312" w:hAnsi="仿宋_GB2312" w:eastAsia="仿宋_GB2312" w:cs="仿宋_GB2312"/>
          <w:color w:val="000000"/>
          <w:sz w:val="32"/>
          <w:szCs w:val="32"/>
        </w:rPr>
        <w:t>位</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b/>
          <w:color w:val="000000"/>
          <w:sz w:val="32"/>
          <w:szCs w:val="32"/>
        </w:rPr>
        <w:t>四</w:t>
      </w:r>
      <w:r>
        <w:rPr>
          <w:rFonts w:hint="eastAsia" w:ascii="仿宋_GB2312" w:hAnsi="华文仿宋" w:eastAsia="仿宋_GB2312" w:cs="华文仿宋"/>
          <w:b/>
          <w:bCs/>
          <w:color w:val="000000"/>
          <w:sz w:val="32"/>
          <w:szCs w:val="32"/>
        </w:rPr>
        <w:t>是科技服务支撑不足。</w:t>
      </w:r>
      <w:r>
        <w:rPr>
          <w:rFonts w:hint="eastAsia" w:ascii="仿宋_GB2312" w:hAnsi="华文仿宋" w:eastAsia="仿宋_GB2312" w:cs="华文仿宋"/>
          <w:color w:val="000000"/>
          <w:sz w:val="32"/>
          <w:szCs w:val="32"/>
        </w:rPr>
        <w:t>温州自创区“一区五园”建设刚刚起步，2020年，温州高新区居全国第80位，处于全国各类园区中游，环大罗山科创走廊基础建设尚未完成，无法为温州的高质量发展提供强有力的科技服务支撑。</w:t>
      </w:r>
    </w:p>
    <w:p>
      <w:pPr>
        <w:pStyle w:val="6"/>
        <w:spacing w:before="0" w:after="0" w:line="560" w:lineRule="exact"/>
        <w:ind w:firstLine="640" w:firstLineChars="200"/>
        <w:rPr>
          <w:rFonts w:ascii="楷体_GB2312" w:eastAsia="楷体_GB2312"/>
          <w:b w:val="0"/>
          <w:bCs w:val="0"/>
        </w:rPr>
      </w:pPr>
      <w:bookmarkStart w:id="20" w:name="_Toc24473"/>
      <w:bookmarkStart w:id="21" w:name="_Toc24409"/>
      <w:bookmarkStart w:id="22" w:name="_Toc7279"/>
      <w:bookmarkStart w:id="23" w:name="_Toc57043393"/>
      <w:bookmarkStart w:id="24" w:name="_Toc10013"/>
      <w:bookmarkStart w:id="25" w:name="_Toc24664"/>
      <w:bookmarkStart w:id="26" w:name="_Toc306"/>
      <w:bookmarkStart w:id="27" w:name="_Toc3370"/>
      <w:bookmarkStart w:id="28" w:name="_Toc18052"/>
      <w:bookmarkStart w:id="29" w:name="_Toc15866"/>
      <w:r>
        <w:rPr>
          <w:rFonts w:hint="eastAsia" w:ascii="楷体_GB2312" w:hAnsi="Calibri Light" w:eastAsia="楷体_GB2312"/>
          <w:b w:val="0"/>
          <w:bCs w:val="0"/>
          <w:szCs w:val="32"/>
        </w:rPr>
        <w:t>（二）</w:t>
      </w:r>
      <w:r>
        <w:rPr>
          <w:rFonts w:hint="eastAsia" w:ascii="楷体_GB2312" w:eastAsia="楷体_GB2312"/>
          <w:b w:val="0"/>
          <w:bCs w:val="0"/>
        </w:rPr>
        <w:t>发展</w:t>
      </w:r>
      <w:r>
        <w:rPr>
          <w:rFonts w:hint="eastAsia" w:ascii="楷体_GB2312" w:hAnsi="Calibri Light" w:eastAsia="楷体_GB2312"/>
          <w:b w:val="0"/>
          <w:bCs w:val="0"/>
          <w:szCs w:val="32"/>
        </w:rPr>
        <w:t>形势</w:t>
      </w:r>
      <w:bookmarkEnd w:id="20"/>
      <w:bookmarkEnd w:id="21"/>
      <w:bookmarkEnd w:id="22"/>
      <w:bookmarkEnd w:id="23"/>
      <w:bookmarkEnd w:id="24"/>
      <w:bookmarkEnd w:id="25"/>
      <w:bookmarkEnd w:id="26"/>
      <w:bookmarkEnd w:id="27"/>
      <w:bookmarkEnd w:id="28"/>
      <w:bookmarkEnd w:id="29"/>
    </w:p>
    <w:p>
      <w:pPr>
        <w:spacing w:line="560" w:lineRule="exact"/>
        <w:ind w:firstLine="640" w:firstLineChars="200"/>
        <w:rPr>
          <w:rFonts w:ascii="仿宋_GB2312" w:hAnsi="华文仿宋" w:eastAsia="仿宋_GB2312" w:cs="华文仿宋"/>
          <w:color w:val="000000"/>
          <w:sz w:val="32"/>
          <w:szCs w:val="32"/>
        </w:rPr>
      </w:pPr>
      <w:r>
        <w:rPr>
          <w:rFonts w:hint="eastAsia" w:ascii="仿宋_GB2312" w:hAnsi="华文仿宋" w:eastAsia="仿宋_GB2312" w:cs="华文仿宋"/>
          <w:color w:val="000000"/>
          <w:sz w:val="32"/>
          <w:szCs w:val="32"/>
        </w:rPr>
        <w:t>创新全球化时代，世界创新发展的格局不断发生变化，我市“十四五”时期科技创新发展面临着新的发展机遇和挑战。</w:t>
      </w:r>
    </w:p>
    <w:p>
      <w:pPr>
        <w:spacing w:line="560" w:lineRule="exact"/>
        <w:ind w:firstLine="640" w:firstLineChars="200"/>
        <w:rPr>
          <w:rFonts w:ascii="仿宋_GB2312" w:hAnsi="华文仿宋" w:eastAsia="仿宋_GB2312" w:cs="华文仿宋"/>
          <w:color w:val="000000"/>
          <w:sz w:val="32"/>
          <w:szCs w:val="32"/>
        </w:rPr>
      </w:pPr>
      <w:r>
        <w:rPr>
          <w:rFonts w:hint="eastAsia" w:ascii="仿宋_GB2312" w:hAnsi="仿宋" w:eastAsia="仿宋_GB2312" w:cs="仿宋"/>
          <w:color w:val="000000"/>
          <w:sz w:val="32"/>
          <w:szCs w:val="32"/>
        </w:rPr>
        <w:t>从全球看，新一轮科技革命和产业变革深入发展，5G、大数据、人工智能等新一代信息技术全面渗透，量子信息、脑科学等前沿领域加快突破，合成生物学等生命健康领域科技快速发展，数据驱动和场景驱动成为新趋势，新技术、新产品、新赛道、新业态不断涌现，正在重塑全球产业链、供应链、价值链。与此同时，当今世界正处于百年未有之大变局，全球新冠疫情影响深远，单边主义、保护主义上升，中美关系持续紧张、国际创新竞争加剧，依赖美欧等发达国家的外源性技术创新路径面临巨大挑战，我市必须走科技自立自强之路。</w:t>
      </w:r>
    </w:p>
    <w:p>
      <w:pPr>
        <w:spacing w:line="560" w:lineRule="exact"/>
        <w:ind w:firstLine="640" w:firstLineChars="200"/>
        <w:rPr>
          <w:rFonts w:ascii="仿宋_GB2312" w:hAnsi="仿宋" w:eastAsia="仿宋_GB2312" w:cs="仿宋"/>
          <w:color w:val="000000"/>
          <w:szCs w:val="32"/>
        </w:rPr>
      </w:pPr>
      <w:r>
        <w:rPr>
          <w:rFonts w:hint="eastAsia" w:ascii="仿宋_GB2312" w:hAnsi="仿宋" w:eastAsia="仿宋_GB2312" w:cs="仿宋"/>
          <w:bCs/>
          <w:color w:val="000000"/>
          <w:sz w:val="32"/>
          <w:szCs w:val="32"/>
        </w:rPr>
        <w:t>从国内看，科技创新成为推动高质量发展、构建新发展格局的重要支撑。我国发展的环境和条件发生变化，劳动力成本逐步上升，资源承载能力达到瓶颈，需求结构发生重大变化，经济结构转换的复杂度上升</w:t>
      </w:r>
      <w:r>
        <w:rPr>
          <w:rFonts w:ascii="仿宋_GB2312" w:hAnsi="仿宋" w:eastAsia="仿宋_GB2312" w:cs="仿宋"/>
          <w:bCs/>
          <w:color w:val="000000"/>
          <w:sz w:val="32"/>
          <w:szCs w:val="32"/>
        </w:rPr>
        <w:t>,</w:t>
      </w:r>
      <w:r>
        <w:rPr>
          <w:rFonts w:hint="eastAsia" w:ascii="仿宋_GB2312" w:hAnsi="仿宋" w:eastAsia="仿宋_GB2312" w:cs="仿宋"/>
          <w:bCs/>
          <w:color w:val="000000"/>
          <w:sz w:val="32"/>
          <w:szCs w:val="32"/>
        </w:rPr>
        <w:t>需要更多依靠创新驱动高质量发展。同时发展不平衡不充分问题依然突出，人口老龄化加剧、生态环保任务艰巨，保障人民生命健康、改善生态环境、完成碳达峰碳中和目标、实现全体人民共同富裕都对科技创新提出了更高要求。</w:t>
      </w:r>
    </w:p>
    <w:p>
      <w:pPr>
        <w:widowControl/>
        <w:spacing w:line="560" w:lineRule="exact"/>
        <w:ind w:firstLine="640" w:firstLineChars="200"/>
        <w:jc w:val="left"/>
        <w:rPr>
          <w:rFonts w:ascii="仿宋_GB2312" w:hAnsi="华文仿宋" w:eastAsia="仿宋_GB2312" w:cs="华文仿宋"/>
          <w:color w:val="000000"/>
          <w:sz w:val="32"/>
          <w:szCs w:val="32"/>
        </w:rPr>
      </w:pPr>
      <w:r>
        <w:rPr>
          <w:rFonts w:hint="eastAsia" w:ascii="仿宋_GB2312" w:hAnsi="仿宋" w:eastAsia="仿宋_GB2312" w:cs="仿宋"/>
          <w:bCs/>
          <w:color w:val="000000"/>
          <w:sz w:val="32"/>
          <w:szCs w:val="32"/>
        </w:rPr>
        <w:t>从省内看，浙江将继续深度融入长三角一体化发展和“一带一路”建设，加速嵌入全球创新版图，打造全球创新网络重要节点。同时，</w:t>
      </w:r>
      <w:r>
        <w:rPr>
          <w:rFonts w:hint="eastAsia" w:ascii="仿宋_GB2312" w:hAnsi="华文仿宋" w:eastAsia="仿宋_GB2312" w:cs="华文仿宋"/>
          <w:color w:val="000000"/>
          <w:sz w:val="32"/>
          <w:szCs w:val="32"/>
        </w:rPr>
        <w:t>新一轮城市洗牌和分化进一步加剧，高端要素向头部城市集聚的态势日趋明显，在浙江省内已逐步形成杭甬为双核的科创新局面，嘉兴、绍兴也在持续加大科技创新投入，温州面临着更加激烈的区域竞争和城市竞争。</w:t>
      </w:r>
    </w:p>
    <w:p>
      <w:pPr>
        <w:widowControl/>
        <w:spacing w:line="560" w:lineRule="exact"/>
        <w:ind w:firstLine="640" w:firstLineChars="200"/>
        <w:jc w:val="left"/>
        <w:rPr>
          <w:rFonts w:ascii="仿宋_GB2312" w:hAnsi="华文仿宋" w:eastAsia="仿宋_GB2312" w:cs="华文仿宋"/>
          <w:color w:val="000000"/>
          <w:sz w:val="32"/>
          <w:szCs w:val="32"/>
        </w:rPr>
      </w:pPr>
      <w:r>
        <w:rPr>
          <w:rFonts w:hint="eastAsia" w:ascii="仿宋_GB2312" w:hAnsi="华文仿宋" w:eastAsia="仿宋_GB2312" w:cs="华文仿宋"/>
          <w:color w:val="000000"/>
          <w:sz w:val="32"/>
          <w:szCs w:val="32"/>
        </w:rPr>
        <w:t>从温州自身看，“十四五”时期将处于人均生产总值从 10000美元向15000美元跨越的阶段</w:t>
      </w:r>
      <w:r>
        <w:rPr>
          <w:rFonts w:ascii="仿宋_GB2312" w:hAnsi="华文仿宋" w:eastAsia="仿宋_GB2312" w:cs="华文仿宋"/>
          <w:color w:val="000000"/>
          <w:sz w:val="32"/>
          <w:szCs w:val="32"/>
        </w:rPr>
        <w:t>，</w:t>
      </w:r>
      <w:r>
        <w:rPr>
          <w:rFonts w:hint="eastAsia" w:ascii="仿宋_GB2312" w:hAnsi="华文仿宋" w:eastAsia="仿宋_GB2312" w:cs="华文仿宋"/>
          <w:color w:val="000000"/>
          <w:sz w:val="32"/>
          <w:szCs w:val="32"/>
        </w:rPr>
        <w:t>是我市新旧动能转换的提速期，新发展格局构建的窗口期，都市能级跃升的关键期，改革系统集成的深化期，为温州科技创新带来新契机。</w:t>
      </w:r>
    </w:p>
    <w:p>
      <w:pPr>
        <w:widowControl/>
        <w:spacing w:line="560" w:lineRule="exact"/>
        <w:ind w:firstLine="640" w:firstLineChars="200"/>
        <w:jc w:val="left"/>
        <w:rPr>
          <w:rFonts w:hint="eastAsia" w:ascii="仿宋_GB2312" w:hAnsi="华文仿宋" w:eastAsia="仿宋_GB2312" w:cs="华文仿宋"/>
          <w:color w:val="000000"/>
          <w:sz w:val="32"/>
          <w:szCs w:val="32"/>
          <w:lang w:val="en" w:eastAsia="zh-CN"/>
        </w:rPr>
      </w:pPr>
      <w:r>
        <w:rPr>
          <w:rFonts w:hint="eastAsia" w:ascii="仿宋_GB2312" w:hAnsi="华文仿宋" w:eastAsia="仿宋_GB2312" w:cs="华文仿宋"/>
          <w:color w:val="000000"/>
          <w:sz w:val="32"/>
          <w:szCs w:val="32"/>
        </w:rPr>
        <w:t>未来五年，我们必须胸怀“两个大局”，深刻认识错综复杂的国际环境带来的新矛盾新挑战，准确把握新发展阶段的新特征新要求，以国际化视野、超常规力度，扛起忠实践行“八八战略”的政治使命，对标对表建设“重要窗口”的新目标新定位，主动融入新发展格局，强优势补短板，下好科技创新的先手棋，在危机中育先机、于变局中开新局，巩固浙江省科技创新“第三极”地位</w:t>
      </w:r>
      <w:bookmarkStart w:id="30" w:name="_Toc57043394"/>
      <w:r>
        <w:rPr>
          <w:rFonts w:hint="eastAsia" w:ascii="仿宋_GB2312" w:hAnsi="华文仿宋" w:eastAsia="仿宋_GB2312" w:cs="华文仿宋"/>
          <w:color w:val="000000"/>
          <w:sz w:val="32"/>
          <w:szCs w:val="32"/>
          <w:lang w:val="en-US" w:eastAsia="zh-CN"/>
        </w:rPr>
        <w:t>。</w:t>
      </w:r>
    </w:p>
    <w:bookmarkEnd w:id="30"/>
    <w:p>
      <w:pPr>
        <w:pStyle w:val="6"/>
        <w:widowControl/>
        <w:spacing w:before="0" w:after="0" w:line="560" w:lineRule="exact"/>
        <w:ind w:firstLine="640" w:firstLineChars="200"/>
        <w:jc w:val="left"/>
        <w:rPr>
          <w:rFonts w:ascii="楷体_GB2312" w:eastAsia="楷体_GB2312"/>
          <w:b w:val="0"/>
          <w:bCs w:val="0"/>
        </w:rPr>
      </w:pPr>
      <w:bookmarkStart w:id="31" w:name="_Toc25199"/>
      <w:bookmarkStart w:id="32" w:name="_Toc23140"/>
      <w:bookmarkStart w:id="33" w:name="_Toc2147"/>
      <w:bookmarkStart w:id="34" w:name="_Toc57043395"/>
      <w:bookmarkStart w:id="35" w:name="_Toc15386"/>
      <w:bookmarkStart w:id="36" w:name="_Toc20984"/>
      <w:bookmarkStart w:id="37" w:name="_Toc9216"/>
      <w:bookmarkStart w:id="38" w:name="_Toc2836"/>
      <w:bookmarkStart w:id="39" w:name="_Toc25035"/>
      <w:bookmarkStart w:id="40" w:name="_Toc20607"/>
      <w:r>
        <w:rPr>
          <w:rFonts w:hint="eastAsia" w:ascii="楷体_GB2312" w:hAnsi="Calibri Light" w:eastAsia="楷体_GB2312"/>
          <w:b w:val="0"/>
          <w:bCs w:val="0"/>
          <w:szCs w:val="32"/>
        </w:rPr>
        <w:t>（三）指导思想</w:t>
      </w:r>
      <w:bookmarkEnd w:id="31"/>
      <w:bookmarkEnd w:id="32"/>
      <w:bookmarkEnd w:id="33"/>
      <w:bookmarkEnd w:id="34"/>
      <w:bookmarkEnd w:id="35"/>
      <w:bookmarkEnd w:id="36"/>
      <w:bookmarkEnd w:id="37"/>
      <w:bookmarkEnd w:id="38"/>
      <w:bookmarkEnd w:id="39"/>
      <w:bookmarkEnd w:id="40"/>
    </w:p>
    <w:p>
      <w:pPr>
        <w:spacing w:line="560" w:lineRule="exact"/>
        <w:ind w:firstLine="640" w:firstLineChars="200"/>
        <w:rPr>
          <w:rFonts w:ascii="仿宋_GB2312" w:hAnsi="仿宋" w:eastAsia="仿宋_GB2312" w:cs="仿宋"/>
          <w:color w:val="000000"/>
          <w:sz w:val="32"/>
          <w:szCs w:val="32"/>
        </w:rPr>
      </w:pPr>
      <w:r>
        <w:rPr>
          <w:rFonts w:ascii="仿宋_GB2312" w:hAnsi="仿宋" w:eastAsia="仿宋_GB2312" w:cs="仿宋"/>
          <w:color w:val="000000"/>
          <w:sz w:val="32"/>
          <w:szCs w:val="32"/>
        </w:rPr>
        <w:t>坚持以习近平新时代中国特色社会主义思想为指导，</w:t>
      </w:r>
      <w:r>
        <w:rPr>
          <w:rFonts w:hint="eastAsia" w:ascii="仿宋_GB2312" w:hAnsi="仿宋" w:eastAsia="仿宋_GB2312" w:cs="仿宋"/>
          <w:color w:val="000000"/>
          <w:sz w:val="32"/>
          <w:szCs w:val="32"/>
        </w:rPr>
        <w:t>深入</w:t>
      </w:r>
      <w:r>
        <w:rPr>
          <w:rFonts w:ascii="仿宋_GB2312" w:hAnsi="仿宋" w:eastAsia="仿宋_GB2312" w:cs="仿宋"/>
          <w:color w:val="000000"/>
          <w:sz w:val="32"/>
          <w:szCs w:val="32"/>
        </w:rPr>
        <w:t>贯彻党的十九大和十九届历次全会精神，</w:t>
      </w:r>
      <w:r>
        <w:rPr>
          <w:rFonts w:hint="eastAsia" w:ascii="仿宋_GB2312" w:hAnsi="仿宋" w:eastAsia="仿宋_GB2312" w:cs="仿宋"/>
          <w:color w:val="000000"/>
          <w:sz w:val="32"/>
          <w:szCs w:val="32"/>
        </w:rPr>
        <w:t>全面落实省委省政府、市委市政府决策部署，</w:t>
      </w:r>
      <w:r>
        <w:rPr>
          <w:rFonts w:hint="eastAsia" w:eastAsia="仿宋_GB2312"/>
          <w:sz w:val="32"/>
          <w:szCs w:val="32"/>
        </w:rPr>
        <w:t>立足</w:t>
      </w:r>
      <w:r>
        <w:rPr>
          <w:rFonts w:eastAsia="仿宋_GB2312"/>
          <w:sz w:val="32"/>
          <w:szCs w:val="32"/>
        </w:rPr>
        <w:t>新发展阶段、贯彻新发展理念、构建新发展格局</w:t>
      </w:r>
      <w:r>
        <w:rPr>
          <w:rFonts w:hint="eastAsia" w:eastAsia="仿宋_GB2312"/>
          <w:sz w:val="32"/>
          <w:szCs w:val="32"/>
        </w:rPr>
        <w:t>，坚持创新在现代化建设全局中的核心地位，坚持把科技自立自强作为发展的战略支撑，坚</w:t>
      </w:r>
      <w:r>
        <w:rPr>
          <w:rFonts w:hint="eastAsia" w:ascii="仿宋_GB2312" w:hAnsi="仿宋" w:eastAsia="仿宋_GB2312" w:cs="仿宋"/>
          <w:color w:val="000000"/>
          <w:sz w:val="32"/>
          <w:szCs w:val="32"/>
        </w:rPr>
        <w:t>持“四个面向”，坚持创新首位战略，坚持系统观念，</w:t>
      </w:r>
      <w:r>
        <w:rPr>
          <w:rFonts w:hint="eastAsia" w:eastAsia="仿宋_GB2312"/>
          <w:sz w:val="32"/>
          <w:szCs w:val="32"/>
        </w:rPr>
        <w:t>坚持以数字化改革引领全面深化改革，</w:t>
      </w:r>
      <w:r>
        <w:rPr>
          <w:rFonts w:hint="eastAsia" w:ascii="仿宋_GB2312" w:hAnsi="仿宋" w:eastAsia="仿宋_GB2312" w:cs="仿宋"/>
          <w:color w:val="000000"/>
          <w:sz w:val="32"/>
          <w:szCs w:val="32"/>
        </w:rPr>
        <w:t>加强高能级创新平台建设，加大人才引育力度，加速创新资源汇聚，加快构建“一区一廊一会一室”创新格局，</w:t>
      </w:r>
      <w:r>
        <w:rPr>
          <w:rFonts w:ascii="仿宋_GB2312" w:hAnsi="仿宋" w:eastAsia="仿宋_GB2312" w:cs="仿宋"/>
          <w:color w:val="000000"/>
          <w:sz w:val="32"/>
          <w:szCs w:val="32"/>
        </w:rPr>
        <w:t>为浙江成为新时代全面展示中国特色社会主义制度优越性的重要窗口贡献温州力量</w:t>
      </w:r>
      <w:r>
        <w:rPr>
          <w:rFonts w:hint="eastAsia" w:ascii="仿宋_GB2312" w:hAnsi="仿宋" w:eastAsia="仿宋_GB2312" w:cs="仿宋"/>
          <w:color w:val="000000"/>
          <w:sz w:val="32"/>
          <w:szCs w:val="32"/>
        </w:rPr>
        <w:t>。</w:t>
      </w:r>
    </w:p>
    <w:p>
      <w:pPr>
        <w:pStyle w:val="6"/>
        <w:widowControl/>
        <w:spacing w:before="0" w:after="0" w:line="560" w:lineRule="exact"/>
        <w:ind w:firstLine="640" w:firstLineChars="200"/>
        <w:jc w:val="left"/>
        <w:rPr>
          <w:rFonts w:ascii="楷体_GB2312" w:eastAsia="楷体_GB2312"/>
          <w:b w:val="0"/>
          <w:bCs w:val="0"/>
        </w:rPr>
      </w:pPr>
      <w:bookmarkStart w:id="41" w:name="_Toc15008"/>
      <w:bookmarkStart w:id="42" w:name="_Toc32607"/>
      <w:bookmarkStart w:id="43" w:name="_Toc22827"/>
      <w:bookmarkStart w:id="44" w:name="_Toc25205"/>
      <w:bookmarkStart w:id="45" w:name="_Toc32758"/>
      <w:bookmarkStart w:id="46" w:name="_Toc3278"/>
      <w:bookmarkStart w:id="47" w:name="_Toc28948"/>
      <w:bookmarkStart w:id="48" w:name="_Toc57043396"/>
      <w:bookmarkStart w:id="49" w:name="_Toc4658"/>
      <w:bookmarkStart w:id="50" w:name="_Toc3884"/>
      <w:r>
        <w:rPr>
          <w:rFonts w:hint="eastAsia" w:ascii="楷体_GB2312" w:hAnsi="Calibri Light" w:eastAsia="楷体_GB2312"/>
          <w:b w:val="0"/>
          <w:bCs w:val="0"/>
          <w:szCs w:val="32"/>
        </w:rPr>
        <w:t>（四）基本原则</w:t>
      </w:r>
      <w:bookmarkEnd w:id="41"/>
      <w:bookmarkEnd w:id="42"/>
      <w:bookmarkEnd w:id="43"/>
      <w:bookmarkEnd w:id="44"/>
      <w:bookmarkEnd w:id="45"/>
      <w:bookmarkEnd w:id="46"/>
      <w:bookmarkEnd w:id="47"/>
      <w:bookmarkEnd w:id="48"/>
      <w:bookmarkEnd w:id="49"/>
      <w:bookmarkEnd w:id="50"/>
    </w:p>
    <w:p>
      <w:pPr>
        <w:spacing w:line="56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坚持高原造峰。聚焦产业发展需求强化应用基础研究，主动谋划和前瞻布局高能级平台载体，加速催生原始创新成果，实现优势领域跨越式发展，抢占科技创新制高点。</w:t>
      </w:r>
    </w:p>
    <w:p>
      <w:pPr>
        <w:spacing w:line="56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坚持协同创新。充分发挥社会主义集中力量办大事的制度优势，完善“企业出题、政府立题、协同联动解题”的技术创新机制，打通创新全链条，强力推进关键核心技术攻关。</w:t>
      </w:r>
    </w:p>
    <w:p>
      <w:pPr>
        <w:spacing w:line="56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坚持企业主体。遵循技术创新的市场规律，充分发挥市场在技术创新资源配置中的决定性作用，强化民营企业在创新决策、研发投入、技术攻关和成果转化中的主体作用，培育壮大一批科技型民营企业。</w:t>
      </w:r>
    </w:p>
    <w:p>
      <w:pPr>
        <w:spacing w:line="56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坚持人才集聚。将人才作为科技创新第一资源，统筹国际国内两种人才资源，坚持培养引进双轮驱动，为人才成长提供良好平台及环境，激发各类创新人才在基础研究、技术创新、成果转化、创新服务等方面的澎湃动能。</w:t>
      </w:r>
    </w:p>
    <w:p>
      <w:pPr>
        <w:spacing w:line="56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坚持开放合作。立足全球视野，推动开放融合，深度融入长三角一体化发展和“一带一路”建设，充分发挥湾区汇聚配置优质高端创新资源优势，在更高层次上参与国际合作和竞争，加速融入全球创新网络，助力国内国际双循环相互促进新格局。</w:t>
      </w:r>
    </w:p>
    <w:p>
      <w:pPr>
        <w:widowControl/>
        <w:spacing w:line="560" w:lineRule="exact"/>
        <w:ind w:firstLine="640" w:firstLineChars="200"/>
        <w:jc w:val="left"/>
        <w:outlineLvl w:val="1"/>
      </w:pPr>
      <w:bookmarkStart w:id="51" w:name="_Toc12156"/>
      <w:bookmarkStart w:id="52" w:name="_Toc12873"/>
      <w:bookmarkStart w:id="53" w:name="_Toc13010"/>
      <w:bookmarkStart w:id="54" w:name="_Toc5434"/>
      <w:bookmarkStart w:id="55" w:name="_Toc11028"/>
      <w:bookmarkStart w:id="56" w:name="_Toc57043397"/>
      <w:bookmarkStart w:id="57" w:name="_Toc13542"/>
      <w:bookmarkStart w:id="58" w:name="_Toc15016"/>
      <w:bookmarkStart w:id="59" w:name="_Toc15310"/>
      <w:bookmarkStart w:id="60" w:name="_Toc9677"/>
      <w:r>
        <w:rPr>
          <w:rFonts w:hint="eastAsia" w:ascii="楷体_GB2312" w:hAnsi="Calibri Light" w:eastAsia="楷体_GB2312"/>
          <w:b w:val="0"/>
          <w:bCs w:val="0"/>
          <w:sz w:val="32"/>
          <w:szCs w:val="32"/>
        </w:rPr>
        <w:t>（五）主要目标</w:t>
      </w:r>
      <w:bookmarkEnd w:id="51"/>
      <w:bookmarkEnd w:id="52"/>
      <w:bookmarkEnd w:id="53"/>
      <w:bookmarkEnd w:id="54"/>
      <w:bookmarkEnd w:id="55"/>
      <w:bookmarkEnd w:id="56"/>
      <w:bookmarkEnd w:id="57"/>
      <w:bookmarkEnd w:id="58"/>
      <w:bookmarkEnd w:id="59"/>
      <w:bookmarkEnd w:id="60"/>
    </w:p>
    <w:p>
      <w:pPr>
        <w:spacing w:line="560" w:lineRule="exact"/>
        <w:ind w:firstLine="640" w:firstLineChars="200"/>
        <w:rPr>
          <w:rFonts w:hint="eastAsia" w:eastAsia="仿宋_GB2312"/>
          <w:bCs/>
          <w:color w:val="000000"/>
          <w:sz w:val="32"/>
          <w:szCs w:val="32"/>
          <w:lang w:eastAsia="zh-CN"/>
        </w:rPr>
      </w:pPr>
      <w:r>
        <w:rPr>
          <w:rFonts w:hint="eastAsia" w:ascii="仿宋_GB2312" w:hAnsi="仿宋" w:eastAsia="仿宋_GB2312" w:cs="仿宋"/>
          <w:color w:val="000000"/>
          <w:sz w:val="32"/>
          <w:szCs w:val="32"/>
        </w:rPr>
        <w:t>到2025年，</w:t>
      </w:r>
      <w:r>
        <w:rPr>
          <w:rFonts w:hint="eastAsia" w:eastAsia="仿宋_GB2312"/>
          <w:bCs/>
          <w:color w:val="000000"/>
          <w:sz w:val="32"/>
          <w:szCs w:val="32"/>
        </w:rPr>
        <w:t>重要指标实现“五倍增五提升”，</w:t>
      </w:r>
      <w:r>
        <w:rPr>
          <w:rFonts w:hint="eastAsia" w:ascii="仿宋_GB2312" w:hAnsi="仿宋" w:eastAsia="仿宋_GB2312" w:cs="仿宋"/>
          <w:color w:val="000000"/>
          <w:sz w:val="32"/>
          <w:szCs w:val="32"/>
        </w:rPr>
        <w:t>初步建成综合创新实力全省领先，“一区一廊一会一室”创新格局协同高效，产业创新能力一流的高水平创新型城市,</w:t>
      </w:r>
      <w:r>
        <w:rPr>
          <w:rStyle w:val="41"/>
          <w:rFonts w:eastAsia="仿宋_GB2312"/>
          <w:color w:val="000000"/>
          <w:sz w:val="32"/>
          <w:szCs w:val="32"/>
        </w:rPr>
        <w:t xml:space="preserve"> </w:t>
      </w:r>
      <w:r>
        <w:rPr>
          <w:rFonts w:hint="eastAsia" w:ascii="仿宋_GB2312" w:hAnsi="仿宋" w:eastAsia="仿宋_GB2312" w:cs="仿宋"/>
          <w:color w:val="000000"/>
          <w:sz w:val="32"/>
          <w:szCs w:val="32"/>
        </w:rPr>
        <w:t>全力打造全国民营经济科技创新示范区、世界青年科学家创新创业引领区、全球新兴科创资源集聚先导区，为建设“五城五高地”“做强第三极、建好南大门”提供重要支撑</w:t>
      </w:r>
      <w:r>
        <w:rPr>
          <w:rFonts w:hint="eastAsia" w:ascii="仿宋_GB2312" w:hAnsi="仿宋" w:eastAsia="仿宋_GB2312" w:cs="仿宋"/>
          <w:color w:val="000000"/>
          <w:sz w:val="32"/>
          <w:szCs w:val="32"/>
          <w:lang w:eastAsia="zh-CN"/>
        </w:rPr>
        <w:t>。</w:t>
      </w:r>
    </w:p>
    <w:p>
      <w:pPr>
        <w:widowControl/>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w:t>
      </w:r>
      <w:r>
        <w:rPr>
          <w:rFonts w:hint="eastAsia" w:ascii="仿宋_GB2312" w:hAnsi="仿宋" w:eastAsia="仿宋_GB2312" w:cs="仿宋"/>
          <w:b/>
          <w:bCs/>
          <w:color w:val="000000"/>
          <w:sz w:val="32"/>
          <w:szCs w:val="32"/>
        </w:rPr>
        <w:t>综合创新实力大幅提升</w:t>
      </w:r>
      <w:r>
        <w:rPr>
          <w:rFonts w:hint="eastAsia" w:ascii="仿宋_GB2312" w:hAnsi="仿宋" w:eastAsia="仿宋_GB2312" w:cs="仿宋"/>
          <w:color w:val="000000"/>
          <w:sz w:val="32"/>
          <w:szCs w:val="32"/>
        </w:rPr>
        <w:t>。到2025年，综合创新实力跻身全省前列，全社会R&amp;D经费支出占GDP比重达到3.0%左右，基础研究经费占研发经费比重达到7%。高新技术产业投资年均增速达到12%以上，高新技术产业增加值占规上工业增加值比重达到6</w:t>
      </w:r>
      <w:r>
        <w:rPr>
          <w:rFonts w:hint="eastAsia" w:ascii="仿宋_GB2312" w:hAnsi="仿宋" w:eastAsia="仿宋_GB2312" w:cs="仿宋"/>
          <w:color w:val="000000"/>
          <w:sz w:val="32"/>
          <w:szCs w:val="32"/>
          <w:lang w:val="en-US" w:eastAsia="zh-CN"/>
        </w:rPr>
        <w:t>2</w:t>
      </w:r>
      <w:r>
        <w:rPr>
          <w:rFonts w:hint="eastAsia" w:ascii="仿宋_GB2312" w:hAnsi="仿宋" w:eastAsia="仿宋_GB2312" w:cs="仿宋"/>
          <w:color w:val="000000"/>
          <w:sz w:val="32"/>
          <w:szCs w:val="32"/>
        </w:rPr>
        <w:t>%以上，每万人就业人员中研发人员达到136人年，全社会劳动生产率达到18万元/人。</w:t>
      </w:r>
    </w:p>
    <w:p>
      <w:pPr>
        <w:widowControl/>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w:t>
      </w:r>
      <w:r>
        <w:rPr>
          <w:rFonts w:hint="eastAsia" w:ascii="仿宋_GB2312" w:hAnsi="仿宋" w:eastAsia="仿宋_GB2312" w:cs="仿宋"/>
          <w:b/>
          <w:bCs/>
          <w:color w:val="000000"/>
          <w:sz w:val="32"/>
          <w:szCs w:val="32"/>
        </w:rPr>
        <w:t>重大创新平台取得突破</w:t>
      </w:r>
      <w:r>
        <w:rPr>
          <w:rFonts w:hint="eastAsia" w:ascii="仿宋_GB2312" w:hAnsi="仿宋" w:eastAsia="仿宋_GB2312" w:cs="仿宋"/>
          <w:color w:val="000000"/>
          <w:sz w:val="32"/>
          <w:szCs w:val="32"/>
        </w:rPr>
        <w:t>。国家自主创新示范区建设取得明显成效，环大罗山科技创新生态圈基本成型，创新协同机制基本建立。瓯江实验室投入运行，力争成为国家实验室分部。到2025年，</w:t>
      </w:r>
      <w:r>
        <w:rPr>
          <w:rFonts w:hint="eastAsia" w:ascii="仿宋_GB2312" w:hAnsi="仿宋" w:eastAsia="仿宋_GB2312" w:cs="仿宋"/>
          <w:color w:val="000000"/>
          <w:sz w:val="32"/>
          <w:szCs w:val="32"/>
          <w:lang w:val="en-US" w:eastAsia="zh-CN"/>
        </w:rPr>
        <w:t>高能级创新平台累计数达到30</w:t>
      </w:r>
      <w:r>
        <w:rPr>
          <w:rFonts w:hint="eastAsia" w:ascii="仿宋_GB2312" w:hAnsi="仿宋" w:eastAsia="仿宋_GB2312" w:cs="仿宋"/>
          <w:color w:val="000000"/>
          <w:sz w:val="32"/>
          <w:szCs w:val="32"/>
          <w:highlight w:val="none"/>
          <w:lang w:val="en-US" w:eastAsia="zh-CN"/>
        </w:rPr>
        <w:t>家，</w:t>
      </w:r>
      <w:r>
        <w:rPr>
          <w:rFonts w:hint="eastAsia" w:ascii="仿宋_GB2312" w:hAnsi="仿宋" w:eastAsia="仿宋_GB2312" w:cs="仿宋"/>
          <w:color w:val="000000"/>
          <w:sz w:val="32"/>
          <w:szCs w:val="32"/>
        </w:rPr>
        <w:t>国家自主创新示范区</w:t>
      </w:r>
      <w:r>
        <w:rPr>
          <w:rStyle w:val="41"/>
          <w:rFonts w:hint="eastAsia" w:ascii="仿宋_GB2312" w:eastAsia="仿宋_GB2312"/>
          <w:color w:val="000000"/>
          <w:sz w:val="32"/>
          <w:szCs w:val="32"/>
        </w:rPr>
        <w:t>重点科技指标进入全国21个</w:t>
      </w:r>
      <w:r>
        <w:rPr>
          <w:rFonts w:hint="eastAsia" w:ascii="仿宋_GB2312" w:hAnsi="仿宋" w:eastAsia="仿宋_GB2312" w:cs="仿宋"/>
          <w:color w:val="000000"/>
          <w:sz w:val="32"/>
          <w:szCs w:val="32"/>
        </w:rPr>
        <w:t>自主创新示范区</w:t>
      </w:r>
      <w:r>
        <w:rPr>
          <w:rStyle w:val="41"/>
          <w:rFonts w:hint="eastAsia" w:ascii="仿宋_GB2312" w:eastAsia="仿宋_GB2312"/>
          <w:color w:val="000000"/>
          <w:sz w:val="32"/>
          <w:szCs w:val="32"/>
        </w:rPr>
        <w:t>前10位；</w:t>
      </w:r>
      <w:r>
        <w:rPr>
          <w:rFonts w:hint="eastAsia" w:ascii="仿宋_GB2312" w:hAnsi="仿宋" w:eastAsia="仿宋_GB2312" w:cs="仿宋"/>
          <w:color w:val="000000"/>
          <w:sz w:val="32"/>
          <w:szCs w:val="32"/>
        </w:rPr>
        <w:t>温州国家高新区在全国排名进入前40%，乐清、瑞安省级高新园区保持全省前列，</w:t>
      </w:r>
      <w:r>
        <w:rPr>
          <w:rFonts w:hint="eastAsia" w:ascii="仿宋_GB2312" w:hAnsi="仿宋" w:eastAsia="仿宋_GB2312" w:cs="仿宋"/>
          <w:color w:val="000000"/>
          <w:sz w:val="32"/>
          <w:szCs w:val="32"/>
          <w:lang w:val="en-US" w:eastAsia="zh-CN"/>
        </w:rPr>
        <w:t>支持平阳、永嘉、瓯海、龙港等地创成省级高新区</w:t>
      </w:r>
      <w:r>
        <w:rPr>
          <w:rFonts w:hint="eastAsia" w:ascii="仿宋_GB2312" w:hAnsi="仿宋" w:eastAsia="仿宋_GB2312" w:cs="仿宋"/>
          <w:color w:val="000000"/>
          <w:sz w:val="32"/>
          <w:szCs w:val="32"/>
        </w:rPr>
        <w:t>。</w:t>
      </w:r>
    </w:p>
    <w:p>
      <w:pPr>
        <w:widowControl/>
        <w:spacing w:line="560" w:lineRule="exact"/>
        <w:ind w:firstLine="643" w:firstLineChars="200"/>
        <w:jc w:val="left"/>
        <w:rPr>
          <w:rFonts w:ascii="仿宋_GB2312" w:hAnsi="仿宋" w:eastAsia="仿宋_GB2312" w:cs="仿宋"/>
          <w:color w:val="000000"/>
          <w:sz w:val="32"/>
          <w:szCs w:val="32"/>
        </w:rPr>
      </w:pPr>
      <w:r>
        <w:rPr>
          <w:rFonts w:hint="eastAsia" w:ascii="仿宋_GB2312" w:hAnsi="仿宋" w:eastAsia="仿宋_GB2312" w:cs="仿宋"/>
          <w:b/>
          <w:bCs/>
          <w:color w:val="000000"/>
          <w:sz w:val="32"/>
          <w:szCs w:val="32"/>
        </w:rPr>
        <w:t>——企业创新能力显著增强。</w:t>
      </w:r>
      <w:r>
        <w:rPr>
          <w:rFonts w:hint="eastAsia" w:ascii="仿宋_GB2312" w:hAnsi="仿宋" w:eastAsia="仿宋_GB2312" w:cs="仿宋"/>
          <w:color w:val="000000"/>
          <w:sz w:val="32"/>
          <w:szCs w:val="32"/>
        </w:rPr>
        <w:t>到2025年，全市高新技术企业达到4</w:t>
      </w:r>
      <w:r>
        <w:rPr>
          <w:rFonts w:hint="eastAsia" w:ascii="仿宋_GB2312" w:hAnsi="仿宋" w:eastAsia="仿宋_GB2312" w:cs="仿宋"/>
          <w:color w:val="000000"/>
          <w:sz w:val="32"/>
          <w:szCs w:val="32"/>
          <w:lang w:val="en-US" w:eastAsia="zh-CN"/>
        </w:rPr>
        <w:t>4</w:t>
      </w:r>
      <w:r>
        <w:rPr>
          <w:rFonts w:hint="eastAsia" w:ascii="仿宋_GB2312" w:hAnsi="仿宋" w:eastAsia="仿宋_GB2312" w:cs="仿宋"/>
          <w:color w:val="000000"/>
          <w:sz w:val="32"/>
          <w:szCs w:val="32"/>
        </w:rPr>
        <w:t>00家、科技型中小企业达到16000家、省市级创新型领军企业（培育）达到100家，省级企业研究院达到240家。规上工业企业R&amp;D经费支出占营业收入的比重力争达</w:t>
      </w:r>
      <w:r>
        <w:rPr>
          <w:rFonts w:hint="eastAsia" w:ascii="仿宋_GB2312" w:hAnsi="仿宋" w:eastAsia="仿宋_GB2312" w:cs="仿宋"/>
          <w:color w:val="000000"/>
          <w:sz w:val="32"/>
          <w:szCs w:val="32"/>
          <w:lang w:val="en-US" w:eastAsia="zh-CN"/>
        </w:rPr>
        <w:t>3</w:t>
      </w:r>
      <w:r>
        <w:rPr>
          <w:rFonts w:hint="eastAsia" w:ascii="仿宋_GB2312" w:hAnsi="仿宋" w:eastAsia="仿宋_GB2312" w:cs="仿宋"/>
          <w:color w:val="000000"/>
          <w:sz w:val="32"/>
          <w:szCs w:val="32"/>
        </w:rPr>
        <w:t>.</w:t>
      </w:r>
      <w:r>
        <w:rPr>
          <w:rFonts w:hint="eastAsia" w:ascii="仿宋_GB2312" w:hAnsi="仿宋" w:eastAsia="仿宋_GB2312" w:cs="仿宋"/>
          <w:color w:val="000000"/>
          <w:sz w:val="32"/>
          <w:szCs w:val="32"/>
          <w:lang w:val="en-US" w:eastAsia="zh-CN"/>
        </w:rPr>
        <w:t>25</w:t>
      </w:r>
      <w:r>
        <w:rPr>
          <w:rFonts w:hint="eastAsia" w:ascii="仿宋_GB2312" w:hAnsi="仿宋" w:eastAsia="仿宋_GB2312" w:cs="仿宋"/>
          <w:color w:val="000000"/>
          <w:sz w:val="32"/>
          <w:szCs w:val="32"/>
        </w:rPr>
        <w:t>%。PCT国际发明专利260件，每万人高价值发明专利拥有量达到9.7件。</w:t>
      </w:r>
    </w:p>
    <w:p>
      <w:pPr>
        <w:widowControl/>
        <w:spacing w:line="560" w:lineRule="exact"/>
        <w:ind w:firstLine="643" w:firstLineChars="200"/>
        <w:jc w:val="left"/>
        <w:rPr>
          <w:rFonts w:ascii="仿宋_GB2312" w:hAnsi="仿宋" w:eastAsia="仿宋_GB2312" w:cs="仿宋"/>
          <w:color w:val="000000"/>
          <w:sz w:val="32"/>
          <w:szCs w:val="32"/>
        </w:rPr>
      </w:pPr>
      <w:r>
        <w:rPr>
          <w:rFonts w:hint="eastAsia" w:ascii="仿宋_GB2312" w:hAnsi="仿宋" w:eastAsia="仿宋_GB2312" w:cs="仿宋"/>
          <w:b/>
          <w:bCs/>
          <w:color w:val="000000"/>
          <w:sz w:val="32"/>
          <w:szCs w:val="32"/>
        </w:rPr>
        <w:t>——人才高地建设加快推进</w:t>
      </w:r>
      <w:r>
        <w:rPr>
          <w:rFonts w:hint="eastAsia" w:ascii="仿宋_GB2312" w:hAnsi="仿宋" w:eastAsia="仿宋_GB2312" w:cs="仿宋"/>
          <w:color w:val="000000"/>
          <w:sz w:val="32"/>
          <w:szCs w:val="32"/>
        </w:rPr>
        <w:t>。科技创新人才引育取得明显进展，到2025年，面向全球引进一批顶尖杰出人才和世界一流学科带头人，集聚海内外院士人才或“鲲鹏计划”人才</w:t>
      </w:r>
      <w:r>
        <w:rPr>
          <w:rFonts w:hint="eastAsia" w:ascii="仿宋_GB2312" w:hAnsi="仿宋" w:eastAsia="仿宋_GB2312" w:cs="仿宋"/>
          <w:color w:val="000000" w:themeColor="text1"/>
          <w:sz w:val="32"/>
          <w:szCs w:val="32"/>
          <w:lang w:val="en-US" w:eastAsia="zh-CN"/>
          <w14:textFill>
            <w14:solidFill>
              <w14:schemeClr w14:val="tx1"/>
            </w14:solidFill>
          </w14:textFill>
        </w:rPr>
        <w:t>10</w:t>
      </w:r>
      <w:r>
        <w:rPr>
          <w:rFonts w:hint="eastAsia" w:ascii="仿宋_GB2312" w:hAnsi="仿宋" w:eastAsia="仿宋_GB2312" w:cs="仿宋"/>
          <w:color w:val="000000"/>
          <w:sz w:val="32"/>
          <w:szCs w:val="32"/>
        </w:rPr>
        <w:t>名以上，引进国内外知名的学科骨干和领军人才100名以上，高水平创新团队60个以上，领军型人才创业项目100个以上。</w:t>
      </w:r>
    </w:p>
    <w:p>
      <w:pPr>
        <w:spacing w:line="560" w:lineRule="exact"/>
        <w:ind w:firstLine="643" w:firstLineChars="200"/>
        <w:jc w:val="left"/>
        <w:rPr>
          <w:rFonts w:ascii="仿宋_GB2312" w:hAnsi="仿宋" w:eastAsia="仿宋_GB2312" w:cs="仿宋"/>
          <w:b/>
          <w:bCs/>
          <w:color w:val="000000"/>
          <w:sz w:val="32"/>
          <w:szCs w:val="32"/>
        </w:rPr>
      </w:pPr>
      <w:r>
        <w:rPr>
          <w:rFonts w:hint="eastAsia" w:ascii="仿宋_GB2312" w:hAnsi="仿宋" w:eastAsia="仿宋_GB2312" w:cs="仿宋"/>
          <w:b/>
          <w:bCs/>
          <w:color w:val="000000"/>
          <w:sz w:val="32"/>
          <w:szCs w:val="32"/>
        </w:rPr>
        <w:t>——创新创业生态持续优化。</w:t>
      </w:r>
      <w:r>
        <w:rPr>
          <w:rFonts w:hint="eastAsia" w:ascii="仿宋_GB2312" w:hAnsi="仿宋" w:eastAsia="仿宋_GB2312" w:cs="仿宋"/>
          <w:color w:val="000000"/>
          <w:sz w:val="32"/>
          <w:szCs w:val="32"/>
        </w:rPr>
        <w:t>创新创业体制机制和政策环境加快形成，系统构建“产学研用金、才政介美云”十联动创新创业生态系统，创新创业活力竞相迸发。到2025年，全市科技创新创业投资基金规模新增100亿元，技术交易年成交额</w:t>
      </w:r>
      <w:r>
        <w:rPr>
          <w:rFonts w:hint="eastAsia" w:ascii="仿宋_GB2312" w:hAnsi="仿宋" w:eastAsia="仿宋_GB2312" w:cs="仿宋"/>
          <w:color w:val="000000"/>
          <w:sz w:val="32"/>
          <w:szCs w:val="32"/>
          <w:lang w:val="en-US" w:eastAsia="zh-CN"/>
        </w:rPr>
        <w:t>达到313</w:t>
      </w:r>
      <w:r>
        <w:rPr>
          <w:rFonts w:hint="eastAsia" w:ascii="仿宋_GB2312" w:hAnsi="仿宋" w:eastAsia="仿宋_GB2312" w:cs="仿宋"/>
          <w:color w:val="000000"/>
          <w:sz w:val="32"/>
          <w:szCs w:val="32"/>
        </w:rPr>
        <w:t>亿元。</w:t>
      </w:r>
    </w:p>
    <w:p>
      <w:pPr>
        <w:spacing w:line="480" w:lineRule="exact"/>
        <w:jc w:val="center"/>
        <w:rPr>
          <w:rFonts w:hint="eastAsia" w:ascii="黑体" w:hAnsi="黑体" w:eastAsia="黑体" w:cs="黑体"/>
          <w:b w:val="0"/>
          <w:bCs w:val="0"/>
          <w:color w:val="000000"/>
          <w:sz w:val="32"/>
          <w:szCs w:val="32"/>
        </w:rPr>
      </w:pPr>
    </w:p>
    <w:p>
      <w:pPr>
        <w:spacing w:line="480" w:lineRule="exact"/>
        <w:jc w:val="center"/>
        <w:rPr>
          <w:rFonts w:ascii="黑体" w:hAnsi="黑体" w:eastAsia="黑体" w:cs="黑体"/>
          <w:color w:val="000000"/>
          <w:sz w:val="32"/>
          <w:szCs w:val="32"/>
        </w:rPr>
      </w:pPr>
      <w:r>
        <w:rPr>
          <w:rFonts w:hint="eastAsia" w:ascii="黑体" w:hAnsi="黑体" w:eastAsia="黑体" w:cs="黑体"/>
          <w:b w:val="0"/>
          <w:bCs w:val="0"/>
          <w:color w:val="000000"/>
          <w:sz w:val="32"/>
          <w:szCs w:val="32"/>
        </w:rPr>
        <w:t>“十四五”科技创新主要指标</w:t>
      </w:r>
    </w:p>
    <w:tbl>
      <w:tblPr>
        <w:tblStyle w:val="17"/>
        <w:tblW w:w="5045"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997"/>
        <w:gridCol w:w="822"/>
        <w:gridCol w:w="1097"/>
        <w:gridCol w:w="1228"/>
        <w:gridCol w:w="1444"/>
        <w:gridCol w:w="101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60" w:hRule="atLeast"/>
        </w:trPr>
        <w:tc>
          <w:tcPr>
            <w:tcW w:w="2997" w:type="dxa"/>
            <w:tcBorders>
              <w:tl2br w:val="nil"/>
              <w:tr2bl w:val="nil"/>
            </w:tcBorders>
            <w:noWrap/>
            <w:vAlign w:val="center"/>
          </w:tcPr>
          <w:p>
            <w:pPr>
              <w:widowControl/>
              <w:spacing w:line="480" w:lineRule="exact"/>
              <w:jc w:val="center"/>
              <w:textAlignment w:val="center"/>
              <w:rPr>
                <w:rFonts w:ascii="黑体" w:hAnsi="黑体" w:eastAsia="黑体" w:cs="黑体"/>
                <w:color w:val="000000"/>
                <w:kern w:val="0"/>
                <w:sz w:val="24"/>
                <w:szCs w:val="24"/>
              </w:rPr>
            </w:pPr>
            <w:bookmarkStart w:id="61" w:name="_Toc206"/>
            <w:bookmarkStart w:id="62" w:name="_Toc23170"/>
            <w:bookmarkStart w:id="63" w:name="_Toc2952"/>
            <w:bookmarkStart w:id="64" w:name="_Toc57043398"/>
            <w:r>
              <w:rPr>
                <w:rFonts w:hint="eastAsia" w:ascii="黑体" w:hAnsi="黑体" w:eastAsia="黑体" w:cs="黑体"/>
                <w:color w:val="000000"/>
                <w:kern w:val="0"/>
                <w:sz w:val="24"/>
                <w:szCs w:val="24"/>
              </w:rPr>
              <w:t>指标</w:t>
            </w:r>
          </w:p>
        </w:tc>
        <w:tc>
          <w:tcPr>
            <w:tcW w:w="822" w:type="dxa"/>
            <w:tcBorders>
              <w:tl2br w:val="nil"/>
              <w:tr2bl w:val="nil"/>
            </w:tcBorders>
            <w:noWrap/>
            <w:vAlign w:val="center"/>
          </w:tcPr>
          <w:p>
            <w:pPr>
              <w:widowControl/>
              <w:spacing w:line="480" w:lineRule="exact"/>
              <w:jc w:val="center"/>
              <w:textAlignment w:val="center"/>
              <w:rPr>
                <w:rFonts w:hint="eastAsia" w:ascii="黑体" w:hAnsi="黑体" w:eastAsia="黑体" w:cs="黑体"/>
                <w:color w:val="000000"/>
                <w:kern w:val="0"/>
                <w:sz w:val="24"/>
                <w:szCs w:val="24"/>
                <w:lang w:eastAsia="zh-CN"/>
              </w:rPr>
            </w:pPr>
            <w:r>
              <w:rPr>
                <w:rFonts w:hint="eastAsia" w:ascii="黑体" w:hAnsi="黑体" w:eastAsia="黑体" w:cs="黑体"/>
                <w:color w:val="000000"/>
                <w:kern w:val="0"/>
                <w:sz w:val="24"/>
                <w:szCs w:val="24"/>
                <w:lang w:val="en-US" w:eastAsia="zh-CN"/>
              </w:rPr>
              <w:t>单位</w:t>
            </w:r>
          </w:p>
        </w:tc>
        <w:tc>
          <w:tcPr>
            <w:tcW w:w="1097" w:type="dxa"/>
            <w:tcBorders>
              <w:tl2br w:val="nil"/>
              <w:tr2bl w:val="nil"/>
            </w:tcBorders>
            <w:noWrap/>
            <w:vAlign w:val="center"/>
          </w:tcPr>
          <w:p>
            <w:pPr>
              <w:widowControl/>
              <w:spacing w:line="400" w:lineRule="exact"/>
              <w:jc w:val="center"/>
              <w:textAlignment w:val="center"/>
              <w:rPr>
                <w:rFonts w:hint="default" w:ascii="黑体" w:hAnsi="黑体" w:eastAsia="黑体" w:cs="黑体"/>
                <w:color w:val="000000"/>
                <w:kern w:val="0"/>
                <w:sz w:val="24"/>
                <w:szCs w:val="24"/>
                <w:lang w:val="en-US" w:eastAsia="zh-CN"/>
              </w:rPr>
            </w:pPr>
            <w:r>
              <w:rPr>
                <w:rFonts w:ascii="黑体" w:hAnsi="黑体" w:eastAsia="黑体" w:cs="黑体"/>
                <w:color w:val="000000"/>
                <w:kern w:val="0"/>
                <w:sz w:val="24"/>
                <w:szCs w:val="24"/>
              </w:rPr>
              <w:t>2020</w:t>
            </w:r>
            <w:r>
              <w:rPr>
                <w:rFonts w:hint="eastAsia" w:ascii="黑体" w:hAnsi="黑体" w:eastAsia="黑体" w:cs="黑体"/>
                <w:color w:val="000000"/>
                <w:kern w:val="0"/>
                <w:sz w:val="24"/>
                <w:szCs w:val="24"/>
                <w:lang w:val="en-US" w:eastAsia="zh-CN"/>
              </w:rPr>
              <w:t>年基数</w:t>
            </w:r>
          </w:p>
        </w:tc>
        <w:tc>
          <w:tcPr>
            <w:tcW w:w="1228" w:type="dxa"/>
            <w:tcBorders>
              <w:tl2br w:val="nil"/>
              <w:tr2bl w:val="nil"/>
            </w:tcBorders>
            <w:noWrap/>
            <w:vAlign w:val="center"/>
          </w:tcPr>
          <w:p>
            <w:pPr>
              <w:widowControl/>
              <w:spacing w:line="400" w:lineRule="exact"/>
              <w:jc w:val="center"/>
              <w:textAlignment w:val="center"/>
              <w:rPr>
                <w:rFonts w:hint="eastAsia" w:ascii="黑体" w:hAnsi="黑体" w:eastAsia="黑体" w:cs="黑体"/>
                <w:color w:val="000000"/>
                <w:kern w:val="0"/>
                <w:sz w:val="24"/>
                <w:szCs w:val="24"/>
                <w:lang w:val="en-US" w:eastAsia="zh-CN"/>
              </w:rPr>
            </w:pPr>
            <w:r>
              <w:rPr>
                <w:rFonts w:ascii="黑体" w:hAnsi="黑体" w:eastAsia="黑体" w:cs="黑体"/>
                <w:color w:val="000000"/>
                <w:kern w:val="0"/>
                <w:sz w:val="24"/>
                <w:szCs w:val="24"/>
              </w:rPr>
              <w:t>2025</w:t>
            </w:r>
            <w:r>
              <w:rPr>
                <w:rFonts w:hint="eastAsia" w:ascii="黑体" w:hAnsi="黑体" w:eastAsia="黑体" w:cs="黑体"/>
                <w:color w:val="000000"/>
                <w:kern w:val="0"/>
                <w:sz w:val="24"/>
                <w:szCs w:val="24"/>
                <w:lang w:val="en-US" w:eastAsia="zh-CN"/>
              </w:rPr>
              <w:t>年目标</w:t>
            </w:r>
          </w:p>
        </w:tc>
        <w:tc>
          <w:tcPr>
            <w:tcW w:w="1444" w:type="dxa"/>
            <w:tcBorders>
              <w:tl2br w:val="nil"/>
              <w:tr2bl w:val="nil"/>
            </w:tcBorders>
            <w:noWrap/>
            <w:vAlign w:val="center"/>
          </w:tcPr>
          <w:p>
            <w:pPr>
              <w:widowControl/>
              <w:spacing w:line="400" w:lineRule="exact"/>
              <w:jc w:val="center"/>
              <w:textAlignment w:val="center"/>
              <w:rPr>
                <w:rFonts w:hint="eastAsia" w:ascii="黑体" w:hAnsi="黑体" w:eastAsia="黑体" w:cs="黑体"/>
                <w:color w:val="000000"/>
                <w:kern w:val="0"/>
                <w:sz w:val="24"/>
                <w:szCs w:val="24"/>
                <w:lang w:val="en-US" w:eastAsia="zh-CN"/>
              </w:rPr>
            </w:pPr>
            <w:r>
              <w:rPr>
                <w:rFonts w:hint="eastAsia" w:ascii="黑体" w:hAnsi="黑体" w:eastAsia="黑体" w:cs="黑体"/>
                <w:color w:val="000000"/>
                <w:kern w:val="0"/>
                <w:sz w:val="24"/>
                <w:szCs w:val="24"/>
                <w:lang w:val="en-US" w:eastAsia="zh-CN"/>
              </w:rPr>
              <w:t>年均增长</w:t>
            </w:r>
          </w:p>
          <w:p>
            <w:pPr>
              <w:widowControl/>
              <w:spacing w:line="400" w:lineRule="exact"/>
              <w:jc w:val="center"/>
              <w:textAlignment w:val="center"/>
              <w:rPr>
                <w:rFonts w:hint="default" w:ascii="黑体" w:hAnsi="黑体" w:eastAsia="黑体" w:cs="黑体"/>
                <w:color w:val="000000"/>
                <w:kern w:val="0"/>
                <w:sz w:val="24"/>
                <w:szCs w:val="24"/>
                <w:lang w:val="en-US" w:eastAsia="zh-CN"/>
              </w:rPr>
            </w:pPr>
            <w:r>
              <w:rPr>
                <w:rFonts w:hint="eastAsia" w:ascii="黑体" w:hAnsi="黑体" w:eastAsia="黑体" w:cs="黑体"/>
                <w:color w:val="000000"/>
                <w:kern w:val="0"/>
                <w:sz w:val="24"/>
                <w:szCs w:val="24"/>
                <w:lang w:val="en-US" w:eastAsia="zh-CN"/>
              </w:rPr>
              <w:t>[累计提高]</w:t>
            </w:r>
          </w:p>
        </w:tc>
        <w:tc>
          <w:tcPr>
            <w:tcW w:w="1011" w:type="dxa"/>
            <w:tcBorders>
              <w:tl2br w:val="nil"/>
              <w:tr2bl w:val="nil"/>
            </w:tcBorders>
            <w:noWrap/>
            <w:vAlign w:val="center"/>
          </w:tcPr>
          <w:p>
            <w:pPr>
              <w:widowControl/>
              <w:spacing w:line="400" w:lineRule="exact"/>
              <w:jc w:val="center"/>
              <w:textAlignment w:val="center"/>
              <w:rPr>
                <w:rFonts w:hint="eastAsia" w:ascii="黑体" w:hAnsi="黑体" w:eastAsia="黑体" w:cs="黑体"/>
                <w:color w:val="000000"/>
                <w:kern w:val="0"/>
                <w:sz w:val="24"/>
                <w:szCs w:val="24"/>
                <w:lang w:val="en-US" w:eastAsia="zh-CN"/>
              </w:rPr>
            </w:pPr>
            <w:r>
              <w:rPr>
                <w:rFonts w:hint="eastAsia" w:ascii="黑体" w:hAnsi="黑体" w:eastAsia="黑体" w:cs="黑体"/>
                <w:color w:val="000000"/>
                <w:kern w:val="0"/>
                <w:sz w:val="24"/>
                <w:szCs w:val="24"/>
                <w:lang w:val="en-US" w:eastAsia="zh-CN"/>
              </w:rPr>
              <w:t>指标</w:t>
            </w:r>
          </w:p>
          <w:p>
            <w:pPr>
              <w:widowControl/>
              <w:spacing w:line="400" w:lineRule="exact"/>
              <w:jc w:val="center"/>
              <w:textAlignment w:val="center"/>
              <w:rPr>
                <w:rFonts w:hint="default" w:ascii="黑体" w:hAnsi="黑体" w:eastAsia="黑体" w:cs="黑体"/>
                <w:color w:val="000000"/>
                <w:kern w:val="0"/>
                <w:sz w:val="24"/>
                <w:szCs w:val="24"/>
                <w:lang w:val="en-US" w:eastAsia="zh-CN"/>
              </w:rPr>
            </w:pPr>
            <w:r>
              <w:rPr>
                <w:rFonts w:hint="eastAsia" w:ascii="黑体" w:hAnsi="黑体" w:eastAsia="黑体" w:cs="黑体"/>
                <w:color w:val="000000"/>
                <w:kern w:val="0"/>
                <w:sz w:val="24"/>
                <w:szCs w:val="24"/>
                <w:lang w:val="en-US" w:eastAsia="zh-CN"/>
              </w:rPr>
              <w:t>属性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6" w:hRule="atLeast"/>
        </w:trPr>
        <w:tc>
          <w:tcPr>
            <w:tcW w:w="2997"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ascii="宋体" w:hAnsi="宋体" w:eastAsia="宋体" w:cs="宋体"/>
                <w:color w:val="000000"/>
                <w:kern w:val="0"/>
                <w:sz w:val="24"/>
                <w:szCs w:val="24"/>
              </w:rPr>
            </w:pPr>
            <w:r>
              <w:rPr>
                <w:rFonts w:ascii="宋体" w:hAnsi="宋体" w:eastAsia="宋体" w:cs="宋体"/>
                <w:color w:val="000000"/>
                <w:kern w:val="0"/>
                <w:sz w:val="24"/>
                <w:szCs w:val="24"/>
              </w:rPr>
              <w:t>R&amp;D经费占地区生产总值的比重</w:t>
            </w:r>
            <w:r>
              <w:rPr>
                <w:rFonts w:hint="eastAsia" w:ascii="宋体" w:hAnsi="宋体" w:cs="宋体"/>
                <w:color w:val="000000"/>
                <w:kern w:val="0"/>
                <w:sz w:val="44"/>
                <w:szCs w:val="44"/>
                <w:vertAlign w:val="superscript"/>
                <w:lang w:val="en-US" w:eastAsia="zh-CN"/>
              </w:rPr>
              <w:t>#</w:t>
            </w:r>
          </w:p>
        </w:tc>
        <w:tc>
          <w:tcPr>
            <w:tcW w:w="822" w:type="dxa"/>
            <w:tcBorders>
              <w:tl2br w:val="nil"/>
              <w:tr2bl w:val="nil"/>
            </w:tcBorders>
            <w:noWrap/>
            <w:vAlign w:val="center"/>
          </w:tcPr>
          <w:p>
            <w:pPr>
              <w:widowControl/>
              <w:spacing w:line="480" w:lineRule="exact"/>
              <w:jc w:val="center"/>
              <w:rPr>
                <w:rFonts w:ascii="宋体" w:hAnsi="宋体" w:eastAsia="宋体" w:cs="宋体"/>
                <w:color w:val="000000"/>
                <w:kern w:val="0"/>
                <w:sz w:val="24"/>
                <w:szCs w:val="24"/>
              </w:rPr>
            </w:pPr>
            <w:r>
              <w:rPr>
                <w:rFonts w:ascii="宋体" w:hAnsi="宋体" w:eastAsia="宋体" w:cs="宋体"/>
                <w:color w:val="000000"/>
                <w:kern w:val="0"/>
                <w:sz w:val="24"/>
                <w:szCs w:val="24"/>
                <w:lang w:eastAsia="zh-TW"/>
              </w:rPr>
              <w:t>%</w:t>
            </w:r>
          </w:p>
        </w:tc>
        <w:tc>
          <w:tcPr>
            <w:tcW w:w="1097" w:type="dxa"/>
            <w:tcBorders>
              <w:tl2br w:val="nil"/>
              <w:tr2bl w:val="nil"/>
            </w:tcBorders>
            <w:noWrap/>
            <w:vAlign w:val="center"/>
          </w:tcPr>
          <w:p>
            <w:pPr>
              <w:widowControl/>
              <w:spacing w:line="480" w:lineRule="exact"/>
              <w:jc w:val="center"/>
              <w:rPr>
                <w:rFonts w:hint="eastAsia" w:ascii="宋体" w:hAnsi="宋体" w:eastAsia="宋体" w:cs="宋体"/>
                <w:color w:val="auto"/>
                <w:kern w:val="0"/>
                <w:sz w:val="24"/>
                <w:szCs w:val="24"/>
                <w:lang w:val="en-US" w:eastAsia="zh-CN"/>
              </w:rPr>
            </w:pPr>
            <w:r>
              <w:rPr>
                <w:rFonts w:ascii="宋体" w:hAnsi="宋体" w:eastAsia="宋体" w:cs="宋体"/>
                <w:color w:val="auto"/>
                <w:kern w:val="0"/>
                <w:sz w:val="24"/>
                <w:szCs w:val="24"/>
              </w:rPr>
              <w:t>2.2</w:t>
            </w:r>
            <w:r>
              <w:rPr>
                <w:rFonts w:hint="eastAsia" w:ascii="宋体" w:hAnsi="宋体" w:cs="宋体"/>
                <w:color w:val="auto"/>
                <w:kern w:val="0"/>
                <w:sz w:val="24"/>
                <w:szCs w:val="24"/>
                <w:lang w:val="en-US" w:eastAsia="zh-CN"/>
              </w:rPr>
              <w:t>左右</w:t>
            </w:r>
          </w:p>
        </w:tc>
        <w:tc>
          <w:tcPr>
            <w:tcW w:w="1228" w:type="dxa"/>
            <w:tcBorders>
              <w:tl2br w:val="nil"/>
              <w:tr2bl w:val="nil"/>
            </w:tcBorders>
            <w:noWrap/>
            <w:vAlign w:val="center"/>
          </w:tcPr>
          <w:p>
            <w:pPr>
              <w:widowControl/>
              <w:spacing w:line="480" w:lineRule="exact"/>
              <w:jc w:val="center"/>
              <w:rPr>
                <w:rFonts w:hint="eastAsia" w:ascii="宋体" w:hAnsi="宋体" w:eastAsia="宋体" w:cs="宋体"/>
                <w:color w:val="auto"/>
                <w:kern w:val="0"/>
                <w:sz w:val="24"/>
                <w:szCs w:val="24"/>
                <w:lang w:val="en-US" w:eastAsia="zh-CN"/>
              </w:rPr>
            </w:pPr>
            <w:r>
              <w:rPr>
                <w:rFonts w:ascii="宋体" w:hAnsi="宋体" w:eastAsia="宋体" w:cs="宋体"/>
                <w:color w:val="auto"/>
                <w:kern w:val="0"/>
                <w:sz w:val="24"/>
                <w:szCs w:val="24"/>
              </w:rPr>
              <w:t>3.0</w:t>
            </w:r>
            <w:r>
              <w:rPr>
                <w:rFonts w:hint="eastAsia" w:ascii="宋体" w:hAnsi="宋体" w:cs="宋体"/>
                <w:color w:val="auto"/>
                <w:kern w:val="0"/>
                <w:sz w:val="24"/>
                <w:szCs w:val="24"/>
                <w:lang w:val="en-US" w:eastAsia="zh-CN"/>
              </w:rPr>
              <w:t>左右</w:t>
            </w:r>
          </w:p>
        </w:tc>
        <w:tc>
          <w:tcPr>
            <w:tcW w:w="1444" w:type="dxa"/>
            <w:tcBorders>
              <w:tl2br w:val="nil"/>
              <w:tr2bl w:val="nil"/>
            </w:tcBorders>
            <w:noWrap/>
            <w:vAlign w:val="center"/>
          </w:tcPr>
          <w:p>
            <w:pPr>
              <w:widowControl/>
              <w:spacing w:line="480" w:lineRule="exact"/>
              <w:jc w:val="center"/>
              <w:rPr>
                <w:rFonts w:hint="default" w:ascii="宋体" w:hAnsi="宋体" w:eastAsia="宋体" w:cs="宋体"/>
                <w:color w:val="000000"/>
                <w:kern w:val="0"/>
                <w:sz w:val="24"/>
                <w:szCs w:val="24"/>
                <w:lang w:val="en-US" w:eastAsia="zh-CN"/>
              </w:rPr>
            </w:pPr>
            <w:r>
              <w:rPr>
                <w:rFonts w:ascii="宋体" w:hAnsi="宋体" w:eastAsia="宋体" w:cs="宋体"/>
                <w:color w:val="000000"/>
                <w:kern w:val="0"/>
                <w:sz w:val="24"/>
                <w:szCs w:val="24"/>
              </w:rPr>
              <w:t>--</w:t>
            </w:r>
          </w:p>
        </w:tc>
        <w:tc>
          <w:tcPr>
            <w:tcW w:w="1011" w:type="dxa"/>
            <w:tcBorders>
              <w:tl2br w:val="nil"/>
              <w:tr2bl w:val="nil"/>
            </w:tcBorders>
            <w:noWrap/>
            <w:vAlign w:val="center"/>
          </w:tcPr>
          <w:p>
            <w:pPr>
              <w:widowControl/>
              <w:spacing w:line="480" w:lineRule="exact"/>
              <w:jc w:val="center"/>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lang w:val="en-US" w:eastAsia="zh-CN"/>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11" w:hRule="atLeast"/>
        </w:trPr>
        <w:tc>
          <w:tcPr>
            <w:tcW w:w="2997"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ascii="宋体" w:hAnsi="宋体" w:eastAsia="宋体" w:cs="宋体"/>
                <w:color w:val="000000"/>
                <w:kern w:val="0"/>
                <w:sz w:val="24"/>
                <w:szCs w:val="24"/>
                <w:lang w:eastAsia="zh-TW"/>
              </w:rPr>
            </w:pPr>
            <w:r>
              <w:rPr>
                <w:rFonts w:hint="eastAsia" w:ascii="宋体" w:hAnsi="宋体" w:eastAsia="宋体" w:cs="宋体"/>
                <w:color w:val="000000"/>
                <w:kern w:val="0"/>
                <w:sz w:val="24"/>
                <w:szCs w:val="24"/>
                <w:lang w:eastAsia="zh-TW"/>
              </w:rPr>
              <w:t>规上工业企业</w:t>
            </w:r>
            <w:r>
              <w:rPr>
                <w:rFonts w:ascii="宋体" w:hAnsi="宋体" w:eastAsia="宋体" w:cs="宋体"/>
                <w:color w:val="000000"/>
                <w:kern w:val="0"/>
                <w:sz w:val="24"/>
                <w:szCs w:val="24"/>
                <w:lang w:eastAsia="zh-TW"/>
              </w:rPr>
              <w:t>R&amp;D经费支出占营业收入比重</w:t>
            </w:r>
            <w:r>
              <w:rPr>
                <w:rFonts w:hint="eastAsia" w:ascii="宋体" w:hAnsi="宋体" w:cs="宋体"/>
                <w:color w:val="000000"/>
                <w:kern w:val="0"/>
                <w:sz w:val="44"/>
                <w:szCs w:val="44"/>
                <w:vertAlign w:val="superscript"/>
                <w:lang w:val="en-US" w:eastAsia="zh-CN"/>
              </w:rPr>
              <w:t>#</w:t>
            </w:r>
          </w:p>
        </w:tc>
        <w:tc>
          <w:tcPr>
            <w:tcW w:w="822" w:type="dxa"/>
            <w:tcBorders>
              <w:tl2br w:val="nil"/>
              <w:tr2bl w:val="nil"/>
            </w:tcBorders>
            <w:noWrap/>
            <w:vAlign w:val="center"/>
          </w:tcPr>
          <w:p>
            <w:pPr>
              <w:widowControl/>
              <w:spacing w:line="480" w:lineRule="exact"/>
              <w:jc w:val="center"/>
              <w:rPr>
                <w:rFonts w:ascii="宋体" w:hAnsi="宋体" w:eastAsia="宋体" w:cs="宋体"/>
                <w:color w:val="000000"/>
                <w:kern w:val="0"/>
                <w:sz w:val="24"/>
                <w:szCs w:val="24"/>
              </w:rPr>
            </w:pPr>
            <w:r>
              <w:rPr>
                <w:rFonts w:ascii="宋体" w:hAnsi="宋体" w:eastAsia="宋体" w:cs="宋体"/>
                <w:color w:val="000000"/>
                <w:kern w:val="0"/>
                <w:sz w:val="24"/>
                <w:szCs w:val="24"/>
                <w:lang w:eastAsia="zh-TW"/>
              </w:rPr>
              <w:t>%</w:t>
            </w:r>
          </w:p>
        </w:tc>
        <w:tc>
          <w:tcPr>
            <w:tcW w:w="1097" w:type="dxa"/>
            <w:tcBorders>
              <w:tl2br w:val="nil"/>
              <w:tr2bl w:val="nil"/>
            </w:tcBorders>
            <w:noWrap/>
            <w:vAlign w:val="center"/>
          </w:tcPr>
          <w:p>
            <w:pPr>
              <w:widowControl/>
              <w:spacing w:line="480" w:lineRule="exact"/>
              <w:jc w:val="center"/>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3</w:t>
            </w:r>
            <w:r>
              <w:rPr>
                <w:rFonts w:ascii="宋体" w:hAnsi="宋体" w:eastAsia="宋体" w:cs="宋体"/>
                <w:color w:val="auto"/>
                <w:kern w:val="0"/>
                <w:sz w:val="24"/>
                <w:szCs w:val="24"/>
              </w:rPr>
              <w:t>.</w:t>
            </w:r>
            <w:r>
              <w:rPr>
                <w:rFonts w:hint="eastAsia" w:ascii="宋体" w:hAnsi="宋体" w:cs="宋体"/>
                <w:color w:val="auto"/>
                <w:kern w:val="0"/>
                <w:sz w:val="24"/>
                <w:szCs w:val="24"/>
                <w:lang w:val="en-US" w:eastAsia="zh-CN"/>
              </w:rPr>
              <w:t>03</w:t>
            </w:r>
          </w:p>
        </w:tc>
        <w:tc>
          <w:tcPr>
            <w:tcW w:w="1228" w:type="dxa"/>
            <w:tcBorders>
              <w:tl2br w:val="nil"/>
              <w:tr2bl w:val="nil"/>
            </w:tcBorders>
            <w:noWrap/>
            <w:vAlign w:val="center"/>
          </w:tcPr>
          <w:p>
            <w:pPr>
              <w:widowControl/>
              <w:spacing w:line="480" w:lineRule="exact"/>
              <w:jc w:val="center"/>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3.25</w:t>
            </w:r>
          </w:p>
        </w:tc>
        <w:tc>
          <w:tcPr>
            <w:tcW w:w="1444" w:type="dxa"/>
            <w:tcBorders>
              <w:tl2br w:val="nil"/>
              <w:tr2bl w:val="nil"/>
            </w:tcBorders>
            <w:noWrap/>
            <w:vAlign w:val="center"/>
          </w:tcPr>
          <w:p>
            <w:pPr>
              <w:widowControl/>
              <w:spacing w:line="480" w:lineRule="exact"/>
              <w:jc w:val="center"/>
              <w:rPr>
                <w:rFonts w:hint="default"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[0.22]</w:t>
            </w:r>
          </w:p>
        </w:tc>
        <w:tc>
          <w:tcPr>
            <w:tcW w:w="1011" w:type="dxa"/>
            <w:tcBorders>
              <w:tl2br w:val="nil"/>
              <w:tr2bl w:val="nil"/>
            </w:tcBorders>
            <w:noWrap/>
            <w:vAlign w:val="center"/>
          </w:tcPr>
          <w:p>
            <w:pPr>
              <w:widowControl/>
              <w:spacing w:line="480" w:lineRule="exact"/>
              <w:jc w:val="center"/>
              <w:rPr>
                <w:rFonts w:ascii="宋体" w:hAnsi="宋体" w:eastAsia="宋体" w:cs="宋体"/>
                <w:color w:val="000000"/>
                <w:kern w:val="0"/>
                <w:sz w:val="24"/>
                <w:szCs w:val="24"/>
              </w:rPr>
            </w:pPr>
            <w:r>
              <w:rPr>
                <w:rFonts w:hint="eastAsia" w:ascii="宋体" w:hAnsi="宋体" w:cs="宋体"/>
                <w:color w:val="000000"/>
                <w:kern w:val="0"/>
                <w:sz w:val="24"/>
                <w:szCs w:val="24"/>
                <w:lang w:val="en-US" w:eastAsia="zh-CN"/>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6" w:hRule="atLeast"/>
        </w:trPr>
        <w:tc>
          <w:tcPr>
            <w:tcW w:w="2997"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400" w:lineRule="exact"/>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lang w:eastAsia="zh-TW"/>
              </w:rPr>
              <w:t>高新技术产业增加值占规模以上工业增加值比重</w:t>
            </w:r>
            <w:r>
              <w:rPr>
                <w:rFonts w:hint="eastAsia" w:ascii="宋体" w:hAnsi="宋体" w:cs="宋体"/>
                <w:color w:val="000000"/>
                <w:kern w:val="0"/>
                <w:sz w:val="44"/>
                <w:szCs w:val="44"/>
                <w:vertAlign w:val="superscript"/>
                <w:lang w:val="en-US" w:eastAsia="zh-CN"/>
              </w:rPr>
              <w:t>#</w:t>
            </w:r>
          </w:p>
        </w:tc>
        <w:tc>
          <w:tcPr>
            <w:tcW w:w="822" w:type="dxa"/>
            <w:tcBorders>
              <w:tl2br w:val="nil"/>
              <w:tr2bl w:val="nil"/>
            </w:tcBorders>
            <w:noWrap/>
            <w:vAlign w:val="center"/>
          </w:tcPr>
          <w:p>
            <w:pPr>
              <w:widowControl/>
              <w:spacing w:line="480" w:lineRule="exact"/>
              <w:jc w:val="center"/>
              <w:rPr>
                <w:rFonts w:ascii="宋体" w:hAnsi="宋体" w:eastAsia="宋体" w:cs="宋体"/>
                <w:color w:val="000000"/>
                <w:kern w:val="0"/>
                <w:sz w:val="24"/>
                <w:szCs w:val="24"/>
              </w:rPr>
            </w:pPr>
            <w:r>
              <w:rPr>
                <w:rFonts w:ascii="宋体" w:hAnsi="宋体" w:eastAsia="宋体" w:cs="宋体"/>
                <w:color w:val="000000"/>
                <w:kern w:val="0"/>
                <w:sz w:val="24"/>
                <w:szCs w:val="24"/>
                <w:lang w:eastAsia="zh-TW"/>
              </w:rPr>
              <w:t>%</w:t>
            </w:r>
          </w:p>
        </w:tc>
        <w:tc>
          <w:tcPr>
            <w:tcW w:w="1097" w:type="dxa"/>
            <w:tcBorders>
              <w:tl2br w:val="nil"/>
              <w:tr2bl w:val="nil"/>
            </w:tcBorders>
            <w:noWrap/>
            <w:vAlign w:val="center"/>
          </w:tcPr>
          <w:p>
            <w:pPr>
              <w:widowControl/>
              <w:spacing w:line="480" w:lineRule="exact"/>
              <w:jc w:val="center"/>
              <w:rPr>
                <w:rFonts w:ascii="宋体" w:hAnsi="宋体" w:eastAsia="宋体" w:cs="宋体"/>
                <w:color w:val="auto"/>
                <w:kern w:val="0"/>
                <w:sz w:val="24"/>
                <w:szCs w:val="24"/>
              </w:rPr>
            </w:pPr>
            <w:r>
              <w:rPr>
                <w:rFonts w:ascii="宋体" w:hAnsi="宋体" w:eastAsia="宋体" w:cs="宋体"/>
                <w:color w:val="auto"/>
                <w:kern w:val="0"/>
                <w:sz w:val="24"/>
                <w:szCs w:val="24"/>
              </w:rPr>
              <w:t>60.9</w:t>
            </w:r>
          </w:p>
        </w:tc>
        <w:tc>
          <w:tcPr>
            <w:tcW w:w="1228" w:type="dxa"/>
            <w:tcBorders>
              <w:tl2br w:val="nil"/>
              <w:tr2bl w:val="nil"/>
            </w:tcBorders>
            <w:noWrap/>
            <w:vAlign w:val="center"/>
          </w:tcPr>
          <w:p>
            <w:pPr>
              <w:widowControl/>
              <w:spacing w:line="480" w:lineRule="exact"/>
              <w:jc w:val="center"/>
              <w:rPr>
                <w:rFonts w:ascii="宋体" w:hAnsi="宋体" w:eastAsia="宋体" w:cs="宋体"/>
                <w:color w:val="auto"/>
                <w:kern w:val="0"/>
                <w:sz w:val="24"/>
                <w:szCs w:val="24"/>
              </w:rPr>
            </w:pPr>
            <w:r>
              <w:rPr>
                <w:rFonts w:ascii="宋体" w:hAnsi="宋体" w:eastAsia="宋体" w:cs="宋体"/>
                <w:color w:val="auto"/>
                <w:kern w:val="0"/>
                <w:sz w:val="24"/>
                <w:szCs w:val="24"/>
              </w:rPr>
              <w:t>6</w:t>
            </w:r>
            <w:r>
              <w:rPr>
                <w:rFonts w:hint="eastAsia" w:ascii="宋体" w:hAnsi="宋体" w:cs="宋体"/>
                <w:color w:val="auto"/>
                <w:kern w:val="0"/>
                <w:sz w:val="24"/>
                <w:szCs w:val="24"/>
                <w:lang w:val="en-US" w:eastAsia="zh-CN"/>
              </w:rPr>
              <w:t>2</w:t>
            </w:r>
            <w:r>
              <w:rPr>
                <w:rFonts w:ascii="宋体" w:hAnsi="宋体" w:eastAsia="宋体" w:cs="宋体"/>
                <w:color w:val="auto"/>
                <w:kern w:val="0"/>
                <w:sz w:val="24"/>
                <w:szCs w:val="24"/>
              </w:rPr>
              <w:t>以上</w:t>
            </w:r>
          </w:p>
        </w:tc>
        <w:tc>
          <w:tcPr>
            <w:tcW w:w="1444" w:type="dxa"/>
            <w:tcBorders>
              <w:tl2br w:val="nil"/>
              <w:tr2bl w:val="nil"/>
            </w:tcBorders>
            <w:noWrap/>
            <w:vAlign w:val="center"/>
          </w:tcPr>
          <w:p>
            <w:pPr>
              <w:widowControl/>
              <w:spacing w:line="480" w:lineRule="exact"/>
              <w:jc w:val="center"/>
              <w:rPr>
                <w:rFonts w:ascii="宋体" w:hAnsi="宋体" w:eastAsia="宋体" w:cs="宋体"/>
                <w:color w:val="000000"/>
                <w:kern w:val="0"/>
                <w:sz w:val="24"/>
                <w:szCs w:val="24"/>
              </w:rPr>
            </w:pPr>
            <w:r>
              <w:rPr>
                <w:rFonts w:ascii="宋体" w:hAnsi="宋体" w:eastAsia="宋体" w:cs="宋体"/>
                <w:color w:val="000000"/>
                <w:kern w:val="0"/>
                <w:sz w:val="24"/>
                <w:szCs w:val="24"/>
              </w:rPr>
              <w:t>--</w:t>
            </w:r>
          </w:p>
        </w:tc>
        <w:tc>
          <w:tcPr>
            <w:tcW w:w="1011" w:type="dxa"/>
            <w:tcBorders>
              <w:tl2br w:val="nil"/>
              <w:tr2bl w:val="nil"/>
            </w:tcBorders>
            <w:noWrap/>
            <w:vAlign w:val="center"/>
          </w:tcPr>
          <w:p>
            <w:pPr>
              <w:widowControl/>
              <w:spacing w:line="480" w:lineRule="exact"/>
              <w:jc w:val="center"/>
              <w:rPr>
                <w:rFonts w:ascii="宋体" w:hAnsi="宋体" w:eastAsia="宋体" w:cs="宋体"/>
                <w:color w:val="000000"/>
                <w:kern w:val="0"/>
                <w:sz w:val="24"/>
                <w:szCs w:val="24"/>
              </w:rPr>
            </w:pPr>
            <w:r>
              <w:rPr>
                <w:rFonts w:hint="eastAsia" w:ascii="宋体" w:hAnsi="宋体" w:cs="宋体"/>
                <w:color w:val="000000"/>
                <w:kern w:val="0"/>
                <w:sz w:val="24"/>
                <w:szCs w:val="24"/>
                <w:lang w:val="en-US" w:eastAsia="zh-CN"/>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1" w:hRule="atLeast"/>
        </w:trPr>
        <w:tc>
          <w:tcPr>
            <w:tcW w:w="2997"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lang w:eastAsia="zh-TW"/>
              </w:rPr>
              <w:t>每万名就业人员中研发人员</w:t>
            </w:r>
            <w:r>
              <w:rPr>
                <w:rFonts w:hint="eastAsia" w:ascii="宋体" w:hAnsi="宋体" w:cs="宋体"/>
                <w:color w:val="000000"/>
                <w:kern w:val="0"/>
                <w:sz w:val="44"/>
                <w:szCs w:val="44"/>
                <w:vertAlign w:val="superscript"/>
                <w:lang w:val="en-US" w:eastAsia="zh-CN"/>
              </w:rPr>
              <w:t>#</w:t>
            </w:r>
          </w:p>
        </w:tc>
        <w:tc>
          <w:tcPr>
            <w:tcW w:w="822" w:type="dxa"/>
            <w:tcBorders>
              <w:tl2br w:val="nil"/>
              <w:tr2bl w:val="nil"/>
            </w:tcBorders>
            <w:noWrap/>
            <w:vAlign w:val="center"/>
          </w:tcPr>
          <w:p>
            <w:pPr>
              <w:widowControl/>
              <w:spacing w:line="480" w:lineRule="exact"/>
              <w:jc w:val="center"/>
              <w:rPr>
                <w:rFonts w:ascii="宋体" w:hAnsi="宋体" w:eastAsia="宋体" w:cs="宋体"/>
                <w:color w:val="000000"/>
                <w:sz w:val="24"/>
                <w:szCs w:val="24"/>
              </w:rPr>
            </w:pPr>
            <w:r>
              <w:rPr>
                <w:rFonts w:hint="eastAsia" w:ascii="宋体" w:hAnsi="宋体" w:eastAsia="宋体" w:cs="宋体"/>
                <w:color w:val="000000"/>
                <w:kern w:val="0"/>
                <w:sz w:val="24"/>
                <w:szCs w:val="24"/>
                <w:lang w:eastAsia="zh-TW"/>
              </w:rPr>
              <w:t>人年</w:t>
            </w:r>
          </w:p>
        </w:tc>
        <w:tc>
          <w:tcPr>
            <w:tcW w:w="1097" w:type="dxa"/>
            <w:tcBorders>
              <w:tl2br w:val="nil"/>
              <w:tr2bl w:val="nil"/>
            </w:tcBorders>
            <w:noWrap/>
            <w:vAlign w:val="center"/>
          </w:tcPr>
          <w:p>
            <w:pPr>
              <w:widowControl/>
              <w:spacing w:line="480" w:lineRule="exact"/>
              <w:jc w:val="center"/>
              <w:rPr>
                <w:rFonts w:ascii="宋体" w:hAnsi="宋体" w:eastAsia="宋体" w:cs="宋体"/>
                <w:color w:val="auto"/>
                <w:sz w:val="24"/>
                <w:szCs w:val="24"/>
              </w:rPr>
            </w:pPr>
            <w:r>
              <w:rPr>
                <w:rFonts w:ascii="宋体" w:hAnsi="宋体" w:eastAsia="宋体" w:cs="宋体"/>
                <w:color w:val="auto"/>
                <w:sz w:val="24"/>
                <w:szCs w:val="24"/>
              </w:rPr>
              <w:t>120</w:t>
            </w:r>
          </w:p>
        </w:tc>
        <w:tc>
          <w:tcPr>
            <w:tcW w:w="1228" w:type="dxa"/>
            <w:tcBorders>
              <w:tl2br w:val="nil"/>
              <w:tr2bl w:val="nil"/>
            </w:tcBorders>
            <w:noWrap/>
            <w:vAlign w:val="center"/>
          </w:tcPr>
          <w:p>
            <w:pPr>
              <w:widowControl/>
              <w:spacing w:line="480" w:lineRule="exact"/>
              <w:jc w:val="center"/>
              <w:rPr>
                <w:rFonts w:ascii="宋体" w:hAnsi="宋体" w:eastAsia="宋体" w:cs="宋体"/>
                <w:color w:val="auto"/>
                <w:kern w:val="0"/>
                <w:sz w:val="24"/>
                <w:szCs w:val="24"/>
              </w:rPr>
            </w:pPr>
            <w:r>
              <w:rPr>
                <w:rFonts w:ascii="宋体" w:hAnsi="宋体" w:eastAsia="宋体" w:cs="宋体"/>
                <w:color w:val="auto"/>
                <w:kern w:val="0"/>
                <w:sz w:val="24"/>
                <w:szCs w:val="24"/>
              </w:rPr>
              <w:t>136</w:t>
            </w:r>
          </w:p>
        </w:tc>
        <w:tc>
          <w:tcPr>
            <w:tcW w:w="1444" w:type="dxa"/>
            <w:tcBorders>
              <w:tl2br w:val="nil"/>
              <w:tr2bl w:val="nil"/>
            </w:tcBorders>
            <w:noWrap/>
            <w:vAlign w:val="center"/>
          </w:tcPr>
          <w:p>
            <w:pPr>
              <w:widowControl/>
              <w:spacing w:line="480" w:lineRule="exact"/>
              <w:jc w:val="center"/>
              <w:rPr>
                <w:rFonts w:hint="default"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2.53%</w:t>
            </w:r>
          </w:p>
        </w:tc>
        <w:tc>
          <w:tcPr>
            <w:tcW w:w="1011" w:type="dxa"/>
            <w:tcBorders>
              <w:tl2br w:val="nil"/>
              <w:tr2bl w:val="nil"/>
            </w:tcBorders>
            <w:noWrap/>
            <w:vAlign w:val="center"/>
          </w:tcPr>
          <w:p>
            <w:pPr>
              <w:widowControl/>
              <w:spacing w:line="480" w:lineRule="exact"/>
              <w:jc w:val="center"/>
              <w:rPr>
                <w:rFonts w:ascii="宋体" w:hAnsi="宋体" w:eastAsia="宋体" w:cs="宋体"/>
                <w:color w:val="000000"/>
                <w:kern w:val="0"/>
                <w:sz w:val="24"/>
                <w:szCs w:val="24"/>
              </w:rPr>
            </w:pPr>
            <w:r>
              <w:rPr>
                <w:rFonts w:hint="eastAsia" w:ascii="宋体" w:hAnsi="宋体" w:cs="宋体"/>
                <w:color w:val="000000"/>
                <w:kern w:val="0"/>
                <w:sz w:val="24"/>
                <w:szCs w:val="24"/>
                <w:lang w:val="en-US" w:eastAsia="zh-CN"/>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1" w:hRule="atLeast"/>
        </w:trPr>
        <w:tc>
          <w:tcPr>
            <w:tcW w:w="2997"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lang w:eastAsia="zh-TW"/>
              </w:rPr>
              <w:t>全社会劳动生产率</w:t>
            </w:r>
            <w:r>
              <w:rPr>
                <w:rFonts w:hint="eastAsia" w:ascii="宋体" w:hAnsi="宋体" w:cs="宋体"/>
                <w:color w:val="000000"/>
                <w:kern w:val="0"/>
                <w:sz w:val="44"/>
                <w:szCs w:val="44"/>
                <w:vertAlign w:val="superscript"/>
                <w:lang w:val="en-US" w:eastAsia="zh-CN"/>
              </w:rPr>
              <w:t>#</w:t>
            </w:r>
          </w:p>
        </w:tc>
        <w:tc>
          <w:tcPr>
            <w:tcW w:w="822" w:type="dxa"/>
            <w:tcBorders>
              <w:tl2br w:val="nil"/>
              <w:tr2bl w:val="nil"/>
            </w:tcBorders>
            <w:noWrap/>
            <w:vAlign w:val="center"/>
          </w:tcPr>
          <w:p>
            <w:pPr>
              <w:widowControl/>
              <w:spacing w:line="480" w:lineRule="exact"/>
              <w:jc w:val="center"/>
              <w:rPr>
                <w:rFonts w:ascii="宋体" w:hAnsi="宋体" w:eastAsia="宋体" w:cs="宋体"/>
                <w:color w:val="000000"/>
                <w:sz w:val="24"/>
                <w:szCs w:val="24"/>
              </w:rPr>
            </w:pPr>
            <w:r>
              <w:rPr>
                <w:rFonts w:hint="eastAsia" w:ascii="宋体" w:hAnsi="宋体" w:eastAsia="宋体" w:cs="宋体"/>
                <w:color w:val="000000"/>
                <w:kern w:val="0"/>
                <w:sz w:val="24"/>
                <w:szCs w:val="24"/>
                <w:lang w:eastAsia="zh-TW"/>
              </w:rPr>
              <w:t>万元</w:t>
            </w:r>
            <w:r>
              <w:rPr>
                <w:rFonts w:ascii="宋体" w:hAnsi="宋体" w:eastAsia="宋体" w:cs="宋体"/>
                <w:color w:val="000000"/>
                <w:kern w:val="0"/>
                <w:sz w:val="24"/>
                <w:szCs w:val="24"/>
                <w:lang w:eastAsia="zh-TW"/>
              </w:rPr>
              <w:t>/人</w:t>
            </w:r>
          </w:p>
        </w:tc>
        <w:tc>
          <w:tcPr>
            <w:tcW w:w="1097" w:type="dxa"/>
            <w:tcBorders>
              <w:tl2br w:val="nil"/>
              <w:tr2bl w:val="nil"/>
            </w:tcBorders>
            <w:noWrap/>
            <w:vAlign w:val="center"/>
          </w:tcPr>
          <w:p>
            <w:pPr>
              <w:widowControl/>
              <w:spacing w:line="480" w:lineRule="exact"/>
              <w:jc w:val="center"/>
              <w:rPr>
                <w:rFonts w:ascii="宋体" w:hAnsi="宋体" w:eastAsia="宋体" w:cs="宋体"/>
                <w:color w:val="auto"/>
                <w:sz w:val="24"/>
                <w:szCs w:val="24"/>
              </w:rPr>
            </w:pPr>
            <w:r>
              <w:rPr>
                <w:rFonts w:ascii="宋体" w:hAnsi="宋体" w:eastAsia="宋体" w:cs="宋体"/>
                <w:color w:val="auto"/>
                <w:sz w:val="24"/>
                <w:szCs w:val="24"/>
              </w:rPr>
              <w:t>12</w:t>
            </w:r>
          </w:p>
        </w:tc>
        <w:tc>
          <w:tcPr>
            <w:tcW w:w="1228" w:type="dxa"/>
            <w:tcBorders>
              <w:tl2br w:val="nil"/>
              <w:tr2bl w:val="nil"/>
            </w:tcBorders>
            <w:noWrap/>
            <w:vAlign w:val="center"/>
          </w:tcPr>
          <w:p>
            <w:pPr>
              <w:widowControl/>
              <w:spacing w:line="480" w:lineRule="exact"/>
              <w:jc w:val="center"/>
              <w:rPr>
                <w:rFonts w:ascii="宋体" w:hAnsi="宋体" w:eastAsia="宋体" w:cs="宋体"/>
                <w:color w:val="auto"/>
                <w:kern w:val="0"/>
                <w:sz w:val="24"/>
                <w:szCs w:val="24"/>
              </w:rPr>
            </w:pPr>
            <w:r>
              <w:rPr>
                <w:rFonts w:ascii="宋体" w:hAnsi="宋体" w:eastAsia="宋体" w:cs="宋体"/>
                <w:color w:val="auto"/>
                <w:kern w:val="0"/>
                <w:sz w:val="24"/>
                <w:szCs w:val="24"/>
              </w:rPr>
              <w:t>18</w:t>
            </w:r>
          </w:p>
        </w:tc>
        <w:tc>
          <w:tcPr>
            <w:tcW w:w="1444" w:type="dxa"/>
            <w:tcBorders>
              <w:tl2br w:val="nil"/>
              <w:tr2bl w:val="nil"/>
            </w:tcBorders>
            <w:noWrap/>
            <w:vAlign w:val="center"/>
          </w:tcPr>
          <w:p>
            <w:pPr>
              <w:widowControl/>
              <w:spacing w:line="480" w:lineRule="exact"/>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8.45%</w:t>
            </w:r>
          </w:p>
        </w:tc>
        <w:tc>
          <w:tcPr>
            <w:tcW w:w="1011" w:type="dxa"/>
            <w:tcBorders>
              <w:tl2br w:val="nil"/>
              <w:tr2bl w:val="nil"/>
            </w:tcBorders>
            <w:noWrap/>
            <w:vAlign w:val="center"/>
          </w:tcPr>
          <w:p>
            <w:pPr>
              <w:widowControl/>
              <w:spacing w:line="480" w:lineRule="exact"/>
              <w:jc w:val="center"/>
              <w:rPr>
                <w:rFonts w:ascii="宋体" w:hAnsi="宋体" w:eastAsia="宋体" w:cs="宋体"/>
                <w:color w:val="000000"/>
                <w:kern w:val="0"/>
                <w:sz w:val="24"/>
                <w:szCs w:val="24"/>
              </w:rPr>
            </w:pPr>
            <w:r>
              <w:rPr>
                <w:rFonts w:hint="eastAsia" w:ascii="宋体" w:hAnsi="宋体" w:cs="宋体"/>
                <w:color w:val="000000"/>
                <w:kern w:val="0"/>
                <w:sz w:val="24"/>
                <w:szCs w:val="24"/>
                <w:lang w:val="en-US" w:eastAsia="zh-CN"/>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1" w:hRule="atLeast"/>
        </w:trPr>
        <w:tc>
          <w:tcPr>
            <w:tcW w:w="2997"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lang w:eastAsia="zh-TW"/>
              </w:rPr>
              <w:t>基础研究经费占</w:t>
            </w:r>
            <w:r>
              <w:rPr>
                <w:rFonts w:ascii="宋体" w:hAnsi="宋体" w:eastAsia="宋体" w:cs="宋体"/>
                <w:color w:val="000000"/>
                <w:kern w:val="0"/>
                <w:sz w:val="24"/>
                <w:szCs w:val="24"/>
                <w:lang w:eastAsia="zh-TW"/>
              </w:rPr>
              <w:t>R&amp;D经费比重</w:t>
            </w:r>
            <w:r>
              <w:rPr>
                <w:rFonts w:hint="eastAsia" w:ascii="宋体" w:hAnsi="宋体" w:cs="宋体"/>
                <w:color w:val="000000"/>
                <w:kern w:val="0"/>
                <w:sz w:val="44"/>
                <w:szCs w:val="44"/>
                <w:vertAlign w:val="superscript"/>
                <w:lang w:val="en-US" w:eastAsia="zh-CN"/>
              </w:rPr>
              <w:t>#</w:t>
            </w:r>
          </w:p>
        </w:tc>
        <w:tc>
          <w:tcPr>
            <w:tcW w:w="822" w:type="dxa"/>
            <w:tcBorders>
              <w:tl2br w:val="nil"/>
              <w:tr2bl w:val="nil"/>
            </w:tcBorders>
            <w:noWrap/>
            <w:vAlign w:val="center"/>
          </w:tcPr>
          <w:p>
            <w:pPr>
              <w:widowControl/>
              <w:spacing w:line="480" w:lineRule="exact"/>
              <w:jc w:val="center"/>
              <w:rPr>
                <w:rFonts w:ascii="宋体" w:hAnsi="宋体" w:eastAsia="宋体" w:cs="宋体"/>
                <w:color w:val="000000"/>
                <w:kern w:val="0"/>
                <w:sz w:val="24"/>
                <w:szCs w:val="24"/>
              </w:rPr>
            </w:pPr>
            <w:r>
              <w:rPr>
                <w:rFonts w:ascii="宋体" w:hAnsi="宋体" w:eastAsia="宋体" w:cs="宋体"/>
                <w:color w:val="000000"/>
                <w:kern w:val="0"/>
                <w:sz w:val="24"/>
                <w:szCs w:val="24"/>
                <w:lang w:eastAsia="zh-TW"/>
              </w:rPr>
              <w:t>%</w:t>
            </w:r>
          </w:p>
        </w:tc>
        <w:tc>
          <w:tcPr>
            <w:tcW w:w="1097" w:type="dxa"/>
            <w:tcBorders>
              <w:tl2br w:val="nil"/>
              <w:tr2bl w:val="nil"/>
            </w:tcBorders>
            <w:noWrap/>
            <w:vAlign w:val="center"/>
          </w:tcPr>
          <w:p>
            <w:pPr>
              <w:widowControl/>
              <w:spacing w:line="480" w:lineRule="exact"/>
              <w:jc w:val="center"/>
              <w:rPr>
                <w:rFonts w:ascii="宋体" w:hAnsi="宋体" w:eastAsia="宋体" w:cs="宋体"/>
                <w:color w:val="auto"/>
                <w:kern w:val="0"/>
                <w:sz w:val="24"/>
                <w:szCs w:val="24"/>
              </w:rPr>
            </w:pPr>
            <w:r>
              <w:rPr>
                <w:rFonts w:ascii="宋体" w:hAnsi="宋体" w:eastAsia="宋体" w:cs="宋体"/>
                <w:color w:val="auto"/>
                <w:kern w:val="0"/>
                <w:sz w:val="24"/>
                <w:szCs w:val="24"/>
              </w:rPr>
              <w:t>4.0</w:t>
            </w:r>
          </w:p>
        </w:tc>
        <w:tc>
          <w:tcPr>
            <w:tcW w:w="1228" w:type="dxa"/>
            <w:tcBorders>
              <w:tl2br w:val="nil"/>
              <w:tr2bl w:val="nil"/>
            </w:tcBorders>
            <w:noWrap/>
            <w:vAlign w:val="center"/>
          </w:tcPr>
          <w:p>
            <w:pPr>
              <w:widowControl/>
              <w:spacing w:line="480" w:lineRule="exact"/>
              <w:jc w:val="center"/>
              <w:rPr>
                <w:rFonts w:ascii="宋体" w:hAnsi="宋体" w:eastAsia="宋体" w:cs="宋体"/>
                <w:color w:val="auto"/>
                <w:kern w:val="0"/>
                <w:sz w:val="24"/>
                <w:szCs w:val="24"/>
              </w:rPr>
            </w:pPr>
            <w:r>
              <w:rPr>
                <w:rFonts w:ascii="宋体" w:hAnsi="宋体" w:eastAsia="宋体" w:cs="宋体"/>
                <w:color w:val="auto"/>
                <w:kern w:val="0"/>
                <w:sz w:val="24"/>
                <w:szCs w:val="24"/>
              </w:rPr>
              <w:t>7.0</w:t>
            </w:r>
          </w:p>
        </w:tc>
        <w:tc>
          <w:tcPr>
            <w:tcW w:w="1444" w:type="dxa"/>
            <w:tcBorders>
              <w:tl2br w:val="nil"/>
              <w:tr2bl w:val="nil"/>
            </w:tcBorders>
            <w:noWrap/>
            <w:vAlign w:val="center"/>
          </w:tcPr>
          <w:p>
            <w:pPr>
              <w:widowControl/>
              <w:spacing w:line="480" w:lineRule="exact"/>
              <w:jc w:val="center"/>
              <w:rPr>
                <w:rFonts w:hint="default"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[3]</w:t>
            </w:r>
          </w:p>
        </w:tc>
        <w:tc>
          <w:tcPr>
            <w:tcW w:w="1011" w:type="dxa"/>
            <w:tcBorders>
              <w:tl2br w:val="nil"/>
              <w:tr2bl w:val="nil"/>
            </w:tcBorders>
            <w:noWrap/>
            <w:vAlign w:val="center"/>
          </w:tcPr>
          <w:p>
            <w:pPr>
              <w:widowControl/>
              <w:spacing w:line="480" w:lineRule="exact"/>
              <w:jc w:val="center"/>
              <w:rPr>
                <w:rFonts w:ascii="宋体" w:hAnsi="宋体" w:eastAsia="宋体" w:cs="宋体"/>
                <w:color w:val="000000"/>
                <w:kern w:val="0"/>
                <w:sz w:val="24"/>
                <w:szCs w:val="24"/>
              </w:rPr>
            </w:pPr>
            <w:r>
              <w:rPr>
                <w:rFonts w:hint="eastAsia" w:ascii="宋体" w:hAnsi="宋体" w:cs="宋体"/>
                <w:color w:val="000000"/>
                <w:kern w:val="0"/>
                <w:sz w:val="24"/>
                <w:szCs w:val="24"/>
                <w:lang w:val="en-US" w:eastAsia="zh-CN"/>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81" w:hRule="atLeast"/>
        </w:trPr>
        <w:tc>
          <w:tcPr>
            <w:tcW w:w="2997"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lang w:eastAsia="zh-TW"/>
              </w:rPr>
              <w:t>国际专利（</w:t>
            </w:r>
            <w:r>
              <w:rPr>
                <w:rFonts w:ascii="宋体" w:hAnsi="宋体" w:eastAsia="宋体" w:cs="宋体"/>
                <w:color w:val="000000"/>
                <w:kern w:val="0"/>
                <w:sz w:val="24"/>
                <w:szCs w:val="24"/>
                <w:lang w:eastAsia="zh-TW"/>
              </w:rPr>
              <w:t>PCT）申请量</w:t>
            </w:r>
            <w:r>
              <w:rPr>
                <w:rFonts w:hint="eastAsia" w:ascii="宋体" w:hAnsi="宋体" w:cs="宋体"/>
                <w:color w:val="000000"/>
                <w:kern w:val="0"/>
                <w:sz w:val="44"/>
                <w:szCs w:val="44"/>
                <w:vertAlign w:val="superscript"/>
                <w:lang w:val="en-US" w:eastAsia="zh-CN"/>
              </w:rPr>
              <w:t>#</w:t>
            </w:r>
          </w:p>
        </w:tc>
        <w:tc>
          <w:tcPr>
            <w:tcW w:w="822" w:type="dxa"/>
            <w:tcBorders>
              <w:tl2br w:val="nil"/>
              <w:tr2bl w:val="nil"/>
            </w:tcBorders>
            <w:noWrap/>
            <w:vAlign w:val="center"/>
          </w:tcPr>
          <w:p>
            <w:pPr>
              <w:widowControl/>
              <w:spacing w:line="480" w:lineRule="exact"/>
              <w:jc w:val="center"/>
              <w:rPr>
                <w:rFonts w:ascii="宋体" w:hAnsi="宋体" w:eastAsia="宋体" w:cs="宋体"/>
                <w:color w:val="000000"/>
                <w:sz w:val="24"/>
                <w:szCs w:val="24"/>
              </w:rPr>
            </w:pPr>
            <w:r>
              <w:rPr>
                <w:rFonts w:hint="eastAsia" w:ascii="宋体" w:hAnsi="宋体" w:eastAsia="宋体" w:cs="宋体"/>
                <w:color w:val="000000"/>
                <w:kern w:val="0"/>
                <w:sz w:val="24"/>
                <w:szCs w:val="24"/>
                <w:lang w:eastAsia="zh-TW"/>
              </w:rPr>
              <w:t>件</w:t>
            </w:r>
          </w:p>
        </w:tc>
        <w:tc>
          <w:tcPr>
            <w:tcW w:w="1097" w:type="dxa"/>
            <w:tcBorders>
              <w:tl2br w:val="nil"/>
              <w:tr2bl w:val="nil"/>
            </w:tcBorders>
            <w:noWrap/>
            <w:vAlign w:val="center"/>
          </w:tcPr>
          <w:p>
            <w:pPr>
              <w:widowControl/>
              <w:spacing w:line="480" w:lineRule="exact"/>
              <w:jc w:val="center"/>
              <w:rPr>
                <w:rFonts w:ascii="宋体" w:hAnsi="宋体" w:eastAsia="宋体" w:cs="宋体"/>
                <w:color w:val="auto"/>
                <w:sz w:val="24"/>
                <w:szCs w:val="24"/>
              </w:rPr>
            </w:pPr>
            <w:r>
              <w:rPr>
                <w:rFonts w:ascii="宋体" w:hAnsi="宋体" w:eastAsia="宋体" w:cs="宋体"/>
                <w:color w:val="auto"/>
                <w:sz w:val="24"/>
                <w:szCs w:val="24"/>
              </w:rPr>
              <w:t>206</w:t>
            </w:r>
          </w:p>
        </w:tc>
        <w:tc>
          <w:tcPr>
            <w:tcW w:w="1228" w:type="dxa"/>
            <w:tcBorders>
              <w:tl2br w:val="nil"/>
              <w:tr2bl w:val="nil"/>
            </w:tcBorders>
            <w:noWrap/>
            <w:vAlign w:val="center"/>
          </w:tcPr>
          <w:p>
            <w:pPr>
              <w:widowControl/>
              <w:spacing w:line="480" w:lineRule="exact"/>
              <w:jc w:val="center"/>
              <w:rPr>
                <w:rFonts w:ascii="宋体" w:hAnsi="宋体" w:eastAsia="宋体" w:cs="宋体"/>
                <w:color w:val="auto"/>
                <w:kern w:val="0"/>
                <w:sz w:val="24"/>
                <w:szCs w:val="24"/>
              </w:rPr>
            </w:pPr>
            <w:r>
              <w:rPr>
                <w:rFonts w:ascii="宋体" w:hAnsi="宋体" w:eastAsia="宋体" w:cs="宋体"/>
                <w:color w:val="auto"/>
                <w:kern w:val="0"/>
                <w:sz w:val="24"/>
                <w:szCs w:val="24"/>
              </w:rPr>
              <w:t>260</w:t>
            </w:r>
          </w:p>
        </w:tc>
        <w:tc>
          <w:tcPr>
            <w:tcW w:w="1444" w:type="dxa"/>
            <w:tcBorders>
              <w:tl2br w:val="nil"/>
              <w:tr2bl w:val="nil"/>
            </w:tcBorders>
            <w:noWrap/>
            <w:vAlign w:val="center"/>
          </w:tcPr>
          <w:p>
            <w:pPr>
              <w:widowControl/>
              <w:spacing w:line="480" w:lineRule="exact"/>
              <w:jc w:val="center"/>
              <w:rPr>
                <w:rFonts w:hint="default"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4.77%</w:t>
            </w:r>
          </w:p>
        </w:tc>
        <w:tc>
          <w:tcPr>
            <w:tcW w:w="1011" w:type="dxa"/>
            <w:tcBorders>
              <w:tl2br w:val="nil"/>
              <w:tr2bl w:val="nil"/>
            </w:tcBorders>
            <w:noWrap/>
            <w:vAlign w:val="center"/>
          </w:tcPr>
          <w:p>
            <w:pPr>
              <w:widowControl/>
              <w:spacing w:line="480" w:lineRule="exact"/>
              <w:jc w:val="center"/>
              <w:rPr>
                <w:rFonts w:ascii="宋体" w:hAnsi="宋体" w:eastAsia="宋体" w:cs="宋体"/>
                <w:color w:val="000000"/>
                <w:kern w:val="0"/>
                <w:sz w:val="24"/>
                <w:szCs w:val="24"/>
              </w:rPr>
            </w:pPr>
            <w:r>
              <w:rPr>
                <w:rFonts w:hint="eastAsia" w:ascii="宋体" w:hAnsi="宋体" w:cs="宋体"/>
                <w:color w:val="000000"/>
                <w:kern w:val="0"/>
                <w:sz w:val="24"/>
                <w:szCs w:val="24"/>
                <w:lang w:val="en-US" w:eastAsia="zh-CN"/>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81" w:hRule="atLeast"/>
        </w:trPr>
        <w:tc>
          <w:tcPr>
            <w:tcW w:w="2997"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数字经济增加值</w:t>
            </w:r>
            <w:r>
              <w:rPr>
                <w:rFonts w:hint="eastAsia" w:ascii="宋体" w:hAnsi="宋体" w:cs="宋体"/>
                <w:color w:val="000000" w:themeColor="text1"/>
                <w:kern w:val="0"/>
                <w:sz w:val="44"/>
                <w:szCs w:val="44"/>
                <w:vertAlign w:val="superscript"/>
                <w:lang w:val="en-US" w:eastAsia="zh-CN"/>
                <w14:textFill>
                  <w14:solidFill>
                    <w14:schemeClr w14:val="tx1"/>
                  </w14:solidFill>
                </w14:textFill>
              </w:rPr>
              <w:t>#</w:t>
            </w:r>
          </w:p>
        </w:tc>
        <w:tc>
          <w:tcPr>
            <w:tcW w:w="822" w:type="dxa"/>
            <w:tcBorders>
              <w:tl2br w:val="nil"/>
              <w:tr2bl w:val="nil"/>
            </w:tcBorders>
            <w:noWrap/>
            <w:vAlign w:val="center"/>
          </w:tcPr>
          <w:p>
            <w:pPr>
              <w:widowControl/>
              <w:spacing w:line="480" w:lineRule="exact"/>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亿元</w:t>
            </w:r>
          </w:p>
        </w:tc>
        <w:tc>
          <w:tcPr>
            <w:tcW w:w="1097" w:type="dxa"/>
            <w:tcBorders>
              <w:tl2br w:val="nil"/>
              <w:tr2bl w:val="nil"/>
            </w:tcBorders>
            <w:noWrap/>
            <w:vAlign w:val="center"/>
          </w:tcPr>
          <w:p>
            <w:pPr>
              <w:widowControl/>
              <w:spacing w:line="480" w:lineRule="exact"/>
              <w:jc w:val="center"/>
              <w:rPr>
                <w:rFonts w:hint="default" w:ascii="宋体" w:hAnsi="宋体" w:eastAsia="宋体" w:cs="宋体"/>
                <w:color w:val="auto"/>
                <w:kern w:val="0"/>
                <w:sz w:val="24"/>
                <w:szCs w:val="24"/>
                <w:lang w:val="en-US" w:eastAsia="zh-CN"/>
              </w:rPr>
            </w:pPr>
            <w:r>
              <w:rPr>
                <w:rFonts w:ascii="宋体" w:hAnsi="宋体" w:eastAsia="宋体" w:cs="宋体"/>
                <w:color w:val="auto"/>
                <w:kern w:val="0"/>
                <w:sz w:val="24"/>
                <w:szCs w:val="24"/>
              </w:rPr>
              <w:t>3</w:t>
            </w:r>
            <w:r>
              <w:rPr>
                <w:rFonts w:hint="eastAsia" w:ascii="宋体" w:hAnsi="宋体" w:cs="宋体"/>
                <w:color w:val="auto"/>
                <w:kern w:val="0"/>
                <w:sz w:val="24"/>
                <w:szCs w:val="24"/>
                <w:lang w:val="en-US" w:eastAsia="zh-CN"/>
              </w:rPr>
              <w:t>250</w:t>
            </w:r>
          </w:p>
        </w:tc>
        <w:tc>
          <w:tcPr>
            <w:tcW w:w="1228" w:type="dxa"/>
            <w:tcBorders>
              <w:tl2br w:val="nil"/>
              <w:tr2bl w:val="nil"/>
            </w:tcBorders>
            <w:noWrap/>
            <w:vAlign w:val="center"/>
          </w:tcPr>
          <w:p>
            <w:pPr>
              <w:widowControl/>
              <w:spacing w:line="480" w:lineRule="exact"/>
              <w:jc w:val="center"/>
              <w:rPr>
                <w:rFonts w:ascii="宋体" w:hAnsi="宋体" w:eastAsia="宋体" w:cs="宋体"/>
                <w:color w:val="auto"/>
                <w:kern w:val="0"/>
                <w:sz w:val="24"/>
                <w:szCs w:val="24"/>
              </w:rPr>
            </w:pPr>
            <w:r>
              <w:rPr>
                <w:rFonts w:ascii="宋体" w:hAnsi="宋体" w:eastAsia="宋体" w:cs="宋体"/>
                <w:color w:val="auto"/>
                <w:kern w:val="0"/>
                <w:sz w:val="24"/>
                <w:szCs w:val="24"/>
              </w:rPr>
              <w:t>6500</w:t>
            </w:r>
          </w:p>
        </w:tc>
        <w:tc>
          <w:tcPr>
            <w:tcW w:w="1444" w:type="dxa"/>
            <w:tcBorders>
              <w:tl2br w:val="nil"/>
              <w:tr2bl w:val="nil"/>
            </w:tcBorders>
            <w:noWrap/>
            <w:vAlign w:val="center"/>
          </w:tcPr>
          <w:p>
            <w:pPr>
              <w:widowControl/>
              <w:spacing w:line="480" w:lineRule="exact"/>
              <w:jc w:val="center"/>
              <w:rPr>
                <w:rFonts w:hint="default"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cs="宋体"/>
                <w:color w:val="000000" w:themeColor="text1"/>
                <w:kern w:val="0"/>
                <w:sz w:val="24"/>
                <w:szCs w:val="24"/>
                <w:lang w:val="en-US" w:eastAsia="zh-CN"/>
                <w14:textFill>
                  <w14:solidFill>
                    <w14:schemeClr w14:val="tx1"/>
                  </w14:solidFill>
                </w14:textFill>
              </w:rPr>
              <w:t>14.87%</w:t>
            </w:r>
          </w:p>
        </w:tc>
        <w:tc>
          <w:tcPr>
            <w:tcW w:w="1011" w:type="dxa"/>
            <w:tcBorders>
              <w:tl2br w:val="nil"/>
              <w:tr2bl w:val="nil"/>
            </w:tcBorders>
            <w:noWrap/>
            <w:vAlign w:val="center"/>
          </w:tcPr>
          <w:p>
            <w:pPr>
              <w:widowControl/>
              <w:spacing w:line="480" w:lineRule="exact"/>
              <w:jc w:val="center"/>
              <w:rPr>
                <w:rFonts w:ascii="宋体" w:hAnsi="宋体" w:eastAsia="宋体" w:cs="宋体"/>
                <w:color w:val="000000"/>
                <w:kern w:val="0"/>
                <w:sz w:val="24"/>
                <w:szCs w:val="24"/>
              </w:rPr>
            </w:pPr>
            <w:r>
              <w:rPr>
                <w:rFonts w:hint="eastAsia" w:ascii="宋体" w:hAnsi="宋体" w:cs="宋体"/>
                <w:color w:val="000000"/>
                <w:kern w:val="0"/>
                <w:sz w:val="24"/>
                <w:szCs w:val="24"/>
                <w:lang w:val="en-US" w:eastAsia="zh-CN"/>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81" w:hRule="atLeast"/>
        </w:trPr>
        <w:tc>
          <w:tcPr>
            <w:tcW w:w="2997"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eastAsia="zh-TW"/>
                <w14:textFill>
                  <w14:solidFill>
                    <w14:schemeClr w14:val="tx1"/>
                  </w14:solidFill>
                </w14:textFill>
              </w:rPr>
              <w:t>高新技术企业数量</w:t>
            </w:r>
            <w:r>
              <w:rPr>
                <w:rFonts w:hint="eastAsia" w:ascii="宋体" w:hAnsi="宋体" w:cs="宋体"/>
                <w:color w:val="000000" w:themeColor="text1"/>
                <w:kern w:val="0"/>
                <w:sz w:val="44"/>
                <w:szCs w:val="44"/>
                <w:vertAlign w:val="superscript"/>
                <w:lang w:val="en-US" w:eastAsia="zh-CN"/>
                <w14:textFill>
                  <w14:solidFill>
                    <w14:schemeClr w14:val="tx1"/>
                  </w14:solidFill>
                </w14:textFill>
              </w:rPr>
              <w:t>#</w:t>
            </w:r>
          </w:p>
        </w:tc>
        <w:tc>
          <w:tcPr>
            <w:tcW w:w="822" w:type="dxa"/>
            <w:tcBorders>
              <w:tl2br w:val="nil"/>
              <w:tr2bl w:val="nil"/>
            </w:tcBorders>
            <w:noWrap/>
            <w:vAlign w:val="center"/>
          </w:tcPr>
          <w:p>
            <w:pPr>
              <w:widowControl/>
              <w:spacing w:line="480" w:lineRule="exact"/>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eastAsia="zh-TW"/>
                <w14:textFill>
                  <w14:solidFill>
                    <w14:schemeClr w14:val="tx1"/>
                  </w14:solidFill>
                </w14:textFill>
              </w:rPr>
              <w:t>家</w:t>
            </w:r>
          </w:p>
        </w:tc>
        <w:tc>
          <w:tcPr>
            <w:tcW w:w="1097" w:type="dxa"/>
            <w:tcBorders>
              <w:tl2br w:val="nil"/>
              <w:tr2bl w:val="nil"/>
            </w:tcBorders>
            <w:noWrap/>
            <w:vAlign w:val="center"/>
          </w:tcPr>
          <w:p>
            <w:pPr>
              <w:widowControl/>
              <w:spacing w:line="480" w:lineRule="exact"/>
              <w:jc w:val="center"/>
              <w:rPr>
                <w:rFonts w:ascii="宋体" w:hAnsi="宋体" w:eastAsia="宋体" w:cs="宋体"/>
                <w:color w:val="auto"/>
                <w:kern w:val="0"/>
                <w:sz w:val="24"/>
                <w:szCs w:val="24"/>
              </w:rPr>
            </w:pPr>
            <w:r>
              <w:rPr>
                <w:rFonts w:ascii="宋体" w:hAnsi="宋体" w:eastAsia="宋体" w:cs="宋体"/>
                <w:color w:val="auto"/>
                <w:kern w:val="0"/>
                <w:sz w:val="24"/>
                <w:szCs w:val="24"/>
              </w:rPr>
              <w:t>2404</w:t>
            </w:r>
          </w:p>
        </w:tc>
        <w:tc>
          <w:tcPr>
            <w:tcW w:w="1228" w:type="dxa"/>
            <w:tcBorders>
              <w:tl2br w:val="nil"/>
              <w:tr2bl w:val="nil"/>
            </w:tcBorders>
            <w:noWrap/>
            <w:vAlign w:val="center"/>
          </w:tcPr>
          <w:p>
            <w:pPr>
              <w:widowControl/>
              <w:spacing w:line="480" w:lineRule="exact"/>
              <w:jc w:val="center"/>
              <w:rPr>
                <w:rFonts w:ascii="宋体" w:hAnsi="宋体" w:eastAsia="宋体" w:cs="宋体"/>
                <w:color w:val="auto"/>
                <w:kern w:val="0"/>
                <w:sz w:val="24"/>
                <w:szCs w:val="24"/>
              </w:rPr>
            </w:pPr>
            <w:r>
              <w:rPr>
                <w:rFonts w:ascii="宋体" w:hAnsi="宋体" w:eastAsia="宋体" w:cs="宋体"/>
                <w:color w:val="auto"/>
                <w:kern w:val="0"/>
                <w:sz w:val="24"/>
                <w:szCs w:val="24"/>
              </w:rPr>
              <w:t>4</w:t>
            </w:r>
            <w:r>
              <w:rPr>
                <w:rFonts w:hint="eastAsia" w:ascii="宋体" w:hAnsi="宋体" w:cs="宋体"/>
                <w:color w:val="auto"/>
                <w:kern w:val="0"/>
                <w:sz w:val="24"/>
                <w:szCs w:val="24"/>
                <w:lang w:val="en-US" w:eastAsia="zh-CN"/>
              </w:rPr>
              <w:t>4</w:t>
            </w:r>
            <w:r>
              <w:rPr>
                <w:rFonts w:ascii="宋体" w:hAnsi="宋体" w:eastAsia="宋体" w:cs="宋体"/>
                <w:color w:val="auto"/>
                <w:kern w:val="0"/>
                <w:sz w:val="24"/>
                <w:szCs w:val="24"/>
              </w:rPr>
              <w:t>00</w:t>
            </w:r>
          </w:p>
        </w:tc>
        <w:tc>
          <w:tcPr>
            <w:tcW w:w="1444" w:type="dxa"/>
            <w:tcBorders>
              <w:tl2br w:val="nil"/>
              <w:tr2bl w:val="nil"/>
            </w:tcBorders>
            <w:noWrap/>
            <w:vAlign w:val="center"/>
          </w:tcPr>
          <w:p>
            <w:pPr>
              <w:widowControl/>
              <w:spacing w:line="480" w:lineRule="exact"/>
              <w:jc w:val="center"/>
              <w:rPr>
                <w:rFonts w:hint="default"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cs="宋体"/>
                <w:color w:val="000000" w:themeColor="text1"/>
                <w:kern w:val="0"/>
                <w:sz w:val="24"/>
                <w:szCs w:val="24"/>
                <w:lang w:val="en-US" w:eastAsia="zh-CN"/>
                <w14:textFill>
                  <w14:solidFill>
                    <w14:schemeClr w14:val="tx1"/>
                  </w14:solidFill>
                </w14:textFill>
              </w:rPr>
              <w:t>12.85%</w:t>
            </w:r>
          </w:p>
        </w:tc>
        <w:tc>
          <w:tcPr>
            <w:tcW w:w="1011" w:type="dxa"/>
            <w:tcBorders>
              <w:tl2br w:val="nil"/>
              <w:tr2bl w:val="nil"/>
            </w:tcBorders>
            <w:noWrap/>
            <w:vAlign w:val="center"/>
          </w:tcPr>
          <w:p>
            <w:pPr>
              <w:widowControl/>
              <w:spacing w:line="480" w:lineRule="exact"/>
              <w:jc w:val="center"/>
              <w:rPr>
                <w:rFonts w:ascii="宋体" w:hAnsi="宋体" w:eastAsia="宋体" w:cs="宋体"/>
                <w:color w:val="000000"/>
                <w:kern w:val="0"/>
                <w:sz w:val="24"/>
                <w:szCs w:val="24"/>
              </w:rPr>
            </w:pPr>
            <w:r>
              <w:rPr>
                <w:rFonts w:hint="eastAsia" w:ascii="宋体" w:hAnsi="宋体" w:cs="宋体"/>
                <w:color w:val="000000"/>
                <w:kern w:val="0"/>
                <w:sz w:val="24"/>
                <w:szCs w:val="24"/>
                <w:lang w:val="en-US" w:eastAsia="zh-CN"/>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6" w:hRule="atLeast"/>
        </w:trPr>
        <w:tc>
          <w:tcPr>
            <w:tcW w:w="2997"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ascii="宋体" w:hAnsi="宋体" w:eastAsia="宋体" w:cs="宋体"/>
                <w:color w:val="000000" w:themeColor="text1"/>
                <w:kern w:val="0"/>
                <w:sz w:val="24"/>
                <w:szCs w:val="24"/>
                <w:lang w:eastAsia="zh-TW"/>
                <w14:textFill>
                  <w14:solidFill>
                    <w14:schemeClr w14:val="tx1"/>
                  </w14:solidFill>
                </w14:textFill>
              </w:rPr>
            </w:pPr>
            <w:r>
              <w:rPr>
                <w:rFonts w:hint="eastAsia" w:ascii="宋体" w:hAnsi="宋体" w:eastAsia="宋体" w:cs="宋体"/>
                <w:color w:val="000000" w:themeColor="text1"/>
                <w:kern w:val="0"/>
                <w:sz w:val="24"/>
                <w:szCs w:val="24"/>
                <w:lang w:eastAsia="zh-TW"/>
                <w14:textFill>
                  <w14:solidFill>
                    <w14:schemeClr w14:val="tx1"/>
                  </w14:solidFill>
                </w14:textFill>
              </w:rPr>
              <w:t>科技型中小企业数量</w:t>
            </w:r>
            <w:r>
              <w:rPr>
                <w:rFonts w:hint="eastAsia" w:ascii="宋体" w:hAnsi="宋体" w:cs="宋体"/>
                <w:color w:val="000000" w:themeColor="text1"/>
                <w:kern w:val="0"/>
                <w:sz w:val="44"/>
                <w:szCs w:val="44"/>
                <w:vertAlign w:val="superscript"/>
                <w:lang w:val="en-US" w:eastAsia="zh-CN"/>
                <w14:textFill>
                  <w14:solidFill>
                    <w14:schemeClr w14:val="tx1"/>
                  </w14:solidFill>
                </w14:textFill>
              </w:rPr>
              <w:t>#</w:t>
            </w:r>
          </w:p>
        </w:tc>
        <w:tc>
          <w:tcPr>
            <w:tcW w:w="822" w:type="dxa"/>
            <w:tcBorders>
              <w:tl2br w:val="nil"/>
              <w:tr2bl w:val="nil"/>
            </w:tcBorders>
            <w:noWrap/>
            <w:vAlign w:val="center"/>
          </w:tcPr>
          <w:p>
            <w:pPr>
              <w:widowControl/>
              <w:spacing w:line="480" w:lineRule="exact"/>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eastAsia="zh-TW"/>
                <w14:textFill>
                  <w14:solidFill>
                    <w14:schemeClr w14:val="tx1"/>
                  </w14:solidFill>
                </w14:textFill>
              </w:rPr>
              <w:t>家</w:t>
            </w:r>
          </w:p>
        </w:tc>
        <w:tc>
          <w:tcPr>
            <w:tcW w:w="1097" w:type="dxa"/>
            <w:tcBorders>
              <w:tl2br w:val="nil"/>
              <w:tr2bl w:val="nil"/>
            </w:tcBorders>
            <w:noWrap/>
            <w:vAlign w:val="center"/>
          </w:tcPr>
          <w:p>
            <w:pPr>
              <w:widowControl/>
              <w:spacing w:line="480" w:lineRule="exact"/>
              <w:jc w:val="center"/>
              <w:rPr>
                <w:rFonts w:ascii="宋体" w:hAnsi="宋体" w:eastAsia="宋体" w:cs="宋体"/>
                <w:color w:val="auto"/>
                <w:kern w:val="0"/>
                <w:sz w:val="24"/>
                <w:szCs w:val="24"/>
              </w:rPr>
            </w:pPr>
            <w:r>
              <w:rPr>
                <w:rFonts w:ascii="宋体" w:hAnsi="宋体" w:eastAsia="宋体" w:cs="宋体"/>
                <w:color w:val="auto"/>
                <w:kern w:val="0"/>
                <w:sz w:val="24"/>
                <w:szCs w:val="24"/>
              </w:rPr>
              <w:t>10340</w:t>
            </w:r>
          </w:p>
        </w:tc>
        <w:tc>
          <w:tcPr>
            <w:tcW w:w="1228" w:type="dxa"/>
            <w:tcBorders>
              <w:tl2br w:val="nil"/>
              <w:tr2bl w:val="nil"/>
            </w:tcBorders>
            <w:noWrap/>
            <w:vAlign w:val="center"/>
          </w:tcPr>
          <w:p>
            <w:pPr>
              <w:widowControl/>
              <w:spacing w:line="480" w:lineRule="exact"/>
              <w:jc w:val="center"/>
              <w:rPr>
                <w:rFonts w:ascii="宋体" w:hAnsi="宋体" w:eastAsia="宋体" w:cs="宋体"/>
                <w:color w:val="auto"/>
                <w:kern w:val="0"/>
                <w:sz w:val="24"/>
                <w:szCs w:val="24"/>
              </w:rPr>
            </w:pPr>
            <w:r>
              <w:rPr>
                <w:rFonts w:ascii="宋体" w:hAnsi="宋体" w:eastAsia="宋体" w:cs="宋体"/>
                <w:color w:val="auto"/>
                <w:kern w:val="0"/>
                <w:sz w:val="24"/>
                <w:szCs w:val="24"/>
              </w:rPr>
              <w:t>16000</w:t>
            </w:r>
          </w:p>
        </w:tc>
        <w:tc>
          <w:tcPr>
            <w:tcW w:w="1444" w:type="dxa"/>
            <w:tcBorders>
              <w:tl2br w:val="nil"/>
              <w:tr2bl w:val="nil"/>
            </w:tcBorders>
            <w:noWrap/>
            <w:vAlign w:val="center"/>
          </w:tcPr>
          <w:p>
            <w:pPr>
              <w:widowControl/>
              <w:spacing w:line="480" w:lineRule="exact"/>
              <w:jc w:val="center"/>
              <w:rPr>
                <w:rFonts w:hint="default"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cs="宋体"/>
                <w:color w:val="000000" w:themeColor="text1"/>
                <w:kern w:val="0"/>
                <w:sz w:val="24"/>
                <w:szCs w:val="24"/>
                <w:lang w:val="en-US" w:eastAsia="zh-CN"/>
                <w14:textFill>
                  <w14:solidFill>
                    <w14:schemeClr w14:val="tx1"/>
                  </w14:solidFill>
                </w14:textFill>
              </w:rPr>
              <w:t>9.12%</w:t>
            </w:r>
          </w:p>
        </w:tc>
        <w:tc>
          <w:tcPr>
            <w:tcW w:w="1011" w:type="dxa"/>
            <w:tcBorders>
              <w:tl2br w:val="nil"/>
              <w:tr2bl w:val="nil"/>
            </w:tcBorders>
            <w:noWrap/>
            <w:vAlign w:val="center"/>
          </w:tcPr>
          <w:p>
            <w:pPr>
              <w:widowControl/>
              <w:spacing w:line="480" w:lineRule="exact"/>
              <w:jc w:val="center"/>
              <w:rPr>
                <w:rFonts w:ascii="宋体" w:hAnsi="宋体" w:eastAsia="宋体" w:cs="宋体"/>
                <w:color w:val="000000"/>
                <w:kern w:val="0"/>
                <w:sz w:val="24"/>
                <w:szCs w:val="24"/>
              </w:rPr>
            </w:pPr>
            <w:r>
              <w:rPr>
                <w:rFonts w:hint="eastAsia" w:ascii="宋体" w:hAnsi="宋体" w:cs="宋体"/>
                <w:color w:val="000000"/>
                <w:kern w:val="0"/>
                <w:sz w:val="24"/>
                <w:szCs w:val="24"/>
                <w:lang w:val="en-US" w:eastAsia="zh-CN"/>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6" w:hRule="atLeast"/>
        </w:trPr>
        <w:tc>
          <w:tcPr>
            <w:tcW w:w="2997"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ascii="宋体" w:hAnsi="宋体" w:eastAsia="宋体" w:cs="宋体"/>
                <w:color w:val="000000" w:themeColor="text1"/>
                <w:kern w:val="0"/>
                <w:sz w:val="24"/>
                <w:szCs w:val="24"/>
                <w:lang w:eastAsia="zh-TW"/>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顶尖人才</w:t>
            </w:r>
          </w:p>
        </w:tc>
        <w:tc>
          <w:tcPr>
            <w:tcW w:w="822" w:type="dxa"/>
            <w:tcBorders>
              <w:tl2br w:val="nil"/>
              <w:tr2bl w:val="nil"/>
            </w:tcBorders>
            <w:noWrap/>
            <w:vAlign w:val="center"/>
          </w:tcPr>
          <w:p>
            <w:pPr>
              <w:widowControl/>
              <w:spacing w:line="480" w:lineRule="exact"/>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eastAsia="zh-TW"/>
                <w14:textFill>
                  <w14:solidFill>
                    <w14:schemeClr w14:val="tx1"/>
                  </w14:solidFill>
                </w14:textFill>
              </w:rPr>
              <w:t>人</w:t>
            </w:r>
          </w:p>
        </w:tc>
        <w:tc>
          <w:tcPr>
            <w:tcW w:w="1097" w:type="dxa"/>
            <w:tcBorders>
              <w:tl2br w:val="nil"/>
              <w:tr2bl w:val="nil"/>
            </w:tcBorders>
            <w:noWrap/>
            <w:vAlign w:val="center"/>
          </w:tcPr>
          <w:p>
            <w:pPr>
              <w:widowControl/>
              <w:spacing w:line="480" w:lineRule="exact"/>
              <w:jc w:val="center"/>
              <w:rPr>
                <w:rFonts w:ascii="宋体" w:hAnsi="宋体" w:eastAsia="宋体" w:cs="宋体"/>
                <w:color w:val="auto"/>
                <w:kern w:val="0"/>
                <w:sz w:val="24"/>
                <w:szCs w:val="24"/>
              </w:rPr>
            </w:pPr>
            <w:r>
              <w:rPr>
                <w:rFonts w:ascii="宋体" w:hAnsi="宋体" w:eastAsia="宋体" w:cs="宋体"/>
                <w:color w:val="auto"/>
                <w:kern w:val="0"/>
                <w:sz w:val="24"/>
                <w:szCs w:val="24"/>
              </w:rPr>
              <w:t>--</w:t>
            </w:r>
          </w:p>
        </w:tc>
        <w:tc>
          <w:tcPr>
            <w:tcW w:w="1228" w:type="dxa"/>
            <w:tcBorders>
              <w:tl2br w:val="nil"/>
              <w:tr2bl w:val="nil"/>
            </w:tcBorders>
            <w:noWrap/>
            <w:vAlign w:val="center"/>
          </w:tcPr>
          <w:p>
            <w:pPr>
              <w:widowControl/>
              <w:spacing w:line="480" w:lineRule="exact"/>
              <w:jc w:val="center"/>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10</w:t>
            </w:r>
          </w:p>
        </w:tc>
        <w:tc>
          <w:tcPr>
            <w:tcW w:w="1444" w:type="dxa"/>
            <w:tcBorders>
              <w:tl2br w:val="nil"/>
              <w:tr2bl w:val="nil"/>
            </w:tcBorders>
            <w:noWrap/>
            <w:vAlign w:val="center"/>
          </w:tcPr>
          <w:p>
            <w:pPr>
              <w:widowControl/>
              <w:spacing w:line="480" w:lineRule="exact"/>
              <w:jc w:val="center"/>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w:t>
            </w:r>
          </w:p>
        </w:tc>
        <w:tc>
          <w:tcPr>
            <w:tcW w:w="1011" w:type="dxa"/>
            <w:tcBorders>
              <w:tl2br w:val="nil"/>
              <w:tr2bl w:val="nil"/>
            </w:tcBorders>
            <w:noWrap/>
            <w:vAlign w:val="center"/>
          </w:tcPr>
          <w:p>
            <w:pPr>
              <w:widowControl/>
              <w:spacing w:line="480" w:lineRule="exact"/>
              <w:ind w:firstLine="0" w:firstLineChars="0"/>
              <w:jc w:val="both"/>
              <w:outlineLvl w:val="9"/>
              <w:rPr>
                <w:rFonts w:ascii="宋体" w:hAnsi="宋体" w:eastAsia="宋体" w:cs="宋体"/>
                <w:color w:val="000000"/>
                <w:kern w:val="0"/>
                <w:sz w:val="24"/>
                <w:szCs w:val="24"/>
              </w:rPr>
            </w:pPr>
            <w:r>
              <w:rPr>
                <w:rFonts w:hint="eastAsia" w:ascii="宋体" w:hAnsi="宋体" w:cs="宋体"/>
                <w:color w:val="000000"/>
                <w:kern w:val="0"/>
                <w:sz w:val="24"/>
                <w:szCs w:val="24"/>
                <w:lang w:val="en-US" w:eastAsia="zh-CN"/>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6" w:hRule="atLeast"/>
        </w:trPr>
        <w:tc>
          <w:tcPr>
            <w:tcW w:w="2997"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ascii="宋体" w:hAnsi="宋体" w:eastAsia="宋体" w:cs="宋体"/>
                <w:color w:val="000000" w:themeColor="text1"/>
                <w:kern w:val="0"/>
                <w:sz w:val="24"/>
                <w:szCs w:val="24"/>
                <w:lang w:eastAsia="zh-TW"/>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领军人才</w:t>
            </w:r>
          </w:p>
        </w:tc>
        <w:tc>
          <w:tcPr>
            <w:tcW w:w="822" w:type="dxa"/>
            <w:tcBorders>
              <w:tl2br w:val="nil"/>
              <w:tr2bl w:val="nil"/>
            </w:tcBorders>
            <w:noWrap/>
            <w:vAlign w:val="center"/>
          </w:tcPr>
          <w:p>
            <w:pPr>
              <w:widowControl/>
              <w:spacing w:line="480" w:lineRule="exact"/>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eastAsia="zh-TW"/>
                <w14:textFill>
                  <w14:solidFill>
                    <w14:schemeClr w14:val="tx1"/>
                  </w14:solidFill>
                </w14:textFill>
              </w:rPr>
              <w:t>人</w:t>
            </w:r>
          </w:p>
        </w:tc>
        <w:tc>
          <w:tcPr>
            <w:tcW w:w="1097" w:type="dxa"/>
            <w:tcBorders>
              <w:tl2br w:val="nil"/>
              <w:tr2bl w:val="nil"/>
            </w:tcBorders>
            <w:noWrap/>
            <w:vAlign w:val="center"/>
          </w:tcPr>
          <w:p>
            <w:pPr>
              <w:widowControl/>
              <w:spacing w:line="480" w:lineRule="exact"/>
              <w:jc w:val="center"/>
              <w:rPr>
                <w:rFonts w:ascii="宋体" w:hAnsi="宋体" w:eastAsia="宋体" w:cs="宋体"/>
                <w:color w:val="auto"/>
                <w:kern w:val="0"/>
                <w:sz w:val="24"/>
                <w:szCs w:val="24"/>
              </w:rPr>
            </w:pPr>
            <w:r>
              <w:rPr>
                <w:rFonts w:ascii="宋体" w:hAnsi="宋体" w:eastAsia="宋体" w:cs="宋体"/>
                <w:color w:val="auto"/>
                <w:kern w:val="0"/>
                <w:sz w:val="24"/>
                <w:szCs w:val="24"/>
              </w:rPr>
              <w:t>--</w:t>
            </w:r>
          </w:p>
        </w:tc>
        <w:tc>
          <w:tcPr>
            <w:tcW w:w="1228" w:type="dxa"/>
            <w:tcBorders>
              <w:tl2br w:val="nil"/>
              <w:tr2bl w:val="nil"/>
            </w:tcBorders>
            <w:noWrap/>
            <w:vAlign w:val="center"/>
          </w:tcPr>
          <w:p>
            <w:pPr>
              <w:widowControl/>
              <w:spacing w:line="480" w:lineRule="exact"/>
              <w:jc w:val="center"/>
              <w:rPr>
                <w:rFonts w:ascii="宋体" w:hAnsi="宋体" w:eastAsia="宋体" w:cs="宋体"/>
                <w:color w:val="auto"/>
                <w:kern w:val="0"/>
                <w:sz w:val="24"/>
                <w:szCs w:val="24"/>
              </w:rPr>
            </w:pPr>
            <w:r>
              <w:rPr>
                <w:rFonts w:ascii="宋体" w:hAnsi="宋体" w:eastAsia="宋体" w:cs="宋体"/>
                <w:color w:val="auto"/>
                <w:kern w:val="0"/>
                <w:sz w:val="24"/>
                <w:szCs w:val="24"/>
              </w:rPr>
              <w:t>100</w:t>
            </w:r>
          </w:p>
        </w:tc>
        <w:tc>
          <w:tcPr>
            <w:tcW w:w="1444" w:type="dxa"/>
            <w:tcBorders>
              <w:tl2br w:val="nil"/>
              <w:tr2bl w:val="nil"/>
            </w:tcBorders>
            <w:noWrap/>
            <w:vAlign w:val="center"/>
          </w:tcPr>
          <w:p>
            <w:pPr>
              <w:widowControl/>
              <w:spacing w:line="480" w:lineRule="exact"/>
              <w:jc w:val="center"/>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w:t>
            </w:r>
          </w:p>
        </w:tc>
        <w:tc>
          <w:tcPr>
            <w:tcW w:w="1011" w:type="dxa"/>
            <w:tcBorders>
              <w:tl2br w:val="nil"/>
              <w:tr2bl w:val="nil"/>
            </w:tcBorders>
            <w:noWrap/>
            <w:vAlign w:val="center"/>
          </w:tcPr>
          <w:p>
            <w:pPr>
              <w:widowControl/>
              <w:spacing w:line="480" w:lineRule="exact"/>
              <w:ind w:firstLine="0" w:firstLineChars="0"/>
              <w:jc w:val="both"/>
              <w:outlineLvl w:val="9"/>
              <w:rPr>
                <w:rFonts w:ascii="宋体" w:hAnsi="宋体" w:eastAsia="宋体" w:cs="宋体"/>
                <w:color w:val="000000"/>
                <w:kern w:val="0"/>
                <w:sz w:val="24"/>
                <w:szCs w:val="24"/>
              </w:rPr>
            </w:pPr>
            <w:r>
              <w:rPr>
                <w:rFonts w:hint="eastAsia" w:ascii="宋体" w:hAnsi="宋体" w:cs="宋体"/>
                <w:color w:val="000000"/>
                <w:kern w:val="0"/>
                <w:sz w:val="24"/>
                <w:szCs w:val="24"/>
                <w:lang w:val="en-US" w:eastAsia="zh-CN"/>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6" w:hRule="atLeast"/>
        </w:trPr>
        <w:tc>
          <w:tcPr>
            <w:tcW w:w="2997"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宋体" w:hAnsi="宋体" w:eastAsia="宋体" w:cs="宋体"/>
                <w:color w:val="000000" w:themeColor="text1"/>
                <w:kern w:val="0"/>
                <w:sz w:val="24"/>
                <w:szCs w:val="24"/>
                <w:lang w:eastAsia="zh-CN"/>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本级财政科技拨款占经常性支出比重</w:t>
            </w:r>
          </w:p>
        </w:tc>
        <w:tc>
          <w:tcPr>
            <w:tcW w:w="822" w:type="dxa"/>
            <w:tcBorders>
              <w:tl2br w:val="nil"/>
              <w:tr2bl w:val="nil"/>
            </w:tcBorders>
            <w:noWrap/>
            <w:vAlign w:val="center"/>
          </w:tcPr>
          <w:p>
            <w:pPr>
              <w:widowControl/>
              <w:spacing w:line="480" w:lineRule="exact"/>
              <w:jc w:val="center"/>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lang w:eastAsia="zh-TW"/>
                <w14:textFill>
                  <w14:solidFill>
                    <w14:schemeClr w14:val="tx1"/>
                  </w14:solidFill>
                </w14:textFill>
              </w:rPr>
              <w:t>%</w:t>
            </w:r>
          </w:p>
        </w:tc>
        <w:tc>
          <w:tcPr>
            <w:tcW w:w="1097" w:type="dxa"/>
            <w:tcBorders>
              <w:tl2br w:val="nil"/>
              <w:tr2bl w:val="nil"/>
            </w:tcBorders>
            <w:noWrap/>
            <w:vAlign w:val="center"/>
          </w:tcPr>
          <w:p>
            <w:pPr>
              <w:widowControl/>
              <w:spacing w:line="480" w:lineRule="exact"/>
              <w:jc w:val="center"/>
              <w:rPr>
                <w:rFonts w:ascii="宋体" w:hAnsi="宋体" w:eastAsia="宋体" w:cs="宋体"/>
                <w:color w:val="auto"/>
                <w:kern w:val="0"/>
                <w:sz w:val="24"/>
                <w:szCs w:val="24"/>
              </w:rPr>
            </w:pPr>
            <w:r>
              <w:rPr>
                <w:rFonts w:ascii="宋体" w:hAnsi="宋体" w:eastAsia="宋体" w:cs="宋体"/>
                <w:color w:val="auto"/>
                <w:kern w:val="0"/>
                <w:sz w:val="24"/>
                <w:szCs w:val="24"/>
              </w:rPr>
              <w:t>6</w:t>
            </w:r>
          </w:p>
        </w:tc>
        <w:tc>
          <w:tcPr>
            <w:tcW w:w="1228" w:type="dxa"/>
            <w:tcBorders>
              <w:tl2br w:val="nil"/>
              <w:tr2bl w:val="nil"/>
            </w:tcBorders>
            <w:noWrap/>
            <w:vAlign w:val="center"/>
          </w:tcPr>
          <w:p>
            <w:pPr>
              <w:widowControl/>
              <w:spacing w:line="480" w:lineRule="exact"/>
              <w:jc w:val="center"/>
              <w:rPr>
                <w:rFonts w:ascii="宋体" w:hAnsi="宋体" w:eastAsia="宋体" w:cs="宋体"/>
                <w:color w:val="auto"/>
                <w:kern w:val="0"/>
                <w:sz w:val="24"/>
                <w:szCs w:val="24"/>
              </w:rPr>
            </w:pPr>
            <w:r>
              <w:rPr>
                <w:rFonts w:ascii="宋体" w:hAnsi="宋体" w:eastAsia="宋体" w:cs="宋体"/>
                <w:color w:val="auto"/>
                <w:kern w:val="0"/>
                <w:sz w:val="24"/>
                <w:szCs w:val="24"/>
              </w:rPr>
              <w:t>6以上</w:t>
            </w:r>
          </w:p>
        </w:tc>
        <w:tc>
          <w:tcPr>
            <w:tcW w:w="1444" w:type="dxa"/>
            <w:tcBorders>
              <w:tl2br w:val="nil"/>
              <w:tr2bl w:val="nil"/>
            </w:tcBorders>
            <w:noWrap/>
            <w:vAlign w:val="center"/>
          </w:tcPr>
          <w:p>
            <w:pPr>
              <w:widowControl/>
              <w:spacing w:line="480" w:lineRule="exact"/>
              <w:jc w:val="center"/>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w:t>
            </w:r>
          </w:p>
        </w:tc>
        <w:tc>
          <w:tcPr>
            <w:tcW w:w="1011" w:type="dxa"/>
            <w:tcBorders>
              <w:tl2br w:val="nil"/>
              <w:tr2bl w:val="nil"/>
            </w:tcBorders>
            <w:noWrap/>
            <w:vAlign w:val="center"/>
          </w:tcPr>
          <w:p>
            <w:pPr>
              <w:widowControl/>
              <w:spacing w:line="480" w:lineRule="exact"/>
              <w:ind w:firstLine="0" w:firstLineChars="0"/>
              <w:jc w:val="both"/>
              <w:outlineLvl w:val="9"/>
              <w:rPr>
                <w:rFonts w:ascii="宋体" w:hAnsi="宋体" w:eastAsia="宋体" w:cs="宋体"/>
                <w:color w:val="000000"/>
                <w:kern w:val="0"/>
                <w:sz w:val="24"/>
                <w:szCs w:val="24"/>
              </w:rPr>
            </w:pPr>
            <w:r>
              <w:rPr>
                <w:rFonts w:hint="eastAsia" w:ascii="宋体" w:hAnsi="宋体" w:cs="宋体"/>
                <w:color w:val="000000"/>
                <w:kern w:val="0"/>
                <w:sz w:val="24"/>
                <w:szCs w:val="24"/>
                <w:lang w:val="en-US" w:eastAsia="zh-CN"/>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1" w:hRule="atLeast"/>
        </w:trPr>
        <w:tc>
          <w:tcPr>
            <w:tcW w:w="2997"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400" w:lineRule="exact"/>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eastAsia="zh-TW"/>
                <w14:textFill>
                  <w14:solidFill>
                    <w14:schemeClr w14:val="tx1"/>
                  </w14:solidFill>
                </w14:textFill>
              </w:rPr>
              <w:t>高新技术产业投资</w:t>
            </w:r>
            <w:r>
              <w:rPr>
                <w:rFonts w:hint="eastAsia" w:ascii="宋体" w:hAnsi="宋体" w:eastAsia="宋体" w:cs="宋体"/>
                <w:color w:val="000000" w:themeColor="text1"/>
                <w:kern w:val="0"/>
                <w:sz w:val="24"/>
                <w:szCs w:val="24"/>
                <w14:textFill>
                  <w14:solidFill>
                    <w14:schemeClr w14:val="tx1"/>
                  </w14:solidFill>
                </w14:textFill>
              </w:rPr>
              <w:t>增速</w:t>
            </w:r>
          </w:p>
        </w:tc>
        <w:tc>
          <w:tcPr>
            <w:tcW w:w="822" w:type="dxa"/>
            <w:tcBorders>
              <w:tl2br w:val="nil"/>
              <w:tr2bl w:val="nil"/>
            </w:tcBorders>
            <w:noWrap/>
            <w:vAlign w:val="center"/>
          </w:tcPr>
          <w:p>
            <w:pPr>
              <w:widowControl/>
              <w:spacing w:line="480" w:lineRule="exact"/>
              <w:jc w:val="center"/>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kern w:val="0"/>
                <w:sz w:val="24"/>
                <w:szCs w:val="24"/>
                <w:lang w:eastAsia="zh-TW"/>
                <w14:textFill>
                  <w14:solidFill>
                    <w14:schemeClr w14:val="tx1"/>
                  </w14:solidFill>
                </w14:textFill>
              </w:rPr>
              <w:t>%</w:t>
            </w:r>
          </w:p>
        </w:tc>
        <w:tc>
          <w:tcPr>
            <w:tcW w:w="1097" w:type="dxa"/>
            <w:tcBorders>
              <w:tl2br w:val="nil"/>
              <w:tr2bl w:val="nil"/>
            </w:tcBorders>
            <w:noWrap/>
            <w:vAlign w:val="center"/>
          </w:tcPr>
          <w:p>
            <w:pPr>
              <w:widowControl/>
              <w:spacing w:line="480" w:lineRule="exact"/>
              <w:jc w:val="center"/>
              <w:rPr>
                <w:rFonts w:ascii="宋体" w:hAnsi="宋体" w:eastAsia="宋体" w:cs="宋体"/>
                <w:color w:val="auto"/>
                <w:sz w:val="24"/>
                <w:szCs w:val="24"/>
              </w:rPr>
            </w:pPr>
            <w:r>
              <w:rPr>
                <w:rFonts w:ascii="宋体" w:hAnsi="宋体" w:eastAsia="宋体" w:cs="宋体"/>
                <w:color w:val="auto"/>
                <w:kern w:val="0"/>
                <w:sz w:val="24"/>
                <w:szCs w:val="24"/>
              </w:rPr>
              <w:t>12</w:t>
            </w:r>
          </w:p>
        </w:tc>
        <w:tc>
          <w:tcPr>
            <w:tcW w:w="1228" w:type="dxa"/>
            <w:tcBorders>
              <w:tl2br w:val="nil"/>
              <w:tr2bl w:val="nil"/>
            </w:tcBorders>
            <w:noWrap/>
            <w:vAlign w:val="center"/>
          </w:tcPr>
          <w:p>
            <w:pPr>
              <w:widowControl/>
              <w:spacing w:line="480" w:lineRule="exact"/>
              <w:jc w:val="center"/>
              <w:rPr>
                <w:rFonts w:ascii="宋体" w:hAnsi="宋体" w:eastAsia="宋体" w:cs="宋体"/>
                <w:color w:val="auto"/>
                <w:kern w:val="0"/>
                <w:sz w:val="24"/>
                <w:szCs w:val="24"/>
                <w:lang w:eastAsia="zh-TW"/>
              </w:rPr>
            </w:pPr>
            <w:r>
              <w:rPr>
                <w:rFonts w:ascii="宋体" w:hAnsi="宋体" w:eastAsia="宋体" w:cs="宋体"/>
                <w:color w:val="auto"/>
                <w:sz w:val="24"/>
                <w:szCs w:val="24"/>
              </w:rPr>
              <w:t>12以上</w:t>
            </w:r>
          </w:p>
        </w:tc>
        <w:tc>
          <w:tcPr>
            <w:tcW w:w="1444" w:type="dxa"/>
            <w:tcBorders>
              <w:tl2br w:val="nil"/>
              <w:tr2bl w:val="nil"/>
            </w:tcBorders>
            <w:noWrap/>
            <w:vAlign w:val="center"/>
          </w:tcPr>
          <w:p>
            <w:pPr>
              <w:widowControl/>
              <w:spacing w:line="480" w:lineRule="exact"/>
              <w:jc w:val="center"/>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w:t>
            </w:r>
          </w:p>
        </w:tc>
        <w:tc>
          <w:tcPr>
            <w:tcW w:w="1011" w:type="dxa"/>
            <w:tcBorders>
              <w:tl2br w:val="nil"/>
              <w:tr2bl w:val="nil"/>
            </w:tcBorders>
            <w:noWrap/>
            <w:vAlign w:val="center"/>
          </w:tcPr>
          <w:p>
            <w:pPr>
              <w:widowControl/>
              <w:spacing w:line="480" w:lineRule="exact"/>
              <w:ind w:firstLine="0" w:firstLineChars="0"/>
              <w:jc w:val="both"/>
              <w:outlineLvl w:val="9"/>
              <w:rPr>
                <w:rFonts w:ascii="宋体" w:hAnsi="宋体" w:eastAsia="宋体" w:cs="宋体"/>
                <w:color w:val="000000"/>
                <w:sz w:val="24"/>
                <w:szCs w:val="24"/>
              </w:rPr>
            </w:pPr>
            <w:r>
              <w:rPr>
                <w:rFonts w:hint="eastAsia" w:ascii="宋体" w:hAnsi="宋体" w:cs="宋体"/>
                <w:color w:val="000000"/>
                <w:kern w:val="0"/>
                <w:sz w:val="24"/>
                <w:szCs w:val="24"/>
                <w:lang w:val="en-US" w:eastAsia="zh-CN"/>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6" w:hRule="atLeast"/>
        </w:trPr>
        <w:tc>
          <w:tcPr>
            <w:tcW w:w="2997" w:type="dxa"/>
            <w:noWrap/>
            <w:vAlign w:val="center"/>
          </w:tcPr>
          <w:p>
            <w:pPr>
              <w:keepNext w:val="0"/>
              <w:keepLines w:val="0"/>
              <w:pageBreakBefore w:val="0"/>
              <w:widowControl/>
              <w:kinsoku/>
              <w:wordWrap/>
              <w:overflowPunct/>
              <w:topLinePunct w:val="0"/>
              <w:autoSpaceDE/>
              <w:autoSpaceDN/>
              <w:bidi w:val="0"/>
              <w:adjustRightInd/>
              <w:snapToGrid/>
              <w:spacing w:line="400" w:lineRule="exact"/>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eastAsia="zh-TW"/>
                <w14:textFill>
                  <w14:solidFill>
                    <w14:schemeClr w14:val="tx1"/>
                  </w14:solidFill>
                </w14:textFill>
              </w:rPr>
              <w:t>每万人</w:t>
            </w:r>
            <w:r>
              <w:rPr>
                <w:rFonts w:hint="eastAsia" w:ascii="宋体" w:hAnsi="宋体" w:eastAsia="宋体" w:cs="宋体"/>
                <w:color w:val="000000" w:themeColor="text1"/>
                <w:kern w:val="0"/>
                <w:sz w:val="24"/>
                <w:szCs w:val="24"/>
                <w14:textFill>
                  <w14:solidFill>
                    <w14:schemeClr w14:val="tx1"/>
                  </w14:solidFill>
                </w14:textFill>
              </w:rPr>
              <w:t>高价值</w:t>
            </w:r>
            <w:r>
              <w:rPr>
                <w:rFonts w:hint="eastAsia" w:ascii="宋体" w:hAnsi="宋体" w:eastAsia="宋体" w:cs="宋体"/>
                <w:color w:val="000000" w:themeColor="text1"/>
                <w:kern w:val="0"/>
                <w:sz w:val="24"/>
                <w:szCs w:val="24"/>
                <w:lang w:eastAsia="zh-TW"/>
                <w14:textFill>
                  <w14:solidFill>
                    <w14:schemeClr w14:val="tx1"/>
                  </w14:solidFill>
                </w14:textFill>
              </w:rPr>
              <w:t>发明专利拥有量</w:t>
            </w:r>
          </w:p>
        </w:tc>
        <w:tc>
          <w:tcPr>
            <w:tcW w:w="822" w:type="dxa"/>
            <w:noWrap/>
            <w:vAlign w:val="center"/>
          </w:tcPr>
          <w:p>
            <w:pPr>
              <w:widowControl/>
              <w:spacing w:line="480" w:lineRule="exact"/>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eastAsia="zh-TW"/>
                <w14:textFill>
                  <w14:solidFill>
                    <w14:schemeClr w14:val="tx1"/>
                  </w14:solidFill>
                </w14:textFill>
              </w:rPr>
              <w:t>件</w:t>
            </w:r>
          </w:p>
        </w:tc>
        <w:tc>
          <w:tcPr>
            <w:tcW w:w="1097" w:type="dxa"/>
            <w:noWrap/>
            <w:vAlign w:val="center"/>
          </w:tcPr>
          <w:p>
            <w:pPr>
              <w:widowControl/>
              <w:spacing w:line="480" w:lineRule="exact"/>
              <w:jc w:val="center"/>
              <w:rPr>
                <w:rFonts w:ascii="宋体" w:hAnsi="宋体" w:eastAsia="宋体" w:cs="宋体"/>
                <w:color w:val="auto"/>
                <w:sz w:val="24"/>
                <w:szCs w:val="24"/>
              </w:rPr>
            </w:pPr>
            <w:r>
              <w:rPr>
                <w:rFonts w:ascii="宋体" w:hAnsi="宋体" w:eastAsia="宋体" w:cs="宋体"/>
                <w:color w:val="auto"/>
                <w:sz w:val="24"/>
                <w:szCs w:val="24"/>
              </w:rPr>
              <w:t>3.6</w:t>
            </w:r>
          </w:p>
        </w:tc>
        <w:tc>
          <w:tcPr>
            <w:tcW w:w="1228" w:type="dxa"/>
            <w:noWrap/>
            <w:vAlign w:val="center"/>
          </w:tcPr>
          <w:p>
            <w:pPr>
              <w:widowControl/>
              <w:spacing w:line="480" w:lineRule="exact"/>
              <w:jc w:val="center"/>
              <w:rPr>
                <w:rFonts w:ascii="宋体" w:hAnsi="宋体" w:eastAsia="宋体" w:cs="宋体"/>
                <w:color w:val="auto"/>
                <w:sz w:val="24"/>
                <w:szCs w:val="24"/>
              </w:rPr>
            </w:pPr>
            <w:r>
              <w:rPr>
                <w:rFonts w:ascii="宋体" w:hAnsi="宋体" w:eastAsia="宋体" w:cs="宋体"/>
                <w:color w:val="auto"/>
                <w:sz w:val="24"/>
                <w:szCs w:val="24"/>
              </w:rPr>
              <w:t>9.7</w:t>
            </w:r>
          </w:p>
        </w:tc>
        <w:tc>
          <w:tcPr>
            <w:tcW w:w="1444" w:type="dxa"/>
            <w:noWrap/>
            <w:vAlign w:val="center"/>
          </w:tcPr>
          <w:p>
            <w:pPr>
              <w:widowControl/>
              <w:spacing w:line="480" w:lineRule="exact"/>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21.93%</w:t>
            </w:r>
          </w:p>
        </w:tc>
        <w:tc>
          <w:tcPr>
            <w:tcW w:w="1011" w:type="dxa"/>
            <w:noWrap/>
            <w:vAlign w:val="center"/>
          </w:tcPr>
          <w:p>
            <w:pPr>
              <w:widowControl/>
              <w:spacing w:line="480" w:lineRule="exact"/>
              <w:ind w:firstLine="0" w:firstLineChars="0"/>
              <w:jc w:val="both"/>
              <w:outlineLvl w:val="9"/>
              <w:rPr>
                <w:rFonts w:ascii="宋体" w:hAnsi="宋体" w:eastAsia="宋体" w:cs="宋体"/>
                <w:color w:val="000000"/>
                <w:sz w:val="24"/>
                <w:szCs w:val="24"/>
              </w:rPr>
            </w:pPr>
            <w:r>
              <w:rPr>
                <w:rFonts w:hint="eastAsia" w:ascii="宋体" w:hAnsi="宋体" w:cs="宋体"/>
                <w:color w:val="000000"/>
                <w:kern w:val="0"/>
                <w:sz w:val="24"/>
                <w:szCs w:val="24"/>
                <w:lang w:val="en-US" w:eastAsia="zh-CN"/>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16" w:hRule="atLeast"/>
        </w:trPr>
        <w:tc>
          <w:tcPr>
            <w:tcW w:w="2997" w:type="dxa"/>
            <w:noWrap/>
            <w:vAlign w:val="center"/>
          </w:tcPr>
          <w:p>
            <w:pPr>
              <w:keepNext w:val="0"/>
              <w:keepLines w:val="0"/>
              <w:pageBreakBefore w:val="0"/>
              <w:widowControl/>
              <w:kinsoku/>
              <w:wordWrap/>
              <w:overflowPunct/>
              <w:topLinePunct w:val="0"/>
              <w:autoSpaceDE/>
              <w:autoSpaceDN/>
              <w:bidi w:val="0"/>
              <w:adjustRightInd/>
              <w:snapToGrid/>
              <w:spacing w:line="400" w:lineRule="exact"/>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eastAsia="zh-TW"/>
                <w14:textFill>
                  <w14:solidFill>
                    <w14:schemeClr w14:val="tx1"/>
                  </w14:solidFill>
                </w14:textFill>
              </w:rPr>
              <w:t>技术</w:t>
            </w:r>
            <w:r>
              <w:rPr>
                <w:rFonts w:hint="eastAsia"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lang w:eastAsia="zh-TW"/>
                <w14:textFill>
                  <w14:solidFill>
                    <w14:schemeClr w14:val="tx1"/>
                  </w14:solidFill>
                </w14:textFill>
              </w:rPr>
              <w:t>合同</w:t>
            </w:r>
            <w:r>
              <w:rPr>
                <w:rFonts w:hint="eastAsia"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lang w:eastAsia="zh-TW"/>
                <w14:textFill>
                  <w14:solidFill>
                    <w14:schemeClr w14:val="tx1"/>
                  </w14:solidFill>
                </w14:textFill>
              </w:rPr>
              <w:t>交易总额</w:t>
            </w:r>
          </w:p>
        </w:tc>
        <w:tc>
          <w:tcPr>
            <w:tcW w:w="822" w:type="dxa"/>
            <w:noWrap/>
            <w:vAlign w:val="center"/>
          </w:tcPr>
          <w:p>
            <w:pPr>
              <w:widowControl/>
              <w:spacing w:line="480" w:lineRule="exact"/>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eastAsia="zh-TW"/>
                <w14:textFill>
                  <w14:solidFill>
                    <w14:schemeClr w14:val="tx1"/>
                  </w14:solidFill>
                </w14:textFill>
              </w:rPr>
              <w:t>亿元</w:t>
            </w:r>
          </w:p>
        </w:tc>
        <w:tc>
          <w:tcPr>
            <w:tcW w:w="1097" w:type="dxa"/>
            <w:noWrap/>
            <w:vAlign w:val="center"/>
          </w:tcPr>
          <w:p>
            <w:pPr>
              <w:widowControl/>
              <w:spacing w:line="480" w:lineRule="exact"/>
              <w:jc w:val="center"/>
              <w:rPr>
                <w:rFonts w:ascii="宋体" w:hAnsi="宋体" w:eastAsia="宋体" w:cs="宋体"/>
                <w:color w:val="auto"/>
                <w:sz w:val="24"/>
                <w:szCs w:val="24"/>
              </w:rPr>
            </w:pPr>
            <w:r>
              <w:rPr>
                <w:rFonts w:ascii="宋体" w:hAnsi="宋体" w:eastAsia="宋体" w:cs="宋体"/>
                <w:color w:val="auto"/>
                <w:sz w:val="24"/>
                <w:szCs w:val="24"/>
              </w:rPr>
              <w:t>217.37</w:t>
            </w:r>
          </w:p>
        </w:tc>
        <w:tc>
          <w:tcPr>
            <w:tcW w:w="1228" w:type="dxa"/>
            <w:noWrap/>
            <w:vAlign w:val="center"/>
          </w:tcPr>
          <w:p>
            <w:pPr>
              <w:widowControl/>
              <w:spacing w:line="480" w:lineRule="exact"/>
              <w:jc w:val="center"/>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313</w:t>
            </w:r>
          </w:p>
        </w:tc>
        <w:tc>
          <w:tcPr>
            <w:tcW w:w="1444" w:type="dxa"/>
            <w:noWrap/>
            <w:vAlign w:val="center"/>
          </w:tcPr>
          <w:p>
            <w:pPr>
              <w:widowControl/>
              <w:spacing w:line="480" w:lineRule="exact"/>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7.56%</w:t>
            </w:r>
          </w:p>
        </w:tc>
        <w:tc>
          <w:tcPr>
            <w:tcW w:w="1011" w:type="dxa"/>
            <w:noWrap/>
            <w:vAlign w:val="center"/>
          </w:tcPr>
          <w:p>
            <w:pPr>
              <w:widowControl/>
              <w:spacing w:line="480" w:lineRule="exact"/>
              <w:ind w:firstLine="0" w:firstLineChars="0"/>
              <w:jc w:val="both"/>
              <w:outlineLvl w:val="9"/>
              <w:rPr>
                <w:rFonts w:ascii="宋体" w:hAnsi="宋体" w:eastAsia="宋体" w:cs="宋体"/>
                <w:color w:val="000000"/>
                <w:kern w:val="0"/>
                <w:sz w:val="24"/>
                <w:szCs w:val="24"/>
              </w:rPr>
            </w:pPr>
            <w:r>
              <w:rPr>
                <w:rFonts w:hint="eastAsia" w:ascii="宋体" w:hAnsi="宋体" w:cs="宋体"/>
                <w:color w:val="000000"/>
                <w:kern w:val="0"/>
                <w:sz w:val="24"/>
                <w:szCs w:val="24"/>
                <w:lang w:val="en-US" w:eastAsia="zh-CN"/>
              </w:rPr>
              <w:t>预期性</w:t>
            </w:r>
          </w:p>
        </w:tc>
      </w:tr>
    </w:tbl>
    <w:p>
      <w:pPr>
        <w:pStyle w:val="5"/>
        <w:spacing w:line="560" w:lineRule="exact"/>
        <w:ind w:firstLine="0" w:firstLineChars="0"/>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注：#为“五倍增五提升”指标，[]为五年累计数。</w:t>
      </w:r>
    </w:p>
    <w:p>
      <w:pPr>
        <w:pStyle w:val="5"/>
        <w:spacing w:line="560" w:lineRule="exact"/>
      </w:pPr>
      <w:r>
        <w:rPr>
          <w:rFonts w:hint="eastAsia"/>
        </w:rPr>
        <w:t>二、</w:t>
      </w:r>
      <w:bookmarkEnd w:id="61"/>
      <w:bookmarkEnd w:id="62"/>
      <w:bookmarkEnd w:id="63"/>
      <w:bookmarkEnd w:id="64"/>
      <w:bookmarkStart w:id="65" w:name="_Toc29604"/>
      <w:bookmarkStart w:id="66" w:name="_Toc25275"/>
      <w:bookmarkStart w:id="67" w:name="_Toc9671"/>
      <w:bookmarkStart w:id="68" w:name="_Toc4690"/>
      <w:bookmarkStart w:id="69" w:name="_Toc4858"/>
      <w:bookmarkStart w:id="70" w:name="_Toc4086"/>
      <w:bookmarkStart w:id="71" w:name="_Toc20680"/>
      <w:bookmarkStart w:id="72" w:name="_Toc5969"/>
      <w:bookmarkStart w:id="73" w:name="_Toc29966"/>
      <w:bookmarkStart w:id="74" w:name="_Toc57043399"/>
      <w:r>
        <w:rPr>
          <w:rFonts w:hint="eastAsia"/>
          <w:color w:val="000000"/>
        </w:rPr>
        <w:t>实施高能级平台建设攻坚工程，打造全域创新强大引擎</w:t>
      </w:r>
      <w:bookmarkEnd w:id="65"/>
      <w:bookmarkEnd w:id="66"/>
      <w:bookmarkEnd w:id="67"/>
      <w:bookmarkEnd w:id="68"/>
      <w:bookmarkEnd w:id="69"/>
      <w:bookmarkEnd w:id="70"/>
      <w:bookmarkEnd w:id="71"/>
      <w:bookmarkEnd w:id="72"/>
      <w:bookmarkEnd w:id="73"/>
      <w:bookmarkEnd w:id="74"/>
    </w:p>
    <w:p>
      <w:pPr>
        <w:pStyle w:val="6"/>
        <w:spacing w:before="0" w:after="0" w:line="560" w:lineRule="exact"/>
        <w:ind w:firstLine="640" w:firstLineChars="200"/>
        <w:rPr>
          <w:rFonts w:ascii="楷体_GB2312" w:eastAsia="楷体_GB2312"/>
          <w:b w:val="0"/>
          <w:bCs w:val="0"/>
        </w:rPr>
      </w:pPr>
      <w:bookmarkStart w:id="75" w:name="_Toc1095"/>
      <w:bookmarkStart w:id="76" w:name="_Toc28268"/>
      <w:bookmarkStart w:id="77" w:name="_Toc12948"/>
      <w:bookmarkStart w:id="78" w:name="_Toc17221"/>
      <w:bookmarkStart w:id="79" w:name="_Toc25821"/>
      <w:bookmarkStart w:id="80" w:name="_Toc28589"/>
      <w:bookmarkStart w:id="81" w:name="_Toc7590"/>
      <w:bookmarkStart w:id="82" w:name="_Toc11480"/>
      <w:bookmarkStart w:id="83" w:name="_Toc19981"/>
      <w:r>
        <w:rPr>
          <w:rFonts w:hint="eastAsia" w:ascii="楷体_GB2312" w:hAnsi="Calibri Light" w:eastAsia="楷体_GB2312"/>
          <w:b w:val="0"/>
          <w:bCs w:val="0"/>
          <w:sz w:val="32"/>
          <w:szCs w:val="32"/>
        </w:rPr>
        <w:t>（一）全域推进国家自主创新示范区建设</w:t>
      </w:r>
      <w:bookmarkEnd w:id="75"/>
      <w:bookmarkEnd w:id="76"/>
      <w:bookmarkEnd w:id="77"/>
      <w:bookmarkEnd w:id="78"/>
      <w:bookmarkEnd w:id="79"/>
      <w:bookmarkEnd w:id="80"/>
      <w:bookmarkEnd w:id="81"/>
      <w:bookmarkEnd w:id="82"/>
      <w:bookmarkEnd w:id="83"/>
    </w:p>
    <w:p>
      <w:pPr>
        <w:widowControl/>
        <w:spacing w:line="560" w:lineRule="exact"/>
        <w:ind w:firstLine="640" w:firstLineChars="200"/>
        <w:jc w:val="left"/>
        <w:rPr>
          <w:rFonts w:hint="eastAsia" w:ascii="黑体" w:hAnsi="黑体" w:eastAsia="黑体" w:cs="黑体"/>
          <w:b w:val="0"/>
          <w:bCs w:val="0"/>
          <w:color w:val="000000"/>
          <w:sz w:val="28"/>
          <w:szCs w:val="28"/>
        </w:rPr>
      </w:pPr>
      <w:r>
        <w:rPr>
          <w:rFonts w:hint="eastAsia" w:eastAsia="仿宋_GB2312"/>
          <w:sz w:val="32"/>
          <w:szCs w:val="32"/>
        </w:rPr>
        <w:t>持续</w:t>
      </w:r>
      <w:r>
        <w:rPr>
          <w:rFonts w:eastAsia="仿宋_GB2312"/>
          <w:sz w:val="32"/>
          <w:szCs w:val="32"/>
        </w:rPr>
        <w:t>推进“八大攻坚”行动</w:t>
      </w:r>
      <w:r>
        <w:rPr>
          <w:rFonts w:hint="eastAsia" w:eastAsia="仿宋_GB2312"/>
          <w:sz w:val="32"/>
          <w:szCs w:val="32"/>
        </w:rPr>
        <w:t>，</w:t>
      </w:r>
      <w:r>
        <w:rPr>
          <w:rFonts w:hint="eastAsia" w:ascii="仿宋_GB2312" w:hAnsi="仿宋" w:eastAsia="仿宋_GB2312" w:cs="仿宋"/>
          <w:color w:val="000000"/>
          <w:sz w:val="32"/>
          <w:szCs w:val="32"/>
        </w:rPr>
        <w:t>加快构建形成以温州国家高新区（浙南科技城）为核心，联合浙南产业集聚区核心区、国家自主创新示范区瓯江口园区、温州高教园区、乐清智能电气省级高新技术产业园区、国家自主创新示范区瑞安园的“一区五园”发展格局，打造带动全域创新发展的强大引擎。以全面打造</w:t>
      </w:r>
      <w:r>
        <w:rPr>
          <w:rFonts w:hint="eastAsia" w:ascii="仿宋_GB2312" w:hAnsi="Calibri" w:eastAsia="仿宋_GB2312"/>
          <w:color w:val="000000"/>
          <w:sz w:val="32"/>
          <w:szCs w:val="32"/>
        </w:rPr>
        <w:t>全国民营经济</w:t>
      </w:r>
      <w:r>
        <w:rPr>
          <w:rFonts w:hint="eastAsia" w:ascii="仿宋_GB2312" w:hAnsi="Calibri" w:eastAsia="仿宋_GB2312"/>
          <w:color w:val="000000"/>
          <w:sz w:val="32"/>
          <w:szCs w:val="32"/>
          <w:lang w:eastAsia="zh-CN"/>
        </w:rPr>
        <w:t>科技创新示范区</w:t>
      </w:r>
      <w:r>
        <w:rPr>
          <w:rFonts w:hint="eastAsia" w:ascii="仿宋_GB2312" w:hAnsi="仿宋" w:eastAsia="仿宋_GB2312" w:cs="仿宋"/>
          <w:color w:val="000000"/>
          <w:sz w:val="32"/>
          <w:szCs w:val="32"/>
        </w:rPr>
        <w:t>为“一条主线”，加快形成智能装备、生命健康两大主导产业</w:t>
      </w:r>
      <w:r>
        <w:rPr>
          <w:rFonts w:hint="eastAsia" w:ascii="仿宋_GB2312" w:hAnsi="仿宋" w:eastAsia="仿宋_GB2312" w:cs="仿宋"/>
          <w:color w:val="000000"/>
          <w:sz w:val="32"/>
          <w:szCs w:val="32"/>
          <w:lang w:eastAsia="zh-CN"/>
        </w:rPr>
        <w:t>，</w:t>
      </w:r>
      <w:r>
        <w:rPr>
          <w:rFonts w:hint="eastAsia" w:ascii="仿宋_GB2312" w:hAnsi="Calibri" w:eastAsia="仿宋_GB2312"/>
          <w:color w:val="000000"/>
          <w:sz w:val="32"/>
          <w:szCs w:val="32"/>
          <w:lang w:eastAsia="zh-CN"/>
        </w:rPr>
        <w:t>生命健康、智能装备两大主导产业工业增加值年均增长12%以上</w:t>
      </w:r>
      <w:r>
        <w:rPr>
          <w:rFonts w:hint="eastAsia" w:ascii="仿宋_GB2312" w:hAnsi="Calibri" w:eastAsia="仿宋_GB2312"/>
          <w:color w:val="000000"/>
          <w:sz w:val="32"/>
          <w:szCs w:val="32"/>
        </w:rPr>
        <w:t>。推进投资主体多元化，打造科技金融融合发展引领区；推进创新合作开放化，打造“一带一路”国际国内科技合作先导区；推进高新产业集聚化，打造新旧动能转换示范区；推进科技服务一体化，打造产教研融合发展探索区；推进创新机制市场化，打造科技体制改革试验区。到2025年，培育打造生命健康、智能装备两大高成长创新型产业集群，高端创新资源要素更加集聚，民间资本参与创新创业更加活跃，开放协同创新更具深化，自主创新能力全面提升，构建形成完善的区域科技创新网络体系，基本发展成为全国民营经济创新创业新高地。自创区</w:t>
      </w:r>
      <w:r>
        <w:rPr>
          <w:rFonts w:eastAsia="仿宋_GB2312"/>
          <w:snapToGrid w:val="0"/>
          <w:color w:val="000000"/>
          <w:kern w:val="0"/>
          <w:sz w:val="32"/>
          <w:szCs w:val="32"/>
        </w:rPr>
        <w:t>“一区五园”</w:t>
      </w:r>
      <w:r>
        <w:rPr>
          <w:rFonts w:hint="eastAsia" w:ascii="仿宋_GB2312" w:hAnsi="Calibri" w:eastAsia="仿宋_GB2312"/>
          <w:color w:val="000000"/>
          <w:sz w:val="32"/>
          <w:szCs w:val="32"/>
        </w:rPr>
        <w:t>全社会研发经费支出占GDP比重达到3.6%，高新技术产业投资增速达到25%</w:t>
      </w:r>
      <w:r>
        <w:rPr>
          <w:rFonts w:hint="eastAsia" w:ascii="仿宋_GB2312" w:hAnsi="Calibri" w:eastAsia="仿宋_GB2312"/>
          <w:color w:val="000000"/>
          <w:sz w:val="32"/>
          <w:szCs w:val="32"/>
          <w:lang w:eastAsia="zh-CN"/>
        </w:rPr>
        <w:t>。</w:t>
      </w:r>
    </w:p>
    <w:p>
      <w:pPr>
        <w:spacing w:line="480" w:lineRule="exact"/>
        <w:jc w:val="center"/>
        <w:rPr>
          <w:rFonts w:ascii="仿宋_GB2312" w:hAnsi="仿宋" w:eastAsia="仿宋_GB2312" w:cs="仿宋"/>
          <w:b/>
          <w:bCs/>
          <w:color w:val="000000"/>
          <w:sz w:val="32"/>
          <w:szCs w:val="32"/>
        </w:rPr>
      </w:pPr>
      <w:r>
        <w:rPr>
          <w:rFonts w:hint="eastAsia" w:ascii="黑体" w:hAnsi="黑体" w:eastAsia="黑体" w:cs="黑体"/>
          <w:b w:val="0"/>
          <w:bCs w:val="0"/>
          <w:color w:val="000000"/>
          <w:sz w:val="28"/>
          <w:szCs w:val="28"/>
        </w:rPr>
        <w:t>专栏</w:t>
      </w:r>
      <w:r>
        <w:rPr>
          <w:rFonts w:ascii="黑体" w:hAnsi="黑体" w:eastAsia="黑体" w:cs="黑体"/>
          <w:b w:val="0"/>
          <w:bCs w:val="0"/>
          <w:color w:val="000000"/>
          <w:sz w:val="28"/>
          <w:szCs w:val="28"/>
        </w:rPr>
        <w:t>1：</w:t>
      </w:r>
      <w:r>
        <w:rPr>
          <w:rFonts w:hint="eastAsia" w:ascii="黑体" w:hAnsi="黑体" w:eastAsia="黑体" w:cs="黑体"/>
          <w:b w:val="0"/>
          <w:bCs w:val="0"/>
          <w:color w:val="000000"/>
          <w:sz w:val="28"/>
          <w:szCs w:val="28"/>
        </w:rPr>
        <w:t>自创区八大攻坚行动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414" w:type="dxa"/>
            <w:noWrap/>
          </w:tcPr>
          <w:p>
            <w:pPr>
              <w:pStyle w:val="7"/>
              <w:spacing w:line="480" w:lineRule="exact"/>
              <w:ind w:firstLine="0" w:firstLineChars="0"/>
              <w:rPr>
                <w:rFonts w:hint="eastAsia" w:ascii="宋体" w:hAnsi="宋体" w:eastAsia="宋体" w:cs="宋体"/>
                <w:color w:val="000000"/>
                <w:sz w:val="24"/>
                <w:szCs w:val="24"/>
              </w:rPr>
            </w:pPr>
            <w:r>
              <w:rPr>
                <w:rFonts w:hint="eastAsia" w:ascii="宋体" w:hAnsi="宋体" w:cs="宋体"/>
                <w:b/>
                <w:bCs/>
                <w:color w:val="000000"/>
                <w:sz w:val="24"/>
                <w:szCs w:val="24"/>
                <w:lang w:val="en-US" w:eastAsia="zh-CN"/>
              </w:rPr>
              <w:t xml:space="preserve">    </w:t>
            </w:r>
            <w:r>
              <w:rPr>
                <w:rFonts w:hint="eastAsia" w:ascii="宋体" w:hAnsi="宋体" w:eastAsia="宋体" w:cs="宋体"/>
                <w:color w:val="000000"/>
                <w:sz w:val="24"/>
                <w:szCs w:val="24"/>
              </w:rPr>
              <w:t xml:space="preserve">1.提质打造高能级创新平台。提质发展中国科学院大学温州研究院、浙江大学温州研究院等已建高能级创新平台；推进科思技术（温州）研究院、光子集成（温州）创新研究院等新引进平台建设，新引进培育一批高水平研究院，五年累计打造高能级创新平台30家以上。 </w:t>
            </w:r>
          </w:p>
          <w:p>
            <w:pPr>
              <w:pStyle w:val="7"/>
              <w:numPr>
                <w:ilvl w:val="-1"/>
                <w:numId w:val="0"/>
              </w:numPr>
              <w:spacing w:line="480" w:lineRule="exact"/>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val="en-US" w:eastAsia="zh-CN"/>
              </w:rPr>
              <w:t>2.</w:t>
            </w:r>
            <w:r>
              <w:rPr>
                <w:rFonts w:hint="eastAsia" w:ascii="宋体" w:hAnsi="宋体" w:eastAsia="宋体" w:cs="宋体"/>
                <w:color w:val="000000"/>
                <w:sz w:val="24"/>
                <w:szCs w:val="24"/>
              </w:rPr>
              <w:t xml:space="preserve">培育创新型领军（瞪羚）企业。落实高新技术企业所得税优惠、研发费用税前加计扣除等惠企政策，加快构建创新型领军企业培育库，五年累计培育创新型领军（瞪羚）企业50家以上。 </w:t>
            </w:r>
          </w:p>
          <w:p>
            <w:pPr>
              <w:pStyle w:val="7"/>
              <w:numPr>
                <w:ilvl w:val="-1"/>
                <w:numId w:val="0"/>
              </w:numPr>
              <w:spacing w:line="480" w:lineRule="exact"/>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val="en-US" w:eastAsia="zh-CN"/>
              </w:rPr>
              <w:t>3.</w:t>
            </w:r>
            <w:r>
              <w:rPr>
                <w:rFonts w:hint="eastAsia" w:ascii="宋体" w:hAnsi="宋体" w:eastAsia="宋体" w:cs="宋体"/>
                <w:color w:val="000000"/>
                <w:sz w:val="24"/>
                <w:szCs w:val="24"/>
              </w:rPr>
              <w:t>招引落地创新型重大科技项目。对照科技招商地图，聚焦自创区生命健康和智能装备两大主导产业，推动统筹招商、集中布局、错位发展，五年累计招引落地自创区创新型重大项目100个以上。</w:t>
            </w:r>
          </w:p>
          <w:p>
            <w:pPr>
              <w:pStyle w:val="7"/>
              <w:numPr>
                <w:ilvl w:val="-1"/>
                <w:numId w:val="0"/>
              </w:numPr>
              <w:spacing w:line="480" w:lineRule="exact"/>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val="en-US" w:eastAsia="zh-CN"/>
              </w:rPr>
              <w:t>4.</w:t>
            </w:r>
            <w:r>
              <w:rPr>
                <w:rFonts w:hint="eastAsia" w:ascii="宋体" w:hAnsi="宋体" w:eastAsia="宋体" w:cs="宋体"/>
                <w:color w:val="000000"/>
                <w:sz w:val="24"/>
                <w:szCs w:val="24"/>
              </w:rPr>
              <w:t xml:space="preserve">引育高水平创新创业人才团队。引进培育一批符合我市重点产业发展导向，有望突破核心技术、引领产业发展，产生显著经济社会效益的海内外高水平科技团队，五年引进集聚高水平创新团队30个，新认定和支持领军型人才创业项目60个以上。 </w:t>
            </w:r>
          </w:p>
          <w:p>
            <w:pPr>
              <w:pStyle w:val="7"/>
              <w:numPr>
                <w:ilvl w:val="-1"/>
                <w:numId w:val="0"/>
              </w:numPr>
              <w:spacing w:line="480" w:lineRule="exact"/>
              <w:ind w:firstLine="480" w:firstLineChars="200"/>
              <w:rPr>
                <w:rFonts w:hint="eastAsia" w:ascii="宋体" w:hAnsi="宋体" w:cs="宋体"/>
                <w:color w:val="000000"/>
                <w:sz w:val="24"/>
                <w:szCs w:val="24"/>
                <w:lang w:val="en-US" w:eastAsia="zh-CN"/>
              </w:rPr>
            </w:pPr>
            <w:r>
              <w:rPr>
                <w:rFonts w:hint="eastAsia" w:ascii="宋体" w:hAnsi="宋体" w:cs="宋体"/>
                <w:color w:val="000000"/>
                <w:sz w:val="24"/>
                <w:szCs w:val="24"/>
                <w:lang w:val="en-US" w:eastAsia="zh-CN"/>
              </w:rPr>
              <w:t>5.</w:t>
            </w:r>
            <w:r>
              <w:rPr>
                <w:rFonts w:hint="eastAsia" w:ascii="宋体" w:hAnsi="宋体" w:eastAsia="宋体" w:cs="宋体"/>
                <w:color w:val="000000"/>
                <w:sz w:val="24"/>
                <w:szCs w:val="24"/>
              </w:rPr>
              <w:t xml:space="preserve">攻坚“卡脖子”核心技术。对接国家科技创新2030重大项目、省“双尖双领”重大科技 创新计划，更大力度实施自创区核心技术攻关计划，五年开展重大科技创新攻关项目200个以上， 攻坚“卡脖子”核心技术50个以上。 </w:t>
            </w:r>
            <w:r>
              <w:rPr>
                <w:rFonts w:hint="eastAsia" w:ascii="宋体" w:hAnsi="宋体" w:cs="宋体"/>
                <w:color w:val="000000"/>
                <w:sz w:val="24"/>
                <w:szCs w:val="24"/>
                <w:lang w:val="en-US" w:eastAsia="zh-CN"/>
              </w:rPr>
              <w:t xml:space="preserve">   </w:t>
            </w:r>
          </w:p>
          <w:p>
            <w:pPr>
              <w:pStyle w:val="7"/>
              <w:numPr>
                <w:ilvl w:val="-1"/>
                <w:numId w:val="0"/>
              </w:numPr>
              <w:spacing w:line="480" w:lineRule="exact"/>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val="en-US" w:eastAsia="zh-CN"/>
              </w:rPr>
              <w:t>6.</w:t>
            </w:r>
            <w:r>
              <w:rPr>
                <w:rFonts w:hint="eastAsia" w:ascii="宋体" w:hAnsi="宋体" w:eastAsia="宋体" w:cs="宋体"/>
                <w:color w:val="000000"/>
                <w:sz w:val="24"/>
                <w:szCs w:val="24"/>
              </w:rPr>
              <w:t xml:space="preserve">深化突破性改革举措。深化一批能够实质性推进构建“产学研用金、才政介美云”十联动创新创业生态体系的改革创新举措，结合“一区五园”各自特色，及时落地推广，五年深化推进突破性改革创新举措50项以上。 </w:t>
            </w:r>
          </w:p>
          <w:p>
            <w:pPr>
              <w:pStyle w:val="7"/>
              <w:numPr>
                <w:ilvl w:val="-1"/>
                <w:numId w:val="0"/>
              </w:numPr>
              <w:spacing w:line="480" w:lineRule="exact"/>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val="en-US" w:eastAsia="zh-CN"/>
              </w:rPr>
              <w:t>7.</w:t>
            </w:r>
            <w:r>
              <w:rPr>
                <w:rFonts w:hint="eastAsia" w:ascii="宋体" w:hAnsi="宋体" w:eastAsia="宋体" w:cs="宋体"/>
                <w:color w:val="000000"/>
                <w:sz w:val="24"/>
                <w:szCs w:val="24"/>
              </w:rPr>
              <w:t xml:space="preserve">推进科技开放合作。积极探索建立科技创新合作协调机制，共建开放型科技合作基地，推动创新要素合理流动和创新资源开放共享，五年各类创新服务平台转化落地成果项目200个以上，开展科技合作1000项以上。 </w:t>
            </w:r>
          </w:p>
          <w:p>
            <w:pPr>
              <w:pStyle w:val="7"/>
              <w:numPr>
                <w:ilvl w:val="-1"/>
                <w:numId w:val="0"/>
              </w:numPr>
              <w:spacing w:line="480" w:lineRule="exact"/>
              <w:ind w:firstLine="480"/>
              <w:rPr>
                <w:rFonts w:ascii="仿宋_GB2312" w:hAnsi="Calibri" w:eastAsia="仿宋_GB2312"/>
                <w:color w:val="000000"/>
                <w:sz w:val="24"/>
                <w:szCs w:val="24"/>
              </w:rPr>
            </w:pPr>
            <w:r>
              <w:rPr>
                <w:rFonts w:hint="eastAsia" w:ascii="宋体" w:hAnsi="宋体" w:eastAsia="宋体" w:cs="宋体"/>
                <w:color w:val="000000"/>
                <w:sz w:val="24"/>
                <w:szCs w:val="24"/>
              </w:rPr>
              <w:t>8.提升十大关键性指标。力争两大主导产业主营业务收入增速、高新技术产业投资增速、技 术交易额增速、规上工业企业研发费用增速、高新技术产业增加值增速等增速指标实现“五提升”，新增省级及以上创新载体数、新增引进培育海内外高层次创新创业人才数、新增高新技术企业数、新增科技型中小企业数、创投机构当年对园区企业的投资总额等总量指标实现“五倍增”。</w:t>
            </w:r>
          </w:p>
        </w:tc>
      </w:tr>
    </w:tbl>
    <w:p>
      <w:pPr>
        <w:pStyle w:val="6"/>
        <w:spacing w:before="0" w:after="0" w:line="560" w:lineRule="exact"/>
        <w:ind w:firstLine="640" w:firstLineChars="200"/>
        <w:rPr>
          <w:rFonts w:ascii="楷体_GB2312" w:eastAsia="楷体_GB2312"/>
          <w:b w:val="0"/>
          <w:bCs w:val="0"/>
        </w:rPr>
      </w:pPr>
      <w:bookmarkStart w:id="84" w:name="_Toc12969"/>
      <w:bookmarkStart w:id="85" w:name="_Toc228"/>
      <w:bookmarkStart w:id="86" w:name="_Toc21229"/>
      <w:bookmarkStart w:id="87" w:name="_Toc7705"/>
      <w:bookmarkStart w:id="88" w:name="_Toc4523"/>
      <w:bookmarkStart w:id="89" w:name="_Toc25986"/>
      <w:bookmarkStart w:id="90" w:name="_Toc4853"/>
      <w:bookmarkStart w:id="91" w:name="_Toc1030"/>
      <w:bookmarkStart w:id="92" w:name="_Toc23954"/>
      <w:r>
        <w:rPr>
          <w:rFonts w:hint="eastAsia" w:ascii="楷体_GB2312" w:hAnsi="Calibri Light" w:eastAsia="楷体_GB2312"/>
          <w:b w:val="0"/>
          <w:bCs w:val="0"/>
          <w:sz w:val="32"/>
          <w:szCs w:val="32"/>
        </w:rPr>
        <w:t>（二）全力打造环大罗山科创走廊</w:t>
      </w:r>
      <w:bookmarkEnd w:id="84"/>
      <w:bookmarkEnd w:id="85"/>
      <w:bookmarkEnd w:id="86"/>
      <w:bookmarkEnd w:id="87"/>
      <w:bookmarkEnd w:id="88"/>
      <w:bookmarkEnd w:id="89"/>
      <w:bookmarkEnd w:id="90"/>
      <w:bookmarkEnd w:id="91"/>
      <w:bookmarkEnd w:id="92"/>
    </w:p>
    <w:p>
      <w:pPr>
        <w:spacing w:line="560" w:lineRule="exact"/>
        <w:ind w:firstLine="640" w:firstLineChars="200"/>
      </w:pPr>
      <w:r>
        <w:rPr>
          <w:rFonts w:hint="eastAsia" w:ascii="仿宋_GB2312" w:hAnsi="仿宋_GB2312" w:eastAsia="仿宋_GB2312" w:cs="仿宋_GB2312"/>
          <w:color w:val="000000"/>
          <w:sz w:val="32"/>
          <w:szCs w:val="32"/>
        </w:rPr>
        <w:t>聚焦“创新引领、带动产业、辐射区域”，</w:t>
      </w:r>
      <w:r>
        <w:rPr>
          <w:rFonts w:eastAsia="仿宋_GB2312"/>
          <w:sz w:val="32"/>
          <w:szCs w:val="32"/>
        </w:rPr>
        <w:t>启动科创走廊三大会战“升级版”</w:t>
      </w:r>
      <w:r>
        <w:rPr>
          <w:rFonts w:hint="eastAsia" w:eastAsia="仿宋_GB2312"/>
          <w:sz w:val="32"/>
          <w:szCs w:val="32"/>
        </w:rPr>
        <w:t>，</w:t>
      </w:r>
      <w:r>
        <w:rPr>
          <w:rFonts w:hint="eastAsia" w:ascii="仿宋_GB2312" w:hAnsi="仿宋_GB2312" w:eastAsia="仿宋_GB2312" w:cs="仿宋_GB2312"/>
          <w:color w:val="000000"/>
          <w:sz w:val="32"/>
          <w:szCs w:val="32"/>
        </w:rPr>
        <w:t>加快构建形成以浙南科技城为“一核”，以科创带和外围辐射产业带为“两带”，联动瓯江口产业集聚区、乐清经开区、瑞安经开区、瓯海经济开发区等产业园区的“一核两带多园区”发展格局，加快形成一批科创资源集聚、创新引领作用显著的标志性区块，力争形成“高端要素集聚在自创区、科技孵化在大走廊、成果溢出在全市域”的创新联动格局。到2025年，环大罗山科技</w:t>
      </w:r>
      <w:r>
        <w:rPr>
          <w:rFonts w:hint="eastAsia" w:ascii="仿宋_GB2312" w:hAnsi="Calibri" w:eastAsia="仿宋_GB2312"/>
          <w:color w:val="000000"/>
          <w:sz w:val="32"/>
          <w:szCs w:val="32"/>
        </w:rPr>
        <w:t>创新生态圈基本成型，创新协同机制基本完善，科技创新支撑产业发展作用显著，区域创新能力与产业核心竞争力进一步提升，形成一批高能级的产学研用协同创新联合体，培育若干高新技术产业集群，基本建成世界青年科学家创新创业引领区，</w:t>
      </w:r>
      <w:r>
        <w:rPr>
          <w:rFonts w:eastAsia="仿宋_GB2312"/>
          <w:sz w:val="32"/>
          <w:szCs w:val="32"/>
        </w:rPr>
        <w:t>在全省五大科创大走廊中进入前三，</w:t>
      </w:r>
      <w:r>
        <w:rPr>
          <w:rFonts w:hint="eastAsia" w:ascii="仿宋_GB2312" w:hAnsi="Calibri" w:eastAsia="仿宋_GB2312"/>
          <w:color w:val="000000"/>
          <w:sz w:val="32"/>
          <w:szCs w:val="32"/>
        </w:rPr>
        <w:t>成为全市科技创新策源地。</w:t>
      </w:r>
    </w:p>
    <w:p>
      <w:pPr>
        <w:spacing w:line="480" w:lineRule="exact"/>
        <w:jc w:val="center"/>
        <w:rPr>
          <w:rFonts w:ascii="黑体" w:hAnsi="黑体" w:eastAsia="黑体" w:cs="黑体"/>
          <w:b w:val="0"/>
          <w:bCs w:val="0"/>
          <w:color w:val="000000"/>
          <w:sz w:val="28"/>
          <w:szCs w:val="28"/>
        </w:rPr>
      </w:pPr>
      <w:r>
        <w:rPr>
          <w:rFonts w:hint="eastAsia" w:ascii="黑体" w:hAnsi="黑体" w:eastAsia="黑体" w:cs="黑体"/>
          <w:b w:val="0"/>
          <w:bCs w:val="0"/>
          <w:color w:val="000000"/>
          <w:sz w:val="28"/>
          <w:szCs w:val="28"/>
        </w:rPr>
        <w:t>专栏</w:t>
      </w:r>
      <w:r>
        <w:rPr>
          <w:rFonts w:ascii="黑体" w:hAnsi="黑体" w:eastAsia="黑体" w:cs="黑体"/>
          <w:b w:val="0"/>
          <w:bCs w:val="0"/>
          <w:color w:val="000000"/>
          <w:sz w:val="28"/>
          <w:szCs w:val="28"/>
        </w:rPr>
        <w:t>2：重点区块打造计划</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5" w:hRule="atLeast"/>
          <w:jc w:val="center"/>
        </w:trPr>
        <w:tc>
          <w:tcPr>
            <w:tcW w:w="8340" w:type="dxa"/>
            <w:noWrap/>
          </w:tcPr>
          <w:p>
            <w:pPr>
              <w:pStyle w:val="7"/>
              <w:spacing w:line="480" w:lineRule="exact"/>
              <w:ind w:firstLine="480"/>
              <w:rPr>
                <w:rFonts w:hint="eastAsia" w:ascii="宋体" w:hAnsi="宋体" w:eastAsia="宋体" w:cs="宋体"/>
                <w:bCs w:val="0"/>
                <w:color w:val="000000"/>
                <w:kern w:val="2"/>
                <w:sz w:val="24"/>
                <w:szCs w:val="24"/>
              </w:rPr>
            </w:pPr>
            <w:r>
              <w:rPr>
                <w:rFonts w:hint="eastAsia" w:ascii="宋体" w:hAnsi="宋体" w:eastAsia="宋体" w:cs="宋体"/>
                <w:color w:val="000000"/>
                <w:sz w:val="24"/>
                <w:szCs w:val="24"/>
              </w:rPr>
              <w:t>强化科创走廊科创带和产业带联动发展，突出特色，大力推进科创研发、创新智造、创新服务三大类重点区块建设。具体按照有高科技标杆型企业、高能级研发机构、高端化公共研发检测平台、高精尖科技型产业化项目、高素质领军型研发人才和团队、高品质城市配套功能、高辨识度主导产业、高效率政务服务环境、高颜值周边环境等等“九大场景”的要求，全市集中资源打造形成10个以上科创资源集聚、区域创新引领作用显著的标志性重点区块。以温州浙南科技城核心区和温州南湖科创小镇为示范区块，加快实现九大场景显现；谋划推进中国眼谷、文昌创客小镇、瓯海生命健康小镇、茶山梦创小镇、金海湖科创核心区、东新科创城、阁巷科创城、电力科技小镇、柳白片区智能电气小镇、中国·温州安全（应急）产业园、温州未来科技岛等重点区块加快九大场景显现。</w:t>
            </w:r>
          </w:p>
        </w:tc>
      </w:tr>
    </w:tbl>
    <w:p>
      <w:pPr>
        <w:pStyle w:val="6"/>
        <w:spacing w:before="0" w:after="0" w:line="560" w:lineRule="exact"/>
        <w:ind w:firstLine="640" w:firstLineChars="200"/>
        <w:rPr>
          <w:rFonts w:ascii="楷体_GB2312" w:eastAsia="楷体_GB2312"/>
          <w:b w:val="0"/>
          <w:bCs w:val="0"/>
        </w:rPr>
      </w:pPr>
      <w:bookmarkStart w:id="93" w:name="_Toc9656"/>
      <w:bookmarkStart w:id="94" w:name="_Toc9985"/>
      <w:bookmarkStart w:id="95" w:name="_Toc1454"/>
      <w:bookmarkStart w:id="96" w:name="_Toc23472"/>
      <w:bookmarkStart w:id="97" w:name="_Toc3364"/>
      <w:bookmarkStart w:id="98" w:name="_Toc22252"/>
      <w:bookmarkStart w:id="99" w:name="_Toc17789"/>
      <w:bookmarkStart w:id="100" w:name="_Toc2432"/>
      <w:bookmarkStart w:id="101" w:name="_Toc5040"/>
      <w:r>
        <w:rPr>
          <w:rFonts w:hint="eastAsia" w:ascii="楷体_GB2312" w:hAnsi="Calibri Light" w:eastAsia="楷体_GB2312"/>
          <w:b w:val="0"/>
          <w:bCs w:val="0"/>
          <w:sz w:val="32"/>
          <w:szCs w:val="32"/>
        </w:rPr>
        <w:t>（三）加快高新技术产业园区高质量发展</w:t>
      </w:r>
      <w:bookmarkEnd w:id="93"/>
      <w:bookmarkEnd w:id="94"/>
      <w:bookmarkEnd w:id="95"/>
      <w:bookmarkEnd w:id="96"/>
      <w:bookmarkEnd w:id="97"/>
      <w:bookmarkEnd w:id="98"/>
      <w:bookmarkEnd w:id="99"/>
      <w:bookmarkEnd w:id="100"/>
      <w:bookmarkEnd w:id="101"/>
    </w:p>
    <w:p>
      <w:pPr>
        <w:widowControl/>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实施高新区高质量发展行动计划，持续推进国家高新区进等升位。加快国家高新区“一区多园”融合发展，以“产业引领、创新驱动、产城融合”为宗旨，以“高端化、特色化、国际化”为发展方向，以重大项目带动、产城融合建设、高端人才引进为抓手，突出转型升级，加快整合全球创新资源，推动园区特色发展、错位发展。加强乐清、瑞安、</w:t>
      </w:r>
      <w:r>
        <w:rPr>
          <w:rFonts w:eastAsia="仿宋_GB2312"/>
          <w:sz w:val="32"/>
          <w:szCs w:val="32"/>
        </w:rPr>
        <w:t>永嘉、平阳</w:t>
      </w:r>
      <w:r>
        <w:rPr>
          <w:rFonts w:hint="eastAsia" w:ascii="仿宋_GB2312" w:hAnsi="仿宋" w:eastAsia="仿宋_GB2312" w:cs="仿宋"/>
          <w:color w:val="000000"/>
          <w:sz w:val="32"/>
          <w:szCs w:val="32"/>
        </w:rPr>
        <w:t>省级高新园区建设，突出特色，加强创新型企业培育，</w:t>
      </w:r>
      <w:r>
        <w:rPr>
          <w:rFonts w:eastAsia="仿宋_GB2312"/>
          <w:sz w:val="32"/>
          <w:szCs w:val="32"/>
        </w:rPr>
        <w:t>乐清、瑞安省级高新园区保持第一方阵；永嘉、平阳省级高新</w:t>
      </w:r>
      <w:r>
        <w:rPr>
          <w:rFonts w:hint="eastAsia" w:eastAsia="仿宋_GB2312"/>
          <w:sz w:val="32"/>
          <w:szCs w:val="32"/>
        </w:rPr>
        <w:t>园</w:t>
      </w:r>
      <w:r>
        <w:rPr>
          <w:rFonts w:eastAsia="仿宋_GB2312"/>
          <w:sz w:val="32"/>
          <w:szCs w:val="32"/>
        </w:rPr>
        <w:t>区争取进入全省高新区前50%</w:t>
      </w:r>
      <w:r>
        <w:rPr>
          <w:rFonts w:hint="eastAsia" w:ascii="仿宋_GB2312" w:hAnsi="仿宋" w:eastAsia="仿宋_GB2312" w:cs="仿宋"/>
          <w:color w:val="000000"/>
          <w:sz w:val="32"/>
          <w:szCs w:val="32"/>
        </w:rPr>
        <w:t>。支持</w:t>
      </w:r>
      <w:r>
        <w:rPr>
          <w:rFonts w:eastAsia="仿宋_GB2312"/>
          <w:sz w:val="32"/>
          <w:szCs w:val="32"/>
        </w:rPr>
        <w:t>瓯海</w:t>
      </w:r>
      <w:r>
        <w:rPr>
          <w:rFonts w:hint="eastAsia" w:eastAsia="仿宋_GB2312"/>
          <w:sz w:val="32"/>
          <w:szCs w:val="32"/>
        </w:rPr>
        <w:t>区、</w:t>
      </w:r>
      <w:r>
        <w:rPr>
          <w:rFonts w:hint="eastAsia" w:eastAsia="仿宋_GB2312"/>
          <w:sz w:val="32"/>
          <w:szCs w:val="32"/>
          <w:lang w:eastAsia="zh-CN"/>
        </w:rPr>
        <w:t>平阳、永嘉</w:t>
      </w:r>
      <w:r>
        <w:rPr>
          <w:rFonts w:hint="eastAsia" w:eastAsia="仿宋_GB2312"/>
          <w:sz w:val="32"/>
          <w:szCs w:val="32"/>
        </w:rPr>
        <w:t>、</w:t>
      </w:r>
      <w:r>
        <w:rPr>
          <w:rFonts w:hint="eastAsia" w:ascii="仿宋_GB2312" w:hAnsi="仿宋" w:eastAsia="仿宋_GB2312" w:cs="仿宋"/>
          <w:color w:val="000000"/>
          <w:sz w:val="32"/>
          <w:szCs w:val="32"/>
        </w:rPr>
        <w:t>龙港市</w:t>
      </w:r>
      <w:r>
        <w:rPr>
          <w:rFonts w:eastAsia="仿宋_GB2312"/>
          <w:sz w:val="32"/>
          <w:szCs w:val="32"/>
        </w:rPr>
        <w:t>等地</w:t>
      </w:r>
      <w:r>
        <w:rPr>
          <w:rFonts w:hint="eastAsia" w:ascii="仿宋_GB2312" w:hAnsi="仿宋" w:eastAsia="仿宋_GB2312" w:cs="仿宋"/>
          <w:color w:val="000000"/>
          <w:sz w:val="32"/>
          <w:szCs w:val="32"/>
        </w:rPr>
        <w:t>创建省级高新区，</w:t>
      </w:r>
      <w:r>
        <w:rPr>
          <w:rFonts w:eastAsia="仿宋_GB2312"/>
          <w:sz w:val="32"/>
          <w:szCs w:val="32"/>
        </w:rPr>
        <w:t>争取实现</w:t>
      </w:r>
      <w:r>
        <w:rPr>
          <w:rFonts w:hint="eastAsia" w:ascii="仿宋_GB2312" w:hAnsi="仿宋" w:eastAsia="仿宋_GB2312" w:cs="仿宋"/>
          <w:color w:val="000000"/>
          <w:sz w:val="32"/>
          <w:szCs w:val="32"/>
        </w:rPr>
        <w:t>工业强县省级高新区全覆盖。推进七都国际未来科技岛建设，加快国际科技金融中心、长三角科技企业总部园等项目落地，形成辐射长三角、在全国具有影响力的科技创新高地和区域性科技金融中心。谋划洞头科技创新岛建设，打造辐射全省的海洋科技创新策源地。</w:t>
      </w:r>
    </w:p>
    <w:p>
      <w:pPr>
        <w:spacing w:line="480" w:lineRule="exact"/>
        <w:jc w:val="center"/>
        <w:rPr>
          <w:rFonts w:ascii="仿宋_GB2312" w:hAnsi="仿宋" w:eastAsia="仿宋_GB2312" w:cs="仿宋"/>
          <w:b/>
          <w:bCs/>
          <w:color w:val="000000"/>
          <w:sz w:val="28"/>
          <w:szCs w:val="28"/>
        </w:rPr>
      </w:pPr>
      <w:r>
        <w:rPr>
          <w:rFonts w:hint="eastAsia" w:ascii="黑体" w:hAnsi="黑体" w:eastAsia="黑体" w:cs="黑体"/>
          <w:b w:val="0"/>
          <w:bCs w:val="0"/>
          <w:color w:val="000000"/>
          <w:sz w:val="28"/>
          <w:szCs w:val="28"/>
        </w:rPr>
        <w:t>专栏</w:t>
      </w:r>
      <w:r>
        <w:rPr>
          <w:rFonts w:ascii="黑体" w:hAnsi="黑体" w:eastAsia="黑体" w:cs="黑体"/>
          <w:b w:val="0"/>
          <w:bCs w:val="0"/>
          <w:color w:val="000000"/>
          <w:sz w:val="28"/>
          <w:szCs w:val="28"/>
        </w:rPr>
        <w:t>3：省级高新区培育行动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 w:hRule="atLeast"/>
          <w:jc w:val="center"/>
        </w:trPr>
        <w:tc>
          <w:tcPr>
            <w:tcW w:w="8414" w:type="dxa"/>
            <w:noWrap/>
          </w:tcPr>
          <w:p>
            <w:pPr>
              <w:pStyle w:val="7"/>
              <w:spacing w:line="480" w:lineRule="exact"/>
              <w:ind w:firstLine="482"/>
              <w:rPr>
                <w:rFonts w:ascii="宋体" w:hAnsi="宋体" w:eastAsia="宋体" w:cs="宋体"/>
                <w:color w:val="000000"/>
                <w:kern w:val="0"/>
                <w:sz w:val="24"/>
                <w:szCs w:val="24"/>
              </w:rPr>
            </w:pPr>
            <w:bookmarkStart w:id="102" w:name="_Toc57043400"/>
            <w:r>
              <w:rPr>
                <w:rFonts w:hint="eastAsia" w:ascii="宋体" w:hAnsi="宋体" w:eastAsia="宋体" w:cs="宋体"/>
                <w:b/>
                <w:bCs/>
                <w:color w:val="000000"/>
                <w:kern w:val="0"/>
                <w:sz w:val="24"/>
                <w:szCs w:val="24"/>
              </w:rPr>
              <w:t>平阳：</w:t>
            </w:r>
            <w:r>
              <w:rPr>
                <w:rFonts w:hint="eastAsia" w:ascii="宋体" w:hAnsi="宋体" w:eastAsia="宋体" w:cs="宋体"/>
                <w:color w:val="000000"/>
                <w:kern w:val="0"/>
                <w:sz w:val="24"/>
                <w:szCs w:val="24"/>
              </w:rPr>
              <w:t>规划南北两个园区，南园区依托滨海新兴产业园，</w:t>
            </w:r>
            <w:r>
              <w:rPr>
                <w:rFonts w:hint="eastAsia" w:ascii="宋体" w:hAnsi="宋体" w:eastAsia="宋体" w:cs="宋体"/>
                <w:color w:val="000000"/>
                <w:sz w:val="24"/>
                <w:szCs w:val="24"/>
              </w:rPr>
              <w:t>规划面积</w:t>
            </w:r>
            <w:r>
              <w:rPr>
                <w:rFonts w:ascii="宋体" w:hAnsi="宋体" w:eastAsia="宋体" w:cs="宋体"/>
                <w:color w:val="000000"/>
                <w:sz w:val="24"/>
                <w:szCs w:val="24"/>
              </w:rPr>
              <w:t>6.64平方公里</w:t>
            </w:r>
            <w:r>
              <w:rPr>
                <w:rFonts w:hint="eastAsia" w:ascii="宋体" w:hAnsi="宋体" w:eastAsia="宋体" w:cs="宋体"/>
                <w:color w:val="000000"/>
                <w:kern w:val="0"/>
                <w:sz w:val="24"/>
                <w:szCs w:val="24"/>
              </w:rPr>
              <w:t>，北园区依托万全现代产业园，</w:t>
            </w:r>
            <w:r>
              <w:rPr>
                <w:rFonts w:hint="eastAsia" w:ascii="宋体" w:hAnsi="宋体" w:eastAsia="宋体" w:cs="宋体"/>
                <w:color w:val="000000"/>
                <w:sz w:val="24"/>
                <w:szCs w:val="24"/>
              </w:rPr>
              <w:t>规划面积</w:t>
            </w:r>
            <w:r>
              <w:rPr>
                <w:rFonts w:ascii="宋体" w:hAnsi="宋体" w:eastAsia="宋体" w:cs="宋体"/>
                <w:color w:val="000000"/>
                <w:sz w:val="24"/>
                <w:szCs w:val="24"/>
              </w:rPr>
              <w:t>6.67</w:t>
            </w:r>
            <w:r>
              <w:rPr>
                <w:rFonts w:hint="eastAsia" w:ascii="宋体" w:hAnsi="宋体" w:eastAsia="宋体" w:cs="宋体"/>
                <w:color w:val="000000"/>
                <w:sz w:val="24"/>
                <w:szCs w:val="24"/>
              </w:rPr>
              <w:t>平方公里，</w:t>
            </w:r>
            <w:r>
              <w:rPr>
                <w:rFonts w:hint="eastAsia" w:ascii="宋体" w:hAnsi="宋体" w:eastAsia="宋体" w:cs="宋体"/>
                <w:color w:val="000000"/>
                <w:kern w:val="0"/>
                <w:sz w:val="24"/>
                <w:szCs w:val="24"/>
              </w:rPr>
              <w:t>以智能装备制造、新材料、时尚轻工产业作为主导产业，建成产业层次分明、特色彰显、联动协作的“一区两园”空间布局。到</w:t>
            </w:r>
            <w:r>
              <w:rPr>
                <w:rFonts w:ascii="宋体" w:hAnsi="宋体" w:eastAsia="宋体" w:cs="宋体"/>
                <w:color w:val="000000"/>
                <w:kern w:val="0"/>
                <w:sz w:val="24"/>
                <w:szCs w:val="24"/>
              </w:rPr>
              <w:t>2025年，力争在规模效益、创新能力、结构优化、科技服务等方面取得显著成效，达到省级高新区的认定标准，为初步建成高水平创新强县提供强大动力支撑。</w:t>
            </w:r>
          </w:p>
          <w:p>
            <w:pPr>
              <w:pStyle w:val="7"/>
              <w:spacing w:line="480" w:lineRule="exact"/>
              <w:ind w:firstLine="482"/>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永嘉：</w:t>
            </w:r>
            <w:r>
              <w:rPr>
                <w:rFonts w:hint="eastAsia" w:ascii="宋体" w:hAnsi="宋体" w:eastAsia="宋体" w:cs="宋体"/>
                <w:color w:val="000000"/>
                <w:kern w:val="0"/>
                <w:sz w:val="24"/>
                <w:szCs w:val="24"/>
              </w:rPr>
              <w:t>规划以永嘉经济开发区（省级工业园区）区域的核心区域为高新园区创建区块，由瓯北区块和乌牛区块两大区域组成，总规划面积</w:t>
            </w:r>
            <w:r>
              <w:rPr>
                <w:rFonts w:ascii="宋体" w:hAnsi="宋体" w:eastAsia="宋体" w:cs="宋体"/>
                <w:color w:val="000000"/>
                <w:sz w:val="24"/>
                <w:szCs w:val="24"/>
              </w:rPr>
              <w:t>12.66平方公里，其中瓯北区块、乌牛区块建设范围面积分别为10.15平方公里、2.51平方公里，</w:t>
            </w:r>
            <w:r>
              <w:rPr>
                <w:rFonts w:hint="eastAsia" w:ascii="宋体" w:hAnsi="宋体" w:eastAsia="宋体" w:cs="宋体"/>
                <w:color w:val="000000"/>
                <w:kern w:val="0"/>
                <w:sz w:val="24"/>
                <w:szCs w:val="24"/>
              </w:rPr>
              <w:t>可开发用</w:t>
            </w:r>
            <w:r>
              <w:rPr>
                <w:rFonts w:ascii="宋体" w:hAnsi="宋体" w:eastAsia="宋体" w:cs="宋体"/>
                <w:color w:val="000000"/>
                <w:kern w:val="0"/>
                <w:sz w:val="24"/>
                <w:szCs w:val="24"/>
              </w:rPr>
              <w:t>5.20平方公里。园区形成系统流程装备、大文创产业和智能电子电气三大主导产业体系，链接集聚电子电气产业高端创新资源，力争到2025年，智能电子电气业企业工业总产值超40亿元。</w:t>
            </w:r>
          </w:p>
          <w:p>
            <w:pPr>
              <w:pStyle w:val="7"/>
              <w:spacing w:line="480" w:lineRule="exact"/>
              <w:ind w:firstLine="48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瓯海：</w:t>
            </w:r>
            <w:r>
              <w:rPr>
                <w:rFonts w:hint="eastAsia" w:ascii="宋体" w:hAnsi="宋体" w:eastAsia="宋体" w:cs="宋体"/>
                <w:color w:val="000000"/>
                <w:sz w:val="24"/>
                <w:szCs w:val="24"/>
              </w:rPr>
              <w:t>规划以瓯海经济开发区“一区六园”建设格局为创建基础，依托温州高教园区等区域资源进行拓展，形成以智能装备制造、新能源、光电材料与器件、节能环保等为代表的新兴产业，同时转型提升鞋服、眼镜、锁具等传统优势产业。不断优化空间布局，完善高新园区配套环境，形成科学合理的产业发展布局，充分发挥科教资源优势，加强高能级创新平台建设，加速创新资源汇聚，努力达到省级高新区认定标准，为瓯海经济高质量发展注入动能。</w:t>
            </w:r>
          </w:p>
          <w:p>
            <w:pPr>
              <w:pStyle w:val="7"/>
              <w:spacing w:line="480" w:lineRule="exact"/>
              <w:ind w:firstLine="482"/>
              <w:rPr>
                <w:rFonts w:ascii="仿宋_GB2312" w:hAnsi="仿宋_GB2312" w:eastAsia="仿宋_GB2312" w:cs="仿宋_GB2312"/>
                <w:bCs/>
                <w:color w:val="000000"/>
                <w:kern w:val="0"/>
                <w:sz w:val="28"/>
                <w:szCs w:val="28"/>
              </w:rPr>
            </w:pPr>
            <w:r>
              <w:rPr>
                <w:rFonts w:hint="eastAsia" w:ascii="宋体" w:hAnsi="宋体" w:eastAsia="宋体" w:cs="宋体"/>
                <w:b/>
                <w:bCs/>
                <w:color w:val="000000"/>
                <w:sz w:val="24"/>
                <w:szCs w:val="24"/>
              </w:rPr>
              <w:t>龙港：</w:t>
            </w:r>
            <w:r>
              <w:rPr>
                <w:rFonts w:hint="eastAsia" w:ascii="宋体" w:hAnsi="宋体" w:eastAsia="宋体" w:cs="宋体"/>
                <w:color w:val="000000"/>
                <w:sz w:val="24"/>
                <w:szCs w:val="24"/>
              </w:rPr>
              <w:t>规划以龙港新城产业集聚区为高新园区创建区块。该片区位于龙港市时代大道以西，舥艚中心渔港以北，总规划面积约</w:t>
            </w:r>
            <w:r>
              <w:rPr>
                <w:rFonts w:ascii="宋体" w:hAnsi="宋体" w:eastAsia="宋体" w:cs="宋体"/>
                <w:color w:val="000000"/>
                <w:sz w:val="24"/>
                <w:szCs w:val="24"/>
              </w:rPr>
              <w:t>12.66平方公里，发展导向为：充分利用临港优势及岸线资源，发展智能印刷包装、新型材料、绿色纺织等产业，着力培育新能源装备、医疗卫材、通用机械等新兴产业。发挥港口优势，辅以物流业、现代服务业等。以龙港本地传统产业转型提升及智能化转型为主，逐步引进新材料、新能源等产业，形成临港服务业中心，力争到2025年，成为鳌江流域高新产业示范区域。</w:t>
            </w:r>
          </w:p>
        </w:tc>
      </w:tr>
    </w:tbl>
    <w:p>
      <w:pPr>
        <w:pStyle w:val="5"/>
        <w:spacing w:line="560" w:lineRule="exact"/>
        <w:rPr>
          <w:bCs/>
          <w:color w:val="000000"/>
        </w:rPr>
      </w:pPr>
      <w:bookmarkStart w:id="103" w:name="_Toc11344"/>
      <w:bookmarkStart w:id="104" w:name="_Toc17602"/>
      <w:bookmarkStart w:id="105" w:name="_Toc6098"/>
      <w:bookmarkStart w:id="106" w:name="_Toc12448"/>
      <w:bookmarkStart w:id="107" w:name="_Toc15723"/>
      <w:bookmarkStart w:id="108" w:name="_Toc27866"/>
      <w:bookmarkStart w:id="109" w:name="_Toc25851"/>
      <w:bookmarkStart w:id="110" w:name="_Toc29730"/>
      <w:bookmarkStart w:id="111" w:name="_Toc16434"/>
      <w:r>
        <w:rPr>
          <w:rFonts w:hint="eastAsia"/>
          <w:bCs/>
          <w:color w:val="000000"/>
        </w:rPr>
        <w:t>三、实施创新主体倍增提质工程，推动产业高级化发展</w:t>
      </w:r>
      <w:bookmarkEnd w:id="102"/>
      <w:bookmarkEnd w:id="103"/>
      <w:bookmarkEnd w:id="104"/>
      <w:bookmarkEnd w:id="105"/>
      <w:bookmarkEnd w:id="106"/>
      <w:bookmarkEnd w:id="107"/>
      <w:bookmarkEnd w:id="108"/>
      <w:bookmarkEnd w:id="109"/>
      <w:bookmarkEnd w:id="110"/>
      <w:bookmarkEnd w:id="111"/>
    </w:p>
    <w:p>
      <w:pPr>
        <w:pStyle w:val="6"/>
        <w:spacing w:before="0" w:after="0" w:line="560" w:lineRule="exact"/>
        <w:ind w:firstLine="640" w:firstLineChars="200"/>
        <w:rPr>
          <w:rFonts w:ascii="楷体_GB2312" w:eastAsia="楷体_GB2312"/>
          <w:b w:val="0"/>
          <w:bCs w:val="0"/>
        </w:rPr>
      </w:pPr>
      <w:bookmarkStart w:id="112" w:name="_Toc20439"/>
      <w:bookmarkStart w:id="113" w:name="_Toc14908"/>
      <w:bookmarkStart w:id="114" w:name="_Toc850"/>
      <w:bookmarkStart w:id="115" w:name="_Toc12185"/>
      <w:bookmarkStart w:id="116" w:name="_Toc23728"/>
      <w:bookmarkStart w:id="117" w:name="_Toc899"/>
      <w:bookmarkStart w:id="118" w:name="_Toc5716"/>
      <w:bookmarkStart w:id="119" w:name="_Toc22705"/>
      <w:bookmarkStart w:id="120" w:name="_Toc7216"/>
      <w:r>
        <w:rPr>
          <w:rFonts w:hint="eastAsia" w:ascii="楷体_GB2312" w:hAnsi="Calibri Light" w:eastAsia="楷体_GB2312"/>
          <w:b w:val="0"/>
          <w:bCs w:val="0"/>
          <w:sz w:val="32"/>
          <w:szCs w:val="32"/>
        </w:rPr>
        <w:t>（一）培育科技企业雁阵梯队</w:t>
      </w:r>
      <w:bookmarkEnd w:id="112"/>
      <w:bookmarkEnd w:id="113"/>
      <w:bookmarkEnd w:id="114"/>
      <w:bookmarkEnd w:id="115"/>
      <w:bookmarkEnd w:id="116"/>
      <w:bookmarkEnd w:id="117"/>
      <w:bookmarkEnd w:id="118"/>
      <w:bookmarkEnd w:id="119"/>
      <w:bookmarkEnd w:id="120"/>
    </w:p>
    <w:p>
      <w:pPr>
        <w:widowControl/>
        <w:spacing w:line="560" w:lineRule="exact"/>
        <w:ind w:firstLine="640" w:firstLineChars="200"/>
        <w:jc w:val="left"/>
        <w:rPr>
          <w:rFonts w:hint="eastAsia" w:ascii="仿宋_GB2312" w:hAnsi="仿宋_GB2312" w:eastAsia="仿宋_GB2312" w:cs="仿宋_GB2312"/>
          <w:color w:val="000000"/>
          <w:sz w:val="32"/>
          <w:szCs w:val="32"/>
        </w:rPr>
      </w:pPr>
      <w:r>
        <w:rPr>
          <w:rFonts w:hint="eastAsia" w:ascii="仿宋_GB2312" w:hAnsi="Calibri" w:eastAsia="仿宋_GB2312"/>
          <w:color w:val="000000"/>
          <w:sz w:val="32"/>
          <w:szCs w:val="32"/>
        </w:rPr>
        <w:t>实施科技企业新“双倍增”计划、创新型领军企业“百家计划”，构建“微成长、小升高、高壮大”的企业梯次培育机制，加快</w:t>
      </w:r>
      <w:r>
        <w:rPr>
          <w:rFonts w:hint="eastAsia" w:ascii="仿宋_GB2312" w:eastAsia="仿宋_GB2312"/>
          <w:color w:val="000000"/>
          <w:sz w:val="32"/>
          <w:szCs w:val="32"/>
        </w:rPr>
        <w:t>培育一批省科技型企业、</w:t>
      </w:r>
      <w:r>
        <w:rPr>
          <w:rFonts w:hint="eastAsia" w:ascii="仿宋_GB2312" w:hAnsi="仿宋_GB2312" w:eastAsia="仿宋_GB2312" w:cs="仿宋_GB2312"/>
          <w:bCs/>
          <w:color w:val="000000"/>
          <w:sz w:val="32"/>
          <w:szCs w:val="32"/>
        </w:rPr>
        <w:t>高成长型企业</w:t>
      </w:r>
      <w:r>
        <w:rPr>
          <w:rFonts w:hint="eastAsia" w:ascii="仿宋_GB2312" w:eastAsia="仿宋_GB2312"/>
          <w:color w:val="000000"/>
          <w:sz w:val="32"/>
          <w:szCs w:val="32"/>
        </w:rPr>
        <w:t>、高新技</w:t>
      </w:r>
      <w:r>
        <w:rPr>
          <w:rFonts w:hint="eastAsia" w:ascii="仿宋_GB2312" w:hAnsi="仿宋_GB2312" w:eastAsia="仿宋_GB2312" w:cs="仿宋_GB2312"/>
          <w:color w:val="000000"/>
          <w:sz w:val="32"/>
          <w:szCs w:val="32"/>
        </w:rPr>
        <w:t>术企业和创新型领军企业。鼓励科技人员自主创办、大中型企业孵化派生、海外高层次人才来温领办创办一批科技型中小企业。开展高新技术企业后备培育工程，建设科技型企业和企业研发机构后备库</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深入实施规上企业和高新企业“双迈进”千企计划，推动“高升规”400家、“规进高”1000家。引导科技型中小企业走专精特新发展之路，培育一批“隐形冠军”“单项冠军”高新技术企业。深入实施“雄鹰行动”，切实加强具有产业链控制能力和国际竞争力的“头部企业”培育力度，培育一批创新能力强、引领作用大、研发水平高、发展潜力好的创新型领军头部企业。发挥大企业引领支撑作用，支持创新型中小微企业成长为创新重要发源地，推动产业链上中下游、大中小企业融通创新。大力</w:t>
      </w:r>
      <w:r>
        <w:rPr>
          <w:rFonts w:hint="eastAsia" w:ascii="仿宋_GB2312" w:hAnsi="仿宋_GB2312" w:eastAsia="仿宋_GB2312" w:cs="仿宋_GB2312"/>
          <w:sz w:val="32"/>
          <w:szCs w:val="32"/>
        </w:rPr>
        <w:t>实施头部企业“聚变”培育计划和科技企业</w:t>
      </w:r>
      <w:r>
        <w:rPr>
          <w:rFonts w:hint="eastAsia" w:ascii="仿宋_GB2312" w:hAnsi="仿宋_GB2312" w:eastAsia="仿宋_GB2312" w:cs="仿宋_GB2312"/>
          <w:color w:val="000000"/>
          <w:sz w:val="32"/>
          <w:szCs w:val="32"/>
        </w:rPr>
        <w:t>“凤凰行动”，支持更多优质民营科技型企业在境内外上市、挂牌。到2025年，全市高新技术企业达到4</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00家、科技型中小企业达到16000家、省市级创新型领军企业（培育）达到100家</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kern w:val="0"/>
          <w:sz w:val="32"/>
          <w:szCs w:val="32"/>
          <w:lang w:val="en-US" w:eastAsia="zh-CN" w:bidi="ar"/>
        </w:rPr>
        <w:t>新产品产值率达到55%以上。</w:t>
      </w:r>
    </w:p>
    <w:p>
      <w:pPr>
        <w:pStyle w:val="6"/>
        <w:spacing w:before="0" w:after="0" w:line="560" w:lineRule="exact"/>
        <w:ind w:firstLine="640" w:firstLineChars="200"/>
        <w:rPr>
          <w:rFonts w:ascii="楷体_GB2312" w:eastAsia="楷体_GB2312"/>
          <w:b w:val="0"/>
          <w:bCs w:val="0"/>
        </w:rPr>
      </w:pPr>
      <w:bookmarkStart w:id="121" w:name="_Toc3442"/>
      <w:bookmarkStart w:id="122" w:name="_Toc21452"/>
      <w:bookmarkStart w:id="123" w:name="_Toc3047"/>
      <w:bookmarkStart w:id="124" w:name="_Toc9539"/>
      <w:bookmarkStart w:id="125" w:name="_Toc13298"/>
      <w:bookmarkStart w:id="126" w:name="_Toc19251"/>
      <w:bookmarkStart w:id="127" w:name="_Toc1496"/>
      <w:bookmarkStart w:id="128" w:name="_Toc936"/>
      <w:bookmarkStart w:id="129" w:name="_Toc19999"/>
      <w:r>
        <w:rPr>
          <w:rFonts w:hint="eastAsia" w:ascii="楷体_GB2312" w:hAnsi="Calibri Light" w:eastAsia="楷体_GB2312"/>
          <w:b w:val="0"/>
          <w:bCs w:val="0"/>
          <w:sz w:val="32"/>
          <w:szCs w:val="32"/>
        </w:rPr>
        <w:t>（二）构建技术创新中心体系</w:t>
      </w:r>
      <w:bookmarkEnd w:id="121"/>
      <w:bookmarkEnd w:id="122"/>
      <w:bookmarkEnd w:id="123"/>
      <w:bookmarkEnd w:id="124"/>
      <w:bookmarkEnd w:id="125"/>
      <w:bookmarkEnd w:id="126"/>
      <w:bookmarkEnd w:id="127"/>
      <w:bookmarkEnd w:id="128"/>
      <w:bookmarkEnd w:id="129"/>
    </w:p>
    <w:p>
      <w:pPr>
        <w:spacing w:line="560" w:lineRule="exact"/>
        <w:ind w:firstLine="640" w:firstLineChars="200"/>
        <w:rPr>
          <w:rFonts w:ascii="仿宋_GB2312" w:eastAsia="仿宋_GB2312"/>
          <w:color w:val="000000"/>
          <w:sz w:val="32"/>
          <w:szCs w:val="32"/>
        </w:rPr>
      </w:pPr>
      <w:r>
        <w:rPr>
          <w:rFonts w:hint="eastAsia" w:ascii="仿宋_GB2312" w:hAnsi="Calibri" w:eastAsia="仿宋_GB2312"/>
          <w:color w:val="000000"/>
          <w:sz w:val="32"/>
          <w:szCs w:val="32"/>
        </w:rPr>
        <w:t>围绕战略性新兴产业培育和传统产业转型升级，聚焦智能装备、生命健康等优势领域，依托创新能力突出的领军企业和高校院所，明确牵头单位，整合产业链上下游有优势、有条件的创新资源，引进集聚国内外优势创新要素，创建省技术创新中心，培育战略科技力量。支持企业牵头组建创新联合体</w:t>
      </w:r>
      <w:r>
        <w:rPr>
          <w:rFonts w:hint="eastAsia" w:eastAsia="仿宋_GB2312"/>
          <w:color w:val="000000"/>
          <w:kern w:val="0"/>
          <w:sz w:val="32"/>
          <w:szCs w:val="32"/>
        </w:rPr>
        <w:t>，深化重点企业研究院建设，</w:t>
      </w:r>
      <w:r>
        <w:rPr>
          <w:rFonts w:hint="eastAsia" w:eastAsia="仿宋_GB2312"/>
          <w:color w:val="000000"/>
          <w:sz w:val="32"/>
          <w:szCs w:val="32"/>
        </w:rPr>
        <w:t>打造在产业链重要环节的专业化单点技术创新优势</w:t>
      </w:r>
      <w:r>
        <w:rPr>
          <w:rFonts w:hint="eastAsia" w:eastAsia="仿宋_GB2312"/>
          <w:color w:val="000000"/>
          <w:kern w:val="0"/>
          <w:sz w:val="32"/>
          <w:szCs w:val="32"/>
        </w:rPr>
        <w:t>，增强企业的产业链话语权。</w:t>
      </w:r>
      <w:r>
        <w:rPr>
          <w:rFonts w:hint="eastAsia" w:eastAsia="仿宋_GB2312"/>
          <w:color w:val="000000"/>
          <w:sz w:val="32"/>
          <w:szCs w:val="32"/>
        </w:rPr>
        <w:t>以集聚整合创新要素、组织开展科技创新、支撑企业持续发展和引领行业技术进步为目标，鼓励企业自建或与高校院所联合组建省级企业研究院，加强企业内外部创新资源有机整合，推动企业由模仿、跟踪创新向自主创新转变，不断增强企业自主创新能力。以推动企业技术进步和成果转化为目标，加快布局建设省级高新技术企业研发中心，研究开发具有广泛市场前景和自主知识产权的新技术、新工艺、新产品，培养高水平的研发人员和工程技术人员，增强企业竞争力。加大装备</w:t>
      </w:r>
      <w:r>
        <w:rPr>
          <w:rFonts w:hint="eastAsia" w:ascii="仿宋_GB2312" w:hAnsi="仿宋_GB2312" w:eastAsia="仿宋_GB2312" w:cs="仿宋_GB2312"/>
          <w:color w:val="000000"/>
          <w:sz w:val="32"/>
          <w:szCs w:val="32"/>
        </w:rPr>
        <w:t>首台套、材料首批次、软件首版次等创新产品应用政策支持力度，引导企业加大重大技术装备的创新研发。到2025年，争创省技术创新中心1-2家，新增重点企业研究院8家</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企业研究院100家</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高新技术企业研发中心260家，</w:t>
      </w:r>
      <w:r>
        <w:rPr>
          <w:rFonts w:hint="eastAsia" w:ascii="仿宋_GB2312" w:eastAsia="仿宋_GB2312"/>
          <w:color w:val="000000"/>
          <w:sz w:val="32"/>
          <w:szCs w:val="32"/>
        </w:rPr>
        <w:t>实现规上工业企业研发机构全覆盖。</w:t>
      </w:r>
    </w:p>
    <w:p>
      <w:pPr>
        <w:pStyle w:val="6"/>
        <w:spacing w:before="0" w:after="0" w:line="560" w:lineRule="exact"/>
        <w:ind w:firstLine="640" w:firstLineChars="200"/>
        <w:rPr>
          <w:rFonts w:ascii="楷体_GB2312" w:eastAsia="楷体_GB2312"/>
          <w:b w:val="0"/>
          <w:bCs w:val="0"/>
        </w:rPr>
      </w:pPr>
      <w:bookmarkStart w:id="130" w:name="_Toc27699"/>
      <w:bookmarkStart w:id="131" w:name="_Toc4716"/>
      <w:bookmarkStart w:id="132" w:name="_Toc24641"/>
      <w:bookmarkStart w:id="133" w:name="_Toc656"/>
      <w:bookmarkStart w:id="134" w:name="_Toc22334"/>
      <w:bookmarkStart w:id="135" w:name="_Toc6458"/>
      <w:bookmarkStart w:id="136" w:name="_Toc18155"/>
      <w:bookmarkStart w:id="137" w:name="_Toc14663"/>
      <w:bookmarkStart w:id="138" w:name="_Toc8168"/>
      <w:r>
        <w:rPr>
          <w:rFonts w:hint="eastAsia" w:ascii="楷体_GB2312" w:hAnsi="Calibri Light" w:eastAsia="楷体_GB2312"/>
          <w:b w:val="0"/>
          <w:bCs w:val="0"/>
          <w:sz w:val="32"/>
          <w:szCs w:val="32"/>
        </w:rPr>
        <w:t>（三）扩大高新技术产业有效投资</w:t>
      </w:r>
      <w:bookmarkEnd w:id="130"/>
      <w:bookmarkEnd w:id="131"/>
      <w:bookmarkEnd w:id="132"/>
      <w:bookmarkEnd w:id="133"/>
      <w:bookmarkEnd w:id="134"/>
      <w:bookmarkEnd w:id="135"/>
      <w:bookmarkEnd w:id="136"/>
      <w:bookmarkEnd w:id="137"/>
      <w:bookmarkEnd w:id="138"/>
    </w:p>
    <w:p>
      <w:pPr>
        <w:spacing w:line="560" w:lineRule="exact"/>
        <w:ind w:firstLine="640" w:firstLineChars="200"/>
        <w:rPr>
          <w:rFonts w:ascii="仿宋_GB2312" w:hAnsi="Calibri" w:eastAsia="仿宋_GB2312"/>
          <w:color w:val="000000"/>
          <w:sz w:val="32"/>
          <w:szCs w:val="32"/>
        </w:rPr>
      </w:pPr>
      <w:r>
        <w:rPr>
          <w:rFonts w:hint="eastAsia" w:ascii="仿宋_GB2312" w:hAnsi="Calibri" w:eastAsia="仿宋_GB2312"/>
          <w:color w:val="000000"/>
          <w:sz w:val="32"/>
          <w:szCs w:val="32"/>
        </w:rPr>
        <w:t>推动新基建与新技术、新材料、新装备、新产品、新业态协同融合发展，促进基础设施改造、关键技术突破、市场化水平提升。加快建设大数据中心、5G设施、人工智能应用平台、工业互联网等重点新型基础设施。在数字经济、智能装备、生命健康、新能源、新材料等领域，依托行业龙头企业，推动一批技术含量高、产业辐射带动性强的高新技术产业化项目。进一步健全完善重大高新技术产业投资项目库，强化政企联动、优化要素保障，加大科创用地保障力度，进一步拓展创新发展空间。“十四五”期间，高新技术产业投资每年增长12%以上。</w:t>
      </w:r>
    </w:p>
    <w:p>
      <w:pPr>
        <w:pStyle w:val="6"/>
        <w:spacing w:before="0" w:after="0" w:line="560" w:lineRule="exact"/>
        <w:ind w:firstLine="640" w:firstLineChars="200"/>
        <w:rPr>
          <w:rFonts w:ascii="楷体_GB2312" w:eastAsia="楷体_GB2312"/>
          <w:b w:val="0"/>
          <w:bCs w:val="0"/>
        </w:rPr>
      </w:pPr>
      <w:bookmarkStart w:id="139" w:name="_Toc9972"/>
      <w:bookmarkStart w:id="140" w:name="_Toc28412"/>
      <w:bookmarkStart w:id="141" w:name="_Toc15979"/>
      <w:bookmarkStart w:id="142" w:name="_Toc2121"/>
      <w:bookmarkStart w:id="143" w:name="_Toc5337"/>
      <w:bookmarkStart w:id="144" w:name="_Toc29924"/>
      <w:bookmarkStart w:id="145" w:name="_Toc12111"/>
      <w:bookmarkStart w:id="146" w:name="_Toc21474"/>
      <w:bookmarkStart w:id="147" w:name="_Toc4816"/>
      <w:r>
        <w:rPr>
          <w:rFonts w:hint="eastAsia" w:ascii="楷体_GB2312" w:hAnsi="Calibri Light" w:eastAsia="楷体_GB2312"/>
          <w:b w:val="0"/>
          <w:bCs w:val="0"/>
          <w:sz w:val="32"/>
          <w:szCs w:val="32"/>
        </w:rPr>
        <w:t>（四）打造重量级创新型产业集群</w:t>
      </w:r>
      <w:bookmarkEnd w:id="139"/>
      <w:bookmarkEnd w:id="140"/>
      <w:bookmarkEnd w:id="141"/>
      <w:bookmarkEnd w:id="142"/>
      <w:bookmarkEnd w:id="143"/>
      <w:bookmarkEnd w:id="144"/>
      <w:bookmarkEnd w:id="145"/>
      <w:bookmarkEnd w:id="146"/>
      <w:bookmarkEnd w:id="147"/>
    </w:p>
    <w:p>
      <w:pPr>
        <w:spacing w:line="560" w:lineRule="exact"/>
        <w:ind w:firstLine="640" w:firstLineChars="200"/>
        <w:rPr>
          <w:rFonts w:ascii="仿宋_GB2312" w:hAnsi="Calibri" w:eastAsia="仿宋_GB2312"/>
          <w:color w:val="000000"/>
          <w:sz w:val="32"/>
          <w:szCs w:val="32"/>
        </w:rPr>
      </w:pPr>
      <w:r>
        <w:rPr>
          <w:rFonts w:hint="eastAsia" w:ascii="仿宋_GB2312" w:hAnsi="Calibri" w:eastAsia="仿宋_GB2312"/>
          <w:color w:val="000000"/>
          <w:sz w:val="32"/>
          <w:szCs w:val="32"/>
        </w:rPr>
        <w:t>围绕五大战略性新兴产业发展，从需求端与供给侧同步发力，推动物联网、大数据、人工智能、生物技术等同各产业深度融合，强化创新链产业链精准对接，实现科技创新与商业化路径有机结合，提高产业链附加值。实施创新链贯通工程，畅通基础研究、技术开发、中间试验、企业孵化、规模生产各个环节，推动新兴技术、新兴产品规模化发展，加快形成数字经济、智能装备、生命健康等若干创新能力一流的千亿级产业集群。按照现代产业集群理念深化传统产业改造提升，以信息技术的应用和融合创新，推动制造方式创新、产品创新、业态创新和商业模式创新，建设一批未来工厂、数字工厂，促进鞋业、服装、泵阀等优势传统产业向价值链中高端攀升。</w:t>
      </w:r>
    </w:p>
    <w:p>
      <w:pPr>
        <w:pStyle w:val="6"/>
        <w:spacing w:before="0" w:after="0" w:line="560" w:lineRule="exact"/>
        <w:ind w:firstLine="640" w:firstLineChars="200"/>
        <w:rPr>
          <w:rFonts w:ascii="楷体_GB2312" w:eastAsia="楷体_GB2312"/>
          <w:b w:val="0"/>
          <w:bCs w:val="0"/>
        </w:rPr>
      </w:pPr>
      <w:bookmarkStart w:id="148" w:name="_Toc14881"/>
      <w:bookmarkStart w:id="149" w:name="_Toc17309"/>
      <w:bookmarkStart w:id="150" w:name="_Toc15989"/>
      <w:bookmarkStart w:id="151" w:name="_Toc25630"/>
      <w:bookmarkStart w:id="152" w:name="_Toc25766"/>
      <w:bookmarkStart w:id="153" w:name="_Toc13804"/>
      <w:bookmarkStart w:id="154" w:name="_Toc9582"/>
      <w:bookmarkStart w:id="155" w:name="_Toc26765"/>
      <w:bookmarkStart w:id="156" w:name="_Toc21104"/>
      <w:r>
        <w:rPr>
          <w:rFonts w:hint="eastAsia" w:ascii="楷体_GB2312" w:hAnsi="Calibri Light" w:eastAsia="楷体_GB2312"/>
          <w:b w:val="0"/>
          <w:bCs w:val="0"/>
          <w:sz w:val="32"/>
          <w:szCs w:val="32"/>
        </w:rPr>
        <w:t>（五）推进产业创新服务综合体建设</w:t>
      </w:r>
      <w:bookmarkEnd w:id="148"/>
      <w:bookmarkEnd w:id="149"/>
      <w:bookmarkEnd w:id="150"/>
      <w:bookmarkEnd w:id="151"/>
      <w:bookmarkEnd w:id="152"/>
      <w:bookmarkEnd w:id="153"/>
      <w:bookmarkEnd w:id="154"/>
      <w:bookmarkEnd w:id="155"/>
      <w:bookmarkEnd w:id="156"/>
    </w:p>
    <w:p>
      <w:pPr>
        <w:spacing w:line="560" w:lineRule="exact"/>
        <w:ind w:firstLine="640" w:firstLineChars="200"/>
        <w:rPr>
          <w:rFonts w:ascii="Calibri" w:hAnsi="Calibri" w:eastAsia="仿宋_GB2312"/>
          <w:color w:val="000000"/>
          <w:sz w:val="32"/>
          <w:szCs w:val="32"/>
        </w:rPr>
      </w:pPr>
      <w:r>
        <w:rPr>
          <w:rFonts w:hint="eastAsia" w:ascii="仿宋_GB2312" w:hAnsi="仿宋" w:eastAsia="仿宋_GB2312" w:cs="仿宋"/>
          <w:color w:val="000000"/>
          <w:sz w:val="32"/>
          <w:szCs w:val="32"/>
        </w:rPr>
        <w:t>坚持政府引导、企业主体、市场运行、多方参与，推动现有产业创新服务综合体</w:t>
      </w:r>
      <w:r>
        <w:rPr>
          <w:rFonts w:eastAsia="仿宋_GB2312"/>
          <w:color w:val="000000"/>
          <w:kern w:val="0"/>
          <w:sz w:val="32"/>
          <w:szCs w:val="32"/>
        </w:rPr>
        <w:t>加快整合集聚各类创新服务机构，引进“标志性”大院名校，开展关键共性技术攻关，完善运行机制和服务功能，</w:t>
      </w:r>
      <w:r>
        <w:rPr>
          <w:rFonts w:hint="eastAsia" w:ascii="仿宋_GB2312" w:hAnsi="仿宋" w:eastAsia="仿宋_GB2312" w:cs="仿宋"/>
          <w:color w:val="000000"/>
          <w:sz w:val="32"/>
          <w:szCs w:val="32"/>
        </w:rPr>
        <w:t>提升产业创新服务综合体能级，</w:t>
      </w:r>
      <w:r>
        <w:rPr>
          <w:rFonts w:eastAsia="仿宋_GB2312"/>
          <w:color w:val="000000"/>
          <w:kern w:val="0"/>
          <w:sz w:val="32"/>
          <w:szCs w:val="32"/>
        </w:rPr>
        <w:t>着力打造具有</w:t>
      </w:r>
      <w:r>
        <w:rPr>
          <w:rFonts w:hint="eastAsia" w:eastAsia="仿宋_GB2312"/>
          <w:color w:val="000000"/>
          <w:kern w:val="0"/>
          <w:sz w:val="32"/>
          <w:szCs w:val="32"/>
        </w:rPr>
        <w:t>温州</w:t>
      </w:r>
      <w:r>
        <w:rPr>
          <w:rFonts w:eastAsia="仿宋_GB2312"/>
          <w:color w:val="000000"/>
          <w:kern w:val="0"/>
          <w:sz w:val="32"/>
          <w:szCs w:val="32"/>
        </w:rPr>
        <w:t>特色的</w:t>
      </w:r>
      <w:r>
        <w:rPr>
          <w:rFonts w:hint="eastAsia" w:eastAsia="仿宋_GB2312"/>
          <w:color w:val="000000"/>
          <w:kern w:val="0"/>
          <w:sz w:val="32"/>
          <w:szCs w:val="32"/>
        </w:rPr>
        <w:t>省级</w:t>
      </w:r>
      <w:r>
        <w:rPr>
          <w:rFonts w:eastAsia="仿宋_GB2312"/>
          <w:color w:val="000000"/>
          <w:kern w:val="0"/>
          <w:sz w:val="32"/>
          <w:szCs w:val="32"/>
        </w:rPr>
        <w:t>标杆</w:t>
      </w:r>
      <w:r>
        <w:rPr>
          <w:rFonts w:hint="eastAsia" w:eastAsia="仿宋_GB2312"/>
          <w:color w:val="000000"/>
          <w:kern w:val="0"/>
          <w:sz w:val="32"/>
          <w:szCs w:val="32"/>
        </w:rPr>
        <w:t>型产业创新</w:t>
      </w:r>
      <w:r>
        <w:rPr>
          <w:rFonts w:eastAsia="仿宋_GB2312"/>
          <w:color w:val="000000"/>
          <w:kern w:val="0"/>
          <w:sz w:val="32"/>
          <w:szCs w:val="32"/>
        </w:rPr>
        <w:t>综合体</w:t>
      </w:r>
      <w:r>
        <w:rPr>
          <w:rFonts w:hint="eastAsia" w:eastAsia="仿宋_GB2312"/>
          <w:color w:val="000000"/>
          <w:kern w:val="0"/>
          <w:sz w:val="32"/>
          <w:szCs w:val="32"/>
        </w:rPr>
        <w:t>。</w:t>
      </w:r>
      <w:r>
        <w:rPr>
          <w:rFonts w:hint="eastAsia" w:ascii="仿宋_GB2312" w:hAnsi="仿宋" w:eastAsia="仿宋_GB2312" w:cs="仿宋"/>
          <w:color w:val="000000"/>
          <w:sz w:val="32"/>
          <w:szCs w:val="32"/>
        </w:rPr>
        <w:t>着眼于产业痛点、短板问题，集聚高校、科研院所、行业协会及专业机构等创新资源，建设一批中试平台，强化公共服务集成功能，新建一批集创意设计、研究开发、技术中试、创业孵化等功能于一体的产业创新服务综合体，到2025年实现</w:t>
      </w:r>
      <w:r>
        <w:rPr>
          <w:rFonts w:hint="eastAsia" w:ascii="仿宋_GB2312" w:hAnsi="仿宋_GB2312" w:eastAsia="仿宋_GB2312" w:cs="仿宋_GB2312"/>
          <w:color w:val="000000"/>
          <w:sz w:val="32"/>
          <w:szCs w:val="32"/>
        </w:rPr>
        <w:t>市级及以上综合体“5+5”产业全覆盖。</w:t>
      </w:r>
    </w:p>
    <w:p>
      <w:pPr>
        <w:pStyle w:val="5"/>
        <w:spacing w:line="560" w:lineRule="exact"/>
        <w:rPr>
          <w:bCs/>
          <w:color w:val="000000"/>
        </w:rPr>
      </w:pPr>
      <w:bookmarkStart w:id="157" w:name="_Toc23860"/>
      <w:bookmarkStart w:id="158" w:name="_Toc26914"/>
      <w:bookmarkStart w:id="159" w:name="_Toc30470"/>
      <w:bookmarkStart w:id="160" w:name="_Toc57043401"/>
      <w:bookmarkStart w:id="161" w:name="_Toc18405"/>
      <w:bookmarkStart w:id="162" w:name="_Toc314"/>
      <w:bookmarkStart w:id="163" w:name="_Toc2666"/>
      <w:bookmarkStart w:id="164" w:name="_Toc15862"/>
      <w:bookmarkStart w:id="165" w:name="_Toc20177"/>
      <w:bookmarkStart w:id="166" w:name="_Toc27111"/>
      <w:bookmarkStart w:id="167" w:name="_Toc5130"/>
      <w:r>
        <w:rPr>
          <w:rFonts w:hint="eastAsia"/>
          <w:bCs/>
          <w:color w:val="000000"/>
        </w:rPr>
        <w:t>四、实施科技人才引育集聚工程，</w:t>
      </w:r>
      <w:bookmarkEnd w:id="157"/>
      <w:r>
        <w:rPr>
          <w:rFonts w:hint="eastAsia"/>
          <w:bCs/>
          <w:color w:val="000000"/>
        </w:rPr>
        <w:t>打造全球“人才蓄水池”</w:t>
      </w:r>
      <w:bookmarkEnd w:id="158"/>
      <w:bookmarkEnd w:id="159"/>
      <w:bookmarkEnd w:id="160"/>
      <w:bookmarkEnd w:id="161"/>
      <w:bookmarkEnd w:id="162"/>
      <w:bookmarkEnd w:id="163"/>
      <w:bookmarkEnd w:id="164"/>
      <w:bookmarkEnd w:id="165"/>
      <w:bookmarkEnd w:id="166"/>
      <w:bookmarkEnd w:id="167"/>
    </w:p>
    <w:p>
      <w:pPr>
        <w:pStyle w:val="6"/>
        <w:spacing w:before="0" w:after="0" w:line="560" w:lineRule="exact"/>
        <w:ind w:firstLine="640" w:firstLineChars="200"/>
        <w:rPr>
          <w:rFonts w:ascii="楷体_GB2312" w:eastAsia="楷体_GB2312"/>
          <w:b w:val="0"/>
          <w:bCs w:val="0"/>
        </w:rPr>
      </w:pPr>
      <w:bookmarkStart w:id="168" w:name="_Toc6420"/>
      <w:bookmarkStart w:id="169" w:name="_Toc6605"/>
      <w:bookmarkStart w:id="170" w:name="_Toc13963"/>
      <w:bookmarkStart w:id="171" w:name="_Toc8116"/>
      <w:bookmarkStart w:id="172" w:name="_Toc12817"/>
      <w:bookmarkStart w:id="173" w:name="_Toc12068"/>
      <w:bookmarkStart w:id="174" w:name="_Toc7717"/>
      <w:bookmarkStart w:id="175" w:name="_Toc4735"/>
      <w:bookmarkStart w:id="176" w:name="_Toc19633"/>
      <w:bookmarkStart w:id="177" w:name="_Toc10169"/>
      <w:r>
        <w:rPr>
          <w:rFonts w:hint="eastAsia" w:ascii="楷体_GB2312" w:hAnsi="Calibri Light" w:eastAsia="楷体_GB2312"/>
          <w:b w:val="0"/>
          <w:bCs w:val="0"/>
          <w:sz w:val="32"/>
          <w:szCs w:val="32"/>
        </w:rPr>
        <w:t>（一）大力引育高端创新人才</w:t>
      </w:r>
      <w:bookmarkEnd w:id="168"/>
      <w:bookmarkEnd w:id="169"/>
      <w:bookmarkEnd w:id="170"/>
      <w:bookmarkEnd w:id="171"/>
      <w:bookmarkEnd w:id="172"/>
      <w:bookmarkEnd w:id="173"/>
      <w:bookmarkEnd w:id="174"/>
      <w:bookmarkEnd w:id="175"/>
      <w:bookmarkEnd w:id="176"/>
      <w:bookmarkEnd w:id="177"/>
    </w:p>
    <w:p>
      <w:pPr>
        <w:widowControl/>
        <w:spacing w:line="560" w:lineRule="exact"/>
        <w:ind w:firstLine="640" w:firstLineChars="200"/>
        <w:rPr>
          <w:rFonts w:ascii="仿宋_GB2312" w:hAnsi="华文仿宋" w:eastAsia="仿宋_GB2312" w:cs="华文仿宋"/>
          <w:color w:val="000000"/>
          <w:sz w:val="32"/>
          <w:szCs w:val="32"/>
        </w:rPr>
      </w:pPr>
      <w:r>
        <w:rPr>
          <w:rFonts w:hint="eastAsia" w:eastAsia="仿宋_GB2312"/>
          <w:color w:val="000000"/>
          <w:sz w:val="32"/>
          <w:szCs w:val="32"/>
        </w:rPr>
        <w:t>建立更加开放灵活的人才引育机制，量身定制顶尖人才引进支持政策，</w:t>
      </w:r>
      <w:r>
        <w:rPr>
          <w:rFonts w:eastAsia="仿宋_GB2312"/>
          <w:color w:val="000000"/>
          <w:sz w:val="32"/>
          <w:szCs w:val="32"/>
        </w:rPr>
        <w:t>突出“高精尖”导向，</w:t>
      </w:r>
      <w:r>
        <w:rPr>
          <w:rFonts w:hint="eastAsia" w:eastAsia="仿宋_GB2312"/>
          <w:color w:val="000000"/>
          <w:sz w:val="32"/>
          <w:szCs w:val="32"/>
        </w:rPr>
        <w:t>精准引进一批院士专家，以顶尖人才引领产业发展。全力推进国家和省级重大人才工程，深入实施全球精英高层次人才特殊支持计划等市级重大工程，持续推进海外人才引进和国内高层次人才培育</w:t>
      </w:r>
      <w:r>
        <w:rPr>
          <w:rFonts w:eastAsia="仿宋_GB2312"/>
          <w:color w:val="000000"/>
          <w:sz w:val="32"/>
          <w:szCs w:val="32"/>
        </w:rPr>
        <w:t>，重点集聚一批创新型科技领军人才。</w:t>
      </w:r>
      <w:r>
        <w:rPr>
          <w:rFonts w:hint="eastAsia" w:ascii="仿宋_GB2312" w:hAnsi="华文仿宋" w:eastAsia="仿宋_GB2312" w:cs="华文仿宋"/>
          <w:color w:val="000000"/>
          <w:kern w:val="0"/>
          <w:sz w:val="32"/>
          <w:szCs w:val="32"/>
        </w:rPr>
        <w:t>支持企业及高校院所从海内外引进技术水平处于国际创新前沿的优秀人才组建创新团队，积极扶持带技术、带项目、带资金，具有较好市场前景的一流创业团队，力争在数字经济、生命健康、新材料等技术依赖度较高领域，突破关键核心技术、引领带动传统产业转型升级和战略性新兴产业发展。</w:t>
      </w:r>
      <w:r>
        <w:rPr>
          <w:rFonts w:hint="eastAsia" w:ascii="仿宋_GB2312" w:hAnsi="华文仿宋" w:eastAsia="仿宋_GB2312" w:cs="华文仿宋"/>
          <w:color w:val="000000"/>
          <w:sz w:val="32"/>
          <w:szCs w:val="32"/>
        </w:rPr>
        <w:t>巩固、拓展与海外知名高校、科研院所、行业协会等组织机构的联系与合作，建立海外人才联络站点，开辟面向全球靶向引进科技人才的有效渠道，</w:t>
      </w:r>
      <w:r>
        <w:rPr>
          <w:rFonts w:hint="eastAsia" w:ascii="仿宋_GB2312" w:hAnsi="华文仿宋" w:eastAsia="仿宋_GB2312" w:cs="华文仿宋"/>
          <w:color w:val="000000"/>
          <w:kern w:val="0"/>
          <w:sz w:val="32"/>
          <w:szCs w:val="32"/>
        </w:rPr>
        <w:t>力争“百万人才聚温</w:t>
      </w:r>
      <w:r>
        <w:rPr>
          <w:rFonts w:hint="eastAsia" w:ascii="仿宋_GB2312" w:hAnsi="华文仿宋" w:eastAsia="仿宋_GB2312" w:cs="华文仿宋"/>
          <w:color w:val="000000"/>
          <w:sz w:val="32"/>
          <w:szCs w:val="32"/>
        </w:rPr>
        <w:t>州”取得明显进展。到2025年，新引进培育海内外各领域杰出人才、领军人才和青年拔尖人才1000名以上，引进培育高水平创新团队60支以上和领军型人才创业项目100个以上。</w:t>
      </w:r>
    </w:p>
    <w:p>
      <w:pPr>
        <w:pStyle w:val="6"/>
        <w:spacing w:before="0" w:after="0" w:line="560" w:lineRule="exact"/>
        <w:ind w:firstLine="640" w:firstLineChars="200"/>
        <w:rPr>
          <w:rFonts w:ascii="楷体_GB2312" w:eastAsia="楷体_GB2312"/>
          <w:b w:val="0"/>
          <w:bCs w:val="0"/>
        </w:rPr>
      </w:pPr>
      <w:bookmarkStart w:id="178" w:name="_Toc32255"/>
      <w:bookmarkStart w:id="179" w:name="_Toc28371"/>
      <w:bookmarkStart w:id="180" w:name="_Toc27618"/>
      <w:bookmarkStart w:id="181" w:name="_Toc8301"/>
      <w:bookmarkStart w:id="182" w:name="_Toc23061"/>
      <w:bookmarkStart w:id="183" w:name="_Toc17187"/>
      <w:bookmarkStart w:id="184" w:name="_Toc5010"/>
      <w:bookmarkStart w:id="185" w:name="_Toc508"/>
      <w:bookmarkStart w:id="186" w:name="_Toc1229"/>
      <w:bookmarkStart w:id="187" w:name="_Toc20488"/>
      <w:r>
        <w:rPr>
          <w:rFonts w:hint="eastAsia" w:ascii="楷体_GB2312" w:hAnsi="Calibri Light" w:eastAsia="楷体_GB2312"/>
          <w:b w:val="0"/>
          <w:bCs w:val="0"/>
          <w:sz w:val="32"/>
          <w:szCs w:val="32"/>
        </w:rPr>
        <w:t>（二）加快汇聚青年科技人才</w:t>
      </w:r>
      <w:bookmarkEnd w:id="178"/>
      <w:bookmarkEnd w:id="179"/>
      <w:bookmarkEnd w:id="180"/>
      <w:bookmarkEnd w:id="181"/>
      <w:bookmarkEnd w:id="182"/>
      <w:bookmarkEnd w:id="183"/>
      <w:bookmarkEnd w:id="184"/>
      <w:bookmarkEnd w:id="185"/>
      <w:bookmarkEnd w:id="186"/>
      <w:bookmarkEnd w:id="187"/>
    </w:p>
    <w:p>
      <w:pPr>
        <w:spacing w:line="560" w:lineRule="exact"/>
        <w:ind w:firstLine="640" w:firstLineChars="200"/>
        <w:rPr>
          <w:rFonts w:ascii="楷体_GB2312" w:hAnsi="仿宋" w:eastAsia="楷体_GB2312" w:cs="仿宋"/>
          <w:b/>
          <w:color w:val="000000"/>
          <w:sz w:val="32"/>
          <w:szCs w:val="32"/>
        </w:rPr>
      </w:pPr>
      <w:r>
        <w:rPr>
          <w:rFonts w:hint="eastAsia" w:ascii="仿宋_GB2312" w:hAnsi="华文仿宋" w:eastAsia="仿宋_GB2312" w:cs="华文仿宋"/>
          <w:color w:val="000000"/>
          <w:kern w:val="0"/>
          <w:sz w:val="32"/>
          <w:szCs w:val="32"/>
        </w:rPr>
        <w:t>放大世界青年科学家峰会效应，打造集聚全球高端智力资源的峰会品牌。利用峰会加大招才引智力度，</w:t>
      </w:r>
      <w:r>
        <w:rPr>
          <w:rFonts w:hint="eastAsia" w:ascii="仿宋_GB2312" w:hAnsi="Calibri" w:eastAsia="仿宋_GB2312"/>
          <w:color w:val="000000"/>
          <w:sz w:val="32"/>
          <w:szCs w:val="32"/>
        </w:rPr>
        <w:t>定期开展</w:t>
      </w:r>
      <w:r>
        <w:rPr>
          <w:rFonts w:hint="eastAsia" w:eastAsia="仿宋_GB2312"/>
          <w:snapToGrid w:val="0"/>
          <w:color w:val="000000"/>
          <w:kern w:val="0"/>
          <w:sz w:val="32"/>
          <w:szCs w:val="32"/>
        </w:rPr>
        <w:t>全球青年科技英才（温州）峰会、中国·温州民营企业人才周、高层次人才创业创新投融资对接会、全球精英创新创业大赛、创新创业合作国际研讨会等</w:t>
      </w:r>
      <w:r>
        <w:rPr>
          <w:rFonts w:hint="eastAsia" w:ascii="仿宋_GB2312" w:hAnsi="Calibri" w:eastAsia="仿宋_GB2312"/>
          <w:color w:val="000000"/>
          <w:sz w:val="32"/>
          <w:szCs w:val="32"/>
        </w:rPr>
        <w:t>具有全球影响力的活动赛事，不断释放峰会“溢出效应”。巩固提升“一园一城一中心”，努力打造成为服务国家战略的重要平台、加强国际科技合作的示范样板。持续实施“人才新政40条”“510计划”，加大青年人才政策支持力度，建立比潜力、比贡献的青年人才评价体系，吸引青年人才集聚温州，扎根温州。到2</w:t>
      </w:r>
      <w:r>
        <w:rPr>
          <w:rFonts w:ascii="仿宋_GB2312" w:hAnsi="Calibri" w:eastAsia="仿宋_GB2312"/>
          <w:color w:val="000000"/>
          <w:sz w:val="32"/>
          <w:szCs w:val="32"/>
        </w:rPr>
        <w:t>025</w:t>
      </w:r>
      <w:r>
        <w:rPr>
          <w:rFonts w:hint="eastAsia" w:ascii="仿宋_GB2312" w:hAnsi="Calibri" w:eastAsia="仿宋_GB2312"/>
          <w:color w:val="000000"/>
          <w:sz w:val="32"/>
          <w:szCs w:val="32"/>
        </w:rPr>
        <w:t>年，引进峰会签约项目落地200个以上，新引进培育博士1000名以上。</w:t>
      </w:r>
    </w:p>
    <w:p>
      <w:pPr>
        <w:pStyle w:val="6"/>
        <w:spacing w:before="0" w:after="0" w:line="560" w:lineRule="exact"/>
        <w:ind w:firstLine="640" w:firstLineChars="200"/>
        <w:rPr>
          <w:rFonts w:ascii="楷体_GB2312" w:eastAsia="楷体_GB2312"/>
          <w:b w:val="0"/>
          <w:bCs w:val="0"/>
        </w:rPr>
      </w:pPr>
      <w:bookmarkStart w:id="188" w:name="_Toc23026"/>
      <w:bookmarkStart w:id="189" w:name="_Toc24413"/>
      <w:bookmarkStart w:id="190" w:name="_Toc24902"/>
      <w:bookmarkStart w:id="191" w:name="_Toc9655"/>
      <w:bookmarkStart w:id="192" w:name="_Toc11356"/>
      <w:bookmarkStart w:id="193" w:name="_Toc11443"/>
      <w:bookmarkStart w:id="194" w:name="_Toc29103"/>
      <w:bookmarkStart w:id="195" w:name="_Toc16237"/>
      <w:bookmarkStart w:id="196" w:name="_Toc22530"/>
      <w:bookmarkStart w:id="197" w:name="_Toc29851"/>
      <w:r>
        <w:rPr>
          <w:rFonts w:hint="eastAsia" w:ascii="楷体_GB2312" w:hAnsi="Calibri Light" w:eastAsia="楷体_GB2312"/>
          <w:b w:val="0"/>
          <w:bCs w:val="0"/>
          <w:sz w:val="32"/>
          <w:szCs w:val="32"/>
        </w:rPr>
        <w:t>（三）加强产业人才队伍建设</w:t>
      </w:r>
      <w:bookmarkEnd w:id="188"/>
      <w:bookmarkEnd w:id="189"/>
      <w:bookmarkEnd w:id="190"/>
      <w:bookmarkEnd w:id="191"/>
      <w:bookmarkEnd w:id="192"/>
      <w:bookmarkEnd w:id="193"/>
      <w:bookmarkEnd w:id="194"/>
      <w:bookmarkEnd w:id="195"/>
      <w:bookmarkEnd w:id="196"/>
      <w:bookmarkEnd w:id="197"/>
    </w:p>
    <w:p>
      <w:pPr>
        <w:spacing w:line="56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聚焦温州主导产业和科技创新重点领域，推进</w:t>
      </w:r>
      <w:r>
        <w:rPr>
          <w:rFonts w:hint="eastAsia" w:ascii="仿宋_GB2312" w:hAnsi="仿宋_GB2312" w:eastAsia="仿宋_GB2312" w:cs="仿宋_GB2312"/>
          <w:color w:val="000000"/>
          <w:kern w:val="0"/>
          <w:sz w:val="32"/>
          <w:szCs w:val="32"/>
        </w:rPr>
        <w:t>新型企业家、高技能人才、</w:t>
      </w:r>
      <w:r>
        <w:rPr>
          <w:rFonts w:hint="eastAsia" w:ascii="仿宋_GB2312" w:hAnsi="仿宋_GB2312" w:eastAsia="仿宋_GB2312" w:cs="仿宋_GB2312"/>
          <w:color w:val="000000"/>
          <w:sz w:val="32"/>
          <w:szCs w:val="32"/>
        </w:rPr>
        <w:t>新动能工程师</w:t>
      </w:r>
      <w:r>
        <w:rPr>
          <w:rFonts w:hint="eastAsia" w:ascii="仿宋_GB2312" w:hAnsi="仿宋_GB2312" w:eastAsia="仿宋_GB2312" w:cs="仿宋_GB2312"/>
          <w:color w:val="000000"/>
          <w:kern w:val="0"/>
          <w:sz w:val="32"/>
          <w:szCs w:val="32"/>
        </w:rPr>
        <w:t>等</w:t>
      </w:r>
      <w:r>
        <w:rPr>
          <w:rFonts w:hint="eastAsia" w:ascii="仿宋_GB2312" w:hAnsi="仿宋_GB2312" w:eastAsia="仿宋_GB2312" w:cs="仿宋_GB2312"/>
          <w:color w:val="000000"/>
          <w:sz w:val="32"/>
          <w:szCs w:val="32"/>
        </w:rPr>
        <w:t>产业人才队伍建设。重点面向“领军型”“高成长型”“隐形冠军”培育企业负责人、科技型中小企业负责人和“创二代”，大力实施“青蓝接力工程”和新生代企业家培育行动，打造创新型温商队伍。以先进制造业等领域紧缺关键人才为重点，实施新时代工匠培育工程，构建产教训融合、政企社协同、育选用贯通的高技能人才培育体系，壮大新型蓝领队伍。以温州产业新动能培育壮大为目标，实施“新动能工程师引进计划”，鼓励支持温州企业引进从事过工程、技术、研发、设计等工作的工程师、程序员和设计师等，集聚一批产业创新中坚人才。</w:t>
      </w:r>
      <w:r>
        <w:rPr>
          <w:rFonts w:hint="eastAsia" w:ascii="仿宋_GB2312" w:hAnsi="仿宋_GB2312" w:eastAsia="仿宋_GB2312" w:cs="仿宋_GB2312"/>
          <w:color w:val="000000"/>
          <w:kern w:val="0"/>
          <w:sz w:val="32"/>
          <w:szCs w:val="32"/>
        </w:rPr>
        <w:t>到2025年，培育新时代青年企业家50人左右，</w:t>
      </w:r>
      <w:r>
        <w:rPr>
          <w:rFonts w:hint="eastAsia" w:ascii="仿宋_GB2312" w:hAnsi="仿宋_GB2312" w:eastAsia="仿宋_GB2312" w:cs="仿宋_GB2312"/>
          <w:bCs/>
          <w:color w:val="000000"/>
          <w:kern w:val="0"/>
          <w:sz w:val="32"/>
          <w:szCs w:val="21"/>
        </w:rPr>
        <w:t>引进培育新动能工程师</w:t>
      </w:r>
      <w:r>
        <w:rPr>
          <w:rFonts w:hint="eastAsia" w:ascii="仿宋_GB2312" w:hAnsi="仿宋_GB2312" w:eastAsia="仿宋_GB2312" w:cs="仿宋_GB2312"/>
          <w:bCs/>
          <w:color w:val="000000"/>
          <w:kern w:val="0"/>
          <w:sz w:val="32"/>
          <w:szCs w:val="21"/>
          <w:lang w:val="en-US" w:eastAsia="zh-CN"/>
        </w:rPr>
        <w:t>3</w:t>
      </w:r>
      <w:r>
        <w:rPr>
          <w:rFonts w:hint="eastAsia" w:ascii="仿宋_GB2312" w:hAnsi="仿宋_GB2312" w:eastAsia="仿宋_GB2312" w:cs="仿宋_GB2312"/>
          <w:bCs/>
          <w:color w:val="000000"/>
          <w:kern w:val="0"/>
          <w:sz w:val="32"/>
          <w:szCs w:val="21"/>
        </w:rPr>
        <w:t>00名以上，</w:t>
      </w:r>
      <w:r>
        <w:rPr>
          <w:rFonts w:hint="eastAsia" w:ascii="仿宋_GB2312" w:hAnsi="仿宋_GB2312" w:eastAsia="仿宋_GB2312" w:cs="仿宋_GB2312"/>
          <w:color w:val="000000"/>
          <w:sz w:val="32"/>
          <w:szCs w:val="32"/>
        </w:rPr>
        <w:t>高技能人才占技能劳动者比例达到30%</w:t>
      </w:r>
      <w:r>
        <w:rPr>
          <w:rFonts w:hint="eastAsia" w:ascii="仿宋_GB2312" w:hAnsi="仿宋_GB2312" w:eastAsia="仿宋_GB2312" w:cs="仿宋_GB2312"/>
          <w:color w:val="000000"/>
          <w:kern w:val="0"/>
          <w:sz w:val="32"/>
          <w:szCs w:val="32"/>
        </w:rPr>
        <w:t>。</w:t>
      </w:r>
    </w:p>
    <w:p>
      <w:pPr>
        <w:pStyle w:val="6"/>
        <w:spacing w:before="0" w:after="0" w:line="560" w:lineRule="exact"/>
        <w:ind w:firstLine="640" w:firstLineChars="200"/>
        <w:rPr>
          <w:rFonts w:ascii="楷体_GB2312" w:eastAsia="楷体_GB2312"/>
          <w:b w:val="0"/>
          <w:bCs w:val="0"/>
        </w:rPr>
      </w:pPr>
      <w:bookmarkStart w:id="198" w:name="_Toc11030"/>
      <w:bookmarkStart w:id="199" w:name="_Toc23010"/>
      <w:bookmarkStart w:id="200" w:name="_Toc30865"/>
      <w:bookmarkStart w:id="201" w:name="_Toc5464"/>
      <w:bookmarkStart w:id="202" w:name="_Toc3782"/>
      <w:bookmarkStart w:id="203" w:name="_Toc29020"/>
      <w:bookmarkStart w:id="204" w:name="_Toc4633"/>
      <w:bookmarkStart w:id="205" w:name="_Toc17382"/>
      <w:bookmarkStart w:id="206" w:name="_Toc8099"/>
      <w:bookmarkStart w:id="207" w:name="_Toc13158"/>
      <w:r>
        <w:rPr>
          <w:rFonts w:hint="eastAsia" w:ascii="楷体_GB2312" w:hAnsi="Calibri Light" w:eastAsia="楷体_GB2312"/>
          <w:b w:val="0"/>
          <w:bCs w:val="0"/>
          <w:sz w:val="32"/>
          <w:szCs w:val="32"/>
        </w:rPr>
        <w:t>（四）充分激发人才创新创业活力</w:t>
      </w:r>
      <w:bookmarkEnd w:id="198"/>
      <w:bookmarkEnd w:id="199"/>
      <w:bookmarkEnd w:id="200"/>
      <w:bookmarkEnd w:id="201"/>
      <w:bookmarkEnd w:id="202"/>
      <w:bookmarkEnd w:id="203"/>
      <w:bookmarkEnd w:id="204"/>
      <w:bookmarkEnd w:id="205"/>
      <w:bookmarkEnd w:id="206"/>
      <w:bookmarkEnd w:id="207"/>
    </w:p>
    <w:p>
      <w:pPr>
        <w:widowControl/>
        <w:spacing w:line="560" w:lineRule="exact"/>
        <w:ind w:firstLine="640" w:firstLineChars="200"/>
        <w:rPr>
          <w:rFonts w:eastAsia="仿宋_GB2312"/>
          <w:color w:val="000000"/>
          <w:kern w:val="0"/>
          <w:sz w:val="32"/>
          <w:szCs w:val="32"/>
        </w:rPr>
      </w:pPr>
      <w:r>
        <w:rPr>
          <w:rFonts w:hint="eastAsia" w:ascii="仿宋_GB2312" w:hAnsi="华文仿宋" w:eastAsia="仿宋_GB2312" w:cs="华文仿宋"/>
          <w:color w:val="000000"/>
          <w:sz w:val="32"/>
          <w:szCs w:val="32"/>
        </w:rPr>
        <w:t>实行更加积极、开放、有效的人才政策，构建贯通人才引进、培养、评价、流动、激励的全链条政策体系。开展人才管理改革试验区建设，以“一区一策”方式，充分赋予人才“引育留用管”自主权。</w:t>
      </w:r>
      <w:r>
        <w:rPr>
          <w:rFonts w:hint="eastAsia" w:ascii="仿宋_GB2312" w:hAnsi="华文仿宋" w:eastAsia="仿宋_GB2312" w:cs="华文仿宋"/>
          <w:color w:val="000000"/>
          <w:kern w:val="0"/>
          <w:sz w:val="32"/>
          <w:szCs w:val="32"/>
        </w:rPr>
        <w:t>坚决破除“四唯”倾向，加强机构评估、学科评估与人才评价的有效衔接，建立以科技创新质量、贡献、绩效为导向的分类评价体系，突出标志性成果评价，探索引入国际同行评价。深化中意（温州）人才交流合作创新试点，加强和德国、日本等国的人才项目交流合作。</w:t>
      </w:r>
      <w:r>
        <w:rPr>
          <w:rFonts w:ascii="Calibri" w:hAnsi="Calibri" w:eastAsia="仿宋_GB2312"/>
          <w:color w:val="000000"/>
          <w:kern w:val="0"/>
          <w:sz w:val="32"/>
          <w:szCs w:val="48"/>
        </w:rPr>
        <w:t>支持新型研发机构开展人才使用、管理和激励等创新政策试点，打通高校、科研院所与企业人才流动通道</w:t>
      </w:r>
      <w:r>
        <w:rPr>
          <w:rFonts w:hint="eastAsia" w:ascii="Calibri" w:hAnsi="Calibri" w:eastAsia="仿宋_GB2312"/>
          <w:color w:val="000000"/>
          <w:kern w:val="0"/>
          <w:sz w:val="32"/>
          <w:szCs w:val="48"/>
        </w:rPr>
        <w:t>。探索通过高校和重大科研平台留编引才方式，鼓励高校、科研院所科研人员兼职或离岗创办科技型企业</w:t>
      </w:r>
      <w:r>
        <w:rPr>
          <w:rFonts w:hint="eastAsia" w:eastAsia="仿宋_GB2312"/>
          <w:color w:val="000000"/>
          <w:kern w:val="0"/>
          <w:sz w:val="32"/>
          <w:szCs w:val="32"/>
        </w:rPr>
        <w:t>。建立包容和支持非共识创新制度、资助机制，鼓励自由探索未知前沿。加快特色产业工程师协同创新中心、院士之家等引才育才平台的建设，大力提升服务水平。大力推进人才客厅建设，推进人才工作数字化转型，完善并实施人才住房租售并举办法，切实解决人才住房等实际问题，为各类人才安居乐业创造条件。</w:t>
      </w:r>
    </w:p>
    <w:p>
      <w:pPr>
        <w:pStyle w:val="5"/>
        <w:spacing w:line="560" w:lineRule="exact"/>
        <w:rPr>
          <w:bCs/>
          <w:color w:val="000000"/>
        </w:rPr>
      </w:pPr>
      <w:bookmarkStart w:id="208" w:name="_Toc25916"/>
      <w:bookmarkStart w:id="209" w:name="_Toc9642"/>
      <w:bookmarkStart w:id="210" w:name="_Toc9859"/>
      <w:bookmarkStart w:id="211" w:name="_Toc31179"/>
      <w:bookmarkStart w:id="212" w:name="_Toc26494"/>
      <w:bookmarkStart w:id="213" w:name="_Toc17114"/>
      <w:bookmarkStart w:id="214" w:name="_Toc15657"/>
      <w:bookmarkStart w:id="215" w:name="_Toc57043402"/>
      <w:bookmarkStart w:id="216" w:name="_Toc23354"/>
      <w:bookmarkStart w:id="217" w:name="_Toc23585"/>
      <w:r>
        <w:rPr>
          <w:rFonts w:hint="eastAsia"/>
          <w:bCs/>
          <w:color w:val="000000"/>
        </w:rPr>
        <w:t>五、实施基础研究提能造峰工程，加快打造创新策源地</w:t>
      </w:r>
      <w:bookmarkEnd w:id="208"/>
      <w:bookmarkEnd w:id="209"/>
      <w:bookmarkEnd w:id="210"/>
      <w:bookmarkEnd w:id="211"/>
      <w:bookmarkEnd w:id="212"/>
      <w:bookmarkEnd w:id="213"/>
      <w:bookmarkEnd w:id="214"/>
      <w:bookmarkEnd w:id="215"/>
      <w:bookmarkEnd w:id="216"/>
      <w:bookmarkEnd w:id="217"/>
    </w:p>
    <w:p>
      <w:pPr>
        <w:pStyle w:val="6"/>
        <w:spacing w:before="0" w:after="0" w:line="560" w:lineRule="exact"/>
        <w:ind w:firstLine="640" w:firstLineChars="200"/>
        <w:rPr>
          <w:rFonts w:ascii="楷体_GB2312" w:eastAsia="楷体_GB2312"/>
          <w:b w:val="0"/>
          <w:bCs w:val="0"/>
        </w:rPr>
      </w:pPr>
      <w:bookmarkStart w:id="218" w:name="_Toc10687"/>
      <w:bookmarkStart w:id="219" w:name="_Toc1214"/>
      <w:bookmarkStart w:id="220" w:name="_Toc20437"/>
      <w:bookmarkStart w:id="221" w:name="_Toc7558"/>
      <w:bookmarkStart w:id="222" w:name="_Toc7567"/>
      <w:bookmarkStart w:id="223" w:name="_Toc22050"/>
      <w:bookmarkStart w:id="224" w:name="_Toc14190"/>
      <w:bookmarkStart w:id="225" w:name="_Toc8526"/>
      <w:bookmarkStart w:id="226" w:name="_Toc22394"/>
      <w:r>
        <w:rPr>
          <w:rFonts w:hint="eastAsia" w:ascii="楷体_GB2312" w:hAnsi="Calibri Light" w:eastAsia="楷体_GB2312"/>
          <w:b w:val="0"/>
          <w:bCs w:val="0"/>
          <w:sz w:val="32"/>
          <w:szCs w:val="32"/>
        </w:rPr>
        <w:t>（一）加快</w:t>
      </w:r>
      <w:r>
        <w:rPr>
          <w:rFonts w:hint="eastAsia" w:ascii="楷体_GB2312" w:eastAsia="楷体_GB2312"/>
          <w:b w:val="0"/>
          <w:bCs w:val="0"/>
        </w:rPr>
        <w:t>提升</w:t>
      </w:r>
      <w:r>
        <w:rPr>
          <w:rFonts w:hint="eastAsia" w:ascii="楷体_GB2312" w:hAnsi="Calibri Light" w:eastAsia="楷体_GB2312"/>
          <w:b w:val="0"/>
          <w:bCs w:val="0"/>
          <w:sz w:val="32"/>
          <w:szCs w:val="32"/>
        </w:rPr>
        <w:t>高校院所科研能力</w:t>
      </w:r>
      <w:bookmarkEnd w:id="218"/>
      <w:bookmarkEnd w:id="219"/>
      <w:bookmarkEnd w:id="220"/>
      <w:bookmarkEnd w:id="221"/>
      <w:bookmarkEnd w:id="222"/>
      <w:bookmarkEnd w:id="223"/>
      <w:bookmarkEnd w:id="224"/>
      <w:bookmarkEnd w:id="225"/>
      <w:bookmarkEnd w:id="226"/>
    </w:p>
    <w:p>
      <w:pPr>
        <w:spacing w:line="560" w:lineRule="exact"/>
        <w:ind w:firstLine="640" w:firstLineChars="200"/>
        <w:rPr>
          <w:rStyle w:val="34"/>
          <w:rFonts w:hint="eastAsia" w:ascii="仿宋_GB2312" w:hAnsi="仿宋_GB2312" w:cs="仿宋_GB2312"/>
        </w:rPr>
      </w:pPr>
      <w:r>
        <w:rPr>
          <w:rFonts w:hint="eastAsia" w:ascii="仿宋_GB2312" w:hAnsi="仿宋" w:eastAsia="仿宋_GB2312" w:cs="仿宋"/>
          <w:color w:val="000000"/>
          <w:sz w:val="32"/>
          <w:szCs w:val="32"/>
        </w:rPr>
        <w:t>大力实施一流高校院所培育工程，完善“教学研究型大学+应用型大学+中外合作大学+高职院校”的高水平大学体系，提升源头创新能力。支持温州医科大学眼视光学、老年病学、儿科学、药学等优势学科科学研究发展，促进建设“双一流”高校，打造具有全国影响力的生命健康创新基地；支持温州大学对标国内外一流高校，聚焦化学、材料科学、工程学等优势学科科研发展，促进建成特色鲜明的高水平教学研究型大学；推动温州肯恩大学提升办学层次，构建高水平专业群，建设高水平国际化高校；支持温州理工学院加大研发投入，培育一批能够适应温州制造业发展的工科人才；推进高职院校强化特色学科领域技术研究，支持温州职业技术学院、浙江工贸学院加快“双高”建设，打造技术技能人才培养高地和技术技能创新服务平台，支持温州科技职业学院建设，为乡村振兴战略实施提供重要科技支撑。建立健全高校、科研院所间学科协同和多学科交叉融合发展机制，跨校跨院融合提升一批优势特色学科。</w:t>
      </w:r>
      <w:r>
        <w:rPr>
          <w:rStyle w:val="34"/>
          <w:rFonts w:hint="default" w:ascii="Times New Roman"/>
        </w:rPr>
        <w:t>提升学城联动效能，深入打造高等学校与产业园区、骨干企业紧密协同的创新生态系统，大力推进高校科研创新、科技成果转移转化和产教融合，</w:t>
      </w:r>
      <w:r>
        <w:rPr>
          <w:rStyle w:val="34"/>
          <w:rFonts w:hint="default" w:hAnsi="仿宋_GB2312" w:cs="仿宋_GB2312"/>
        </w:rPr>
        <w:t>全面增强高校服务地方、服务经济</w:t>
      </w:r>
      <w:r>
        <w:rPr>
          <w:rStyle w:val="34"/>
          <w:rFonts w:hint="default" w:ascii="Times New Roman"/>
        </w:rPr>
        <w:t>能力。深化与名校名院名企的战略合作，建立温州与在杭、在沪</w:t>
      </w:r>
      <w:r>
        <w:rPr>
          <w:rStyle w:val="34"/>
          <w:rFonts w:hint="default"/>
        </w:rPr>
        <w:t>、在汉</w:t>
      </w:r>
      <w:r>
        <w:rPr>
          <w:rStyle w:val="34"/>
          <w:rFonts w:hint="default" w:ascii="Times New Roman"/>
        </w:rPr>
        <w:t>高校科研院所战略联盟，强化地方院所产学研协同创新</w:t>
      </w:r>
      <w:r>
        <w:rPr>
          <w:rStyle w:val="34"/>
          <w:rFonts w:hint="eastAsia" w:ascii="仿宋_GB2312" w:hAnsi="仿宋_GB2312" w:cs="仿宋_GB2312"/>
        </w:rPr>
        <w:t>，实现“以产定研、以需定研、以研促产”。</w:t>
      </w:r>
    </w:p>
    <w:p>
      <w:pPr>
        <w:pStyle w:val="6"/>
        <w:spacing w:before="0" w:after="0" w:line="560" w:lineRule="exact"/>
        <w:ind w:firstLine="640" w:firstLineChars="200"/>
        <w:rPr>
          <w:rFonts w:ascii="楷体_GB2312" w:eastAsia="楷体_GB2312"/>
          <w:b w:val="0"/>
          <w:bCs w:val="0"/>
        </w:rPr>
      </w:pPr>
      <w:bookmarkStart w:id="227" w:name="_Toc26358"/>
      <w:bookmarkStart w:id="228" w:name="_Toc23456"/>
      <w:bookmarkStart w:id="229" w:name="_Toc10819"/>
      <w:bookmarkStart w:id="230" w:name="_Toc30714"/>
      <w:bookmarkStart w:id="231" w:name="_Toc14283"/>
      <w:bookmarkStart w:id="232" w:name="_Toc6904"/>
      <w:bookmarkStart w:id="233" w:name="_Toc19244"/>
      <w:bookmarkStart w:id="234" w:name="_Toc32741"/>
      <w:bookmarkStart w:id="235" w:name="_Toc9742"/>
      <w:r>
        <w:rPr>
          <w:rFonts w:hint="eastAsia" w:ascii="楷体_GB2312" w:hAnsi="Calibri Light" w:eastAsia="楷体_GB2312"/>
          <w:b w:val="0"/>
          <w:bCs w:val="0"/>
          <w:sz w:val="32"/>
          <w:szCs w:val="32"/>
        </w:rPr>
        <w:t>（二）加快构建新型实验室体系</w:t>
      </w:r>
      <w:bookmarkEnd w:id="227"/>
      <w:bookmarkEnd w:id="228"/>
      <w:bookmarkEnd w:id="229"/>
      <w:bookmarkEnd w:id="230"/>
      <w:bookmarkEnd w:id="231"/>
      <w:bookmarkEnd w:id="232"/>
      <w:bookmarkEnd w:id="233"/>
      <w:bookmarkEnd w:id="234"/>
      <w:bookmarkEnd w:id="235"/>
    </w:p>
    <w:p>
      <w:pPr>
        <w:spacing w:line="56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瞄准前沿科技，聚焦战略需求，强化基础研究和应用基础研究，加快构建由国家实验室、国家重点实验室、省实验室、省级重点实验室、市级重点实验室等组成的实验室体系。强化国家重点实验室建设，引导眼视光学和视觉科学国家重点实验室持续开展相关基础研究与应用研究，形成重大科技成果。支持有条件的实验室围绕光电材料与器件、生命健康领域集聚优势科研资源，争创国家重点实验室。推进浙江省实验室建设，围绕</w:t>
      </w:r>
      <w:r>
        <w:rPr>
          <w:rFonts w:hint="eastAsia" w:eastAsia="仿宋_GB2312"/>
          <w:color w:val="000000"/>
          <w:sz w:val="32"/>
          <w:szCs w:val="32"/>
        </w:rPr>
        <w:t>组织再生和器官功能康复</w:t>
      </w:r>
      <w:r>
        <w:rPr>
          <w:rFonts w:hint="eastAsia" w:ascii="仿宋_GB2312" w:hAnsi="仿宋" w:eastAsia="仿宋_GB2312" w:cs="仿宋"/>
          <w:color w:val="000000"/>
          <w:sz w:val="32"/>
          <w:szCs w:val="32"/>
        </w:rPr>
        <w:t>，以“聚焦特色、创新引领、交叉融合、对标一流”的路径，全面推进瓯江实验室建设，努力打造全国第一、世界一流的再生调控和眼脑健康创新平台，力争成为国家实验室分部。培育壮大省级重点实验室队伍，聚焦数字经济、生命健康、智能装备、新材料、新能源等重点领域，依托高校院所、龙头企业等优势主体，培育新建一批省级重点实验室。加快市级重点实验室优化提升，优化市级重点实验室建设方向，大力支持企业主体建设重点实验室，鼓励行业龙头企业联合高校院所、上下游企业共建联合实验室。落实省级重点实验室、市级重点实验室奖励政策，完善绩效评价制度。到2025年，建成国家重点实验室3家、省实验室1家、省级重点实验室30家、市级重点实验室100家。</w:t>
      </w:r>
    </w:p>
    <w:p>
      <w:pPr>
        <w:pStyle w:val="6"/>
        <w:spacing w:before="0" w:after="0" w:line="560" w:lineRule="exact"/>
        <w:ind w:firstLine="640" w:firstLineChars="200"/>
        <w:rPr>
          <w:rFonts w:ascii="楷体_GB2312" w:eastAsia="楷体_GB2312"/>
          <w:b w:val="0"/>
          <w:bCs w:val="0"/>
        </w:rPr>
      </w:pPr>
      <w:bookmarkStart w:id="236" w:name="_Toc19067"/>
      <w:bookmarkStart w:id="237" w:name="_Toc7004"/>
      <w:bookmarkStart w:id="238" w:name="_Toc17821"/>
      <w:bookmarkStart w:id="239" w:name="_Toc15058"/>
      <w:bookmarkStart w:id="240" w:name="_Toc23621"/>
      <w:bookmarkStart w:id="241" w:name="_Toc13691"/>
      <w:bookmarkStart w:id="242" w:name="_Toc23295"/>
      <w:bookmarkStart w:id="243" w:name="_Toc23819"/>
      <w:bookmarkStart w:id="244" w:name="_Toc10846"/>
      <w:r>
        <w:rPr>
          <w:rFonts w:hint="eastAsia" w:ascii="楷体_GB2312" w:hAnsi="Calibri Light" w:eastAsia="楷体_GB2312"/>
          <w:b w:val="0"/>
          <w:bCs w:val="0"/>
          <w:sz w:val="32"/>
          <w:szCs w:val="32"/>
        </w:rPr>
        <w:t>（三）大力引进培育高端新型研发机构</w:t>
      </w:r>
      <w:bookmarkEnd w:id="236"/>
      <w:bookmarkEnd w:id="237"/>
      <w:bookmarkEnd w:id="238"/>
      <w:bookmarkEnd w:id="239"/>
      <w:bookmarkEnd w:id="240"/>
      <w:bookmarkEnd w:id="241"/>
      <w:bookmarkEnd w:id="242"/>
      <w:bookmarkEnd w:id="243"/>
      <w:bookmarkEnd w:id="244"/>
    </w:p>
    <w:p>
      <w:pPr>
        <w:spacing w:line="560" w:lineRule="exact"/>
        <w:ind w:firstLine="640" w:firstLineChars="200"/>
        <w:rPr>
          <w:rFonts w:ascii="仿宋" w:hAnsi="仿宋" w:eastAsia="仿宋" w:cs="仿宋"/>
          <w:color w:val="000000"/>
          <w:sz w:val="32"/>
          <w:szCs w:val="32"/>
        </w:rPr>
      </w:pPr>
      <w:r>
        <w:rPr>
          <w:rFonts w:hint="eastAsia" w:ascii="仿宋_GB2312" w:hAnsi="仿宋" w:eastAsia="仿宋_GB2312" w:cs="仿宋"/>
          <w:color w:val="000000"/>
          <w:sz w:val="32"/>
          <w:szCs w:val="32"/>
        </w:rPr>
        <w:t>瞄准世界科技前沿，紧扣“5+5”产业发展，通过引进共建一批、优化提升一批、整合组建一批、重点打造一批的方式，引导建设一批投入多元化、管理现代化、运行市场化、人员招聘自主化、薪酬激励市场化、收益分配企业化的新型研发机构，促进国科大、浙大、华中大温州研究院等研究机构科研成果加速落地。围绕战略性新兴产业发展，吸引国内外一流高校、科研机构、领军企业、外资研发型企业及高层次人才团队来温设立或联合组建新型研发机构。支持高校、科研机构、重点实验室、工程研究中心等开展体制机制和治理模式创新，向新型研发机构转型。优化整合研究方向相近、关联度较大、资源相对集中的研发机构，支持优势企业或科研机构整合相关领域创新资源，联合建设新型研发机构。在现有新型研发机构中择优打造一批国内一流、国际领先的标杆型研发机构。完善共建创新载体协调管理机制和新型研发机构考评机制，落实新型研发机构奖励政策。到2025年，全市建成新型研发机构50家、其中省级15家，打造一批覆盖科技创新全周期、全链条、全过程的高水平创新平台，有力推动高水平创新型城市建设。</w:t>
      </w:r>
    </w:p>
    <w:p>
      <w:pPr>
        <w:pStyle w:val="5"/>
        <w:spacing w:line="560" w:lineRule="exact"/>
        <w:rPr>
          <w:bCs/>
          <w:color w:val="000000"/>
        </w:rPr>
      </w:pPr>
      <w:bookmarkStart w:id="245" w:name="_Toc4947"/>
      <w:bookmarkStart w:id="246" w:name="_Toc22251"/>
      <w:bookmarkStart w:id="247" w:name="_Toc8556"/>
      <w:bookmarkStart w:id="248" w:name="_Toc678"/>
      <w:bookmarkStart w:id="249" w:name="_Toc19950"/>
      <w:bookmarkStart w:id="250" w:name="_Toc11611"/>
      <w:bookmarkStart w:id="251" w:name="_Toc20452"/>
      <w:bookmarkStart w:id="252" w:name="_Toc24423"/>
      <w:bookmarkStart w:id="253" w:name="_Toc27460"/>
      <w:bookmarkStart w:id="254" w:name="_Toc57043403"/>
      <w:bookmarkStart w:id="255" w:name="_Toc23124"/>
      <w:r>
        <w:rPr>
          <w:rFonts w:hint="eastAsia"/>
          <w:bCs/>
          <w:color w:val="000000"/>
        </w:rPr>
        <w:t>六、实施关键核心技术攻关引领工程，努力抢占发展制高点</w:t>
      </w:r>
      <w:bookmarkEnd w:id="245"/>
      <w:bookmarkEnd w:id="246"/>
      <w:bookmarkEnd w:id="247"/>
      <w:bookmarkEnd w:id="248"/>
      <w:bookmarkEnd w:id="249"/>
      <w:bookmarkEnd w:id="250"/>
      <w:bookmarkEnd w:id="251"/>
      <w:bookmarkEnd w:id="252"/>
      <w:bookmarkEnd w:id="253"/>
      <w:bookmarkEnd w:id="254"/>
      <w:bookmarkEnd w:id="255"/>
    </w:p>
    <w:p>
      <w:pPr>
        <w:spacing w:line="560" w:lineRule="exact"/>
        <w:ind w:firstLine="640" w:firstLineChars="200"/>
        <w:rPr>
          <w:rFonts w:eastAsia="仿宋_GB2312"/>
          <w:color w:val="000000"/>
          <w:sz w:val="32"/>
        </w:rPr>
      </w:pPr>
      <w:r>
        <w:rPr>
          <w:rFonts w:hint="eastAsia" w:ascii="仿宋_GB2312" w:hAnsi="仿宋" w:eastAsia="仿宋_GB2312"/>
          <w:color w:val="000000"/>
          <w:sz w:val="32"/>
          <w:szCs w:val="32"/>
        </w:rPr>
        <w:t>面向世界科技前沿、面向经济主战场、面向国家重大需求、面向人民生命健康，围绕温州“5+5”产业及前沿技术的创新需求，加强顶层设计、提前部署，启动实施战略性新兴产业核心技术攻坚计划、传统产业赋能提升计划和前沿技术引领计划，</w:t>
      </w:r>
      <w:r>
        <w:rPr>
          <w:rFonts w:hint="eastAsia" w:ascii="仿宋_GB2312" w:eastAsia="仿宋_GB2312"/>
          <w:color w:val="000000"/>
          <w:sz w:val="32"/>
          <w:szCs w:val="32"/>
        </w:rPr>
        <w:t>突破一批“卡脖子”技术，抢占一批前沿技术制高点，攻克一批重点产业关键核心技术，</w:t>
      </w:r>
      <w:r>
        <w:rPr>
          <w:rFonts w:hint="eastAsia" w:ascii="仿宋_GB2312" w:hAnsi="仿宋" w:eastAsia="仿宋_GB2312"/>
          <w:color w:val="000000"/>
          <w:sz w:val="32"/>
          <w:szCs w:val="32"/>
        </w:rPr>
        <w:t>形成技术创新持续供给能力和进口替代能力。</w:t>
      </w:r>
    </w:p>
    <w:p>
      <w:pPr>
        <w:pStyle w:val="6"/>
        <w:spacing w:before="0" w:after="0" w:line="560" w:lineRule="exact"/>
        <w:ind w:firstLine="640" w:firstLineChars="200"/>
        <w:rPr>
          <w:rFonts w:ascii="楷体_GB2312" w:eastAsia="楷体_GB2312"/>
          <w:b w:val="0"/>
          <w:bCs w:val="0"/>
        </w:rPr>
      </w:pPr>
      <w:bookmarkStart w:id="256" w:name="_Toc636"/>
      <w:bookmarkStart w:id="257" w:name="_Toc11222"/>
      <w:bookmarkStart w:id="258" w:name="_Toc1376"/>
      <w:bookmarkStart w:id="259" w:name="_Toc23524"/>
      <w:bookmarkStart w:id="260" w:name="_Toc29419"/>
      <w:bookmarkStart w:id="261" w:name="_Toc22912"/>
      <w:bookmarkStart w:id="262" w:name="_Toc27715"/>
      <w:bookmarkStart w:id="263" w:name="_Toc12796"/>
      <w:bookmarkStart w:id="264" w:name="_Toc14664"/>
      <w:bookmarkStart w:id="265" w:name="_Toc7529"/>
      <w:r>
        <w:rPr>
          <w:rFonts w:hint="eastAsia" w:ascii="楷体_GB2312" w:hAnsi="Calibri Light" w:eastAsia="楷体_GB2312"/>
          <w:b w:val="0"/>
          <w:bCs w:val="0"/>
          <w:sz w:val="32"/>
          <w:szCs w:val="32"/>
        </w:rPr>
        <w:t>（一）实施战略性新兴产业核心技术攻坚计划</w:t>
      </w:r>
      <w:bookmarkEnd w:id="256"/>
      <w:bookmarkEnd w:id="257"/>
      <w:bookmarkEnd w:id="258"/>
      <w:bookmarkEnd w:id="259"/>
      <w:bookmarkEnd w:id="260"/>
      <w:bookmarkEnd w:id="261"/>
      <w:bookmarkEnd w:id="262"/>
      <w:bookmarkEnd w:id="263"/>
      <w:bookmarkEnd w:id="264"/>
      <w:bookmarkEnd w:id="265"/>
    </w:p>
    <w:p>
      <w:pPr>
        <w:widowControl/>
        <w:spacing w:line="560" w:lineRule="exact"/>
        <w:ind w:firstLine="640" w:firstLineChars="200"/>
      </w:pPr>
      <w:r>
        <w:rPr>
          <w:rFonts w:hint="eastAsia" w:ascii="仿宋_GB2312" w:hAnsi="仿宋" w:eastAsia="仿宋_GB2312" w:cs="仿宋"/>
          <w:color w:val="000000"/>
          <w:sz w:val="32"/>
          <w:szCs w:val="40"/>
        </w:rPr>
        <w:t>围绕战略性新兴产业发展需求，建立“卡脖子”技术攻关库，推广“企业出题、院校破题、政府助题”模式。围绕人工智能、新一代通信与智能网络、再生医学、新药创制、眼视光技术、高端制造、新材料、新能源、激光与光电、高性能科学仪器仪表设备、现代农业等重点领域，</w:t>
      </w:r>
      <w:r>
        <w:rPr>
          <w:rFonts w:ascii="Calibri" w:hAnsi="Calibri" w:eastAsia="仿宋_GB2312"/>
          <w:color w:val="000000"/>
          <w:spacing w:val="-4"/>
          <w:sz w:val="32"/>
          <w:szCs w:val="32"/>
        </w:rPr>
        <w:t>迭代实施重大科技攻关专项，加快攻克一批</w:t>
      </w:r>
      <w:r>
        <w:rPr>
          <w:rFonts w:ascii="Calibri" w:hAnsi="Calibri" w:eastAsia="仿宋_GB2312"/>
          <w:color w:val="000000"/>
          <w:sz w:val="32"/>
          <w:szCs w:val="32"/>
        </w:rPr>
        <w:t>进口依赖较为严重、对产业高质量发展有重大影响的关键核心技术</w:t>
      </w:r>
      <w:r>
        <w:rPr>
          <w:rFonts w:hint="eastAsia" w:ascii="仿宋_GB2312" w:hAnsi="仿宋" w:eastAsia="仿宋_GB2312" w:cs="仿宋"/>
          <w:color w:val="000000"/>
          <w:sz w:val="32"/>
          <w:szCs w:val="40"/>
        </w:rPr>
        <w:t>，</w:t>
      </w:r>
      <w:r>
        <w:rPr>
          <w:rFonts w:hint="eastAsia" w:ascii="仿宋_GB2312" w:hAnsi="Calibri" w:eastAsia="仿宋_GB2312"/>
          <w:color w:val="000000"/>
          <w:sz w:val="32"/>
          <w:szCs w:val="24"/>
        </w:rPr>
        <w:t>加快产业集群创新变革，推动产业集群向价值链中高端环节攀升，</w:t>
      </w:r>
      <w:r>
        <w:rPr>
          <w:rFonts w:hint="eastAsia" w:ascii="仿宋_GB2312" w:hAnsi="仿宋" w:eastAsia="仿宋_GB2312" w:cs="仿宋"/>
          <w:color w:val="000000"/>
          <w:sz w:val="32"/>
          <w:szCs w:val="40"/>
        </w:rPr>
        <w:t>有效支撑</w:t>
      </w:r>
      <w:r>
        <w:rPr>
          <w:rFonts w:hint="eastAsia" w:ascii="仿宋_GB2312" w:hAnsi="Calibri" w:eastAsia="仿宋_GB2312"/>
          <w:color w:val="000000"/>
          <w:sz w:val="32"/>
          <w:szCs w:val="32"/>
        </w:rPr>
        <w:t>培育</w:t>
      </w:r>
      <w:r>
        <w:rPr>
          <w:rFonts w:hint="eastAsia" w:ascii="仿宋_GB2312" w:hAnsi="仿宋" w:eastAsia="仿宋_GB2312" w:cs="仿宋"/>
          <w:color w:val="000000"/>
          <w:sz w:val="32"/>
          <w:szCs w:val="40"/>
        </w:rPr>
        <w:t>战略性新兴产业发展。</w:t>
      </w:r>
    </w:p>
    <w:p>
      <w:pPr>
        <w:spacing w:line="480" w:lineRule="exact"/>
        <w:jc w:val="center"/>
        <w:rPr>
          <w:rFonts w:ascii="黑体" w:hAnsi="黑体" w:eastAsia="黑体" w:cs="黑体"/>
          <w:b w:val="0"/>
          <w:bCs w:val="0"/>
          <w:color w:val="000000"/>
          <w:sz w:val="28"/>
          <w:szCs w:val="28"/>
        </w:rPr>
      </w:pPr>
      <w:r>
        <w:rPr>
          <w:rFonts w:hint="eastAsia" w:ascii="黑体" w:hAnsi="黑体" w:eastAsia="黑体" w:cs="黑体"/>
          <w:b w:val="0"/>
          <w:bCs w:val="0"/>
          <w:color w:val="000000"/>
          <w:sz w:val="28"/>
          <w:szCs w:val="28"/>
        </w:rPr>
        <w:t>专栏</w:t>
      </w:r>
      <w:r>
        <w:rPr>
          <w:rFonts w:ascii="黑体" w:hAnsi="黑体" w:eastAsia="黑体" w:cs="黑体"/>
          <w:b w:val="0"/>
          <w:bCs w:val="0"/>
          <w:color w:val="000000"/>
          <w:sz w:val="28"/>
          <w:szCs w:val="28"/>
        </w:rPr>
        <w:t>4：战略性新兴产业重点攻关技术</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tcPr>
          <w:p>
            <w:pPr>
              <w:spacing w:line="480" w:lineRule="exact"/>
              <w:ind w:firstLine="482" w:firstLineChars="200"/>
              <w:rPr>
                <w:rFonts w:ascii="宋体" w:hAnsi="宋体" w:eastAsia="宋体" w:cs="宋体"/>
                <w:b/>
                <w:bCs/>
                <w:color w:val="000000"/>
                <w:sz w:val="24"/>
                <w:szCs w:val="24"/>
              </w:rPr>
            </w:pPr>
            <w:r>
              <w:rPr>
                <w:rFonts w:hint="eastAsia" w:ascii="宋体" w:hAnsi="宋体" w:eastAsia="宋体" w:cs="宋体"/>
                <w:b/>
                <w:bCs/>
                <w:color w:val="000000"/>
                <w:sz w:val="24"/>
                <w:szCs w:val="24"/>
              </w:rPr>
              <w:t>人工智能技术。</w:t>
            </w:r>
            <w:r>
              <w:rPr>
                <w:rFonts w:hint="eastAsia" w:ascii="宋体" w:hAnsi="宋体" w:eastAsia="宋体" w:cs="宋体"/>
                <w:color w:val="000000"/>
                <w:sz w:val="24"/>
                <w:szCs w:val="24"/>
              </w:rPr>
              <w:t>研发知识计算引擎与知识服务技术，跨媒体知识表征、分析、挖掘技术，基于群智感知的知识获取和开放动态环境下的群智融合与增强技术，混合增强智能新架构与新技术，面向复杂环境的自主无人系统共性技术，虚拟现实智能建模技术，类脑计算芯片与类脑智能系统，自然语言处理技术。</w:t>
            </w:r>
          </w:p>
          <w:p>
            <w:pPr>
              <w:spacing w:line="480" w:lineRule="exact"/>
              <w:ind w:firstLine="482" w:firstLineChars="200"/>
              <w:rPr>
                <w:rFonts w:ascii="宋体" w:hAnsi="宋体" w:eastAsia="宋体" w:cs="宋体"/>
                <w:color w:val="000000"/>
                <w:sz w:val="24"/>
                <w:szCs w:val="24"/>
              </w:rPr>
            </w:pPr>
            <w:r>
              <w:rPr>
                <w:rFonts w:hint="eastAsia" w:ascii="宋体" w:hAnsi="宋体" w:eastAsia="宋体" w:cs="宋体"/>
                <w:b/>
                <w:bCs/>
                <w:color w:val="000000"/>
                <w:sz w:val="24"/>
                <w:szCs w:val="24"/>
              </w:rPr>
              <w:t>新一代通信与智能网络技术。</w:t>
            </w:r>
            <w:r>
              <w:rPr>
                <w:rFonts w:hint="eastAsia" w:ascii="宋体" w:hAnsi="宋体" w:eastAsia="宋体" w:cs="宋体"/>
                <w:bCs/>
                <w:color w:val="000000"/>
                <w:sz w:val="24"/>
                <w:szCs w:val="24"/>
              </w:rPr>
              <w:t>研发</w:t>
            </w:r>
            <w:r>
              <w:rPr>
                <w:rFonts w:hint="eastAsia" w:ascii="宋体" w:hAnsi="宋体" w:eastAsia="宋体" w:cs="宋体"/>
                <w:color w:val="000000"/>
                <w:sz w:val="24"/>
                <w:szCs w:val="24"/>
              </w:rPr>
              <w:t>5G通信终端、测试仪器仪表、高密度核心网络设备、低功耗流量终端与综合应用平台，增强移动宽带、低时延高可靠技术、低功耗大连接、5G多接入融合组网、5G高低频融合组网等技术，5G与云计算、大数据、物联网等融合技术，5G垂直领域应用关键技术。研发带工业互联的边缘控制器、边缘网管智能控制器，支持工业互联网的各种速度与敏感网络技术，分布式网络节点控制器技术，低功耗传感模块及系统技术等。</w:t>
            </w:r>
          </w:p>
          <w:p>
            <w:pPr>
              <w:spacing w:line="480" w:lineRule="exact"/>
              <w:ind w:firstLine="482" w:firstLineChars="200"/>
              <w:rPr>
                <w:rFonts w:ascii="宋体" w:hAnsi="宋体" w:eastAsia="宋体" w:cs="宋体"/>
                <w:b/>
                <w:bCs/>
                <w:color w:val="000000"/>
                <w:sz w:val="24"/>
                <w:szCs w:val="24"/>
              </w:rPr>
            </w:pPr>
            <w:r>
              <w:rPr>
                <w:rFonts w:hint="eastAsia" w:ascii="宋体" w:hAnsi="宋体" w:eastAsia="宋体" w:cs="宋体"/>
                <w:b/>
                <w:bCs/>
                <w:color w:val="000000"/>
                <w:sz w:val="24"/>
                <w:szCs w:val="24"/>
              </w:rPr>
              <w:t>再生医学技术。</w:t>
            </w:r>
            <w:r>
              <w:rPr>
                <w:rFonts w:hint="eastAsia" w:ascii="宋体" w:hAnsi="宋体" w:eastAsia="宋体" w:cs="宋体"/>
                <w:color w:val="000000"/>
                <w:sz w:val="24"/>
                <w:szCs w:val="24"/>
              </w:rPr>
              <w:t>研发重大传染病应急检测、监测预警、流行规律、早期筛查、早期诊断、中西医临床救治技术、相关疫苗、防控产品；针对恶性肿瘤、代谢病、消化系统疾病、神经精神系统疾病、心脑血管疾病等重大慢性非传染疾病及常见多发病，研发早期筛查、分型分类、个体化治疗、疗效和安全性预测与监控、基因编辑与治疗、细胞与免疫治疗、肿瘤与靶向治疗等精准诊疗产品。</w:t>
            </w:r>
          </w:p>
          <w:p>
            <w:pPr>
              <w:spacing w:line="480" w:lineRule="exact"/>
              <w:ind w:firstLine="482" w:firstLineChars="200"/>
              <w:rPr>
                <w:rFonts w:ascii="宋体" w:hAnsi="宋体" w:eastAsia="宋体" w:cs="宋体"/>
                <w:color w:val="000000"/>
                <w:sz w:val="24"/>
                <w:szCs w:val="24"/>
              </w:rPr>
            </w:pPr>
            <w:r>
              <w:rPr>
                <w:rFonts w:hint="eastAsia" w:ascii="宋体" w:hAnsi="宋体" w:eastAsia="宋体" w:cs="宋体"/>
                <w:b/>
                <w:bCs/>
                <w:color w:val="000000"/>
                <w:sz w:val="24"/>
                <w:szCs w:val="24"/>
              </w:rPr>
              <w:t>新药创制技术。</w:t>
            </w:r>
            <w:r>
              <w:rPr>
                <w:rFonts w:hint="eastAsia" w:ascii="宋体" w:hAnsi="宋体" w:eastAsia="宋体" w:cs="宋体"/>
                <w:color w:val="000000"/>
                <w:sz w:val="24"/>
                <w:szCs w:val="24"/>
              </w:rPr>
              <w:t>围绕恶性肿瘤、神经精神系统疾病、代谢性疾病、免疫相关疾病等重大疾病，研发新靶标与新结构小分子药物、抗体类药物新品种、重组新型蛋白药物及核酸药物新品种、细胞治疗药物、现代中药、生物类似药等创新药物；研发人工智能药物合成、药物毒性靶标发现与干预、药物精准智能递送、临床精准用药等关键共性技术及装备。</w:t>
            </w:r>
          </w:p>
          <w:p>
            <w:pPr>
              <w:spacing w:line="480" w:lineRule="exact"/>
              <w:ind w:firstLine="482" w:firstLineChars="200"/>
              <w:rPr>
                <w:rFonts w:ascii="宋体" w:hAnsi="宋体" w:eastAsia="宋体" w:cs="宋体"/>
                <w:color w:val="000000"/>
                <w:sz w:val="24"/>
                <w:szCs w:val="24"/>
              </w:rPr>
            </w:pPr>
            <w:r>
              <w:rPr>
                <w:rFonts w:hint="eastAsia" w:ascii="宋体" w:hAnsi="宋体" w:eastAsia="宋体" w:cs="宋体"/>
                <w:b/>
                <w:bCs/>
                <w:color w:val="000000"/>
                <w:sz w:val="24"/>
                <w:szCs w:val="24"/>
              </w:rPr>
              <w:t>眼视光技术。</w:t>
            </w:r>
            <w:r>
              <w:rPr>
                <w:rFonts w:hint="eastAsia" w:ascii="宋体" w:hAnsi="宋体" w:eastAsia="宋体" w:cs="宋体"/>
                <w:color w:val="000000"/>
                <w:sz w:val="24"/>
                <w:szCs w:val="24"/>
              </w:rPr>
              <w:t>研发近视防控靶点新药物、不基于VEGF作用的针对眼底新生血管的新药物、生长因子类眼药、以纳米技术为导向的青光眼药物，接触镜、泪点塞、结膜下植入物、玻璃体植入物等创新缓释给药载体，眼科再生材料，高精度扫频OCT成像设备，近视的遗传因子鉴定试剂盒和自动化检测系统等技术与装备。</w:t>
            </w:r>
          </w:p>
          <w:p>
            <w:pPr>
              <w:spacing w:line="480" w:lineRule="exact"/>
              <w:ind w:firstLine="482" w:firstLineChars="200"/>
              <w:rPr>
                <w:rFonts w:ascii="宋体" w:hAnsi="宋体" w:eastAsia="宋体" w:cs="宋体"/>
                <w:color w:val="000000"/>
                <w:sz w:val="24"/>
                <w:szCs w:val="24"/>
              </w:rPr>
            </w:pPr>
            <w:r>
              <w:rPr>
                <w:rFonts w:hint="eastAsia" w:ascii="宋体" w:hAnsi="宋体" w:eastAsia="宋体" w:cs="宋体"/>
                <w:b/>
                <w:bCs/>
                <w:color w:val="000000"/>
                <w:sz w:val="24"/>
                <w:szCs w:val="24"/>
              </w:rPr>
              <w:t>高端制造技术。</w:t>
            </w:r>
            <w:r>
              <w:rPr>
                <w:rFonts w:hint="eastAsia" w:ascii="宋体" w:hAnsi="宋体" w:eastAsia="宋体" w:cs="宋体"/>
                <w:color w:val="000000"/>
                <w:sz w:val="24"/>
                <w:szCs w:val="24"/>
              </w:rPr>
              <w:t>研发金属材料3D、5D打印装备、多轴联动智能数控系统和超硬刀具，高精度RV减速器、高性能伺服电机与驱动产品、控制器、矢量摆线减速机、智能传感器件与感知系统等关键部件，智能异质异构集成技术、柔性微纳集成技术、先进传感集成技术、多维数字量智能设计制造技术、自适应柔性制造和封装技术、制造平台多信息融合感知技术、柔性数字孪生技术、跨平台数据共享和制造实体互联技术、人机物智能交互和深度融合制造系统。</w:t>
            </w:r>
          </w:p>
          <w:p>
            <w:pPr>
              <w:spacing w:line="480" w:lineRule="exact"/>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新材料技术。</w:t>
            </w:r>
            <w:r>
              <w:rPr>
                <w:rFonts w:hint="eastAsia" w:ascii="宋体" w:hAnsi="宋体" w:eastAsia="宋体" w:cs="宋体"/>
                <w:color w:val="000000"/>
                <w:sz w:val="24"/>
                <w:szCs w:val="24"/>
              </w:rPr>
              <w:t>研发聚芳醚酮、聚苯硫醚、耐高温聚酯、耐热尼龙、聚酰亚胺等高性能工程塑料材料，高品质特种钢铁材料、高性能轻金属及合金、电工合金等高端合金材料，高性能无机纤维、有机纤维及其增强复合材料、产业用高端纺织材料等高性能纤维及复合材料，石墨烯、防护涂层、通讯材料等纳米材料，植介入材料、医用3D打印材料、创面修复材料、骨修复材料、医疗检测探测材料等新型生物医用材料，聚氨酯、高品质橡胶、新型薄膜材料、绿色可降解高分子材料等新型高分子材料，柔性电路板材料、可穿戴无线传感和智能电子设备用新型感知材料、柔性光子材料及器件等柔性电子材料技术，及下一代太阳能转换利用新材料。</w:t>
            </w:r>
          </w:p>
          <w:p>
            <w:pPr>
              <w:spacing w:line="480" w:lineRule="exact"/>
              <w:ind w:firstLine="482" w:firstLineChars="200"/>
              <w:rPr>
                <w:rFonts w:ascii="宋体" w:hAnsi="宋体" w:eastAsia="宋体" w:cs="宋体"/>
                <w:color w:val="000000"/>
                <w:sz w:val="24"/>
                <w:szCs w:val="24"/>
              </w:rPr>
            </w:pPr>
            <w:r>
              <w:rPr>
                <w:rFonts w:hint="eastAsia" w:ascii="宋体" w:hAnsi="宋体" w:eastAsia="宋体" w:cs="宋体"/>
                <w:b/>
                <w:bCs/>
                <w:color w:val="000000"/>
                <w:sz w:val="24"/>
                <w:szCs w:val="24"/>
              </w:rPr>
              <w:t>新能源技术</w:t>
            </w:r>
            <w:r>
              <w:rPr>
                <w:rFonts w:hint="eastAsia" w:ascii="宋体" w:hAnsi="宋体" w:eastAsia="宋体" w:cs="宋体"/>
                <w:b/>
                <w:bCs/>
                <w:color w:val="000000"/>
                <w:kern w:val="0"/>
                <w:sz w:val="24"/>
                <w:szCs w:val="24"/>
              </w:rPr>
              <w:t>。</w:t>
            </w:r>
            <w:r>
              <w:rPr>
                <w:rFonts w:hint="eastAsia" w:ascii="宋体" w:hAnsi="宋体" w:eastAsia="宋体" w:cs="宋体"/>
                <w:color w:val="000000"/>
                <w:sz w:val="24"/>
                <w:szCs w:val="24"/>
              </w:rPr>
              <w:t>研发核电关键设备、核电风险防控与应急技术、新型风电机组、超大型海上风电机组及关键部件、热电转换和利用技术、太阳电池光-电-热的综合转换和利用技术、高效低成本晶硅电池、薄膜电池结构与工艺、适应多场景的光伏系统、分布式能源大容量储热（冷）技术，及高能量密度、环保安全的储能系统。</w:t>
            </w:r>
          </w:p>
          <w:p>
            <w:pPr>
              <w:spacing w:line="480" w:lineRule="exact"/>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激光与光电技术</w:t>
            </w:r>
            <w:r>
              <w:rPr>
                <w:rFonts w:hint="eastAsia" w:ascii="宋体" w:hAnsi="宋体" w:eastAsia="宋体" w:cs="宋体"/>
                <w:color w:val="000000"/>
                <w:sz w:val="24"/>
                <w:szCs w:val="24"/>
              </w:rPr>
              <w:t>。研发超高功率激光智能切割加工头、工业用红外皮秒激光器、高功率光纤激光器、半导体激光器、光路调制系统、扫描振镜系统、精密运动平台、控制系统软件、定位监测系统、超快激光精密制造装备、超高功率光纤激光智能切割数控机床等技术。</w:t>
            </w:r>
          </w:p>
          <w:p>
            <w:pPr>
              <w:spacing w:line="480" w:lineRule="exact"/>
              <w:ind w:firstLine="482" w:firstLineChars="200"/>
              <w:rPr>
                <w:rFonts w:ascii="宋体" w:hAnsi="宋体" w:eastAsia="宋体" w:cs="宋体"/>
                <w:color w:val="000000"/>
                <w:sz w:val="24"/>
                <w:szCs w:val="24"/>
              </w:rPr>
            </w:pPr>
            <w:r>
              <w:rPr>
                <w:rFonts w:hint="eastAsia" w:ascii="宋体" w:hAnsi="宋体" w:eastAsia="宋体" w:cs="宋体"/>
                <w:b/>
                <w:bCs/>
                <w:color w:val="000000"/>
                <w:sz w:val="24"/>
                <w:szCs w:val="24"/>
              </w:rPr>
              <w:t>高性能科学仪器仪表设备技术。</w:t>
            </w:r>
            <w:r>
              <w:rPr>
                <w:rFonts w:hint="eastAsia" w:ascii="宋体" w:hAnsi="宋体" w:eastAsia="宋体" w:cs="宋体"/>
                <w:color w:val="000000"/>
                <w:sz w:val="24"/>
                <w:szCs w:val="24"/>
              </w:rPr>
              <w:t>研发气体成分测量、气体超声测量、超高精度温度测量及标定、仪器仪表状态参数动态监测、运行特征智能识别、故障表征、预测性维护、仪器仪表智能运维平台、第四代核能和石油石化领域高精度流体测控等技术。</w:t>
            </w:r>
          </w:p>
          <w:p>
            <w:pPr>
              <w:spacing w:line="480" w:lineRule="exact"/>
              <w:ind w:firstLine="482" w:firstLineChars="200"/>
              <w:rPr>
                <w:rFonts w:ascii="仿宋_GB2312" w:hAnsi="Calibri" w:eastAsia="仿宋_GB2312"/>
                <w:color w:val="000000"/>
                <w:sz w:val="24"/>
                <w:szCs w:val="24"/>
              </w:rPr>
            </w:pPr>
            <w:r>
              <w:rPr>
                <w:rFonts w:hint="eastAsia" w:ascii="宋体" w:hAnsi="宋体" w:eastAsia="宋体" w:cs="宋体"/>
                <w:b/>
                <w:bCs/>
                <w:color w:val="000000"/>
                <w:sz w:val="24"/>
                <w:szCs w:val="24"/>
              </w:rPr>
              <w:t>现代农业技术。</w:t>
            </w:r>
            <w:r>
              <w:rPr>
                <w:rFonts w:hint="eastAsia" w:ascii="宋体" w:hAnsi="宋体" w:eastAsia="宋体" w:cs="宋体"/>
                <w:color w:val="000000"/>
                <w:sz w:val="24"/>
                <w:szCs w:val="24"/>
              </w:rPr>
              <w:t>研发以种质资源创新、分子标记育种、分子设计育种为代表的现代生物育种技术，农畜产品品质劣变调控与加工过程品质保持基础理论以及产地初加工、深加工、综合利用、危害物主动防控等农畜产品梯次加工与质量安全保障关键技术，农业资源化增值高效利用、农业生物资源高效转化技术，畜禽高效养殖和疫病诊断与防治等技术，农产品储藏、现代保鲜物流关键技术等。</w:t>
            </w:r>
          </w:p>
        </w:tc>
      </w:tr>
    </w:tbl>
    <w:p>
      <w:pPr>
        <w:pStyle w:val="6"/>
        <w:spacing w:before="0" w:after="0" w:line="560" w:lineRule="exact"/>
        <w:ind w:firstLine="640" w:firstLineChars="200"/>
        <w:rPr>
          <w:rFonts w:ascii="楷体_GB2312" w:eastAsia="楷体_GB2312"/>
          <w:b w:val="0"/>
          <w:bCs w:val="0"/>
        </w:rPr>
      </w:pPr>
      <w:bookmarkStart w:id="266" w:name="_Toc18011"/>
      <w:bookmarkStart w:id="267" w:name="_Toc31372"/>
      <w:bookmarkStart w:id="268" w:name="_Toc13829"/>
      <w:bookmarkStart w:id="269" w:name="_Toc6965"/>
      <w:bookmarkStart w:id="270" w:name="_Toc4432"/>
      <w:bookmarkStart w:id="271" w:name="_Toc5933"/>
      <w:bookmarkStart w:id="272" w:name="_Toc32043"/>
      <w:bookmarkStart w:id="273" w:name="_Toc28569"/>
      <w:bookmarkStart w:id="274" w:name="_Toc16938"/>
      <w:r>
        <w:rPr>
          <w:rFonts w:hint="eastAsia" w:ascii="楷体_GB2312" w:hAnsi="Calibri Light" w:eastAsia="楷体_GB2312"/>
          <w:b w:val="0"/>
          <w:bCs w:val="0"/>
          <w:sz w:val="32"/>
          <w:szCs w:val="32"/>
        </w:rPr>
        <w:t>（二）实施</w:t>
      </w:r>
      <w:bookmarkStart w:id="275" w:name="_Hlk56081133"/>
      <w:r>
        <w:rPr>
          <w:rFonts w:hint="eastAsia" w:ascii="楷体_GB2312" w:hAnsi="Calibri Light" w:eastAsia="楷体_GB2312"/>
          <w:b w:val="0"/>
          <w:bCs w:val="0"/>
          <w:sz w:val="32"/>
          <w:szCs w:val="32"/>
        </w:rPr>
        <w:t>传统产业赋能提升计划</w:t>
      </w:r>
      <w:bookmarkEnd w:id="266"/>
      <w:bookmarkEnd w:id="267"/>
      <w:bookmarkEnd w:id="268"/>
      <w:bookmarkEnd w:id="269"/>
      <w:bookmarkEnd w:id="270"/>
      <w:bookmarkEnd w:id="271"/>
      <w:bookmarkEnd w:id="272"/>
      <w:bookmarkEnd w:id="273"/>
      <w:bookmarkEnd w:id="274"/>
      <w:bookmarkEnd w:id="275"/>
    </w:p>
    <w:p>
      <w:pPr>
        <w:widowControl/>
        <w:spacing w:line="560" w:lineRule="exact"/>
        <w:ind w:firstLine="640" w:firstLineChars="200"/>
        <w:rPr>
          <w:rFonts w:ascii="仿宋_GB2312" w:hAnsi="Calibri" w:eastAsia="仿宋_GB2312"/>
          <w:color w:val="000000"/>
          <w:sz w:val="32"/>
          <w:szCs w:val="32"/>
        </w:rPr>
      </w:pPr>
      <w:r>
        <w:rPr>
          <w:rFonts w:ascii="仿宋_GB2312" w:hAnsi="Calibri" w:eastAsia="仿宋_GB2312"/>
          <w:color w:val="000000"/>
          <w:sz w:val="32"/>
          <w:szCs w:val="32"/>
        </w:rPr>
        <w:t>提升</w:t>
      </w:r>
      <w:r>
        <w:rPr>
          <w:rFonts w:hint="eastAsia" w:ascii="仿宋_GB2312" w:hAnsi="Calibri" w:eastAsia="仿宋_GB2312"/>
          <w:color w:val="000000"/>
          <w:sz w:val="32"/>
          <w:szCs w:val="32"/>
        </w:rPr>
        <w:t>温州</w:t>
      </w:r>
      <w:r>
        <w:rPr>
          <w:rFonts w:ascii="仿宋_GB2312" w:hAnsi="Calibri" w:eastAsia="仿宋_GB2312"/>
          <w:color w:val="000000"/>
          <w:sz w:val="32"/>
          <w:szCs w:val="32"/>
        </w:rPr>
        <w:t>传统制造业在国际产业分工和价值链</w:t>
      </w:r>
      <w:r>
        <w:rPr>
          <w:rFonts w:hint="eastAsia" w:ascii="仿宋_GB2312" w:hAnsi="Calibri" w:eastAsia="仿宋_GB2312"/>
          <w:color w:val="000000"/>
          <w:sz w:val="32"/>
          <w:szCs w:val="32"/>
        </w:rPr>
        <w:t>中的</w:t>
      </w:r>
      <w:r>
        <w:rPr>
          <w:rFonts w:ascii="仿宋_GB2312" w:hAnsi="Calibri" w:eastAsia="仿宋_GB2312"/>
          <w:color w:val="000000"/>
          <w:sz w:val="32"/>
          <w:szCs w:val="32"/>
        </w:rPr>
        <w:t>地位</w:t>
      </w:r>
      <w:r>
        <w:rPr>
          <w:rFonts w:hint="eastAsia" w:ascii="仿宋_GB2312" w:hAnsi="Calibri" w:eastAsia="仿宋_GB2312"/>
          <w:color w:val="000000"/>
          <w:sz w:val="32"/>
          <w:szCs w:val="32"/>
        </w:rPr>
        <w:t>，</w:t>
      </w:r>
      <w:r>
        <w:rPr>
          <w:rFonts w:ascii="仿宋_GB2312" w:hAnsi="Calibri" w:eastAsia="仿宋_GB2312"/>
          <w:color w:val="000000"/>
          <w:sz w:val="32"/>
          <w:szCs w:val="32"/>
        </w:rPr>
        <w:t>围绕</w:t>
      </w:r>
      <w:r>
        <w:rPr>
          <w:rFonts w:hint="eastAsia" w:ascii="仿宋_GB2312" w:hAnsi="Calibri" w:eastAsia="仿宋_GB2312"/>
          <w:color w:val="000000"/>
          <w:sz w:val="32"/>
          <w:szCs w:val="32"/>
        </w:rPr>
        <w:t>电气、汽车零部件、泵阀、印刷包装、眼镜、功能鞋、功能服装等</w:t>
      </w:r>
      <w:r>
        <w:rPr>
          <w:rFonts w:ascii="仿宋_GB2312" w:hAnsi="Calibri" w:eastAsia="仿宋_GB2312"/>
          <w:color w:val="000000"/>
          <w:sz w:val="32"/>
          <w:szCs w:val="32"/>
        </w:rPr>
        <w:t>领域开展关键核心技术攻关</w:t>
      </w:r>
      <w:r>
        <w:rPr>
          <w:rFonts w:hint="eastAsia" w:ascii="仿宋_GB2312" w:hAnsi="Calibri" w:eastAsia="仿宋_GB2312"/>
          <w:color w:val="000000"/>
          <w:sz w:val="32"/>
          <w:szCs w:val="32"/>
        </w:rPr>
        <w:t>，突破一批“杀手锏”技术，研制一批自主创新产品，推进传统制造业数字化、集群化、服务化转型。</w:t>
      </w:r>
    </w:p>
    <w:p>
      <w:pPr>
        <w:spacing w:line="480" w:lineRule="exact"/>
        <w:jc w:val="center"/>
        <w:rPr>
          <w:rFonts w:ascii="黑体" w:hAnsi="黑体" w:eastAsia="黑体" w:cs="黑体"/>
          <w:b w:val="0"/>
          <w:bCs w:val="0"/>
          <w:color w:val="000000"/>
          <w:sz w:val="28"/>
          <w:szCs w:val="28"/>
        </w:rPr>
      </w:pPr>
      <w:r>
        <w:rPr>
          <w:rFonts w:hint="eastAsia" w:ascii="黑体" w:hAnsi="黑体" w:eastAsia="黑体" w:cs="黑体"/>
          <w:b w:val="0"/>
          <w:bCs w:val="0"/>
          <w:color w:val="000000"/>
          <w:sz w:val="28"/>
          <w:szCs w:val="28"/>
        </w:rPr>
        <w:t>专栏</w:t>
      </w:r>
      <w:r>
        <w:rPr>
          <w:rFonts w:ascii="黑体" w:hAnsi="黑体" w:eastAsia="黑体" w:cs="黑体"/>
          <w:b w:val="0"/>
          <w:bCs w:val="0"/>
          <w:color w:val="000000"/>
          <w:sz w:val="28"/>
          <w:szCs w:val="28"/>
        </w:rPr>
        <w:t>5：传统产业赋能提升重点攻关技术</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tcPr>
          <w:p>
            <w:pPr>
              <w:pStyle w:val="30"/>
              <w:spacing w:line="480" w:lineRule="exact"/>
              <w:ind w:firstLine="482" w:firstLineChars="200"/>
              <w:rPr>
                <w:rFonts w:ascii="宋体" w:hAnsi="宋体" w:eastAsia="宋体" w:cs="宋体"/>
              </w:rPr>
            </w:pPr>
            <w:r>
              <w:rPr>
                <w:rFonts w:hint="eastAsia" w:ascii="宋体" w:hAnsi="宋体" w:eastAsia="宋体" w:cs="宋体"/>
                <w:b/>
                <w:bCs/>
              </w:rPr>
              <w:t>电气技术。</w:t>
            </w:r>
            <w:r>
              <w:rPr>
                <w:rFonts w:hint="eastAsia" w:ascii="宋体" w:hAnsi="宋体" w:eastAsia="宋体" w:cs="宋体"/>
              </w:rPr>
              <w:t>研发低压/高压交直流输变电装备、低压断路器智能微控制器、现场总线技术、继电器自动调试技术、接触器控制技术、真空断路器真空检测技术、无功补偿电容器容量配置技术、电子整机小型化、表面贴装、成型技术、基于物联网和数字孪生平台的先进设计和制造技术，开发智能电网、泛在电力物联网电气设备及相关软硬件，研发太阳能、风能发电设备及配套电气设施。</w:t>
            </w:r>
          </w:p>
          <w:p>
            <w:pPr>
              <w:pStyle w:val="30"/>
              <w:spacing w:line="480" w:lineRule="exact"/>
              <w:ind w:firstLine="482" w:firstLineChars="200"/>
              <w:rPr>
                <w:rFonts w:ascii="宋体" w:hAnsi="宋体" w:eastAsia="宋体" w:cs="宋体"/>
              </w:rPr>
            </w:pPr>
            <w:r>
              <w:rPr>
                <w:rFonts w:hint="eastAsia" w:ascii="宋体" w:hAnsi="宋体" w:eastAsia="宋体" w:cs="宋体"/>
                <w:b/>
                <w:bCs/>
              </w:rPr>
              <w:t>汽车零部件技术。</w:t>
            </w:r>
            <w:r>
              <w:rPr>
                <w:rFonts w:hint="eastAsia" w:ascii="宋体" w:hAnsi="宋体" w:eastAsia="宋体" w:cs="宋体"/>
              </w:rPr>
              <w:t>研发国Ⅵ以上排放标准的发动机、自动变速箱、无级变速器、电动及混合动力汽车动力模块，高级驾驶辅助及智能网联系统、汽车卫星导航系统，高效汽车空调系统、高安全性电子化制动系统和转向系统、独立悬挂系统、主动安全系统和汽车电子控制系统，高能量密度高可靠性动力电池、电池管理系统。</w:t>
            </w:r>
          </w:p>
          <w:p>
            <w:pPr>
              <w:pStyle w:val="30"/>
              <w:spacing w:line="480" w:lineRule="exact"/>
              <w:ind w:firstLine="482" w:firstLineChars="200"/>
              <w:rPr>
                <w:rFonts w:ascii="宋体" w:hAnsi="宋体" w:eastAsia="宋体" w:cs="宋体"/>
              </w:rPr>
            </w:pPr>
            <w:r>
              <w:rPr>
                <w:rFonts w:hint="eastAsia" w:ascii="宋体" w:hAnsi="宋体" w:eastAsia="宋体" w:cs="宋体"/>
                <w:b/>
                <w:bCs/>
              </w:rPr>
              <w:t>泵阀技术。</w:t>
            </w:r>
            <w:r>
              <w:rPr>
                <w:rFonts w:hint="eastAsia" w:ascii="宋体" w:hAnsi="宋体" w:eastAsia="宋体" w:cs="宋体"/>
              </w:rPr>
              <w:t>研发耐腐蚀、耐磨、耐高温、耐低温新材料以及行业共性技术工艺，开发模块化、轻量化、节能化和智能化泵产品。研发能够满足高温高压、零泄漏等极端工况使用要求的大型超（超）临界火电机组关键阀门、石油化工及煤化工阀门、核电站用关键阀门、天然气长输管线及液化天然气装置配套阀门等高附加值产品，以及具备在线监测、远程控制、故障诊断、失效保护等功能的高端智能化阀门新产品。</w:t>
            </w:r>
          </w:p>
          <w:p>
            <w:pPr>
              <w:pStyle w:val="30"/>
              <w:spacing w:line="480" w:lineRule="exact"/>
              <w:ind w:firstLine="482" w:firstLineChars="200"/>
              <w:rPr>
                <w:rFonts w:ascii="宋体" w:hAnsi="宋体" w:eastAsia="宋体" w:cs="宋体"/>
              </w:rPr>
            </w:pPr>
            <w:r>
              <w:rPr>
                <w:rFonts w:hint="eastAsia" w:ascii="宋体" w:hAnsi="宋体" w:eastAsia="宋体" w:cs="宋体"/>
                <w:b/>
                <w:bCs/>
              </w:rPr>
              <w:t>印刷包装机械技术。</w:t>
            </w:r>
            <w:r>
              <w:rPr>
                <w:rFonts w:hint="eastAsia" w:ascii="宋体" w:hAnsi="宋体" w:eastAsia="宋体" w:cs="宋体"/>
              </w:rPr>
              <w:t>研发高精度齿轮、高性能液压气压元件、高性能密封件、高精度高速电机及驱动系统、高性能直线电机、PC+运动控制器的开放式数控系统、高速EthCAT总线数字伺服驱动器、大中小功率数字PWM伺服驱动器、伺服电机编码器等关键零部件及嵌入式运动控制、视觉检测、机械制图/机械设计软件等技术。</w:t>
            </w:r>
          </w:p>
          <w:p>
            <w:pPr>
              <w:pStyle w:val="30"/>
              <w:spacing w:line="480" w:lineRule="exact"/>
              <w:ind w:firstLine="482" w:firstLineChars="200"/>
              <w:rPr>
                <w:rFonts w:ascii="宋体" w:hAnsi="宋体" w:eastAsia="宋体" w:cs="宋体"/>
              </w:rPr>
            </w:pPr>
            <w:r>
              <w:rPr>
                <w:rFonts w:hint="eastAsia" w:ascii="宋体" w:hAnsi="宋体" w:eastAsia="宋体" w:cs="宋体"/>
                <w:b/>
                <w:bCs/>
              </w:rPr>
              <w:t>眼镜技术。</w:t>
            </w:r>
            <w:r>
              <w:rPr>
                <w:rFonts w:hint="eastAsia" w:ascii="宋体" w:hAnsi="宋体" w:eastAsia="宋体" w:cs="宋体"/>
              </w:rPr>
              <w:t>研发等离子镜架抛光、铝合金表面粘接、冷喷涂+等离子喷涂、石墨烯涂层技术，开发镜架自动化制造装备、镜片质量自动化检测装备、光学薄膜在线缺陷检测系统、智能磨抛机器人等智能制造装备，以及智能眼镜及配套软硬件技术。</w:t>
            </w:r>
          </w:p>
          <w:p>
            <w:pPr>
              <w:pStyle w:val="30"/>
              <w:spacing w:line="480" w:lineRule="exact"/>
              <w:ind w:firstLine="482" w:firstLineChars="200"/>
              <w:rPr>
                <w:rFonts w:ascii="宋体" w:hAnsi="宋体" w:eastAsia="宋体" w:cs="宋体"/>
              </w:rPr>
            </w:pPr>
            <w:r>
              <w:rPr>
                <w:rFonts w:hint="eastAsia" w:ascii="宋体" w:hAnsi="宋体" w:eastAsia="宋体" w:cs="宋体"/>
                <w:b/>
                <w:bCs/>
              </w:rPr>
              <w:t>功能鞋技术。</w:t>
            </w:r>
            <w:r>
              <w:rPr>
                <w:rFonts w:hint="eastAsia" w:ascii="宋体" w:hAnsi="宋体" w:eastAsia="宋体" w:cs="宋体"/>
              </w:rPr>
              <w:t>研发用于防滑功能鞋的高性能止滑材料、基于纺织纤维的鞋面和鞋衬纳米复合材料、基于聚合物的鞋垫和鞋底纳米复合材料、散热或隔热鞋、防水或防火鞋、抑制微生物气味鞋、舒适度智能自适应鞋和防止静电积累鞋等各类功能鞋。</w:t>
            </w:r>
          </w:p>
          <w:p>
            <w:pPr>
              <w:pStyle w:val="30"/>
              <w:spacing w:line="480" w:lineRule="exact"/>
              <w:ind w:firstLine="482" w:firstLineChars="200"/>
            </w:pPr>
            <w:r>
              <w:rPr>
                <w:rFonts w:hint="eastAsia" w:ascii="宋体" w:hAnsi="宋体" w:eastAsia="宋体" w:cs="宋体"/>
                <w:b/>
                <w:bCs/>
              </w:rPr>
              <w:t>功能服装技术。</w:t>
            </w:r>
            <w:r>
              <w:rPr>
                <w:rFonts w:hint="eastAsia" w:ascii="宋体" w:hAnsi="宋体" w:eastAsia="宋体" w:cs="宋体"/>
              </w:rPr>
              <w:t>研发用于功能性服装的新型功能性纤维和高性能纤维产品、服装产业3D数字化服务平台、面向个体差异的快速设计与快速交付、工业设计云服务平台、基于大数据的批量定制、个性化定制等智能制造模式。</w:t>
            </w:r>
          </w:p>
        </w:tc>
      </w:tr>
    </w:tbl>
    <w:p>
      <w:pPr>
        <w:pStyle w:val="6"/>
        <w:spacing w:before="0" w:after="0" w:line="560" w:lineRule="exact"/>
        <w:ind w:firstLine="640" w:firstLineChars="200"/>
        <w:rPr>
          <w:rFonts w:ascii="楷体_GB2312" w:eastAsia="楷体_GB2312"/>
          <w:b w:val="0"/>
          <w:bCs w:val="0"/>
        </w:rPr>
      </w:pPr>
      <w:bookmarkStart w:id="276" w:name="_Toc29145"/>
      <w:bookmarkStart w:id="277" w:name="_Toc26272"/>
      <w:bookmarkStart w:id="278" w:name="_Toc32208"/>
      <w:bookmarkStart w:id="279" w:name="_Toc3843"/>
      <w:bookmarkStart w:id="280" w:name="_Toc24120"/>
      <w:bookmarkStart w:id="281" w:name="_Toc7748"/>
      <w:bookmarkStart w:id="282" w:name="_Toc11803"/>
      <w:bookmarkStart w:id="283" w:name="_Toc3273"/>
      <w:bookmarkStart w:id="284" w:name="_Toc13977"/>
      <w:r>
        <w:rPr>
          <w:rFonts w:hint="eastAsia" w:ascii="楷体_GB2312" w:hAnsi="Calibri Light" w:eastAsia="楷体_GB2312" w:cs="Times New Roman"/>
          <w:b w:val="0"/>
          <w:bCs w:val="0"/>
          <w:color w:val="auto"/>
          <w:kern w:val="2"/>
          <w:sz w:val="32"/>
          <w:szCs w:val="32"/>
        </w:rPr>
        <w:t>（三）实施前沿技术引领计划</w:t>
      </w:r>
      <w:bookmarkEnd w:id="276"/>
      <w:bookmarkEnd w:id="277"/>
      <w:bookmarkEnd w:id="278"/>
      <w:bookmarkEnd w:id="279"/>
      <w:bookmarkEnd w:id="280"/>
      <w:bookmarkEnd w:id="281"/>
      <w:bookmarkEnd w:id="282"/>
      <w:bookmarkEnd w:id="283"/>
      <w:bookmarkEnd w:id="284"/>
    </w:p>
    <w:p>
      <w:pPr>
        <w:spacing w:line="560" w:lineRule="exact"/>
        <w:ind w:firstLine="640" w:firstLineChars="200"/>
        <w:rPr>
          <w:rFonts w:ascii="仿宋_GB2312" w:hAnsi="Calibri" w:eastAsia="仿宋_GB2312"/>
          <w:color w:val="000000"/>
          <w:sz w:val="32"/>
          <w:szCs w:val="32"/>
        </w:rPr>
      </w:pPr>
      <w:r>
        <w:rPr>
          <w:rFonts w:hint="eastAsia" w:ascii="仿宋_GB2312" w:hAnsi="Calibri" w:eastAsia="仿宋_GB2312"/>
          <w:color w:val="000000"/>
          <w:sz w:val="32"/>
          <w:szCs w:val="32"/>
        </w:rPr>
        <w:t>按照“长远部署、系统推进”的原则，从已有优势和潜在优势出发，在光电材料与器件、通信材料与器件、新型显示、智慧化城市建设、重大疾病精准诊疗、高端医疗器械、海洋蓝色能源</w:t>
      </w:r>
      <w:r>
        <w:rPr>
          <w:rFonts w:ascii="仿宋_GB2312" w:hAnsi="Calibri" w:eastAsia="仿宋_GB2312"/>
          <w:color w:val="000000"/>
          <w:sz w:val="32"/>
          <w:szCs w:val="32"/>
        </w:rPr>
        <w:t>、</w:t>
      </w:r>
      <w:r>
        <w:rPr>
          <w:rFonts w:hint="eastAsia" w:ascii="仿宋_GB2312" w:hAnsi="Calibri" w:eastAsia="仿宋_GB2312"/>
          <w:color w:val="000000"/>
          <w:sz w:val="32"/>
          <w:szCs w:val="32"/>
        </w:rPr>
        <w:t>二氧化碳捕集与资源化</w:t>
      </w:r>
      <w:r>
        <w:rPr>
          <w:rFonts w:ascii="仿宋_GB2312" w:hAnsi="Calibri" w:eastAsia="仿宋_GB2312"/>
          <w:color w:val="000000"/>
          <w:sz w:val="32"/>
          <w:szCs w:val="32"/>
        </w:rPr>
        <w:t>等领域，</w:t>
      </w:r>
      <w:r>
        <w:rPr>
          <w:rFonts w:hint="eastAsia" w:ascii="仿宋_GB2312" w:hAnsi="Calibri" w:eastAsia="仿宋_GB2312"/>
          <w:color w:val="000000"/>
          <w:sz w:val="32"/>
          <w:szCs w:val="32"/>
        </w:rPr>
        <w:t>每年</w:t>
      </w:r>
      <w:r>
        <w:rPr>
          <w:rFonts w:ascii="仿宋_GB2312" w:hAnsi="Calibri" w:eastAsia="仿宋_GB2312"/>
          <w:color w:val="000000"/>
          <w:sz w:val="32"/>
          <w:szCs w:val="32"/>
        </w:rPr>
        <w:t>实施</w:t>
      </w:r>
      <w:r>
        <w:rPr>
          <w:rFonts w:hint="eastAsia" w:ascii="仿宋_GB2312" w:hAnsi="Calibri" w:eastAsia="仿宋_GB2312"/>
          <w:color w:val="000000"/>
          <w:sz w:val="32"/>
          <w:szCs w:val="32"/>
        </w:rPr>
        <w:t>一批</w:t>
      </w:r>
      <w:r>
        <w:rPr>
          <w:rFonts w:ascii="仿宋_GB2312" w:hAnsi="Calibri" w:eastAsia="仿宋_GB2312"/>
          <w:color w:val="000000"/>
          <w:sz w:val="32"/>
          <w:szCs w:val="32"/>
        </w:rPr>
        <w:t>重大引领性项目，</w:t>
      </w:r>
      <w:r>
        <w:rPr>
          <w:rFonts w:hint="eastAsia" w:ascii="仿宋_GB2312" w:hAnsi="Calibri" w:eastAsia="仿宋_GB2312"/>
          <w:color w:val="000000"/>
          <w:sz w:val="32"/>
          <w:szCs w:val="32"/>
        </w:rPr>
        <w:t>攻克一批具有颠覆性变革性的前沿技术，</w:t>
      </w:r>
      <w:r>
        <w:rPr>
          <w:rFonts w:ascii="仿宋_GB2312" w:hAnsi="Calibri" w:eastAsia="仿宋_GB2312"/>
          <w:color w:val="000000"/>
          <w:sz w:val="32"/>
          <w:szCs w:val="32"/>
        </w:rPr>
        <w:t>力争取得一批</w:t>
      </w:r>
      <w:r>
        <w:rPr>
          <w:rFonts w:hint="eastAsia" w:ascii="仿宋_GB2312" w:hAnsi="Calibri" w:eastAsia="仿宋_GB2312"/>
          <w:color w:val="000000"/>
          <w:sz w:val="32"/>
          <w:szCs w:val="32"/>
        </w:rPr>
        <w:t>在国际上</w:t>
      </w:r>
      <w:r>
        <w:rPr>
          <w:rFonts w:ascii="仿宋_GB2312" w:hAnsi="Calibri" w:eastAsia="仿宋_GB2312"/>
          <w:color w:val="000000"/>
          <w:sz w:val="32"/>
          <w:szCs w:val="32"/>
        </w:rPr>
        <w:t>具有</w:t>
      </w:r>
      <w:r>
        <w:rPr>
          <w:rFonts w:hint="eastAsia" w:ascii="仿宋_GB2312" w:hAnsi="Calibri" w:eastAsia="仿宋_GB2312"/>
          <w:color w:val="000000"/>
          <w:sz w:val="32"/>
          <w:szCs w:val="32"/>
        </w:rPr>
        <w:t>原创性和</w:t>
      </w:r>
      <w:r>
        <w:rPr>
          <w:rFonts w:ascii="仿宋_GB2312" w:hAnsi="Calibri" w:eastAsia="仿宋_GB2312"/>
          <w:color w:val="000000"/>
          <w:sz w:val="32"/>
          <w:szCs w:val="32"/>
        </w:rPr>
        <w:t>重大影响的标志性成果</w:t>
      </w:r>
      <w:r>
        <w:rPr>
          <w:rFonts w:hint="eastAsia" w:ascii="仿宋_GB2312" w:hAnsi="Calibri" w:eastAsia="仿宋_GB2312"/>
          <w:color w:val="000000"/>
          <w:sz w:val="32"/>
          <w:szCs w:val="32"/>
        </w:rPr>
        <w:t>，抢占未来产业发展先机</w:t>
      </w:r>
      <w:r>
        <w:rPr>
          <w:rFonts w:ascii="仿宋_GB2312" w:hAnsi="Calibri" w:eastAsia="仿宋_GB2312"/>
          <w:color w:val="000000"/>
          <w:sz w:val="32"/>
          <w:szCs w:val="32"/>
        </w:rPr>
        <w:t>。</w:t>
      </w:r>
    </w:p>
    <w:p>
      <w:pPr>
        <w:spacing w:line="480" w:lineRule="exact"/>
        <w:jc w:val="center"/>
        <w:rPr>
          <w:rFonts w:ascii="黑体" w:hAnsi="黑体" w:eastAsia="黑体" w:cs="黑体"/>
          <w:b w:val="0"/>
          <w:bCs w:val="0"/>
          <w:color w:val="000000"/>
          <w:sz w:val="28"/>
          <w:szCs w:val="28"/>
        </w:rPr>
      </w:pPr>
      <w:r>
        <w:rPr>
          <w:rFonts w:hint="eastAsia" w:ascii="黑体" w:hAnsi="黑体" w:eastAsia="黑体" w:cs="黑体"/>
          <w:b w:val="0"/>
          <w:bCs w:val="0"/>
          <w:color w:val="000000"/>
          <w:sz w:val="28"/>
          <w:szCs w:val="28"/>
        </w:rPr>
        <w:t>专栏</w:t>
      </w:r>
      <w:r>
        <w:rPr>
          <w:rFonts w:ascii="黑体" w:hAnsi="黑体" w:eastAsia="黑体" w:cs="黑体"/>
          <w:b w:val="0"/>
          <w:bCs w:val="0"/>
          <w:color w:val="000000"/>
          <w:sz w:val="28"/>
          <w:szCs w:val="28"/>
        </w:rPr>
        <w:t>6：前沿技术引领重点攻关技术</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tcPr>
          <w:p>
            <w:pPr>
              <w:pStyle w:val="30"/>
              <w:spacing w:line="480" w:lineRule="exact"/>
              <w:ind w:firstLine="482" w:firstLineChars="200"/>
              <w:rPr>
                <w:rFonts w:ascii="宋体" w:hAnsi="宋体" w:eastAsia="宋体" w:cs="宋体"/>
                <w:b/>
                <w:bCs/>
              </w:rPr>
            </w:pPr>
            <w:r>
              <w:rPr>
                <w:rFonts w:hint="eastAsia" w:ascii="宋体" w:hAnsi="宋体" w:eastAsia="宋体" w:cs="宋体"/>
                <w:b/>
                <w:bCs/>
              </w:rPr>
              <w:t>光电材料与器件。</w:t>
            </w:r>
            <w:r>
              <w:rPr>
                <w:rFonts w:hint="eastAsia" w:ascii="宋体" w:hAnsi="宋体" w:eastAsia="宋体" w:cs="宋体"/>
              </w:rPr>
              <w:t>面向医疗影像、智能传感、5G通讯等应用领域，发挥光电材料和器件的先导和基础作用，建立光电新材料和新器件的制备、表征与应用平台，重点开展辐照检测与成像、红外探测与成像、发光与显示、新型敏感陶瓷与传感材料等方向的关键材料与器件研究。</w:t>
            </w:r>
          </w:p>
          <w:p>
            <w:pPr>
              <w:pStyle w:val="30"/>
              <w:spacing w:line="480" w:lineRule="exact"/>
              <w:ind w:firstLine="482" w:firstLineChars="200"/>
              <w:jc w:val="both"/>
              <w:rPr>
                <w:rFonts w:ascii="宋体" w:hAnsi="宋体" w:eastAsia="宋体" w:cs="宋体"/>
              </w:rPr>
            </w:pPr>
            <w:r>
              <w:rPr>
                <w:rFonts w:hint="eastAsia" w:ascii="宋体" w:hAnsi="宋体" w:eastAsia="宋体" w:cs="宋体"/>
                <w:b/>
                <w:bCs/>
              </w:rPr>
              <w:t>通信材料与器件。</w:t>
            </w:r>
            <w:r>
              <w:rPr>
                <w:rFonts w:hint="eastAsia" w:ascii="宋体" w:hAnsi="宋体" w:eastAsia="宋体" w:cs="宋体"/>
              </w:rPr>
              <w:t>面向5G和6G通信、智能汽车驾驶、VR/AR、大功率激光器、智慧城市等应用领域，开展关键通信材料与器件的研究，重点突破5G基站用微波天线、微波滤波器、环形器、LTCC材料及无源集成器件、微波超材料、微波PCB、透明激光增益介质材料、压电铁电材料的高端制造技术。</w:t>
            </w:r>
          </w:p>
          <w:p>
            <w:pPr>
              <w:pStyle w:val="30"/>
              <w:spacing w:line="480" w:lineRule="exact"/>
              <w:ind w:firstLine="482" w:firstLineChars="200"/>
              <w:jc w:val="both"/>
              <w:rPr>
                <w:rFonts w:ascii="宋体" w:hAnsi="宋体" w:eastAsia="宋体" w:cs="宋体"/>
              </w:rPr>
            </w:pPr>
            <w:r>
              <w:rPr>
                <w:rFonts w:hint="eastAsia" w:ascii="宋体" w:hAnsi="宋体" w:eastAsia="宋体" w:cs="宋体"/>
                <w:b/>
                <w:bCs/>
              </w:rPr>
              <w:t>新型显示技术。</w:t>
            </w:r>
            <w:r>
              <w:rPr>
                <w:rFonts w:hint="eastAsia" w:ascii="宋体" w:hAnsi="宋体" w:eastAsia="宋体" w:cs="宋体"/>
              </w:rPr>
              <w:t>研发新型高光效发光材料及其低成本大规模制备，印刷用发光墨水，大面积光转换膜，高性能LED器件及其柔性衬底集成，光泵浦、电泵浦激光等技术；研究发光材料结晶动力学，激子高效复合动力学，LED器件工作、老化机理等关键科学问题。</w:t>
            </w:r>
          </w:p>
          <w:p>
            <w:pPr>
              <w:pStyle w:val="30"/>
              <w:spacing w:line="480" w:lineRule="exact"/>
              <w:ind w:firstLine="482" w:firstLineChars="200"/>
              <w:jc w:val="both"/>
              <w:rPr>
                <w:rFonts w:ascii="宋体" w:hAnsi="宋体" w:eastAsia="宋体" w:cs="宋体"/>
              </w:rPr>
            </w:pPr>
            <w:r>
              <w:rPr>
                <w:rFonts w:hint="eastAsia" w:ascii="宋体" w:hAnsi="宋体" w:eastAsia="宋体" w:cs="宋体"/>
                <w:b/>
                <w:bCs/>
              </w:rPr>
              <w:t>智慧化城市建设。</w:t>
            </w:r>
            <w:r>
              <w:rPr>
                <w:rFonts w:hint="eastAsia" w:ascii="宋体" w:hAnsi="宋体" w:eastAsia="宋体" w:cs="宋体"/>
              </w:rPr>
              <w:t>聚焦智慧城市建设全流程数据感知、建模和优化分配，研发基于群智感知数据的城市信息收集方法、探索动态及多层混合的城市结构网络模型，建立精细化、智能化的资源调度策略，为智慧城市建设提供解决方案。</w:t>
            </w:r>
          </w:p>
          <w:p>
            <w:pPr>
              <w:pStyle w:val="30"/>
              <w:spacing w:line="480" w:lineRule="exact"/>
              <w:ind w:firstLine="482" w:firstLineChars="200"/>
              <w:jc w:val="both"/>
              <w:rPr>
                <w:rFonts w:ascii="宋体" w:hAnsi="宋体" w:eastAsia="宋体" w:cs="宋体"/>
              </w:rPr>
            </w:pPr>
            <w:r>
              <w:rPr>
                <w:rFonts w:hint="eastAsia" w:ascii="宋体" w:hAnsi="宋体" w:eastAsia="宋体" w:cs="宋体"/>
                <w:b/>
                <w:bCs/>
              </w:rPr>
              <w:t>重大疾病精准诊疗。</w:t>
            </w:r>
            <w:r>
              <w:rPr>
                <w:rFonts w:hint="eastAsia" w:ascii="宋体" w:hAnsi="宋体" w:eastAsia="宋体" w:cs="宋体"/>
              </w:rPr>
              <w:t>围绕组织器官再生与重塑、眼疾病与视觉功能康复、脑疾病与认知功能康复、新型癌症诊疗等重点领域，开展内源性细胞生长因子时空调控网络，细胞生长因子突变文库和高通量筛选体系，重大眼病的基因和干细胞治疗，眼-全脑连接图谱，基于遗传、环境和生物标志物的阿尔茨海默病发病机制，低成本高效癌症早筛技术，伴随诊断技术，新型非侵入癌症组织溯源技术，人工智能多组学大数据分析技术，免疫调控生物材料等研究。</w:t>
            </w:r>
          </w:p>
          <w:p>
            <w:pPr>
              <w:pStyle w:val="30"/>
              <w:spacing w:line="480" w:lineRule="exact"/>
              <w:ind w:firstLine="482" w:firstLineChars="200"/>
              <w:jc w:val="both"/>
              <w:rPr>
                <w:rFonts w:ascii="宋体" w:hAnsi="宋体" w:eastAsia="宋体" w:cs="宋体"/>
              </w:rPr>
            </w:pPr>
            <w:r>
              <w:rPr>
                <w:rFonts w:hint="eastAsia" w:ascii="宋体" w:hAnsi="宋体" w:eastAsia="宋体" w:cs="宋体"/>
                <w:b/>
                <w:bCs/>
              </w:rPr>
              <w:t>高端医疗器械。</w:t>
            </w:r>
            <w:r>
              <w:rPr>
                <w:rFonts w:hint="eastAsia" w:ascii="宋体" w:hAnsi="宋体" w:eastAsia="宋体" w:cs="宋体"/>
              </w:rPr>
              <w:t>围绕体外检测设备、数字医学影像和诊断设备、生物医疗机器人、植介入产品等重点领域，聚焦新材料、自动化、人工智能等维度，研发体外检测诊断、高端医疗成像、植入式治疗器件等医疗系统，研发具有特定光学响应的软材料光学原器件和医用材料，设计具有抗黏附、低摩擦、耐摩擦、抗菌、抗凝血或药物可控释放的多功能凝胶涂层材料，研发能适应制备医疗器械表面功能涂层的设备和工艺方法，研发自驱动医疗传感技术、人工智能分子生物传感技术等。</w:t>
            </w:r>
          </w:p>
          <w:p>
            <w:pPr>
              <w:pStyle w:val="30"/>
              <w:spacing w:line="480" w:lineRule="exact"/>
              <w:ind w:firstLine="482" w:firstLineChars="200"/>
              <w:jc w:val="both"/>
              <w:rPr>
                <w:rFonts w:ascii="宋体" w:hAnsi="宋体" w:eastAsia="宋体" w:cs="宋体"/>
              </w:rPr>
            </w:pPr>
            <w:r>
              <w:rPr>
                <w:rFonts w:hint="eastAsia" w:ascii="宋体" w:hAnsi="宋体" w:eastAsia="宋体" w:cs="宋体"/>
                <w:b/>
                <w:bCs/>
              </w:rPr>
              <w:t>海洋蓝色能源技术。</w:t>
            </w:r>
            <w:r>
              <w:rPr>
                <w:rFonts w:hint="eastAsia" w:ascii="宋体" w:hAnsi="宋体" w:eastAsia="宋体" w:cs="宋体"/>
              </w:rPr>
              <w:t>研发基于纳米发电机的海洋能发电网络装置，大规模高效收集波浪能、潮汐能等能源。研发高性能摩擦电材料批量制备技术、发电机防水防腐封装技术、海洋流固耦合动力学技术、直流输出的器件阵列化系统集成技术、纳米发电机匹配型电源管理与存储技术、专用测试技术，开发专用科研仪器装备。</w:t>
            </w:r>
          </w:p>
          <w:p>
            <w:pPr>
              <w:pStyle w:val="30"/>
              <w:spacing w:line="480" w:lineRule="exact"/>
              <w:ind w:firstLine="482" w:firstLineChars="200"/>
              <w:rPr>
                <w:rFonts w:ascii="仿宋_GB2312" w:hAnsi="Calibri" w:eastAsia="仿宋_GB2312" w:cs="Times New Roman"/>
                <w:b/>
                <w:bCs/>
              </w:rPr>
            </w:pPr>
            <w:r>
              <w:rPr>
                <w:rFonts w:hint="eastAsia" w:ascii="宋体" w:hAnsi="宋体" w:eastAsia="宋体" w:cs="宋体"/>
                <w:b/>
                <w:bCs/>
              </w:rPr>
              <w:t>二氧化碳捕集与资源化技术。</w:t>
            </w:r>
            <w:r>
              <w:rPr>
                <w:rFonts w:hint="eastAsia" w:ascii="宋体" w:hAnsi="宋体" w:eastAsia="宋体" w:cs="宋体"/>
              </w:rPr>
              <w:t>研发从空气中污染物处理的废气中捕获二氧化碳的高效分离膜技术，研发二氧化碳环化加成催化剂体系，实现二氧化碳的捕集-资源化一体化，为碳中和及碳达峰国家战略提供技术支撑。</w:t>
            </w:r>
          </w:p>
        </w:tc>
      </w:tr>
    </w:tbl>
    <w:p>
      <w:pPr>
        <w:pStyle w:val="5"/>
        <w:spacing w:line="560" w:lineRule="exact"/>
        <w:rPr>
          <w:bCs/>
          <w:color w:val="000000"/>
        </w:rPr>
      </w:pPr>
      <w:bookmarkStart w:id="285" w:name="_Toc18629"/>
      <w:bookmarkStart w:id="286" w:name="_Toc6681"/>
      <w:bookmarkStart w:id="287" w:name="_Toc23088"/>
      <w:bookmarkStart w:id="288" w:name="_Toc27047"/>
      <w:bookmarkStart w:id="289" w:name="_Toc13206"/>
      <w:bookmarkStart w:id="290" w:name="_Toc12376"/>
      <w:bookmarkStart w:id="291" w:name="_Toc609"/>
      <w:bookmarkStart w:id="292" w:name="_Toc57043404"/>
      <w:bookmarkStart w:id="293" w:name="_Toc17043"/>
      <w:bookmarkStart w:id="294" w:name="_Toc15114"/>
      <w:r>
        <w:rPr>
          <w:rFonts w:hint="eastAsia"/>
          <w:bCs/>
          <w:color w:val="000000"/>
        </w:rPr>
        <w:t>七、实施科技成果转化应用工程，建立健全技术转移体系</w:t>
      </w:r>
      <w:bookmarkEnd w:id="285"/>
      <w:bookmarkEnd w:id="286"/>
      <w:bookmarkEnd w:id="287"/>
      <w:bookmarkEnd w:id="288"/>
      <w:bookmarkEnd w:id="289"/>
      <w:bookmarkEnd w:id="290"/>
      <w:bookmarkEnd w:id="291"/>
      <w:bookmarkEnd w:id="292"/>
      <w:bookmarkEnd w:id="293"/>
      <w:bookmarkEnd w:id="294"/>
    </w:p>
    <w:p>
      <w:pPr>
        <w:pStyle w:val="5"/>
        <w:spacing w:before="0" w:after="0" w:line="560" w:lineRule="exact"/>
        <w:ind w:firstLine="640" w:firstLineChars="200"/>
        <w:rPr>
          <w:rFonts w:ascii="楷体_GB2312" w:eastAsia="楷体_GB2312"/>
        </w:rPr>
      </w:pPr>
      <w:bookmarkStart w:id="295" w:name="_Toc29681"/>
      <w:bookmarkStart w:id="296" w:name="_Toc20028"/>
      <w:bookmarkStart w:id="297" w:name="_Toc14542"/>
      <w:bookmarkStart w:id="298" w:name="_Toc20390"/>
      <w:bookmarkStart w:id="299" w:name="_Toc29454"/>
      <w:bookmarkStart w:id="300" w:name="_Toc18781"/>
      <w:bookmarkStart w:id="301" w:name="_Toc15052"/>
      <w:bookmarkStart w:id="302" w:name="_Toc19961"/>
      <w:bookmarkStart w:id="303" w:name="_Toc32547"/>
      <w:r>
        <w:rPr>
          <w:rFonts w:hint="eastAsia" w:ascii="楷体_GB2312" w:hAnsi="Calibri Light" w:eastAsia="楷体_GB2312" w:cs="Times New Roman"/>
          <w:b w:val="0"/>
          <w:bCs w:val="0"/>
        </w:rPr>
        <w:t>（一）完善技术要素市场化配置机制</w:t>
      </w:r>
      <w:bookmarkEnd w:id="295"/>
      <w:bookmarkEnd w:id="296"/>
      <w:bookmarkEnd w:id="297"/>
      <w:bookmarkEnd w:id="298"/>
      <w:bookmarkEnd w:id="299"/>
      <w:bookmarkEnd w:id="300"/>
      <w:bookmarkEnd w:id="301"/>
      <w:bookmarkEnd w:id="302"/>
      <w:bookmarkEnd w:id="303"/>
    </w:p>
    <w:p>
      <w:pPr>
        <w:spacing w:line="56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深化科技成果处置权和收益权改革，赋予市属高校、科研院所科研人员职务成果所有权和长期使用权。支持重大技术装备、重点新材料等领域的自主知识产权市场化运营。完善科技创新资源配置方式。完善科研成果评价制度，建立健全科技成果常态化路演和科技创新咨询制度。改革科研成果管理制度，完善技术成果转化公开交易与监管体系，创新完善科技成果转移转化利益分配机制。复制推广“定向服务、定向研发、定向转化”研发转化机制，鼓励高校、科研院所以市场需求为导向，研发团队全程参与企业技术攻关和成果转化，帮助企业突破发展急需的关键技术。</w:t>
      </w:r>
    </w:p>
    <w:p>
      <w:pPr>
        <w:pStyle w:val="6"/>
        <w:spacing w:before="0" w:after="0" w:line="560" w:lineRule="exact"/>
        <w:ind w:firstLine="640" w:firstLineChars="200"/>
        <w:rPr>
          <w:rFonts w:ascii="楷体_GB2312" w:eastAsia="楷体_GB2312"/>
          <w:b w:val="0"/>
          <w:bCs w:val="0"/>
        </w:rPr>
      </w:pPr>
      <w:bookmarkStart w:id="304" w:name="_Toc30924"/>
      <w:bookmarkStart w:id="305" w:name="_Toc15152"/>
      <w:bookmarkStart w:id="306" w:name="_Toc11867"/>
      <w:bookmarkStart w:id="307" w:name="_Toc19537"/>
      <w:bookmarkStart w:id="308" w:name="_Toc13859"/>
      <w:bookmarkStart w:id="309" w:name="_Toc15163"/>
      <w:bookmarkStart w:id="310" w:name="_Toc5095"/>
      <w:bookmarkStart w:id="311" w:name="_Toc27547"/>
      <w:bookmarkStart w:id="312" w:name="_Toc2914"/>
      <w:r>
        <w:rPr>
          <w:rFonts w:hint="eastAsia" w:ascii="楷体_GB2312" w:eastAsia="楷体_GB2312"/>
          <w:b w:val="0"/>
          <w:bCs w:val="0"/>
        </w:rPr>
        <w:t>（二）加快科技服务体系建设</w:t>
      </w:r>
      <w:bookmarkEnd w:id="304"/>
      <w:bookmarkEnd w:id="305"/>
      <w:bookmarkEnd w:id="306"/>
      <w:bookmarkEnd w:id="307"/>
      <w:bookmarkEnd w:id="308"/>
      <w:bookmarkEnd w:id="309"/>
      <w:bookmarkEnd w:id="310"/>
      <w:bookmarkEnd w:id="311"/>
      <w:bookmarkEnd w:id="312"/>
    </w:p>
    <w:p>
      <w:pPr>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加快科技服务业发展，繁荣技术市场，建设3.0版网上技术市场，打响温州拍品牌，打造线上线下一体化科技大市场。督促高校、科研机构和科技企业设立技术转移部门，提升技术服务机构能力建设，培育集聚一批技术交易、咨询评估、科技金融、研发设计、知识产权等重点科技中介服务机构，加快科技成果转化中试基地和服务平台建设，形成一站式科技成果转移转化的产业创新服务链。探索技术经理人职称改革等新培养模式和激励政策，加强技术转移管理人员、技术经纪人、技术经理人等技术转移人才队伍建设。加快国家科技成果转移转化示范区建设，着力培育一批专业化、服务能力强的技术转移转化机构。规划建设温州国际科技成果转移转化中心（世界温州人科技成果转移转化中心）。加强军民融合创新，完善科技军民融合发展机制，探索温州特色的两用技术成果转化体系。探索完善“众创空间—科技企业孵化器—科创园”孵化链条，打造一批专业化科技企业孵化器、众创空间和星创天地，推动众创空间、孵化器成为科技型企业的摇篮。到2025年，省级以上孵化器和众创空间累计达到100家，科创园达到30家。</w:t>
      </w:r>
    </w:p>
    <w:p>
      <w:pPr>
        <w:pStyle w:val="6"/>
        <w:spacing w:before="0" w:after="0" w:line="560" w:lineRule="exact"/>
        <w:ind w:firstLine="640" w:firstLineChars="200"/>
        <w:jc w:val="left"/>
        <w:rPr>
          <w:rFonts w:ascii="楷体_GB2312" w:eastAsia="楷体_GB2312"/>
          <w:b w:val="0"/>
          <w:bCs w:val="0"/>
        </w:rPr>
      </w:pPr>
      <w:bookmarkStart w:id="313" w:name="_Toc22490"/>
      <w:bookmarkStart w:id="314" w:name="_Toc4463"/>
      <w:bookmarkStart w:id="315" w:name="_Toc31236"/>
      <w:bookmarkStart w:id="316" w:name="_Toc29854"/>
      <w:bookmarkStart w:id="317" w:name="_Toc27879"/>
      <w:bookmarkStart w:id="318" w:name="_Toc5071"/>
      <w:bookmarkStart w:id="319" w:name="_Toc6852"/>
      <w:bookmarkStart w:id="320" w:name="_Toc15142"/>
      <w:bookmarkStart w:id="321" w:name="_Toc28825"/>
      <w:r>
        <w:rPr>
          <w:rFonts w:hint="eastAsia" w:ascii="楷体_GB2312" w:eastAsia="楷体_GB2312"/>
          <w:b w:val="0"/>
          <w:bCs w:val="0"/>
        </w:rPr>
        <w:t>（三）加快推动科技成果落地转化</w:t>
      </w:r>
      <w:bookmarkEnd w:id="313"/>
      <w:bookmarkEnd w:id="314"/>
      <w:bookmarkEnd w:id="315"/>
      <w:bookmarkEnd w:id="316"/>
      <w:bookmarkEnd w:id="317"/>
      <w:bookmarkEnd w:id="318"/>
      <w:bookmarkEnd w:id="319"/>
      <w:bookmarkEnd w:id="320"/>
      <w:bookmarkEnd w:id="321"/>
    </w:p>
    <w:p>
      <w:pPr>
        <w:spacing w:line="560" w:lineRule="exact"/>
        <w:ind w:firstLine="640" w:firstLineChars="200"/>
        <w:jc w:val="left"/>
        <w:rPr>
          <w:rFonts w:ascii="仿宋_GB2312" w:hAnsi="仿宋" w:eastAsia="仿宋_GB2312" w:cs="仿宋"/>
          <w:color w:val="000000"/>
          <w:szCs w:val="32"/>
        </w:rPr>
      </w:pPr>
      <w:r>
        <w:rPr>
          <w:rFonts w:hint="eastAsia" w:ascii="仿宋_GB2312" w:hAnsi="仿宋" w:eastAsia="仿宋_GB2312" w:cs="仿宋"/>
          <w:color w:val="000000"/>
          <w:sz w:val="32"/>
          <w:szCs w:val="32"/>
        </w:rPr>
        <w:t>探索建立成果转化扶持专项。实施千项授权发明专利产业化工程，扶持鼓励企业加快推动已授权发明专利落地转化，面向企业评选一批重大贡献专利成果，讲好企业创新故事，以示范引领激励企业推动成果转化的主动性和积极性。深化科技成果使用权、处置权和收益权改革，开展赋予科研人员职务科技成果所有权或长期使用权试点。进一步落实国家有关科技成果转化的政策，激励高校和科研机构科技人员进行科技成果转化的积极性。</w:t>
      </w:r>
    </w:p>
    <w:p>
      <w:pPr>
        <w:pStyle w:val="5"/>
        <w:spacing w:line="560" w:lineRule="exact"/>
        <w:rPr>
          <w:bCs/>
          <w:color w:val="000000"/>
        </w:rPr>
      </w:pPr>
      <w:bookmarkStart w:id="322" w:name="_Toc5121"/>
      <w:bookmarkStart w:id="323" w:name="_Toc31694"/>
      <w:bookmarkStart w:id="324" w:name="_Toc31381"/>
      <w:bookmarkStart w:id="325" w:name="_Toc24446"/>
      <w:bookmarkStart w:id="326" w:name="_Toc19137"/>
      <w:bookmarkStart w:id="327" w:name="_Toc3134"/>
      <w:bookmarkStart w:id="328" w:name="_Toc57043405"/>
      <w:bookmarkStart w:id="329" w:name="_Toc10387"/>
      <w:bookmarkStart w:id="330" w:name="_Toc9127"/>
      <w:bookmarkStart w:id="331" w:name="_Toc15119"/>
      <w:r>
        <w:rPr>
          <w:rFonts w:hint="eastAsia"/>
          <w:bCs/>
          <w:color w:val="000000"/>
        </w:rPr>
        <w:t>八、实施品质生活科技赋能工程，提升人民群众获得感</w:t>
      </w:r>
      <w:bookmarkEnd w:id="322"/>
      <w:bookmarkEnd w:id="323"/>
      <w:bookmarkEnd w:id="324"/>
      <w:bookmarkEnd w:id="325"/>
      <w:bookmarkEnd w:id="326"/>
      <w:bookmarkEnd w:id="327"/>
      <w:bookmarkEnd w:id="328"/>
      <w:bookmarkEnd w:id="329"/>
      <w:bookmarkEnd w:id="330"/>
      <w:bookmarkEnd w:id="331"/>
    </w:p>
    <w:p>
      <w:pPr>
        <w:pStyle w:val="6"/>
        <w:spacing w:before="0" w:after="0" w:line="560" w:lineRule="exact"/>
        <w:ind w:firstLine="640" w:firstLineChars="200"/>
        <w:rPr>
          <w:rFonts w:ascii="楷体_GB2312" w:eastAsia="楷体_GB2312"/>
          <w:b w:val="0"/>
          <w:bCs w:val="0"/>
        </w:rPr>
      </w:pPr>
      <w:bookmarkStart w:id="332" w:name="_Toc28315"/>
      <w:bookmarkStart w:id="333" w:name="_Toc18026"/>
      <w:bookmarkStart w:id="334" w:name="_Toc10101"/>
      <w:bookmarkStart w:id="335" w:name="_Toc8071"/>
      <w:bookmarkStart w:id="336" w:name="_Toc20780"/>
      <w:bookmarkStart w:id="337" w:name="_Toc4148"/>
      <w:bookmarkStart w:id="338" w:name="_Toc20340"/>
      <w:bookmarkStart w:id="339" w:name="_Toc29408"/>
      <w:bookmarkStart w:id="340" w:name="_Toc24045"/>
      <w:r>
        <w:rPr>
          <w:rFonts w:hint="eastAsia" w:ascii="楷体_GB2312" w:eastAsia="楷体_GB2312"/>
          <w:b w:val="0"/>
          <w:bCs w:val="0"/>
        </w:rPr>
        <w:t>（一）全面支撑乡村振兴</w:t>
      </w:r>
      <w:bookmarkEnd w:id="332"/>
      <w:bookmarkEnd w:id="333"/>
      <w:bookmarkEnd w:id="334"/>
      <w:bookmarkEnd w:id="335"/>
      <w:bookmarkEnd w:id="336"/>
      <w:bookmarkEnd w:id="337"/>
      <w:bookmarkEnd w:id="338"/>
      <w:bookmarkEnd w:id="339"/>
      <w:bookmarkEnd w:id="340"/>
    </w:p>
    <w:p>
      <w:pPr>
        <w:spacing w:line="560" w:lineRule="exact"/>
        <w:ind w:firstLine="640" w:firstLineChars="200"/>
        <w:rPr>
          <w:rFonts w:ascii="仿宋_GB2312" w:hAnsi="华文仿宋" w:eastAsia="仿宋_GB2312" w:cs="华文仿宋"/>
          <w:color w:val="000000"/>
          <w:sz w:val="32"/>
          <w:szCs w:val="32"/>
        </w:rPr>
      </w:pPr>
      <w:r>
        <w:rPr>
          <w:rFonts w:hint="eastAsia" w:ascii="Calibri" w:hAnsi="Calibri" w:eastAsia="仿宋_GB2312"/>
          <w:snapToGrid w:val="0"/>
          <w:color w:val="000000"/>
          <w:kern w:val="0"/>
          <w:sz w:val="32"/>
          <w:szCs w:val="32"/>
        </w:rPr>
        <w:t>加</w:t>
      </w:r>
      <w:r>
        <w:rPr>
          <w:rFonts w:ascii="Calibri" w:hAnsi="Calibri" w:eastAsia="仿宋_GB2312"/>
          <w:snapToGrid w:val="0"/>
          <w:color w:val="000000"/>
          <w:kern w:val="0"/>
          <w:sz w:val="32"/>
          <w:szCs w:val="32"/>
        </w:rPr>
        <w:t>快国家级农业科技园区发展，</w:t>
      </w:r>
      <w:r>
        <w:rPr>
          <w:rFonts w:hint="eastAsia" w:ascii="Calibri" w:hAnsi="Calibri" w:eastAsia="仿宋_GB2312"/>
          <w:snapToGrid w:val="0"/>
          <w:color w:val="000000"/>
          <w:kern w:val="0"/>
          <w:sz w:val="32"/>
          <w:szCs w:val="32"/>
        </w:rPr>
        <w:t>推进</w:t>
      </w:r>
      <w:r>
        <w:rPr>
          <w:rFonts w:ascii="Calibri" w:hAnsi="Calibri" w:eastAsia="仿宋_GB2312"/>
          <w:snapToGrid w:val="0"/>
          <w:color w:val="000000"/>
          <w:kern w:val="0"/>
          <w:sz w:val="32"/>
          <w:szCs w:val="32"/>
        </w:rPr>
        <w:t>管理体制机制创新、科技支撑能力建设、科技创业孵化发展</w:t>
      </w:r>
      <w:r>
        <w:rPr>
          <w:rFonts w:hint="eastAsia" w:ascii="Calibri" w:hAnsi="Calibri" w:eastAsia="仿宋_GB2312"/>
          <w:bCs/>
          <w:color w:val="000000"/>
          <w:spacing w:val="-2"/>
          <w:sz w:val="32"/>
          <w:szCs w:val="32"/>
        </w:rPr>
        <w:t>，设立面向市内外科研院所、高校、企业的“浙江温州国家农业科技园区开放性项目”，发挥科技创新引领作用。</w:t>
      </w:r>
      <w:r>
        <w:rPr>
          <w:rFonts w:ascii="Calibri" w:hAnsi="Calibri" w:eastAsia="仿宋_GB2312"/>
          <w:bCs/>
          <w:color w:val="000000"/>
          <w:spacing w:val="-2"/>
          <w:sz w:val="32"/>
          <w:szCs w:val="32"/>
        </w:rPr>
        <w:t>加</w:t>
      </w:r>
      <w:r>
        <w:rPr>
          <w:rFonts w:hint="eastAsia" w:ascii="仿宋_GB2312" w:hAnsi="华文仿宋" w:eastAsia="仿宋_GB2312" w:cs="华文仿宋"/>
          <w:color w:val="000000"/>
          <w:sz w:val="32"/>
          <w:szCs w:val="32"/>
        </w:rPr>
        <w:t>大农业科技创新载体建设，统筹推进省农业科技园区、星创天地、省重点农业企业研究院建设</w:t>
      </w:r>
      <w:r>
        <w:rPr>
          <w:rFonts w:hint="eastAsia" w:eastAsia="仿宋_GB2312"/>
          <w:color w:val="000000"/>
          <w:kern w:val="0"/>
          <w:sz w:val="32"/>
          <w:szCs w:val="32"/>
        </w:rPr>
        <w:t>，</w:t>
      </w:r>
      <w:r>
        <w:rPr>
          <w:rFonts w:eastAsia="仿宋_GB2312"/>
          <w:color w:val="000000"/>
          <w:kern w:val="0"/>
          <w:sz w:val="32"/>
          <w:szCs w:val="32"/>
        </w:rPr>
        <w:t>增强农业创新平台服务和支撑能力</w:t>
      </w:r>
      <w:r>
        <w:rPr>
          <w:rFonts w:hint="eastAsia" w:ascii="仿宋_GB2312" w:hAnsi="华文仿宋" w:eastAsia="仿宋_GB2312" w:cs="华文仿宋"/>
          <w:color w:val="000000"/>
          <w:sz w:val="32"/>
          <w:szCs w:val="32"/>
        </w:rPr>
        <w:t>。坚持“资源跟着平台走”理念，深化农业科技特派员工作，将科技特派员选派到农业科技园区、星创天地等重要农业科技创新载体，支持科技特派员带项目在基层开展科技成果转化、示范基地建设、科技帮扶等工作。“十四五”期间，新增创建国家级农业高新技术产业示范区</w:t>
      </w:r>
      <w:r>
        <w:rPr>
          <w:rFonts w:hint="eastAsia" w:ascii="仿宋_GB2312" w:hAnsi="华文仿宋" w:eastAsia="仿宋_GB2312" w:cs="华文仿宋"/>
          <w:color w:val="000000"/>
          <w:sz w:val="32"/>
          <w:szCs w:val="32"/>
          <w:lang w:val="en-US" w:eastAsia="zh-CN"/>
        </w:rPr>
        <w:t>1家、</w:t>
      </w:r>
      <w:r>
        <w:rPr>
          <w:rFonts w:hint="eastAsia" w:ascii="仿宋_GB2312" w:hAnsi="华文仿宋" w:eastAsia="仿宋_GB2312" w:cs="华文仿宋"/>
          <w:color w:val="000000"/>
          <w:sz w:val="32"/>
          <w:szCs w:val="32"/>
        </w:rPr>
        <w:t>省级农业科技园区2家</w:t>
      </w:r>
      <w:r>
        <w:rPr>
          <w:rFonts w:hint="eastAsia" w:ascii="仿宋_GB2312" w:hAnsi="华文仿宋" w:eastAsia="仿宋_GB2312" w:cs="华文仿宋"/>
          <w:color w:val="000000"/>
          <w:sz w:val="32"/>
          <w:szCs w:val="32"/>
          <w:lang w:eastAsia="zh-CN"/>
        </w:rPr>
        <w:t>、</w:t>
      </w:r>
      <w:r>
        <w:rPr>
          <w:rFonts w:hint="eastAsia" w:ascii="仿宋_GB2312" w:hAnsi="华文仿宋" w:eastAsia="仿宋_GB2312" w:cs="华文仿宋"/>
          <w:color w:val="000000"/>
          <w:sz w:val="32"/>
          <w:szCs w:val="32"/>
        </w:rPr>
        <w:t>省级</w:t>
      </w:r>
      <w:r>
        <w:rPr>
          <w:rFonts w:hint="eastAsia" w:ascii="仿宋_GB2312" w:hAnsi="华文仿宋" w:eastAsia="仿宋_GB2312" w:cs="华文仿宋"/>
          <w:color w:val="000000"/>
          <w:sz w:val="32"/>
          <w:szCs w:val="32"/>
          <w:lang w:val="en-US" w:eastAsia="zh-CN"/>
        </w:rPr>
        <w:t>及</w:t>
      </w:r>
      <w:r>
        <w:rPr>
          <w:rFonts w:hint="eastAsia" w:ascii="仿宋_GB2312" w:hAnsi="华文仿宋" w:eastAsia="仿宋_GB2312" w:cs="华文仿宋"/>
          <w:color w:val="000000"/>
          <w:sz w:val="32"/>
          <w:szCs w:val="32"/>
        </w:rPr>
        <w:t>以上星创天地10家</w:t>
      </w:r>
      <w:r>
        <w:rPr>
          <w:rFonts w:hint="eastAsia" w:ascii="仿宋_GB2312" w:hAnsi="华文仿宋" w:eastAsia="仿宋_GB2312" w:cs="华文仿宋"/>
          <w:color w:val="000000"/>
          <w:sz w:val="32"/>
          <w:szCs w:val="32"/>
          <w:lang w:eastAsia="zh-CN"/>
        </w:rPr>
        <w:t>、</w:t>
      </w:r>
      <w:r>
        <w:rPr>
          <w:rFonts w:hint="eastAsia" w:ascii="仿宋_GB2312" w:hAnsi="华文仿宋" w:eastAsia="仿宋_GB2312" w:cs="华文仿宋"/>
          <w:color w:val="000000"/>
          <w:sz w:val="32"/>
          <w:szCs w:val="32"/>
        </w:rPr>
        <w:t>现代农业科技示范基地100个</w:t>
      </w:r>
      <w:r>
        <w:rPr>
          <w:rFonts w:hint="eastAsia" w:ascii="仿宋_GB2312" w:hAnsi="华文仿宋" w:eastAsia="仿宋_GB2312" w:cs="华文仿宋"/>
          <w:color w:val="000000"/>
          <w:sz w:val="32"/>
          <w:szCs w:val="32"/>
          <w:lang w:eastAsia="zh-CN"/>
        </w:rPr>
        <w:t>，</w:t>
      </w:r>
      <w:r>
        <w:rPr>
          <w:rFonts w:hint="eastAsia" w:ascii="仿宋_GB2312" w:hAnsi="华文仿宋" w:eastAsia="仿宋_GB2312" w:cs="华文仿宋"/>
          <w:color w:val="000000"/>
          <w:sz w:val="32"/>
          <w:szCs w:val="32"/>
        </w:rPr>
        <w:t>培育农业类科技型企业50家。</w:t>
      </w:r>
    </w:p>
    <w:p>
      <w:pPr>
        <w:pStyle w:val="6"/>
        <w:spacing w:before="0" w:after="0" w:line="560" w:lineRule="exact"/>
        <w:ind w:firstLine="640" w:firstLineChars="200"/>
        <w:rPr>
          <w:rFonts w:ascii="楷体_GB2312" w:eastAsia="楷体_GB2312"/>
          <w:b w:val="0"/>
          <w:bCs w:val="0"/>
        </w:rPr>
      </w:pPr>
      <w:bookmarkStart w:id="341" w:name="_Toc13698"/>
      <w:bookmarkStart w:id="342" w:name="_Toc11327"/>
      <w:bookmarkStart w:id="343" w:name="_Toc476"/>
      <w:bookmarkStart w:id="344" w:name="_Toc23890"/>
      <w:bookmarkStart w:id="345" w:name="_Toc26017"/>
      <w:bookmarkStart w:id="346" w:name="_Toc9745"/>
      <w:bookmarkStart w:id="347" w:name="_Toc23448"/>
      <w:bookmarkStart w:id="348" w:name="_Toc25979"/>
      <w:bookmarkStart w:id="349" w:name="_Toc31558"/>
      <w:r>
        <w:rPr>
          <w:rFonts w:hint="eastAsia" w:ascii="楷体_GB2312" w:eastAsia="楷体_GB2312"/>
          <w:b w:val="0"/>
          <w:bCs w:val="0"/>
        </w:rPr>
        <w:t>（二）推动生命健康领域科技创新</w:t>
      </w:r>
      <w:bookmarkEnd w:id="341"/>
      <w:bookmarkEnd w:id="342"/>
      <w:bookmarkEnd w:id="343"/>
      <w:bookmarkEnd w:id="344"/>
      <w:bookmarkEnd w:id="345"/>
      <w:bookmarkEnd w:id="346"/>
      <w:bookmarkEnd w:id="347"/>
      <w:bookmarkEnd w:id="348"/>
      <w:bookmarkEnd w:id="349"/>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坚持把保障人民生命健康作为社会发展科技创新的工作重点，面向眼脑健康、再生调控、生物医药、医疗器械、精准医疗等重点领域，突破一批“卡脖子”技术，推动信息技术与生物技术</w:t>
      </w:r>
      <w:r>
        <w:rPr>
          <w:rFonts w:hint="eastAsia" w:ascii="仿宋_GB2312" w:hAnsi="仿宋_GB2312" w:eastAsia="仿宋_GB2312" w:cs="仿宋_GB2312"/>
          <w:b w:val="0"/>
          <w:bCs w:val="0"/>
          <w:color w:val="000000"/>
          <w:sz w:val="32"/>
          <w:szCs w:val="32"/>
        </w:rPr>
        <w:t>融合创新，研制一批国产化进口替代装备及新技术新产品。面向重点人群健康保障，研究生殖健康与妇儿健康新技术、主动健康与老龄化应对新技术，提升群体生活品质。大力培育生命健康产业，推进国科大温州研究院等重大科创平台建设，充分发挥温州医科大学省部共建眼视光学和视觉科学国家重点实验室作用，推动高端平台医学创新资源向医药制造、康养服务两头延伸，打造浙南闽东赣东生命健康产业高地。</w:t>
      </w:r>
    </w:p>
    <w:p>
      <w:pPr>
        <w:pStyle w:val="6"/>
        <w:spacing w:before="0" w:after="0" w:line="560" w:lineRule="exact"/>
        <w:ind w:firstLine="640" w:firstLineChars="200"/>
        <w:rPr>
          <w:rFonts w:ascii="楷体_GB2312" w:eastAsia="楷体_GB2312"/>
          <w:b w:val="0"/>
          <w:bCs w:val="0"/>
        </w:rPr>
      </w:pPr>
      <w:bookmarkStart w:id="350" w:name="_Toc20331"/>
      <w:bookmarkStart w:id="351" w:name="_Toc29094"/>
      <w:bookmarkStart w:id="352" w:name="_Toc8916"/>
      <w:bookmarkStart w:id="353" w:name="_Toc30830"/>
      <w:bookmarkStart w:id="354" w:name="_Toc31924"/>
      <w:bookmarkStart w:id="355" w:name="_Toc2973"/>
      <w:bookmarkStart w:id="356" w:name="_Toc15665"/>
      <w:bookmarkStart w:id="357" w:name="_Toc28064"/>
      <w:bookmarkStart w:id="358" w:name="_Toc23540"/>
      <w:r>
        <w:rPr>
          <w:rFonts w:hint="eastAsia" w:ascii="楷体_GB2312" w:eastAsia="楷体_GB2312"/>
          <w:b w:val="0"/>
          <w:bCs w:val="0"/>
        </w:rPr>
        <w:t>（三）强化“碳达峰碳中和”科技支撑</w:t>
      </w:r>
      <w:bookmarkEnd w:id="350"/>
      <w:bookmarkEnd w:id="351"/>
      <w:bookmarkEnd w:id="352"/>
      <w:bookmarkEnd w:id="353"/>
      <w:bookmarkEnd w:id="354"/>
      <w:bookmarkEnd w:id="355"/>
      <w:bookmarkEnd w:id="356"/>
      <w:bookmarkEnd w:id="357"/>
      <w:bookmarkEnd w:id="358"/>
    </w:p>
    <w:p>
      <w:pPr>
        <w:pStyle w:val="2"/>
        <w:ind w:firstLine="640" w:firstLineChars="200"/>
        <w:rPr>
          <w:rFonts w:hint="eastAsia" w:eastAsia="仿宋_GB2312"/>
          <w:color w:val="000000"/>
          <w:szCs w:val="32"/>
        </w:rPr>
      </w:pPr>
      <w:r>
        <w:rPr>
          <w:rFonts w:hint="eastAsia" w:ascii="Calibri Light" w:hAnsi="Calibri Light" w:eastAsia="仿宋_GB2312"/>
          <w:b w:val="0"/>
          <w:bCs w:val="0"/>
          <w:color w:val="000000"/>
          <w:szCs w:val="32"/>
        </w:rPr>
        <w:t>充分发挥科技创新在碳达峰碳中和中的战略</w:t>
      </w:r>
      <w:r>
        <w:rPr>
          <w:rFonts w:hint="eastAsia" w:ascii="Calibri Light" w:hAnsi="Calibri Light" w:eastAsia="仿宋_GB2312"/>
          <w:bCs/>
          <w:color w:val="000000"/>
          <w:szCs w:val="32"/>
        </w:rPr>
        <w:t>支撑作用，</w:t>
      </w:r>
      <w:r>
        <w:rPr>
          <w:rFonts w:eastAsia="仿宋_GB2312"/>
          <w:bCs/>
          <w:color w:val="000000"/>
          <w:szCs w:val="32"/>
        </w:rPr>
        <w:t>重点聚焦能源、工业、交通、建筑等领域，</w:t>
      </w:r>
      <w:r>
        <w:rPr>
          <w:rFonts w:hint="eastAsia" w:eastAsia="仿宋_GB2312"/>
          <w:color w:val="000000"/>
          <w:szCs w:val="32"/>
        </w:rPr>
        <w:t>开展低碳、脱碳、负碳关键技术研发与示范，着力提高森林碳汇功能，探索开发海洋“碳汇”，</w:t>
      </w:r>
      <w:r>
        <w:rPr>
          <w:rFonts w:hint="eastAsia" w:ascii="仿宋_GB2312" w:hAnsi="仿宋_GB2312" w:eastAsia="仿宋_GB2312" w:cs="仿宋_GB2312"/>
          <w:szCs w:val="32"/>
        </w:rPr>
        <w:t>支持洞头建设海洋生态养殖蓝色碳汇示范区，</w:t>
      </w:r>
      <w:r>
        <w:rPr>
          <w:rFonts w:eastAsia="仿宋_GB2312"/>
          <w:color w:val="000000"/>
          <w:szCs w:val="32"/>
        </w:rPr>
        <w:t>引领构建我</w:t>
      </w:r>
      <w:r>
        <w:rPr>
          <w:rFonts w:hint="eastAsia" w:eastAsia="仿宋_GB2312"/>
          <w:color w:val="000000"/>
          <w:szCs w:val="32"/>
        </w:rPr>
        <w:t>市</w:t>
      </w:r>
      <w:r>
        <w:rPr>
          <w:rFonts w:eastAsia="仿宋_GB2312"/>
          <w:color w:val="000000"/>
          <w:szCs w:val="32"/>
        </w:rPr>
        <w:t>低碳/零碳技术与产业协同创新体系，推动碳中和领域技术和产业迭代升级，保障碳排放高质量达峰，实现碳中和目标</w:t>
      </w:r>
      <w:r>
        <w:rPr>
          <w:rFonts w:hint="eastAsia" w:eastAsia="仿宋_GB2312"/>
          <w:color w:val="000000"/>
          <w:szCs w:val="32"/>
        </w:rPr>
        <w:t>。</w:t>
      </w:r>
      <w:bookmarkStart w:id="359" w:name="_Toc29282"/>
      <w:bookmarkStart w:id="360" w:name="_Toc20994"/>
      <w:bookmarkStart w:id="361" w:name="_Toc7"/>
      <w:bookmarkStart w:id="362" w:name="_Toc11786"/>
      <w:bookmarkStart w:id="363" w:name="_Toc21492"/>
      <w:bookmarkStart w:id="364" w:name="_Toc30867"/>
      <w:bookmarkStart w:id="365" w:name="_Toc10167"/>
      <w:bookmarkStart w:id="366" w:name="_Toc28225"/>
      <w:bookmarkStart w:id="367" w:name="_Toc2742"/>
    </w:p>
    <w:p>
      <w:pPr>
        <w:pStyle w:val="2"/>
        <w:ind w:firstLine="640" w:firstLineChars="200"/>
        <w:rPr>
          <w:rFonts w:hint="eastAsia" w:ascii="楷体_GB2312" w:eastAsia="楷体_GB2312"/>
          <w:b w:val="0"/>
          <w:bCs w:val="0"/>
        </w:rPr>
      </w:pPr>
      <w:r>
        <w:rPr>
          <w:rFonts w:hint="eastAsia" w:ascii="楷体_GB2312" w:eastAsia="楷体_GB2312"/>
          <w:b w:val="0"/>
          <w:bCs w:val="0"/>
        </w:rPr>
        <w:t>（四）推进科技支撑社会可持续发展</w:t>
      </w:r>
      <w:bookmarkEnd w:id="359"/>
      <w:bookmarkEnd w:id="360"/>
      <w:bookmarkEnd w:id="361"/>
      <w:bookmarkEnd w:id="362"/>
      <w:bookmarkEnd w:id="363"/>
      <w:bookmarkEnd w:id="364"/>
      <w:bookmarkEnd w:id="365"/>
      <w:bookmarkEnd w:id="366"/>
      <w:bookmarkEnd w:id="367"/>
    </w:p>
    <w:p>
      <w:pPr>
        <w:pStyle w:val="2"/>
        <w:ind w:firstLine="640" w:firstLineChars="200"/>
        <w:rPr>
          <w:rFonts w:eastAsia="仿宋_GB2312"/>
          <w:color w:val="000000"/>
          <w:sz w:val="32"/>
          <w:szCs w:val="32"/>
        </w:rPr>
      </w:pPr>
      <w:r>
        <w:rPr>
          <w:rFonts w:eastAsia="仿宋_GB2312"/>
          <w:color w:val="000000"/>
          <w:sz w:val="32"/>
          <w:szCs w:val="32"/>
        </w:rPr>
        <w:t>坚持新发展理念，深入实施可持续发展战略，</w:t>
      </w:r>
      <w:r>
        <w:rPr>
          <w:rFonts w:hint="eastAsia" w:ascii="仿宋_GB2312" w:hAnsi="Calibri" w:eastAsia="仿宋_GB2312"/>
          <w:color w:val="000000"/>
          <w:sz w:val="32"/>
          <w:szCs w:val="32"/>
        </w:rPr>
        <w:t>面向资源环境、公共安全、海洋科技等领域，聚焦</w:t>
      </w:r>
      <w:r>
        <w:rPr>
          <w:rFonts w:hint="eastAsia" w:eastAsia="仿宋_GB2312"/>
          <w:color w:val="000000"/>
          <w:sz w:val="32"/>
          <w:szCs w:val="32"/>
        </w:rPr>
        <w:t>生态建设</w:t>
      </w:r>
      <w:r>
        <w:rPr>
          <w:rFonts w:eastAsia="仿宋_GB2312"/>
          <w:color w:val="000000"/>
          <w:sz w:val="32"/>
          <w:szCs w:val="32"/>
        </w:rPr>
        <w:t>、</w:t>
      </w:r>
      <w:r>
        <w:rPr>
          <w:rFonts w:hint="eastAsia" w:eastAsia="仿宋_GB2312"/>
          <w:color w:val="000000"/>
          <w:sz w:val="32"/>
          <w:szCs w:val="32"/>
        </w:rPr>
        <w:t>污染防治、</w:t>
      </w:r>
      <w:r>
        <w:rPr>
          <w:rFonts w:eastAsia="仿宋_GB2312"/>
          <w:color w:val="000000"/>
          <w:sz w:val="32"/>
          <w:szCs w:val="32"/>
        </w:rPr>
        <w:t>资源</w:t>
      </w:r>
      <w:r>
        <w:rPr>
          <w:rFonts w:hint="eastAsia" w:eastAsia="仿宋_GB2312"/>
          <w:color w:val="000000"/>
          <w:sz w:val="32"/>
          <w:szCs w:val="32"/>
        </w:rPr>
        <w:t>利用、食品安全、消防安全、应急保障、防灾减灾、海洋资源开发等方向加强共性关键技术攻关，加快</w:t>
      </w:r>
      <w:r>
        <w:rPr>
          <w:rFonts w:eastAsia="仿宋_GB2312"/>
          <w:color w:val="000000"/>
          <w:sz w:val="32"/>
          <w:szCs w:val="32"/>
        </w:rPr>
        <w:t>科技成果的示范应用</w:t>
      </w:r>
      <w:r>
        <w:rPr>
          <w:rFonts w:hint="eastAsia" w:eastAsia="仿宋_GB2312"/>
          <w:color w:val="000000"/>
          <w:sz w:val="32"/>
          <w:szCs w:val="32"/>
        </w:rPr>
        <w:t>，</w:t>
      </w:r>
      <w:r>
        <w:rPr>
          <w:rFonts w:hint="eastAsia" w:ascii="仿宋_GB2312" w:hAnsi="仿宋" w:eastAsia="仿宋_GB2312"/>
          <w:color w:val="000000"/>
          <w:kern w:val="0"/>
          <w:sz w:val="32"/>
          <w:szCs w:val="32"/>
        </w:rPr>
        <w:t>重视妇女、儿童、残疾人以及应对老龄化方面的科技研究</w:t>
      </w:r>
      <w:r>
        <w:rPr>
          <w:rFonts w:hint="eastAsia" w:eastAsia="仿宋_GB2312"/>
          <w:color w:val="000000"/>
          <w:sz w:val="32"/>
          <w:szCs w:val="32"/>
        </w:rPr>
        <w:t>。融入</w:t>
      </w:r>
      <w:r>
        <w:rPr>
          <w:rFonts w:eastAsia="仿宋_GB2312"/>
          <w:color w:val="000000"/>
          <w:sz w:val="32"/>
          <w:szCs w:val="32"/>
        </w:rPr>
        <w:t>“城市大脑”建设，</w:t>
      </w:r>
      <w:r>
        <w:rPr>
          <w:rFonts w:hint="eastAsia" w:eastAsia="仿宋_GB2312"/>
          <w:color w:val="000000"/>
          <w:sz w:val="32"/>
          <w:szCs w:val="32"/>
        </w:rPr>
        <w:t>不断提升城市治理的科学化精细化智能化水平。</w:t>
      </w:r>
      <w:r>
        <w:rPr>
          <w:rFonts w:eastAsia="仿宋_GB2312"/>
          <w:color w:val="000000"/>
          <w:sz w:val="32"/>
          <w:szCs w:val="32"/>
        </w:rPr>
        <w:t>推动体育、文化、旅游等产业与数字技术深度融合，催生壮大数字生活新服务</w:t>
      </w:r>
      <w:r>
        <w:rPr>
          <w:rFonts w:hint="eastAsia" w:eastAsia="仿宋_GB2312"/>
          <w:color w:val="000000"/>
          <w:sz w:val="32"/>
          <w:szCs w:val="32"/>
        </w:rPr>
        <w:t>。</w:t>
      </w:r>
      <w:r>
        <w:rPr>
          <w:rFonts w:eastAsia="仿宋_GB2312"/>
          <w:color w:val="000000"/>
          <w:sz w:val="32"/>
          <w:szCs w:val="32"/>
        </w:rPr>
        <w:t>推进“科技兴海”，谋划建设</w:t>
      </w:r>
      <w:r>
        <w:rPr>
          <w:rFonts w:hint="eastAsia" w:eastAsia="仿宋_GB2312"/>
          <w:color w:val="000000"/>
          <w:sz w:val="32"/>
          <w:szCs w:val="32"/>
        </w:rPr>
        <w:t>洞头</w:t>
      </w:r>
      <w:r>
        <w:rPr>
          <w:rFonts w:eastAsia="仿宋_GB2312"/>
          <w:color w:val="000000"/>
          <w:sz w:val="32"/>
          <w:szCs w:val="32"/>
        </w:rPr>
        <w:t>海洋科技产业园</w:t>
      </w:r>
      <w:r>
        <w:rPr>
          <w:rFonts w:hint="eastAsia" w:eastAsia="仿宋_GB2312"/>
          <w:color w:val="000000"/>
          <w:sz w:val="32"/>
          <w:szCs w:val="32"/>
        </w:rPr>
        <w:t>，</w:t>
      </w:r>
      <w:r>
        <w:rPr>
          <w:rFonts w:eastAsia="仿宋_GB2312"/>
          <w:color w:val="000000"/>
          <w:sz w:val="32"/>
          <w:szCs w:val="32"/>
        </w:rPr>
        <w:t>加快形成以绿色石化、清洁能源、海洋高端装备、海洋生物医药、海洋新材料、港口物流为主的海洋产业集群，打造浙江省大湾区临港产业新增长极。</w:t>
      </w:r>
    </w:p>
    <w:p>
      <w:pPr>
        <w:pStyle w:val="5"/>
        <w:spacing w:line="560" w:lineRule="exact"/>
        <w:rPr>
          <w:bCs/>
          <w:color w:val="000000"/>
        </w:rPr>
      </w:pPr>
      <w:bookmarkStart w:id="368" w:name="_Toc8705"/>
      <w:bookmarkStart w:id="369" w:name="_Toc29414"/>
      <w:bookmarkStart w:id="370" w:name="_Toc18151"/>
      <w:bookmarkStart w:id="371" w:name="_Toc57043406"/>
      <w:bookmarkStart w:id="372" w:name="_Toc10617"/>
      <w:bookmarkStart w:id="373" w:name="_Toc6180"/>
      <w:bookmarkStart w:id="374" w:name="_Toc1530"/>
      <w:bookmarkStart w:id="375" w:name="_Toc28581"/>
      <w:bookmarkStart w:id="376" w:name="_Toc24163"/>
      <w:bookmarkStart w:id="377" w:name="_Toc1020"/>
      <w:bookmarkStart w:id="378" w:name="_Hlk55987700"/>
      <w:r>
        <w:rPr>
          <w:rFonts w:hint="eastAsia" w:cs="Times New Roman"/>
          <w:bCs/>
          <w:color w:val="000000"/>
        </w:rPr>
        <w:t>九、实施科技合作开放深化工程，构建双循环创新大网络</w:t>
      </w:r>
      <w:bookmarkEnd w:id="368"/>
      <w:bookmarkEnd w:id="369"/>
      <w:bookmarkEnd w:id="370"/>
      <w:bookmarkEnd w:id="371"/>
      <w:bookmarkEnd w:id="372"/>
      <w:bookmarkEnd w:id="373"/>
      <w:bookmarkEnd w:id="374"/>
      <w:bookmarkEnd w:id="375"/>
      <w:bookmarkEnd w:id="376"/>
      <w:bookmarkEnd w:id="377"/>
    </w:p>
    <w:p>
      <w:pPr>
        <w:pStyle w:val="6"/>
        <w:spacing w:before="0" w:after="0" w:line="560" w:lineRule="exact"/>
        <w:ind w:firstLine="640" w:firstLineChars="200"/>
        <w:rPr>
          <w:rFonts w:ascii="楷体_GB2312" w:eastAsia="楷体_GB2312"/>
          <w:b w:val="0"/>
          <w:bCs w:val="0"/>
        </w:rPr>
      </w:pPr>
      <w:bookmarkStart w:id="379" w:name="_Toc18542"/>
      <w:bookmarkStart w:id="380" w:name="_Toc27455"/>
      <w:bookmarkStart w:id="381" w:name="_Toc10550"/>
      <w:bookmarkStart w:id="382" w:name="_Toc25537"/>
      <w:bookmarkStart w:id="383" w:name="_Toc23722"/>
      <w:bookmarkStart w:id="384" w:name="_Toc10419"/>
      <w:bookmarkStart w:id="385" w:name="_Toc4030"/>
      <w:bookmarkStart w:id="386" w:name="_Toc15903"/>
      <w:bookmarkStart w:id="387" w:name="_Toc14650"/>
      <w:r>
        <w:rPr>
          <w:rFonts w:hint="eastAsia" w:ascii="楷体_GB2312" w:eastAsia="楷体_GB2312"/>
          <w:b w:val="0"/>
          <w:bCs w:val="0"/>
        </w:rPr>
        <w:t>（一）深化国内科技合作</w:t>
      </w:r>
      <w:bookmarkEnd w:id="379"/>
      <w:bookmarkEnd w:id="380"/>
      <w:bookmarkEnd w:id="381"/>
      <w:bookmarkEnd w:id="382"/>
      <w:bookmarkEnd w:id="383"/>
      <w:bookmarkEnd w:id="384"/>
      <w:bookmarkEnd w:id="385"/>
      <w:bookmarkEnd w:id="386"/>
      <w:bookmarkEnd w:id="387"/>
    </w:p>
    <w:p>
      <w:pPr>
        <w:spacing w:line="560" w:lineRule="exact"/>
        <w:ind w:firstLine="640" w:firstLineChars="200"/>
        <w:rPr>
          <w:color w:val="000000"/>
        </w:rPr>
      </w:pPr>
      <w:r>
        <w:rPr>
          <w:rFonts w:eastAsia="仿宋_GB2312"/>
          <w:color w:val="000000"/>
          <w:sz w:val="32"/>
          <w:szCs w:val="32"/>
        </w:rPr>
        <w:t>全面对接上海全球科创中心建设，加快温州（嘉定）科技创新园</w:t>
      </w:r>
      <w:r>
        <w:rPr>
          <w:rFonts w:hint="eastAsia" w:eastAsia="仿宋_GB2312"/>
          <w:color w:val="000000"/>
          <w:sz w:val="32"/>
          <w:szCs w:val="32"/>
        </w:rPr>
        <w:t>、长三角G60温州（松江）科创基地</w:t>
      </w:r>
      <w:r>
        <w:rPr>
          <w:rFonts w:eastAsia="仿宋_GB2312"/>
          <w:color w:val="000000"/>
          <w:sz w:val="32"/>
          <w:szCs w:val="32"/>
        </w:rPr>
        <w:t>等“科技飞地”建设，发挥对外科创窗口作用。推动长三角区域内科创要素资源深度对接，举办科技成果对接会、长三角科技成果交易博览会等，全面参与长三角科技协同创新。推进温州（浙大）科技飞地建设，强化与G60科创走廊、杭州城西科创大走廊等的联合，推动跨区域共建“飞地园区”和跨区域实施科技创新，</w:t>
      </w:r>
      <w:r>
        <w:rPr>
          <w:rFonts w:eastAsia="仿宋_GB2312"/>
          <w:sz w:val="32"/>
          <w:szCs w:val="32"/>
        </w:rPr>
        <w:t>推进跨区域科创飞地政策突破，在政策、产业、平台方面形成联动，积极推进跨区域科创飞地政策突破，在政策、产业、平台方面形成联动，建设科创飞地样板</w:t>
      </w:r>
      <w:r>
        <w:rPr>
          <w:rFonts w:hint="eastAsia" w:eastAsia="仿宋_GB2312"/>
          <w:sz w:val="32"/>
          <w:szCs w:val="32"/>
        </w:rPr>
        <w:t>，</w:t>
      </w:r>
      <w:r>
        <w:rPr>
          <w:rFonts w:eastAsia="仿宋_GB2312"/>
          <w:color w:val="000000"/>
          <w:sz w:val="32"/>
          <w:szCs w:val="32"/>
        </w:rPr>
        <w:t>打造“研发创新在外地、成果转化在温州”的良好创新创业生态。深化杭温两大中心城市、两大都市区联动发展，协同宁波高水平共建国家自主创新示范区，服务全省“一盘棋”。</w:t>
      </w:r>
    </w:p>
    <w:p>
      <w:pPr>
        <w:pStyle w:val="6"/>
        <w:spacing w:before="0" w:after="0" w:line="560" w:lineRule="exact"/>
        <w:ind w:firstLine="640" w:firstLineChars="200"/>
        <w:rPr>
          <w:rFonts w:ascii="楷体_GB2312" w:eastAsia="楷体_GB2312"/>
          <w:b w:val="0"/>
          <w:bCs w:val="0"/>
        </w:rPr>
      </w:pPr>
      <w:bookmarkStart w:id="388" w:name="_Toc28709"/>
      <w:bookmarkStart w:id="389" w:name="_Toc6397"/>
      <w:bookmarkStart w:id="390" w:name="_Toc21954"/>
      <w:bookmarkStart w:id="391" w:name="_Toc3817"/>
      <w:bookmarkStart w:id="392" w:name="_Toc14822"/>
      <w:bookmarkStart w:id="393" w:name="_Toc9146"/>
      <w:bookmarkStart w:id="394" w:name="_Toc12687"/>
      <w:bookmarkStart w:id="395" w:name="_Toc6867"/>
      <w:bookmarkStart w:id="396" w:name="_Toc21036"/>
      <w:r>
        <w:rPr>
          <w:rFonts w:hint="eastAsia" w:ascii="楷体_GB2312" w:eastAsia="楷体_GB2312"/>
          <w:b w:val="0"/>
          <w:bCs w:val="0"/>
        </w:rPr>
        <w:t>（二）积极开展海外科技合作</w:t>
      </w:r>
      <w:bookmarkEnd w:id="388"/>
      <w:bookmarkEnd w:id="389"/>
      <w:bookmarkEnd w:id="390"/>
      <w:bookmarkEnd w:id="391"/>
      <w:bookmarkEnd w:id="392"/>
      <w:bookmarkEnd w:id="393"/>
      <w:bookmarkEnd w:id="394"/>
      <w:bookmarkEnd w:id="395"/>
      <w:bookmarkEnd w:id="396"/>
    </w:p>
    <w:p>
      <w:pPr>
        <w:pStyle w:val="33"/>
        <w:ind w:firstLine="640"/>
        <w:rPr>
          <w:color w:val="000000"/>
        </w:rPr>
      </w:pPr>
      <w:r>
        <w:rPr>
          <w:rFonts w:hint="eastAsia" w:ascii="仿宋_GB2312" w:hAnsi="仿宋"/>
          <w:color w:val="000000"/>
          <w:szCs w:val="32"/>
        </w:rPr>
        <w:t>坚持科技创新“走出去”和“引进来”并举，加强与“创新大国”“关键小国”以及“一带一路”沿线国家</w:t>
      </w:r>
      <w:r>
        <w:rPr>
          <w:rFonts w:hint="eastAsia" w:ascii="仿宋_GB2312" w:hAnsi="仿宋" w:cs="仿宋"/>
          <w:color w:val="000000"/>
          <w:szCs w:val="32"/>
        </w:rPr>
        <w:t>在关键技术、前沿科技和重大基础研究等领域的</w:t>
      </w:r>
      <w:r>
        <w:rPr>
          <w:rFonts w:hint="eastAsia" w:ascii="仿宋_GB2312" w:hAnsi="仿宋"/>
          <w:color w:val="000000"/>
          <w:szCs w:val="32"/>
        </w:rPr>
        <w:t>合作交流，引进集聚国外优质创新资源，</w:t>
      </w:r>
      <w:r>
        <w:rPr>
          <w:rFonts w:hint="eastAsia" w:ascii="仿宋_GB2312" w:hAnsi="仿宋" w:cs="仿宋"/>
          <w:color w:val="000000"/>
          <w:szCs w:val="32"/>
        </w:rPr>
        <w:t>打造科技精准合作升级版。</w:t>
      </w:r>
      <w:r>
        <w:rPr>
          <w:rFonts w:hint="eastAsia" w:ascii="仿宋_GB2312" w:hAnsi="仿宋" w:cs="仿宋"/>
          <w:color w:val="000000"/>
          <w:szCs w:val="32"/>
          <w:lang w:val="en-US" w:eastAsia="zh-CN"/>
        </w:rPr>
        <w:t>以</w:t>
      </w:r>
      <w:r>
        <w:rPr>
          <w:rFonts w:hint="eastAsia" w:ascii="仿宋_GB2312" w:hAnsi="仿宋" w:cs="仿宋"/>
          <w:color w:val="000000"/>
          <w:szCs w:val="32"/>
        </w:rPr>
        <w:t>温州建设中国(温州)华商华侨综合发展先行区</w:t>
      </w:r>
      <w:r>
        <w:rPr>
          <w:rFonts w:hint="eastAsia" w:ascii="仿宋_GB2312" w:hAnsi="仿宋" w:cs="仿宋"/>
          <w:color w:val="000000"/>
          <w:szCs w:val="32"/>
          <w:lang w:val="en-US" w:eastAsia="zh-CN"/>
        </w:rPr>
        <w:t>为契机</w:t>
      </w:r>
      <w:r>
        <w:rPr>
          <w:rFonts w:hint="eastAsia" w:ascii="仿宋_GB2312" w:hAnsi="仿宋" w:cs="仿宋"/>
          <w:color w:val="000000"/>
          <w:szCs w:val="32"/>
        </w:rPr>
        <w:t>，积极开展全方位、多层次、高水平的国际创新合作。探索建立全球温商合作中心，推动科技界、产业界、创投界三界融合。谋划建设离岸科技企业孵化器，</w:t>
      </w:r>
      <w:r>
        <w:rPr>
          <w:rFonts w:hint="eastAsia" w:ascii="仿宋_GB2312"/>
          <w:color w:val="000000"/>
        </w:rPr>
        <w:t>支持园区、企业、高校</w:t>
      </w:r>
      <w:r>
        <w:rPr>
          <w:color w:val="000000"/>
        </w:rPr>
        <w:t>、科研院所在德国、日本、美国等全球科技资源密集</w:t>
      </w:r>
      <w:r>
        <w:rPr>
          <w:rFonts w:hint="eastAsia"/>
          <w:color w:val="000000"/>
        </w:rPr>
        <w:t>地区</w:t>
      </w:r>
      <w:r>
        <w:rPr>
          <w:color w:val="000000"/>
        </w:rPr>
        <w:t>建立海外创新孵化中心。</w:t>
      </w:r>
      <w:r>
        <w:rPr>
          <w:rFonts w:hint="eastAsia" w:ascii="仿宋_GB2312" w:hAnsi="仿宋" w:cs="仿宋"/>
          <w:color w:val="000000"/>
          <w:szCs w:val="32"/>
        </w:rPr>
        <w:t>创新要素集聚模式，谋划建设承接科技飞地创新资源的总部基地</w:t>
      </w:r>
      <w:r>
        <w:rPr>
          <w:rFonts w:hint="eastAsia" w:ascii="仿宋_GB2312" w:hAnsi="仿宋" w:cs="仿宋"/>
          <w:b/>
          <w:bCs/>
          <w:color w:val="000000"/>
          <w:szCs w:val="32"/>
        </w:rPr>
        <w:t>。</w:t>
      </w:r>
      <w:r>
        <w:rPr>
          <w:rFonts w:hint="eastAsia" w:cs="仿宋_GB2312"/>
          <w:color w:val="000000"/>
          <w:szCs w:val="32"/>
        </w:rPr>
        <w:t>到</w:t>
      </w:r>
      <w:r>
        <w:rPr>
          <w:color w:val="000000"/>
          <w:szCs w:val="32"/>
        </w:rPr>
        <w:t>2025</w:t>
      </w:r>
      <w:r>
        <w:rPr>
          <w:rFonts w:hint="eastAsia"/>
          <w:color w:val="000000"/>
          <w:szCs w:val="32"/>
        </w:rPr>
        <w:t>年，建设海外</w:t>
      </w:r>
      <w:r>
        <w:rPr>
          <w:color w:val="000000"/>
        </w:rPr>
        <w:t>创新孵化中心</w:t>
      </w:r>
      <w:r>
        <w:rPr>
          <w:rFonts w:hint="eastAsia"/>
          <w:color w:val="000000"/>
          <w:szCs w:val="32"/>
        </w:rPr>
        <w:t>20家</w:t>
      </w:r>
      <w:r>
        <w:rPr>
          <w:rFonts w:hint="eastAsia" w:cs="仿宋_GB2312"/>
          <w:color w:val="000000"/>
          <w:szCs w:val="32"/>
        </w:rPr>
        <w:t>。</w:t>
      </w:r>
    </w:p>
    <w:p>
      <w:pPr>
        <w:pStyle w:val="6"/>
        <w:spacing w:before="0" w:after="0" w:line="560" w:lineRule="exact"/>
        <w:ind w:firstLine="640" w:firstLineChars="200"/>
        <w:rPr>
          <w:rFonts w:ascii="楷体_GB2312" w:eastAsia="楷体_GB2312"/>
          <w:b w:val="0"/>
          <w:bCs w:val="0"/>
        </w:rPr>
      </w:pPr>
      <w:bookmarkStart w:id="397" w:name="_Toc3797"/>
      <w:bookmarkStart w:id="398" w:name="_Toc32579"/>
      <w:bookmarkStart w:id="399" w:name="_Toc7229"/>
      <w:bookmarkStart w:id="400" w:name="_Toc16148"/>
      <w:bookmarkStart w:id="401" w:name="_Toc17320"/>
      <w:bookmarkStart w:id="402" w:name="_Toc15813"/>
      <w:bookmarkStart w:id="403" w:name="_Toc4248"/>
      <w:bookmarkStart w:id="404" w:name="_Toc14771"/>
      <w:bookmarkStart w:id="405" w:name="_Toc26200"/>
      <w:r>
        <w:rPr>
          <w:rFonts w:hint="eastAsia" w:ascii="楷体_GB2312" w:eastAsia="楷体_GB2312"/>
          <w:b w:val="0"/>
          <w:bCs w:val="0"/>
        </w:rPr>
        <w:t>（</w:t>
      </w:r>
      <w:r>
        <w:rPr>
          <w:rFonts w:hint="eastAsia" w:ascii="楷体_GB2312" w:hAnsi="Times New Roman" w:eastAsia="楷体_GB2312"/>
          <w:b w:val="0"/>
          <w:bCs w:val="0"/>
          <w:color w:val="000000"/>
          <w:szCs w:val="22"/>
        </w:rPr>
        <w:t>三</w:t>
      </w:r>
      <w:r>
        <w:rPr>
          <w:rFonts w:hint="eastAsia" w:ascii="楷体_GB2312" w:eastAsia="楷体_GB2312"/>
          <w:b w:val="0"/>
          <w:bCs w:val="0"/>
        </w:rPr>
        <w:t>）推动市县协同创新</w:t>
      </w:r>
      <w:bookmarkEnd w:id="397"/>
      <w:bookmarkEnd w:id="398"/>
      <w:bookmarkEnd w:id="399"/>
      <w:bookmarkEnd w:id="400"/>
      <w:bookmarkEnd w:id="401"/>
      <w:bookmarkEnd w:id="402"/>
      <w:bookmarkEnd w:id="403"/>
      <w:bookmarkEnd w:id="404"/>
      <w:bookmarkEnd w:id="405"/>
    </w:p>
    <w:p>
      <w:pPr>
        <w:spacing w:line="560" w:lineRule="exact"/>
        <w:ind w:firstLine="640" w:firstLineChars="200"/>
        <w:rPr>
          <w:color w:val="000000"/>
        </w:rPr>
      </w:pPr>
      <w:r>
        <w:rPr>
          <w:rFonts w:hint="eastAsia" w:ascii="仿宋_GB2312" w:hAnsi="仿宋" w:eastAsia="仿宋_GB2312" w:cs="仿宋"/>
          <w:color w:val="000000"/>
          <w:sz w:val="32"/>
          <w:szCs w:val="32"/>
        </w:rPr>
        <w:t>强化市区与县域创新协同发展。全面提升中心城区创新集聚力、辐射力、带动力，大力支持鹿城区（浙南闽北赣东科技服务业发展领跑区），龙湾区（全球眼健康科创引领高地），瓯海区（产教研融合发展试验区）、洞头区（辐射全省的海洋科技创新策源地）建设，</w:t>
      </w:r>
      <w:r>
        <w:rPr>
          <w:rFonts w:hint="eastAsia" w:eastAsia="仿宋_GB2312"/>
          <w:color w:val="000000"/>
          <w:kern w:val="0"/>
          <w:sz w:val="32"/>
          <w:szCs w:val="32"/>
        </w:rPr>
        <w:t>增强中心城区创新资源优化配置能力，</w:t>
      </w:r>
      <w:r>
        <w:rPr>
          <w:rFonts w:hint="eastAsia" w:ascii="仿宋_GB2312" w:hAnsi="仿宋" w:eastAsia="仿宋_GB2312" w:cs="仿宋"/>
          <w:color w:val="000000"/>
          <w:sz w:val="32"/>
          <w:szCs w:val="32"/>
        </w:rPr>
        <w:t>推动市县两级创新资源共建共享共治共管。全面提升县域科技创新能力，推动</w:t>
      </w:r>
      <w:r>
        <w:rPr>
          <w:rFonts w:ascii="仿宋_GB2312" w:hAnsi="仿宋" w:eastAsia="仿宋_GB2312" w:cs="仿宋"/>
          <w:color w:val="000000"/>
          <w:sz w:val="32"/>
          <w:szCs w:val="32"/>
        </w:rPr>
        <w:t>县域</w:t>
      </w:r>
      <w:r>
        <w:rPr>
          <w:rFonts w:hint="eastAsia" w:ascii="仿宋_GB2312" w:hAnsi="仿宋" w:eastAsia="仿宋_GB2312" w:cs="仿宋"/>
          <w:color w:val="000000"/>
          <w:sz w:val="32"/>
          <w:szCs w:val="32"/>
        </w:rPr>
        <w:t>创新</w:t>
      </w:r>
      <w:r>
        <w:rPr>
          <w:rFonts w:ascii="仿宋_GB2312" w:hAnsi="仿宋" w:eastAsia="仿宋_GB2312" w:cs="仿宋"/>
          <w:color w:val="000000"/>
          <w:sz w:val="32"/>
          <w:szCs w:val="32"/>
        </w:rPr>
        <w:t>错位</w:t>
      </w:r>
      <w:r>
        <w:rPr>
          <w:rFonts w:hint="eastAsia" w:ascii="仿宋_GB2312" w:hAnsi="仿宋" w:eastAsia="仿宋_GB2312" w:cs="仿宋"/>
          <w:color w:val="000000"/>
          <w:sz w:val="32"/>
          <w:szCs w:val="32"/>
        </w:rPr>
        <w:t>发展，大力支持乐清市（全国民营经济科技创新引领区）、瑞安市（高端智能汽车关键零部件创新生态示范区）、龙港市（国家级高新技术产业集聚区）、永嘉县（全国有竞争力的系统流程装备产业科创高地）、文成县（乡村振兴科技引领示范地）、平阳县（浙南沿海智能装备制造集聚区）、苍南县（全国清洁能源技术集成研究与示范的样板区）、泰顺县（温州西南（浙南闽北）生态产业集聚区）、浙南科技城（全市经济高质量发展的驱动力和主引擎）、浙南产业集聚区（先进制造数字化改造示范区）、瓯江口产业集聚区（产城人融合的湾区城市发展标杆窗口）建设，</w:t>
      </w:r>
      <w:r>
        <w:rPr>
          <w:rFonts w:ascii="Calibri" w:hAnsi="Calibri" w:eastAsia="仿宋_GB2312"/>
          <w:color w:val="000000"/>
          <w:sz w:val="32"/>
          <w:szCs w:val="32"/>
        </w:rPr>
        <w:t>培育一批创新型县（市）</w:t>
      </w:r>
      <w:r>
        <w:rPr>
          <w:rFonts w:hint="eastAsia" w:ascii="Calibri" w:hAnsi="Calibri" w:eastAsia="仿宋_GB2312"/>
          <w:color w:val="000000"/>
          <w:sz w:val="32"/>
          <w:szCs w:val="32"/>
        </w:rPr>
        <w:t>，</w:t>
      </w:r>
      <w:r>
        <w:rPr>
          <w:rFonts w:hint="eastAsia" w:ascii="仿宋_GB2312" w:hAnsi="仿宋" w:eastAsia="仿宋_GB2312" w:cs="仿宋"/>
          <w:color w:val="000000"/>
          <w:sz w:val="32"/>
          <w:szCs w:val="32"/>
        </w:rPr>
        <w:t>打造具有温州特色的县域创新驱动示范引领高地。</w:t>
      </w:r>
    </w:p>
    <w:p>
      <w:pPr>
        <w:spacing w:line="480" w:lineRule="exact"/>
        <w:jc w:val="center"/>
        <w:rPr>
          <w:rFonts w:ascii="黑体" w:hAnsi="黑体" w:eastAsia="黑体" w:cs="黑体"/>
          <w:b w:val="0"/>
          <w:bCs w:val="0"/>
          <w:color w:val="000000"/>
          <w:sz w:val="28"/>
          <w:szCs w:val="28"/>
        </w:rPr>
      </w:pPr>
      <w:r>
        <w:rPr>
          <w:rFonts w:hint="eastAsia" w:ascii="黑体" w:hAnsi="黑体" w:eastAsia="黑体" w:cs="黑体"/>
          <w:b w:val="0"/>
          <w:bCs w:val="0"/>
          <w:color w:val="000000"/>
          <w:sz w:val="28"/>
          <w:szCs w:val="28"/>
        </w:rPr>
        <w:t>专栏</w:t>
      </w:r>
      <w:r>
        <w:rPr>
          <w:rFonts w:ascii="黑体" w:hAnsi="黑体" w:eastAsia="黑体" w:cs="黑体"/>
          <w:b w:val="0"/>
          <w:bCs w:val="0"/>
          <w:color w:val="000000"/>
          <w:sz w:val="28"/>
          <w:szCs w:val="28"/>
        </w:rPr>
        <w:t>7</w:t>
      </w:r>
      <w:r>
        <w:rPr>
          <w:rFonts w:hint="eastAsia" w:ascii="黑体" w:hAnsi="黑体" w:eastAsia="黑体" w:cs="黑体"/>
          <w:b w:val="0"/>
          <w:bCs w:val="0"/>
          <w:color w:val="000000"/>
          <w:sz w:val="28"/>
          <w:szCs w:val="28"/>
        </w:rPr>
        <w:t>：市县协同创新推进计划</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414" w:type="dxa"/>
            <w:noWrap/>
          </w:tcPr>
          <w:p>
            <w:pPr>
              <w:pStyle w:val="7"/>
              <w:spacing w:line="480" w:lineRule="exact"/>
              <w:ind w:firstLine="48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鹿城区：结合产业基础及主城区城市功能配套资源优势，立足科技创新发展态势与需要，打造浙南闽北赣东科技服务业发展领跑区，进一步构建良好的创新创业生态，为全面提升中心城区首位度、建设创新强区提供科技支撑。</w:t>
            </w:r>
          </w:p>
          <w:p>
            <w:pPr>
              <w:pStyle w:val="7"/>
              <w:spacing w:line="480" w:lineRule="exact"/>
              <w:ind w:firstLine="48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龙湾区：以国家高新区、国家自主创新示范区和温州环大罗山科创走廊建设为主抓手，集聚创新资源、提升创新能力，优化创新环境，全力打造全球眼健康科创引领高地。</w:t>
            </w:r>
          </w:p>
          <w:p>
            <w:pPr>
              <w:pStyle w:val="7"/>
              <w:spacing w:line="480" w:lineRule="exact"/>
              <w:ind w:firstLine="48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瓯海区：以建设创新生态最优区为目标，以建设国家自主创新示范区、环大罗山科创走廊为载体，加强高能级创新平台建设，加速创新资源汇聚，着力完善区域创新体系，建设产教研融合发展试验区，为建设“科教新区、山水瓯海”提供强劲动力。</w:t>
            </w:r>
          </w:p>
          <w:p>
            <w:pPr>
              <w:pStyle w:val="7"/>
              <w:spacing w:line="480" w:lineRule="exact"/>
              <w:ind w:firstLine="48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洞头区：充分发挥洞头在海洋产业领域的独特优势，着力建设科技创新岛，积极培育参与区域海洋科技竞争的新优势，打造辐射全省的海洋科技创新策源地。</w:t>
            </w:r>
          </w:p>
          <w:p>
            <w:pPr>
              <w:pStyle w:val="7"/>
              <w:spacing w:line="480" w:lineRule="exact"/>
              <w:ind w:firstLine="48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瑞安市：创成国家创新型县（市），城市对人才的吸引力、区域人才的集聚度、人才对产业发展的贡献度、科技创新对经济发展的支撑力显著增强，区域自主创新能力大幅提升，打造高端智能汽车关键零部件创新生态示范区。</w:t>
            </w:r>
          </w:p>
          <w:p>
            <w:pPr>
              <w:pStyle w:val="7"/>
              <w:spacing w:line="480" w:lineRule="exact"/>
              <w:ind w:firstLine="48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乐清市：以支撑高质量发展为主线，以抢占技术制高点为核心，积极承接世界青年科学家峰会乐清分会成果，锚定科技创新“</w:t>
            </w:r>
            <w:r>
              <w:rPr>
                <w:rFonts w:ascii="宋体" w:hAnsi="宋体" w:eastAsia="宋体" w:cs="宋体"/>
                <w:bCs/>
                <w:color w:val="000000"/>
                <w:kern w:val="0"/>
                <w:sz w:val="24"/>
                <w:szCs w:val="24"/>
              </w:rPr>
              <w:t>1110”计划（一园一廊十平台）构建多领域互动、多要素联动的创新生态体系，打造全国民营经济科技创新引领区。</w:t>
            </w:r>
          </w:p>
          <w:p>
            <w:pPr>
              <w:pStyle w:val="7"/>
              <w:spacing w:line="480" w:lineRule="exact"/>
              <w:ind w:firstLine="48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龙港市：按照“两个健康”先行区和“高端产业城”建设要求，以创新发展为动力，以平台、技术、装备、产品、政策升级为重点，落地“温州高新区龙港产业园”，对接列入中国（浙江）自贸区温州联动创新区，争设省级、国家级产业发展平台，引进一批战略性重大产业项目，推进产业高端化、规模化、集群化发展。</w:t>
            </w:r>
          </w:p>
          <w:p>
            <w:pPr>
              <w:pStyle w:val="7"/>
              <w:spacing w:line="480" w:lineRule="exact"/>
              <w:ind w:firstLine="48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永嘉县：瓯江北岸科创走廊基本成型，省级高新技术产业园区挂牌创建，全面融入全市科技创新格局。创新驱动引领高质量发展的创新生态逐步健全</w:t>
            </w:r>
            <w:r>
              <w:rPr>
                <w:rFonts w:ascii="宋体" w:hAnsi="宋体" w:eastAsia="宋体" w:cs="宋体"/>
                <w:bCs/>
                <w:color w:val="000000"/>
                <w:kern w:val="0"/>
                <w:sz w:val="24"/>
                <w:szCs w:val="24"/>
              </w:rPr>
              <w:t>,重点领域关键核心技术取得重大突破，基本建成全国有竞争力的系统流程装备产业科创高地。</w:t>
            </w:r>
          </w:p>
          <w:p>
            <w:pPr>
              <w:pStyle w:val="7"/>
              <w:spacing w:line="480" w:lineRule="exact"/>
              <w:ind w:firstLine="48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平阳县：以建设高水平创新强县为目标，以省级高新技术产业园区创建为载体，聚力打造浙南沿海智能装备制造集聚区，努力在全国创新百强县排名中实现晋等升位，为新时代平阳高质量发展提供强大动力支撑。</w:t>
            </w:r>
          </w:p>
          <w:p>
            <w:pPr>
              <w:pStyle w:val="7"/>
              <w:spacing w:line="480" w:lineRule="exact"/>
              <w:ind w:firstLine="48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苍南县：大力打造面向浙南闽北区域科技创新开放协作的战略高地、引领温州都市区南翼副中心产业创新发展的重要增长极、全国清洁能源技术集成研究与示范的样板区，积极在科技创新领域创造新的温州模式，力争县域科技创新能力水平实现进等升位。</w:t>
            </w:r>
          </w:p>
          <w:p>
            <w:pPr>
              <w:pStyle w:val="7"/>
              <w:spacing w:line="480" w:lineRule="exact"/>
              <w:ind w:firstLine="48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文成县：全力打造区域产业转型升级新高地、乡村振兴科技引领示范地、科技服务创新提升先行地，加快创新文成、绿色文成、智慧文成、健康文成的发展。</w:t>
            </w:r>
          </w:p>
          <w:p>
            <w:pPr>
              <w:pStyle w:val="7"/>
              <w:spacing w:line="480" w:lineRule="exact"/>
              <w:ind w:firstLine="48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泰顺县：抓牢“生态县也要发展生态工业”这一理念，以打造生态工业平台为支撑，以“一区四园一基地”建设为新引擎，全力打造温州西南（浙南闽北）生态产业集聚区。</w:t>
            </w:r>
          </w:p>
          <w:p>
            <w:pPr>
              <w:pStyle w:val="7"/>
              <w:spacing w:line="480" w:lineRule="exact"/>
              <w:ind w:firstLine="48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浙南科技城：坚持人、产、城深度融合，高水平打造支撑高能级平台聚才育才的承载环境，培育生命健康、智能装备、数字经济三大主导产业，坚持以大平台支撑大项目，以大项目引领大发展，建设成为全市经济高质量发展的驱动力和主引擎。</w:t>
            </w:r>
          </w:p>
          <w:p>
            <w:pPr>
              <w:pStyle w:val="7"/>
              <w:spacing w:line="480" w:lineRule="exact"/>
              <w:ind w:firstLine="48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瓯江口产业集聚区：聚焦创新指标突破、高能级创新平台打造、技术创新体系建设、创新人才队伍引育、创新生态政策供给、科技队伍建设等，全力助推“创新驱动的四新经济发展核心窗口、优质一流的营商环境示范窗口、两区叠加的对外开放示范窗口。产城人融合的湾区城市发展标杆窗口”的湾区经济大平台。</w:t>
            </w:r>
          </w:p>
          <w:p>
            <w:pPr>
              <w:pStyle w:val="7"/>
              <w:spacing w:line="480" w:lineRule="exact"/>
              <w:ind w:firstLine="480"/>
              <w:rPr>
                <w:rFonts w:ascii="仿宋_GB2312" w:hAnsi="仿宋_GB2312" w:eastAsia="仿宋_GB2312" w:cs="仿宋_GB2312"/>
                <w:bCs/>
                <w:color w:val="000000"/>
                <w:kern w:val="0"/>
                <w:sz w:val="28"/>
                <w:szCs w:val="28"/>
              </w:rPr>
            </w:pPr>
            <w:r>
              <w:rPr>
                <w:rFonts w:hint="eastAsia" w:ascii="宋体" w:hAnsi="宋体" w:eastAsia="宋体" w:cs="宋体"/>
                <w:bCs/>
                <w:color w:val="000000"/>
                <w:kern w:val="0"/>
                <w:sz w:val="24"/>
                <w:szCs w:val="24"/>
              </w:rPr>
              <w:t>浙南产业集聚区：以推动制造业数字化转型为主攻方向，加快人工智能、物联网、大数据、区块链技术等信息技术与制造业的深度融合发展，打造先进制造数字化改造示范区。</w:t>
            </w:r>
          </w:p>
        </w:tc>
      </w:tr>
      <w:bookmarkEnd w:id="378"/>
    </w:tbl>
    <w:p>
      <w:pPr>
        <w:pStyle w:val="5"/>
        <w:spacing w:line="560" w:lineRule="exact"/>
        <w:rPr>
          <w:bCs/>
          <w:color w:val="000000"/>
        </w:rPr>
      </w:pPr>
      <w:bookmarkStart w:id="406" w:name="_Toc25708"/>
      <w:bookmarkStart w:id="407" w:name="_Toc31533"/>
      <w:bookmarkStart w:id="408" w:name="_Toc29136"/>
      <w:bookmarkStart w:id="409" w:name="_Toc30519"/>
      <w:bookmarkStart w:id="410" w:name="_Toc2066"/>
      <w:bookmarkStart w:id="411" w:name="_Toc30022"/>
      <w:bookmarkStart w:id="412" w:name="_Toc57043407"/>
      <w:bookmarkStart w:id="413" w:name="_Toc14996"/>
      <w:bookmarkStart w:id="414" w:name="_Toc9237"/>
      <w:bookmarkStart w:id="415" w:name="_Toc11789"/>
      <w:r>
        <w:rPr>
          <w:rFonts w:hint="eastAsia" w:cs="Times New Roman"/>
          <w:bCs/>
          <w:color w:val="000000"/>
        </w:rPr>
        <w:t>十、实施创新治理体系现代化工程，营造良好创新生态</w:t>
      </w:r>
      <w:bookmarkEnd w:id="406"/>
      <w:bookmarkEnd w:id="407"/>
      <w:bookmarkEnd w:id="408"/>
      <w:bookmarkEnd w:id="409"/>
      <w:bookmarkEnd w:id="410"/>
      <w:bookmarkEnd w:id="411"/>
      <w:bookmarkEnd w:id="412"/>
      <w:bookmarkEnd w:id="413"/>
      <w:bookmarkEnd w:id="414"/>
      <w:bookmarkEnd w:id="415"/>
    </w:p>
    <w:p>
      <w:pPr>
        <w:pStyle w:val="6"/>
        <w:spacing w:before="0" w:after="0" w:line="560" w:lineRule="exact"/>
        <w:ind w:firstLine="640" w:firstLineChars="200"/>
        <w:rPr>
          <w:rFonts w:ascii="楷体_GB2312" w:eastAsia="楷体_GB2312"/>
          <w:b w:val="0"/>
          <w:bCs w:val="0"/>
        </w:rPr>
      </w:pPr>
      <w:bookmarkStart w:id="416" w:name="_Toc430"/>
      <w:bookmarkStart w:id="417" w:name="_Toc19092"/>
      <w:bookmarkStart w:id="418" w:name="_Toc10148"/>
      <w:bookmarkStart w:id="419" w:name="_Toc126"/>
      <w:bookmarkStart w:id="420" w:name="_Toc26876"/>
      <w:bookmarkStart w:id="421" w:name="_Toc14848"/>
      <w:bookmarkStart w:id="422" w:name="_Toc14225"/>
      <w:bookmarkStart w:id="423" w:name="_Toc6321"/>
      <w:bookmarkStart w:id="424" w:name="_Toc30161"/>
      <w:r>
        <w:rPr>
          <w:rFonts w:hint="eastAsia" w:ascii="楷体_GB2312" w:hAnsi="Calibri Light" w:eastAsia="楷体_GB2312"/>
          <w:b w:val="0"/>
          <w:bCs w:val="0"/>
          <w:sz w:val="32"/>
          <w:szCs w:val="32"/>
        </w:rPr>
        <w:t>（一）完善新型科技管理体制</w:t>
      </w:r>
      <w:bookmarkEnd w:id="416"/>
      <w:bookmarkEnd w:id="417"/>
      <w:bookmarkEnd w:id="418"/>
      <w:bookmarkEnd w:id="419"/>
      <w:bookmarkEnd w:id="420"/>
      <w:bookmarkEnd w:id="421"/>
      <w:bookmarkEnd w:id="422"/>
      <w:bookmarkEnd w:id="423"/>
      <w:bookmarkEnd w:id="424"/>
    </w:p>
    <w:p>
      <w:pPr>
        <w:spacing w:line="560" w:lineRule="exact"/>
        <w:ind w:firstLine="640" w:firstLineChars="200"/>
        <w:rPr>
          <w:rFonts w:hint="eastAsia" w:ascii="仿宋_GB2312" w:hAnsi="黑体" w:eastAsia="仿宋_GB2312"/>
          <w:color w:val="000000"/>
          <w:sz w:val="32"/>
          <w:szCs w:val="32"/>
          <w:lang w:eastAsia="zh-CN"/>
        </w:rPr>
      </w:pPr>
      <w:r>
        <w:rPr>
          <w:rFonts w:hint="eastAsia" w:ascii="仿宋_GB2312" w:hAnsi="Calibri" w:eastAsia="仿宋_GB2312"/>
          <w:color w:val="000000"/>
          <w:sz w:val="32"/>
          <w:szCs w:val="32"/>
        </w:rPr>
        <w:t>改革重大科技项目立项和组织管理方式，实行“揭榜挂帅”“赛马”等制度。推进科研项目经费使用“包干制”改革，下放经费用途自主调剂权、经费使用自主支配权、项目实施自主调整权，推出科研全过程诚信管理升级版，充分激发科研人员创新创造活力。全面落实“三评”改革精神，完善适应颠覆性创新的研发组织模式。深化科研放权赋能改革，对科研项目实行审计、监督、检查结果互认，一个项目周期实现“最多查一次”。进一步深化科技系统事业单位改革，推进全市科技系统融入“一盘棋”的大科技体系格局。</w:t>
      </w:r>
    </w:p>
    <w:p>
      <w:pPr>
        <w:pStyle w:val="6"/>
        <w:spacing w:before="0" w:after="0" w:line="560" w:lineRule="exact"/>
        <w:ind w:firstLine="640" w:firstLineChars="200"/>
        <w:rPr>
          <w:rFonts w:ascii="楷体_GB2312" w:eastAsia="楷体_GB2312"/>
          <w:b w:val="0"/>
          <w:bCs w:val="0"/>
        </w:rPr>
      </w:pPr>
      <w:bookmarkStart w:id="425" w:name="_Toc6764"/>
      <w:bookmarkStart w:id="426" w:name="_Toc11775"/>
      <w:bookmarkStart w:id="427" w:name="_Toc19400"/>
      <w:bookmarkStart w:id="428" w:name="_Toc12191"/>
      <w:bookmarkStart w:id="429" w:name="_Toc11477"/>
      <w:bookmarkStart w:id="430" w:name="_Toc29784"/>
      <w:bookmarkStart w:id="431" w:name="_Toc19604"/>
      <w:bookmarkStart w:id="432" w:name="_Toc9327"/>
      <w:bookmarkStart w:id="433" w:name="_Toc23457"/>
      <w:r>
        <w:rPr>
          <w:rFonts w:hint="eastAsia" w:ascii="楷体_GB2312" w:hAnsi="Calibri Light" w:eastAsia="楷体_GB2312"/>
          <w:b w:val="0"/>
          <w:bCs w:val="0"/>
          <w:sz w:val="32"/>
          <w:szCs w:val="32"/>
        </w:rPr>
        <w:t>（二）推进科技领域数字化改革</w:t>
      </w:r>
      <w:bookmarkEnd w:id="425"/>
      <w:bookmarkEnd w:id="426"/>
      <w:bookmarkEnd w:id="427"/>
      <w:bookmarkEnd w:id="428"/>
      <w:bookmarkEnd w:id="429"/>
      <w:bookmarkEnd w:id="430"/>
      <w:bookmarkEnd w:id="431"/>
      <w:bookmarkEnd w:id="432"/>
      <w:bookmarkEnd w:id="433"/>
    </w:p>
    <w:p>
      <w:pPr>
        <w:spacing w:line="560" w:lineRule="exact"/>
        <w:ind w:firstLine="640" w:firstLineChars="200"/>
        <w:rPr>
          <w:rFonts w:ascii="仿宋_GB2312" w:hAnsi="仿宋" w:eastAsia="仿宋_GB2312" w:cs="仿宋"/>
          <w:color w:val="000000"/>
          <w:sz w:val="32"/>
          <w:szCs w:val="32"/>
        </w:rPr>
      </w:pPr>
      <w:r>
        <w:rPr>
          <w:rFonts w:hint="eastAsia" w:ascii="仿宋_GB2312" w:hAnsi="仿宋" w:eastAsia="仿宋_GB2312" w:cs="华文仿宋"/>
          <w:color w:val="000000"/>
          <w:sz w:val="32"/>
          <w:szCs w:val="32"/>
        </w:rPr>
        <w:t>深化温州“科技大脑”建设，</w:t>
      </w:r>
      <w:r>
        <w:rPr>
          <w:rStyle w:val="41"/>
          <w:rFonts w:eastAsia="仿宋_GB2312"/>
          <w:sz w:val="32"/>
          <w:szCs w:val="32"/>
        </w:rPr>
        <w:t>以数字化改革理念实施科技管理服务的流程再造，打造全省领先、全市领跑的科技领域综合性管理平台。</w:t>
      </w:r>
      <w:r>
        <w:rPr>
          <w:rFonts w:hint="eastAsia" w:ascii="仿宋_GB2312" w:hAnsi="仿宋" w:eastAsia="仿宋_GB2312" w:cs="华文仿宋"/>
          <w:color w:val="000000"/>
          <w:sz w:val="32"/>
          <w:szCs w:val="32"/>
        </w:rPr>
        <w:t>加快科技创新治理领域数字化应用，加强数字化技术支撑体系建设，深化科技领域“互联网+政务服务”“互联网+监管”，简化科研项目申报评审和实施管理流程，加强推进科技项目电子合同、电子档案等改革，进一步下放科技管理权限，再造办事服务流程。</w:t>
      </w:r>
      <w:r>
        <w:rPr>
          <w:rFonts w:hint="eastAsia" w:ascii="仿宋_GB2312" w:hAnsi="仿宋" w:eastAsia="仿宋_GB2312" w:cs="仿宋"/>
          <w:color w:val="000000"/>
          <w:sz w:val="32"/>
          <w:szCs w:val="32"/>
        </w:rPr>
        <w:t>依托5G网络建设线上视频验收系统，实现科研项目远程验收。强化科技、发改、财政等综合管理部门对科技改革发展的统筹设计与指导，强化行业部门在重大需求凝练、技术推广应用、行业政策标准制定和科技公共服务方面的重要作用，</w:t>
      </w:r>
      <w:r>
        <w:rPr>
          <w:rFonts w:hint="eastAsia" w:ascii="仿宋_GB2312" w:hAnsi="仿宋" w:eastAsia="仿宋_GB2312"/>
          <w:color w:val="000000"/>
          <w:sz w:val="32"/>
          <w:szCs w:val="32"/>
        </w:rPr>
        <w:t>提升科技创新管理服务能力</w:t>
      </w:r>
      <w:r>
        <w:rPr>
          <w:rFonts w:hint="eastAsia" w:ascii="仿宋_GB2312" w:hAnsi="仿宋" w:eastAsia="仿宋_GB2312" w:cs="仿宋"/>
          <w:color w:val="000000"/>
          <w:sz w:val="32"/>
          <w:szCs w:val="32"/>
        </w:rPr>
        <w:t>。</w:t>
      </w:r>
    </w:p>
    <w:p>
      <w:pPr>
        <w:pStyle w:val="6"/>
        <w:spacing w:before="0" w:after="0" w:line="560" w:lineRule="exact"/>
        <w:ind w:firstLine="640" w:firstLineChars="200"/>
        <w:rPr>
          <w:rFonts w:ascii="楷体_GB2312" w:eastAsia="楷体_GB2312"/>
          <w:b w:val="0"/>
          <w:bCs w:val="0"/>
        </w:rPr>
      </w:pPr>
      <w:bookmarkStart w:id="434" w:name="_Toc7256"/>
      <w:bookmarkStart w:id="435" w:name="_Toc17576"/>
      <w:bookmarkStart w:id="436" w:name="_Toc938"/>
      <w:bookmarkStart w:id="437" w:name="_Toc32394"/>
      <w:bookmarkStart w:id="438" w:name="_Toc20431"/>
      <w:bookmarkStart w:id="439" w:name="_Toc19355"/>
      <w:bookmarkStart w:id="440" w:name="_Toc706"/>
      <w:bookmarkStart w:id="441" w:name="_Toc19276"/>
      <w:bookmarkStart w:id="442" w:name="_Toc14808"/>
      <w:r>
        <w:rPr>
          <w:rFonts w:hint="eastAsia" w:ascii="楷体_GB2312" w:hAnsi="Calibri Light" w:eastAsia="楷体_GB2312"/>
          <w:b w:val="0"/>
          <w:bCs w:val="0"/>
          <w:sz w:val="32"/>
          <w:szCs w:val="32"/>
        </w:rPr>
        <w:t>（三）加强科技金融融合</w:t>
      </w:r>
      <w:bookmarkEnd w:id="434"/>
      <w:bookmarkEnd w:id="435"/>
      <w:bookmarkEnd w:id="436"/>
      <w:bookmarkEnd w:id="437"/>
      <w:bookmarkEnd w:id="438"/>
      <w:bookmarkEnd w:id="439"/>
      <w:bookmarkEnd w:id="440"/>
      <w:bookmarkEnd w:id="441"/>
      <w:bookmarkEnd w:id="442"/>
    </w:p>
    <w:p>
      <w:pPr>
        <w:pStyle w:val="30"/>
        <w:adjustRightInd/>
        <w:spacing w:line="560" w:lineRule="exact"/>
        <w:ind w:firstLine="640" w:firstLineChars="200"/>
        <w:rPr>
          <w:rFonts w:ascii="仿宋_GB2312" w:hAnsi="仿宋" w:eastAsia="仿宋_GB2312" w:cs="华文仿宋"/>
          <w:sz w:val="32"/>
          <w:szCs w:val="32"/>
        </w:rPr>
      </w:pPr>
      <w:r>
        <w:rPr>
          <w:rFonts w:hint="eastAsia" w:ascii="仿宋_GB2312" w:hAnsi="仿宋" w:eastAsia="仿宋_GB2312" w:cs="华文仿宋"/>
          <w:sz w:val="32"/>
          <w:szCs w:val="32"/>
        </w:rPr>
        <w:t>创新财政科技资金分配机制，建立完善科技金融体系，做强做大百亿科创基金，大力发展天使投资、创业投资、投贷联动、科技担保、科技保险，推动在温商业银行设立科技支行，</w:t>
      </w:r>
      <w:r>
        <w:rPr>
          <w:rFonts w:ascii="Times New Roman" w:hAnsi="Times New Roman" w:eastAsia="仿宋_GB2312" w:cs="Times New Roman"/>
          <w:snapToGrid w:val="0"/>
          <w:sz w:val="32"/>
          <w:szCs w:val="32"/>
        </w:rPr>
        <w:t>实现“科技+金融+产业”新金融模式，将温州打造成为“天使之城”“创业投资之城”</w:t>
      </w:r>
      <w:r>
        <w:rPr>
          <w:rFonts w:hint="eastAsia" w:ascii="仿宋_GB2312" w:hAnsi="仿宋" w:eastAsia="仿宋_GB2312" w:cs="华文仿宋"/>
          <w:sz w:val="32"/>
          <w:szCs w:val="32"/>
        </w:rPr>
        <w:t>。</w:t>
      </w:r>
      <w:r>
        <w:rPr>
          <w:rStyle w:val="41"/>
          <w:rFonts w:hint="eastAsia" w:ascii="Times New Roman" w:hAnsi="Times New Roman" w:eastAsia="仿宋_GB2312"/>
          <w:sz w:val="32"/>
          <w:szCs w:val="32"/>
        </w:rPr>
        <w:t>引导金融机构加大对科技创新发展的信贷倾斜，指导银行机构探索开发科技信贷系列产品，推广知识产权和动产质押贷款。</w:t>
      </w:r>
      <w:r>
        <w:rPr>
          <w:rFonts w:hint="eastAsia" w:ascii="仿宋_GB2312" w:hAnsi="仿宋" w:eastAsia="仿宋_GB2312" w:cs="华文仿宋"/>
          <w:sz w:val="32"/>
          <w:szCs w:val="32"/>
        </w:rPr>
        <w:t>加大技术产权资产证券化试点改革复制推广，发行技术产权资产证券化产品，探索以政策引导和市场机制发行技术产权资产支持专项计划。加快完善温州科技金融中心基础设施配套，</w:t>
      </w:r>
      <w:r>
        <w:rPr>
          <w:rFonts w:ascii="Times New Roman" w:hAnsi="Times New Roman" w:eastAsia="仿宋_GB2312" w:cs="Times New Roman"/>
          <w:snapToGrid w:val="0"/>
          <w:sz w:val="32"/>
          <w:szCs w:val="32"/>
        </w:rPr>
        <w:t>深入推进温州金融综合服务平台深化应用，推进温州金融综合服务平台与省平台、企业数据宝等平台对接融合</w:t>
      </w:r>
      <w:r>
        <w:rPr>
          <w:rFonts w:hint="eastAsia" w:ascii="Times New Roman" w:hAnsi="Times New Roman" w:eastAsia="仿宋_GB2312" w:cs="Times New Roman"/>
          <w:snapToGrid w:val="0"/>
          <w:sz w:val="32"/>
          <w:szCs w:val="32"/>
        </w:rPr>
        <w:t>，</w:t>
      </w:r>
      <w:r>
        <w:rPr>
          <w:rFonts w:hint="eastAsia" w:ascii="仿宋_GB2312" w:hAnsi="仿宋" w:eastAsia="仿宋_GB2312" w:cs="华文仿宋"/>
          <w:sz w:val="32"/>
          <w:szCs w:val="32"/>
        </w:rPr>
        <w:t>全面提升“一站式”科技金融服务水平。鼓励支持科技企业在科创板、创业板等资本市场上市和挂牌交易，支持挂牌上市科技企业通过资本市场增发、配股、发行股份购买资产等方式融资。</w:t>
      </w:r>
      <w:r>
        <w:rPr>
          <w:rFonts w:ascii="Times New Roman" w:hAnsi="Times New Roman" w:eastAsia="仿宋_GB2312" w:cs="Times New Roman"/>
          <w:snapToGrid w:val="0"/>
          <w:sz w:val="32"/>
          <w:szCs w:val="32"/>
        </w:rPr>
        <w:t>实施融资畅通工程</w:t>
      </w:r>
      <w:r>
        <w:rPr>
          <w:rFonts w:hint="eastAsia" w:ascii="Times New Roman" w:hAnsi="Times New Roman" w:eastAsia="仿宋_GB2312" w:cs="Times New Roman"/>
          <w:snapToGrid w:val="0"/>
          <w:sz w:val="32"/>
          <w:szCs w:val="32"/>
        </w:rPr>
        <w:t>，</w:t>
      </w:r>
      <w:r>
        <w:rPr>
          <w:rFonts w:ascii="Times New Roman" w:hAnsi="Times New Roman" w:eastAsia="仿宋_GB2312" w:cs="Times New Roman"/>
          <w:snapToGrid w:val="0"/>
          <w:sz w:val="32"/>
          <w:szCs w:val="32"/>
        </w:rPr>
        <w:t>加快建立全市实施融资畅通工程“一表两指数”新机制</w:t>
      </w:r>
      <w:r>
        <w:rPr>
          <w:rFonts w:hint="eastAsia" w:ascii="Times New Roman" w:hAnsi="Times New Roman" w:eastAsia="仿宋_GB2312" w:cs="Times New Roman"/>
          <w:snapToGrid w:val="0"/>
          <w:sz w:val="32"/>
          <w:szCs w:val="32"/>
        </w:rPr>
        <w:t>，破解科技型中小微企业融资难问题。</w:t>
      </w:r>
    </w:p>
    <w:p>
      <w:pPr>
        <w:pStyle w:val="6"/>
        <w:spacing w:before="0" w:after="0" w:line="560" w:lineRule="exact"/>
        <w:ind w:firstLine="640" w:firstLineChars="200"/>
        <w:rPr>
          <w:rFonts w:ascii="楷体_GB2312" w:eastAsia="楷体_GB2312"/>
          <w:b w:val="0"/>
          <w:bCs w:val="0"/>
        </w:rPr>
      </w:pPr>
      <w:bookmarkStart w:id="443" w:name="_Toc22791"/>
      <w:bookmarkStart w:id="444" w:name="_Toc28658"/>
      <w:bookmarkStart w:id="445" w:name="_Toc23831"/>
      <w:bookmarkStart w:id="446" w:name="_Toc8722"/>
      <w:bookmarkStart w:id="447" w:name="_Toc7930"/>
      <w:bookmarkStart w:id="448" w:name="_Toc16718"/>
      <w:bookmarkStart w:id="449" w:name="_Toc5641"/>
      <w:bookmarkStart w:id="450" w:name="_Toc6930"/>
      <w:bookmarkStart w:id="451" w:name="_Toc27955"/>
      <w:r>
        <w:rPr>
          <w:rFonts w:hint="eastAsia" w:ascii="楷体_GB2312" w:hAnsi="Calibri Light" w:eastAsia="楷体_GB2312"/>
          <w:b w:val="0"/>
          <w:bCs w:val="0"/>
          <w:sz w:val="32"/>
          <w:szCs w:val="32"/>
        </w:rPr>
        <w:t>（四）健全知识产权法治环境</w:t>
      </w:r>
      <w:bookmarkEnd w:id="443"/>
      <w:bookmarkEnd w:id="444"/>
      <w:bookmarkEnd w:id="445"/>
      <w:bookmarkEnd w:id="446"/>
      <w:bookmarkEnd w:id="447"/>
      <w:bookmarkEnd w:id="448"/>
      <w:bookmarkEnd w:id="449"/>
      <w:bookmarkEnd w:id="450"/>
      <w:bookmarkEnd w:id="451"/>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深化知识产权示范城市建设，完善知识产权管理体制，加快形成与政用产学研相适应的知识产权制度，积极构建知识产权护航科技创新发展的工作格局。加强知识产权保护和运营，提升中国（温州）知识产权保护中心服务水平，争取设立温州知识产权法庭，完善知识产权维权援助机制，加大对知识产权侵权假冒行为的打击力度。健全知识产权海外风险预警机制，加强企业海外知识产权纠纷应对指导与援助，引导企业建立知识产权涉外维权联盟。</w:t>
      </w:r>
    </w:p>
    <w:p>
      <w:pPr>
        <w:pStyle w:val="6"/>
        <w:spacing w:before="0" w:after="0" w:line="560" w:lineRule="exact"/>
        <w:ind w:firstLine="640" w:firstLineChars="200"/>
        <w:rPr>
          <w:rFonts w:ascii="楷体_GB2312" w:eastAsia="楷体_GB2312"/>
          <w:b w:val="0"/>
          <w:bCs w:val="0"/>
        </w:rPr>
      </w:pPr>
      <w:bookmarkStart w:id="452" w:name="_Toc13094"/>
      <w:bookmarkStart w:id="453" w:name="_Toc1947"/>
      <w:bookmarkStart w:id="454" w:name="_Toc27698"/>
      <w:bookmarkStart w:id="455" w:name="_Toc427"/>
      <w:bookmarkStart w:id="456" w:name="_Toc2927"/>
      <w:bookmarkStart w:id="457" w:name="_Toc9798"/>
      <w:bookmarkStart w:id="458" w:name="_Toc19707"/>
      <w:bookmarkStart w:id="459" w:name="_Toc20601"/>
      <w:bookmarkStart w:id="460" w:name="_Toc30783"/>
      <w:r>
        <w:rPr>
          <w:rFonts w:hint="eastAsia" w:ascii="楷体_GB2312" w:hAnsi="Calibri Light" w:eastAsia="楷体_GB2312"/>
          <w:b w:val="0"/>
          <w:bCs w:val="0"/>
          <w:sz w:val="32"/>
          <w:szCs w:val="32"/>
        </w:rPr>
        <w:t>（五）强化创新氛围营造</w:t>
      </w:r>
      <w:bookmarkEnd w:id="452"/>
      <w:bookmarkEnd w:id="453"/>
      <w:bookmarkEnd w:id="454"/>
      <w:bookmarkEnd w:id="455"/>
      <w:bookmarkEnd w:id="456"/>
      <w:bookmarkEnd w:id="457"/>
      <w:bookmarkEnd w:id="458"/>
      <w:bookmarkEnd w:id="459"/>
      <w:bookmarkEnd w:id="460"/>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建立</w:t>
      </w:r>
      <w:r>
        <w:rPr>
          <w:rFonts w:ascii="仿宋_GB2312" w:hAnsi="仿宋_GB2312" w:eastAsia="仿宋_GB2312" w:cs="仿宋_GB2312"/>
          <w:color w:val="000000"/>
          <w:sz w:val="32"/>
          <w:szCs w:val="32"/>
        </w:rPr>
        <w:t>科技创新贡献奖励机制，激励科技创新工作。深入实施全民科学文化素质行动计划，广泛开展群众性科技创新活动，着力提升全民科学素质和创新意识。进一步弘扬科学家精神，尊重科研规律，激励和引导广大科技人员追求真理，</w:t>
      </w:r>
      <w:r>
        <w:rPr>
          <w:rFonts w:hint="eastAsia" w:ascii="仿宋_GB2312" w:hAnsi="仿宋_GB2312" w:eastAsia="仿宋_GB2312" w:cs="仿宋_GB2312"/>
          <w:color w:val="000000"/>
          <w:sz w:val="32"/>
          <w:szCs w:val="32"/>
        </w:rPr>
        <w:t>勇攀高峰</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建立科技创新容错机制，探索推行包容审慎监管模式，营造鼓励创新的氛围</w:t>
      </w:r>
      <w:r>
        <w:rPr>
          <w:rFonts w:ascii="仿宋_GB2312" w:hAnsi="仿宋_GB2312" w:eastAsia="仿宋_GB2312" w:cs="仿宋_GB2312"/>
          <w:color w:val="000000"/>
          <w:sz w:val="32"/>
          <w:szCs w:val="32"/>
        </w:rPr>
        <w:t>。</w:t>
      </w:r>
    </w:p>
    <w:p>
      <w:pPr>
        <w:pStyle w:val="5"/>
        <w:spacing w:line="560" w:lineRule="exact"/>
      </w:pPr>
      <w:bookmarkStart w:id="461" w:name="_Toc8770"/>
      <w:bookmarkStart w:id="462" w:name="_Toc11439"/>
      <w:bookmarkStart w:id="463" w:name="_Toc11969"/>
      <w:bookmarkStart w:id="464" w:name="_Toc17549"/>
      <w:bookmarkStart w:id="465" w:name="_Toc10852"/>
      <w:bookmarkStart w:id="466" w:name="_Toc21638"/>
      <w:bookmarkStart w:id="467" w:name="_Toc57043408"/>
      <w:bookmarkStart w:id="468" w:name="_Toc30186"/>
      <w:bookmarkStart w:id="469" w:name="_Toc3148"/>
      <w:bookmarkStart w:id="470" w:name="_Toc16302"/>
      <w:r>
        <w:rPr>
          <w:rFonts w:hint="eastAsia"/>
        </w:rPr>
        <w:t>十一、强化政策供给，保障</w:t>
      </w:r>
      <w:bookmarkEnd w:id="461"/>
      <w:bookmarkEnd w:id="462"/>
      <w:bookmarkEnd w:id="463"/>
      <w:bookmarkEnd w:id="464"/>
      <w:bookmarkEnd w:id="465"/>
      <w:bookmarkEnd w:id="466"/>
      <w:bookmarkEnd w:id="467"/>
      <w:bookmarkEnd w:id="468"/>
      <w:bookmarkEnd w:id="469"/>
      <w:bookmarkEnd w:id="470"/>
      <w:r>
        <w:rPr>
          <w:rFonts w:hint="eastAsia"/>
        </w:rPr>
        <w:t>规划落实</w:t>
      </w:r>
    </w:p>
    <w:p>
      <w:pPr>
        <w:pStyle w:val="6"/>
        <w:spacing w:before="0" w:after="0" w:line="560" w:lineRule="exact"/>
        <w:ind w:firstLine="640" w:firstLineChars="200"/>
        <w:rPr>
          <w:rFonts w:ascii="楷体_GB2312" w:eastAsia="楷体_GB2312"/>
          <w:b w:val="0"/>
          <w:bCs w:val="0"/>
        </w:rPr>
      </w:pPr>
      <w:bookmarkStart w:id="471" w:name="_Toc31869"/>
      <w:bookmarkStart w:id="472" w:name="_Toc31864"/>
      <w:bookmarkStart w:id="473" w:name="_Toc57043409"/>
      <w:bookmarkStart w:id="474" w:name="_Toc30155"/>
      <w:bookmarkStart w:id="475" w:name="_Toc12374"/>
      <w:bookmarkStart w:id="476" w:name="_Toc2737"/>
      <w:bookmarkStart w:id="477" w:name="_Toc12487"/>
      <w:bookmarkStart w:id="478" w:name="_Toc5655"/>
      <w:bookmarkStart w:id="479" w:name="_Toc19209"/>
      <w:bookmarkStart w:id="480" w:name="_Toc15217"/>
      <w:r>
        <w:rPr>
          <w:rFonts w:hint="eastAsia" w:ascii="楷体_GB2312" w:hAnsi="Calibri Light" w:eastAsia="楷体_GB2312"/>
          <w:b w:val="0"/>
          <w:bCs w:val="0"/>
          <w:sz w:val="32"/>
          <w:szCs w:val="32"/>
        </w:rPr>
        <w:t>（一）加强组织领导</w:t>
      </w:r>
      <w:bookmarkEnd w:id="471"/>
      <w:bookmarkEnd w:id="472"/>
      <w:bookmarkEnd w:id="473"/>
      <w:bookmarkEnd w:id="474"/>
      <w:bookmarkEnd w:id="475"/>
      <w:bookmarkEnd w:id="476"/>
      <w:bookmarkEnd w:id="477"/>
      <w:bookmarkEnd w:id="478"/>
      <w:bookmarkEnd w:id="479"/>
      <w:bookmarkEnd w:id="480"/>
    </w:p>
    <w:p>
      <w:pPr>
        <w:adjustRightInd w:val="0"/>
        <w:spacing w:line="560" w:lineRule="exact"/>
        <w:ind w:firstLine="640" w:firstLineChars="200"/>
        <w:rPr>
          <w:rFonts w:ascii="仿宋_GB2312" w:hAnsi="仿宋" w:eastAsia="仿宋_GB2312"/>
          <w:color w:val="000000"/>
          <w:kern w:val="0"/>
          <w:sz w:val="32"/>
          <w:szCs w:val="32"/>
        </w:rPr>
      </w:pPr>
      <w:r>
        <w:rPr>
          <w:rFonts w:ascii="仿宋_GB2312" w:hAnsi="仿宋" w:eastAsia="仿宋_GB2312"/>
          <w:color w:val="000000"/>
          <w:kern w:val="0"/>
          <w:sz w:val="32"/>
          <w:szCs w:val="32"/>
        </w:rPr>
        <w:t>健全党委领导、政府主管、科技部门牵头、相关部门协同、社会共同</w:t>
      </w:r>
      <w:r>
        <w:rPr>
          <w:rFonts w:hint="eastAsia" w:ascii="仿宋_GB2312" w:hAnsi="仿宋" w:eastAsia="仿宋_GB2312"/>
          <w:color w:val="000000"/>
          <w:kern w:val="0"/>
          <w:sz w:val="32"/>
          <w:szCs w:val="32"/>
        </w:rPr>
        <w:t>参与的科技领导体制，完善科技领导小组会议机制。</w:t>
      </w:r>
      <w:r>
        <w:rPr>
          <w:rFonts w:hint="eastAsia" w:ascii="仿宋_GB2312" w:hAnsi="仿宋" w:eastAsia="仿宋_GB2312"/>
          <w:color w:val="000000"/>
          <w:sz w:val="32"/>
          <w:szCs w:val="32"/>
        </w:rPr>
        <w:t>加快政府职能转变和数字化改革，</w:t>
      </w:r>
      <w:r>
        <w:rPr>
          <w:rFonts w:hint="eastAsia" w:ascii="仿宋_GB2312" w:hAnsi="仿宋" w:eastAsia="仿宋_GB2312"/>
          <w:color w:val="000000"/>
          <w:kern w:val="0"/>
          <w:sz w:val="32"/>
          <w:szCs w:val="32"/>
        </w:rPr>
        <w:t>加强科技创新的顶层设计和整体部署，加快形成创新型城市建设的政策法规体系。加强党建引领，落实全面从严治党主体责任，推进模范机关和清廉机关建设，广泛开展岗位建功和创先争优。</w:t>
      </w:r>
      <w:r>
        <w:rPr>
          <w:rFonts w:hint="eastAsia" w:ascii="仿宋_GB2312" w:hAnsi="仿宋" w:eastAsia="仿宋_GB2312"/>
          <w:color w:val="000000"/>
          <w:sz w:val="32"/>
          <w:szCs w:val="32"/>
        </w:rPr>
        <w:t>打造科技铁军，建设一支与新时代科技创新发展相适应的科技管理队伍，</w:t>
      </w:r>
      <w:r>
        <w:rPr>
          <w:rFonts w:hint="eastAsia" w:ascii="仿宋_GB2312" w:hAnsi="仿宋" w:eastAsia="仿宋_GB2312"/>
          <w:color w:val="000000"/>
          <w:kern w:val="0"/>
          <w:sz w:val="32"/>
          <w:szCs w:val="32"/>
        </w:rPr>
        <w:t>加强统计监测和分析决策能力，</w:t>
      </w:r>
      <w:r>
        <w:rPr>
          <w:rFonts w:hint="eastAsia" w:ascii="仿宋_GB2312" w:hAnsi="仿宋" w:eastAsia="仿宋_GB2312"/>
          <w:color w:val="000000"/>
          <w:sz w:val="32"/>
          <w:szCs w:val="32"/>
        </w:rPr>
        <w:t>为建设高水平创新型城市提供组织保障。</w:t>
      </w:r>
    </w:p>
    <w:p>
      <w:pPr>
        <w:pStyle w:val="6"/>
        <w:spacing w:before="0" w:after="0" w:line="560" w:lineRule="exact"/>
        <w:ind w:firstLine="640" w:firstLineChars="200"/>
        <w:rPr>
          <w:rFonts w:ascii="楷体_GB2312" w:eastAsia="楷体_GB2312"/>
          <w:b w:val="0"/>
          <w:bCs w:val="0"/>
        </w:rPr>
      </w:pPr>
      <w:bookmarkStart w:id="481" w:name="_Toc29997"/>
      <w:bookmarkStart w:id="482" w:name="_Toc28563"/>
      <w:bookmarkStart w:id="483" w:name="_Toc57043410"/>
      <w:bookmarkStart w:id="484" w:name="_Toc23062"/>
      <w:bookmarkStart w:id="485" w:name="_Toc17737"/>
      <w:bookmarkStart w:id="486" w:name="_Toc32125"/>
      <w:bookmarkStart w:id="487" w:name="_Toc23299"/>
      <w:bookmarkStart w:id="488" w:name="_Toc4787"/>
      <w:bookmarkStart w:id="489" w:name="_Toc32716"/>
      <w:bookmarkStart w:id="490" w:name="_Toc22149"/>
      <w:r>
        <w:rPr>
          <w:rFonts w:hint="eastAsia" w:ascii="楷体_GB2312" w:hAnsi="Calibri Light" w:eastAsia="楷体_GB2312"/>
          <w:b w:val="0"/>
          <w:bCs w:val="0"/>
          <w:sz w:val="32"/>
          <w:szCs w:val="32"/>
        </w:rPr>
        <w:t>（二）加强政策供给</w:t>
      </w:r>
      <w:bookmarkEnd w:id="481"/>
      <w:bookmarkEnd w:id="482"/>
      <w:bookmarkEnd w:id="483"/>
      <w:bookmarkEnd w:id="484"/>
      <w:bookmarkEnd w:id="485"/>
      <w:bookmarkEnd w:id="486"/>
      <w:bookmarkEnd w:id="487"/>
      <w:bookmarkEnd w:id="488"/>
      <w:bookmarkEnd w:id="489"/>
      <w:bookmarkEnd w:id="490"/>
    </w:p>
    <w:p>
      <w:pPr>
        <w:adjustRightInd w:val="0"/>
        <w:spacing w:line="560" w:lineRule="exact"/>
        <w:ind w:firstLine="640" w:firstLineChars="200"/>
        <w:rPr>
          <w:rFonts w:ascii="仿宋_GB2312" w:hAnsi="仿宋" w:eastAsia="仿宋_GB2312" w:cs="仿宋"/>
          <w:b/>
          <w:color w:val="000000"/>
          <w:sz w:val="32"/>
          <w:szCs w:val="32"/>
        </w:rPr>
      </w:pPr>
      <w:r>
        <w:rPr>
          <w:rFonts w:hint="eastAsia" w:ascii="仿宋_GB2312" w:hAnsi="仿宋" w:eastAsia="仿宋_GB2312"/>
          <w:color w:val="000000"/>
          <w:sz w:val="32"/>
          <w:szCs w:val="32"/>
        </w:rPr>
        <w:t>深化落实《关于深入实施创新驱动战略建设高水平创新型城市的实施意见》《全面加快科技创新推动工业经济高质量发展的若干政策意见》等重大政策举措，研究出台新一轮的科技创新发展的政策意见。全面落实研发费用税前加计扣除、高新技术企业所得税优惠政策。加大普惠型科技创新投入，支持民营企业开展科技创新。强化科技、教育、财政、投资、土地、税收、人才、产业、金融、知识产权、政府采购、审计等政策协同，</w:t>
      </w:r>
      <w:r>
        <w:rPr>
          <w:rFonts w:eastAsia="仿宋_GB2312"/>
          <w:sz w:val="32"/>
          <w:szCs w:val="32"/>
        </w:rPr>
        <w:t>建立“一区一廊”创新资源统筹协调机制</w:t>
      </w:r>
      <w:r>
        <w:rPr>
          <w:rFonts w:hint="eastAsia" w:eastAsia="仿宋_GB2312"/>
          <w:sz w:val="32"/>
          <w:szCs w:val="32"/>
        </w:rPr>
        <w:t>，</w:t>
      </w:r>
      <w:r>
        <w:rPr>
          <w:rFonts w:hint="eastAsia" w:ascii="仿宋_GB2312" w:hAnsi="仿宋" w:eastAsia="仿宋_GB2312"/>
          <w:color w:val="000000"/>
          <w:sz w:val="32"/>
          <w:szCs w:val="32"/>
        </w:rPr>
        <w:t>构建适应未来发展需要的科技政策法规体系，提升创新体系整体效能。支持在全市范围内开展重大创新项目揭榜挂帅试点工作，构建“基础研究-技术研发-中间试验-企业孵化-规模生产”全生命周期创新链。探</w:t>
      </w:r>
      <w:r>
        <w:rPr>
          <w:rFonts w:hint="eastAsia" w:ascii="仿宋_GB2312" w:hAnsi="仿宋" w:eastAsia="仿宋_GB2312"/>
          <w:color w:val="000000"/>
          <w:kern w:val="0"/>
          <w:sz w:val="32"/>
          <w:szCs w:val="32"/>
        </w:rPr>
        <w:t>索实行科技导向的差别化用地价格机制，提高工业企业绩效综合评价中研发投入的指标权重。</w:t>
      </w:r>
    </w:p>
    <w:p>
      <w:pPr>
        <w:pStyle w:val="6"/>
        <w:spacing w:before="0" w:after="0" w:line="560" w:lineRule="exact"/>
        <w:ind w:firstLine="640" w:firstLineChars="200"/>
        <w:rPr>
          <w:rFonts w:ascii="楷体_GB2312" w:eastAsia="楷体_GB2312"/>
          <w:b w:val="0"/>
          <w:bCs w:val="0"/>
        </w:rPr>
      </w:pPr>
      <w:bookmarkStart w:id="491" w:name="_Toc12831"/>
      <w:bookmarkStart w:id="492" w:name="_Toc21202"/>
      <w:bookmarkStart w:id="493" w:name="_Toc20038"/>
      <w:bookmarkStart w:id="494" w:name="_Toc25023"/>
      <w:bookmarkStart w:id="495" w:name="_Toc22105"/>
      <w:bookmarkStart w:id="496" w:name="_Toc10907"/>
      <w:bookmarkStart w:id="497" w:name="_Toc24252"/>
      <w:bookmarkStart w:id="498" w:name="_Toc2129"/>
      <w:bookmarkStart w:id="499" w:name="_Toc26208"/>
      <w:bookmarkStart w:id="500" w:name="_Toc57043411"/>
      <w:r>
        <w:rPr>
          <w:rFonts w:hint="eastAsia" w:ascii="楷体_GB2312" w:hAnsi="Calibri Light" w:eastAsia="楷体_GB2312"/>
          <w:b w:val="0"/>
          <w:bCs w:val="0"/>
          <w:sz w:val="32"/>
          <w:szCs w:val="32"/>
        </w:rPr>
        <w:t>（三）加大财政科技投入</w:t>
      </w:r>
      <w:bookmarkEnd w:id="491"/>
      <w:bookmarkEnd w:id="492"/>
      <w:bookmarkEnd w:id="493"/>
      <w:bookmarkEnd w:id="494"/>
      <w:bookmarkEnd w:id="495"/>
      <w:bookmarkEnd w:id="496"/>
      <w:bookmarkEnd w:id="497"/>
      <w:bookmarkEnd w:id="498"/>
      <w:bookmarkEnd w:id="499"/>
      <w:bookmarkEnd w:id="500"/>
    </w:p>
    <w:p>
      <w:pPr>
        <w:pStyle w:val="14"/>
        <w:adjustRightInd/>
        <w:spacing w:before="0" w:beforeAutospacing="0" w:after="0" w:afterAutospacing="0"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建立财政科技投入稳定增长机制，全市财政科技投入年均增长15%以上，本级财政科技拨款占经常性支出比重达到6%以上</w:t>
      </w:r>
      <w:r>
        <w:rPr>
          <w:rFonts w:hint="eastAsia" w:ascii="仿宋_GB2312" w:hAnsi="仿宋_GB2312" w:eastAsia="仿宋_GB2312" w:cs="仿宋_GB2312"/>
          <w:color w:val="000000"/>
          <w:sz w:val="32"/>
          <w:szCs w:val="32"/>
          <w:lang w:eastAsia="zh-CN"/>
        </w:rPr>
        <w:t>，五年全社会累计实现关键核心技术攻关专项投入、重大科研平台设施投入、重大人才引进投入“三个百亿”目标</w:t>
      </w:r>
      <w:r>
        <w:rPr>
          <w:rFonts w:hint="eastAsia" w:ascii="仿宋_GB2312" w:hAnsi="仿宋_GB2312" w:eastAsia="仿宋_GB2312" w:cs="仿宋_GB2312"/>
          <w:color w:val="000000"/>
          <w:sz w:val="32"/>
          <w:szCs w:val="32"/>
        </w:rPr>
        <w:t>。优化市级财政科技专项经费预算，支持市属科研院所加大科研条件建设和人才团队引育。不断优化投入方式和投入结构，提高基础研究、应用研究的占比，落实国家有关企业投入基础研究的税收优惠政策。鼓励各地加大“双倍增”行动财政激励力度，完善研发后补助、研发风险分担等激励措施，鼓励有条件的县（市、区）对高新技术企业和科技型中小企业再按25%研发费用税前加计扣除标准给予奖补。</w:t>
      </w:r>
    </w:p>
    <w:p>
      <w:pPr>
        <w:pStyle w:val="6"/>
        <w:spacing w:before="0" w:after="0" w:line="560" w:lineRule="exact"/>
        <w:ind w:firstLine="640" w:firstLineChars="200"/>
        <w:rPr>
          <w:rFonts w:ascii="楷体_GB2312" w:eastAsia="楷体_GB2312"/>
          <w:b w:val="0"/>
          <w:bCs w:val="0"/>
        </w:rPr>
      </w:pPr>
      <w:bookmarkStart w:id="501" w:name="_Toc10159"/>
      <w:bookmarkStart w:id="502" w:name="_Toc24620"/>
      <w:bookmarkStart w:id="503" w:name="_Toc15352"/>
      <w:bookmarkStart w:id="504" w:name="_Toc18448"/>
      <w:bookmarkStart w:id="505" w:name="_Toc8799"/>
      <w:bookmarkStart w:id="506" w:name="_Toc57043412"/>
      <w:bookmarkStart w:id="507" w:name="_Toc24996"/>
      <w:bookmarkStart w:id="508" w:name="_Toc973"/>
      <w:bookmarkStart w:id="509" w:name="_Toc29401"/>
      <w:bookmarkStart w:id="510" w:name="_Toc27897"/>
      <w:r>
        <w:rPr>
          <w:rFonts w:hint="eastAsia" w:ascii="楷体_GB2312" w:hAnsi="Calibri Light" w:eastAsia="楷体_GB2312"/>
          <w:b w:val="0"/>
          <w:bCs w:val="0"/>
          <w:sz w:val="32"/>
          <w:szCs w:val="32"/>
        </w:rPr>
        <w:t>（四）强化考核评价</w:t>
      </w:r>
      <w:bookmarkEnd w:id="501"/>
      <w:bookmarkEnd w:id="502"/>
      <w:bookmarkEnd w:id="503"/>
      <w:bookmarkEnd w:id="504"/>
      <w:bookmarkEnd w:id="505"/>
      <w:bookmarkEnd w:id="506"/>
      <w:bookmarkEnd w:id="507"/>
      <w:bookmarkEnd w:id="508"/>
      <w:bookmarkEnd w:id="509"/>
      <w:bookmarkEnd w:id="510"/>
    </w:p>
    <w:p>
      <w:pPr>
        <w:adjustRightInd w:val="0"/>
        <w:spacing w:line="560" w:lineRule="exact"/>
        <w:ind w:firstLine="640" w:firstLineChars="200"/>
      </w:pPr>
      <w:r>
        <w:rPr>
          <w:rFonts w:hint="eastAsia" w:ascii="仿宋_GB2312" w:hAnsi="仿宋" w:eastAsia="仿宋_GB2312"/>
          <w:color w:val="000000"/>
          <w:kern w:val="0"/>
          <w:sz w:val="32"/>
          <w:szCs w:val="32"/>
        </w:rPr>
        <w:t>构建突出创新导向的绩效考核体系，将创新发展成效作为市直各单位和县（市、区）领导班子和领导干部考核的重要指标，开展党政一把手抓科技创新述职评议考核。构建以创新投入、创新产出、自主创新能力、人才贡献、成果转化率等要素相结合的创新发展考评体系，建立合理、优化、完善的考评指标。</w:t>
      </w:r>
      <w:r>
        <w:rPr>
          <w:rFonts w:eastAsia="仿宋_GB2312"/>
          <w:sz w:val="32"/>
          <w:szCs w:val="32"/>
        </w:rPr>
        <w:t>制定市县两级“夺鼎”行动方案，</w:t>
      </w:r>
      <w:r>
        <w:rPr>
          <w:rFonts w:hint="eastAsia" w:ascii="仿宋_GB2312" w:hAnsi="仿宋" w:eastAsia="仿宋_GB2312"/>
          <w:color w:val="000000"/>
          <w:kern w:val="0"/>
          <w:sz w:val="32"/>
          <w:szCs w:val="32"/>
        </w:rPr>
        <w:t>完善市科技进步统计监测和评价体系，促进各项规划任务的落实。</w:t>
      </w:r>
    </w:p>
    <w:p>
      <w:pPr>
        <w:spacing w:line="560" w:lineRule="exact"/>
        <w:ind w:firstLine="640" w:firstLineChars="200"/>
        <w:rPr>
          <w:rFonts w:ascii="仿宋_GB2312" w:hAnsi="仿宋" w:eastAsia="仿宋_GB2312" w:cs="仿宋"/>
          <w:color w:val="000000"/>
          <w:sz w:val="32"/>
          <w:szCs w:val="32"/>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pPr>
    </w:p>
    <w:p>
      <w:pPr>
        <w:pStyle w:val="5"/>
        <w:spacing w:afterLines="0" w:line="480" w:lineRule="exact"/>
        <w:ind w:firstLine="0" w:firstLineChars="0"/>
      </w:pPr>
      <w:r>
        <w:rPr>
          <w:rFonts w:hint="eastAsia"/>
        </w:rPr>
        <w:t>附件1</w:t>
      </w:r>
    </w:p>
    <w:p>
      <w:pPr>
        <w:pStyle w:val="5"/>
        <w:spacing w:after="0" w:afterLines="0" w:line="480" w:lineRule="exact"/>
        <w:ind w:firstLine="0" w:firstLineChars="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重大平台</w:t>
      </w:r>
    </w:p>
    <w:tbl>
      <w:tblPr>
        <w:tblStyle w:val="17"/>
        <w:tblW w:w="5063" w:type="pct"/>
        <w:tblInd w:w="-1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103"/>
        <w:gridCol w:w="3913"/>
        <w:gridCol w:w="4390"/>
        <w:gridCol w:w="4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blHeader/>
        </w:trPr>
        <w:tc>
          <w:tcPr>
            <w:tcW w:w="245" w:type="pct"/>
            <w:tcBorders>
              <w:top w:val="single" w:color="auto" w:sz="4" w:space="0"/>
              <w:left w:val="single" w:color="auto" w:sz="4" w:space="0"/>
              <w:bottom w:val="single" w:color="auto" w:sz="4" w:space="0"/>
              <w:right w:val="single" w:color="auto" w:sz="4" w:space="0"/>
            </w:tcBorders>
            <w:noWrap/>
            <w:vAlign w:val="center"/>
          </w:tcPr>
          <w:p>
            <w:pPr>
              <w:jc w:val="center"/>
              <w:rPr>
                <w:rFonts w:ascii="黑体" w:hAnsi="黑体" w:eastAsia="黑体" w:cs="黑体"/>
                <w:color w:val="000000"/>
                <w:kern w:val="0"/>
                <w:sz w:val="21"/>
                <w:szCs w:val="21"/>
              </w:rPr>
            </w:pPr>
            <w:r>
              <w:rPr>
                <w:rFonts w:ascii="黑体" w:hAnsi="黑体" w:eastAsia="黑体" w:cs="黑体"/>
                <w:color w:val="000000"/>
                <w:kern w:val="0"/>
                <w:sz w:val="21"/>
                <w:szCs w:val="21"/>
              </w:rPr>
              <w:t>序号</w:t>
            </w:r>
          </w:p>
        </w:tc>
        <w:tc>
          <w:tcPr>
            <w:tcW w:w="384" w:type="pct"/>
            <w:tcBorders>
              <w:top w:val="single" w:color="auto" w:sz="4" w:space="0"/>
              <w:left w:val="nil"/>
              <w:bottom w:val="single" w:color="auto" w:sz="4" w:space="0"/>
              <w:right w:val="single" w:color="auto" w:sz="4" w:space="0"/>
            </w:tcBorders>
            <w:noWrap/>
            <w:vAlign w:val="center"/>
          </w:tcPr>
          <w:p>
            <w:pPr>
              <w:jc w:val="center"/>
              <w:rPr>
                <w:rFonts w:ascii="黑体" w:hAnsi="黑体" w:eastAsia="黑体" w:cs="黑体"/>
                <w:color w:val="000000"/>
                <w:kern w:val="0"/>
                <w:sz w:val="21"/>
                <w:szCs w:val="21"/>
              </w:rPr>
            </w:pPr>
            <w:r>
              <w:rPr>
                <w:rFonts w:ascii="黑体" w:hAnsi="黑体" w:eastAsia="黑体" w:cs="黑体"/>
                <w:color w:val="000000"/>
                <w:kern w:val="0"/>
                <w:sz w:val="21"/>
                <w:szCs w:val="21"/>
              </w:rPr>
              <w:t>平台</w:t>
            </w:r>
          </w:p>
          <w:p>
            <w:pPr>
              <w:jc w:val="center"/>
              <w:rPr>
                <w:rFonts w:ascii="黑体" w:hAnsi="黑体" w:eastAsia="黑体" w:cs="黑体"/>
                <w:color w:val="000000"/>
                <w:kern w:val="0"/>
                <w:sz w:val="21"/>
                <w:szCs w:val="21"/>
              </w:rPr>
            </w:pPr>
            <w:r>
              <w:rPr>
                <w:rFonts w:ascii="黑体" w:hAnsi="黑体" w:eastAsia="黑体" w:cs="黑体"/>
                <w:color w:val="000000"/>
                <w:kern w:val="0"/>
                <w:sz w:val="21"/>
                <w:szCs w:val="21"/>
              </w:rPr>
              <w:t>名称</w:t>
            </w:r>
          </w:p>
        </w:tc>
        <w:tc>
          <w:tcPr>
            <w:tcW w:w="1363" w:type="pct"/>
            <w:tcBorders>
              <w:top w:val="single" w:color="auto" w:sz="4" w:space="0"/>
              <w:left w:val="nil"/>
              <w:bottom w:val="single" w:color="auto" w:sz="4" w:space="0"/>
              <w:right w:val="single" w:color="auto" w:sz="4" w:space="0"/>
            </w:tcBorders>
            <w:noWrap/>
            <w:vAlign w:val="center"/>
          </w:tcPr>
          <w:p>
            <w:pPr>
              <w:jc w:val="center"/>
              <w:rPr>
                <w:rFonts w:ascii="黑体" w:hAnsi="黑体" w:eastAsia="黑体" w:cs="黑体"/>
                <w:color w:val="000000"/>
                <w:kern w:val="0"/>
                <w:sz w:val="21"/>
                <w:szCs w:val="21"/>
              </w:rPr>
            </w:pPr>
            <w:r>
              <w:rPr>
                <w:rFonts w:ascii="黑体" w:hAnsi="黑体" w:eastAsia="黑体" w:cs="黑体"/>
                <w:color w:val="000000"/>
                <w:kern w:val="0"/>
                <w:sz w:val="21"/>
                <w:szCs w:val="21"/>
              </w:rPr>
              <w:t>规划范围（发展载体）</w:t>
            </w:r>
          </w:p>
        </w:tc>
        <w:tc>
          <w:tcPr>
            <w:tcW w:w="1529" w:type="pct"/>
            <w:tcBorders>
              <w:top w:val="single" w:color="auto" w:sz="4" w:space="0"/>
              <w:left w:val="nil"/>
              <w:bottom w:val="single" w:color="auto" w:sz="4" w:space="0"/>
              <w:right w:val="single" w:color="auto" w:sz="4" w:space="0"/>
            </w:tcBorders>
            <w:noWrap/>
            <w:vAlign w:val="center"/>
          </w:tcPr>
          <w:p>
            <w:pPr>
              <w:jc w:val="center"/>
              <w:rPr>
                <w:rFonts w:ascii="黑体" w:hAnsi="黑体" w:eastAsia="黑体" w:cs="黑体"/>
                <w:color w:val="000000"/>
                <w:kern w:val="0"/>
                <w:sz w:val="21"/>
                <w:szCs w:val="21"/>
              </w:rPr>
            </w:pPr>
            <w:r>
              <w:rPr>
                <w:rFonts w:hint="eastAsia" w:ascii="黑体" w:hAnsi="黑体" w:eastAsia="黑体" w:cs="黑体"/>
                <w:color w:val="000000"/>
                <w:kern w:val="0"/>
                <w:sz w:val="21"/>
                <w:szCs w:val="21"/>
              </w:rPr>
              <w:t>发展重点及</w:t>
            </w:r>
            <w:r>
              <w:rPr>
                <w:rFonts w:ascii="黑体" w:hAnsi="黑体" w:eastAsia="黑体" w:cs="黑体"/>
                <w:color w:val="000000"/>
                <w:kern w:val="0"/>
                <w:sz w:val="21"/>
                <w:szCs w:val="21"/>
              </w:rPr>
              <w:t>工作举措</w:t>
            </w:r>
          </w:p>
        </w:tc>
        <w:tc>
          <w:tcPr>
            <w:tcW w:w="1478" w:type="pct"/>
            <w:tcBorders>
              <w:top w:val="single" w:color="auto" w:sz="4" w:space="0"/>
              <w:left w:val="nil"/>
              <w:bottom w:val="single" w:color="auto" w:sz="4" w:space="0"/>
              <w:right w:val="single" w:color="auto" w:sz="4" w:space="0"/>
            </w:tcBorders>
            <w:noWrap/>
            <w:vAlign w:val="center"/>
          </w:tcPr>
          <w:p>
            <w:pPr>
              <w:jc w:val="center"/>
              <w:rPr>
                <w:rFonts w:ascii="黑体" w:hAnsi="黑体" w:eastAsia="黑体" w:cs="黑体"/>
                <w:color w:val="000000"/>
                <w:kern w:val="0"/>
                <w:sz w:val="21"/>
                <w:szCs w:val="21"/>
              </w:rPr>
            </w:pPr>
            <w:r>
              <w:rPr>
                <w:rFonts w:ascii="黑体" w:hAnsi="黑体" w:eastAsia="黑体" w:cs="黑体"/>
                <w:color w:val="000000"/>
                <w:kern w:val="0"/>
                <w:sz w:val="21"/>
                <w:szCs w:val="21"/>
              </w:rPr>
              <w:t>发展目标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9" w:hRule="atLeast"/>
        </w:trPr>
        <w:tc>
          <w:tcPr>
            <w:tcW w:w="245" w:type="pct"/>
            <w:tcBorders>
              <w:top w:val="nil"/>
              <w:left w:val="single" w:color="auto" w:sz="4" w:space="0"/>
              <w:right w:val="single" w:color="auto" w:sz="4" w:space="0"/>
            </w:tcBorders>
            <w:noWrap/>
            <w:vAlign w:val="center"/>
          </w:tcPr>
          <w:p>
            <w:pPr>
              <w:jc w:val="center"/>
              <w:rPr>
                <w:rFonts w:ascii="宋体" w:hAnsi="宋体" w:cs="宋体"/>
                <w:color w:val="000000"/>
                <w:sz w:val="21"/>
                <w:szCs w:val="21"/>
              </w:rPr>
            </w:pPr>
            <w:r>
              <w:rPr>
                <w:rFonts w:ascii="宋体" w:hAnsi="宋体" w:eastAsia="宋体" w:cs="宋体"/>
                <w:color w:val="000000"/>
                <w:sz w:val="21"/>
                <w:szCs w:val="21"/>
              </w:rPr>
              <w:t>1</w:t>
            </w:r>
          </w:p>
        </w:tc>
        <w:tc>
          <w:tcPr>
            <w:tcW w:w="384" w:type="pct"/>
            <w:tcBorders>
              <w:top w:val="single" w:color="auto" w:sz="4" w:space="0"/>
              <w:left w:val="nil"/>
              <w:bottom w:val="single" w:color="auto" w:sz="4" w:space="0"/>
              <w:right w:val="single" w:color="auto" w:sz="4" w:space="0"/>
            </w:tcBorders>
            <w:noWrap/>
            <w:vAlign w:val="center"/>
          </w:tcPr>
          <w:p>
            <w:pPr>
              <w:rPr>
                <w:rFonts w:ascii="宋体" w:hAnsi="宋体" w:cs="宋体"/>
                <w:color w:val="000000"/>
                <w:sz w:val="21"/>
                <w:szCs w:val="21"/>
              </w:rPr>
            </w:pPr>
            <w:r>
              <w:rPr>
                <w:rFonts w:hint="eastAsia" w:ascii="宋体" w:hAnsi="宋体" w:eastAsia="宋体" w:cs="宋体"/>
                <w:color w:val="000000"/>
                <w:sz w:val="21"/>
                <w:szCs w:val="21"/>
              </w:rPr>
              <w:t>温州国家自主创新示范区</w:t>
            </w:r>
          </w:p>
        </w:tc>
        <w:tc>
          <w:tcPr>
            <w:tcW w:w="1363" w:type="pct"/>
            <w:tcBorders>
              <w:top w:val="single" w:color="auto" w:sz="4" w:space="0"/>
              <w:left w:val="nil"/>
              <w:bottom w:val="single" w:color="auto" w:sz="4" w:space="0"/>
              <w:right w:val="single" w:color="auto" w:sz="4" w:space="0"/>
            </w:tcBorders>
            <w:noWrap/>
            <w:vAlign w:val="center"/>
          </w:tcPr>
          <w:p>
            <w:pPr>
              <w:rPr>
                <w:rFonts w:ascii="宋体" w:hAnsi="宋体" w:cs="宋体"/>
                <w:color w:val="000000"/>
                <w:sz w:val="21"/>
                <w:szCs w:val="21"/>
              </w:rPr>
            </w:pPr>
            <w:r>
              <w:rPr>
                <w:rFonts w:hint="eastAsia" w:ascii="宋体" w:hAnsi="宋体" w:eastAsia="宋体" w:cs="宋体"/>
                <w:color w:val="000000"/>
                <w:sz w:val="21"/>
                <w:szCs w:val="21"/>
              </w:rPr>
              <w:t>规划面积</w:t>
            </w:r>
            <w:r>
              <w:rPr>
                <w:rFonts w:ascii="宋体" w:hAnsi="宋体" w:eastAsia="宋体" w:cs="宋体"/>
                <w:color w:val="000000"/>
                <w:sz w:val="21"/>
                <w:szCs w:val="21"/>
              </w:rPr>
              <w:t>246.3平方公里，规划建设“一区五园”。“一区”即温州国家高新区（浙南科技城），“五园”分别为浙南产业集聚区核心区、国家自主创新示范区瓯江口园区、温州高教园区、乐清智能电气省级高新技术产业园区、国家自创区瑞安园。</w:t>
            </w:r>
          </w:p>
        </w:tc>
        <w:tc>
          <w:tcPr>
            <w:tcW w:w="1529" w:type="pct"/>
            <w:tcBorders>
              <w:top w:val="single" w:color="auto" w:sz="4" w:space="0"/>
              <w:left w:val="nil"/>
              <w:bottom w:val="single" w:color="auto" w:sz="4" w:space="0"/>
              <w:right w:val="single" w:color="auto" w:sz="4" w:space="0"/>
            </w:tcBorders>
            <w:noWrap/>
            <w:vAlign w:val="center"/>
          </w:tcPr>
          <w:p>
            <w:pPr>
              <w:rPr>
                <w:rFonts w:ascii="宋体" w:hAnsi="宋体" w:cs="宋体"/>
                <w:color w:val="000000"/>
                <w:sz w:val="21"/>
                <w:szCs w:val="21"/>
              </w:rPr>
            </w:pPr>
            <w:r>
              <w:rPr>
                <w:rFonts w:hint="eastAsia" w:ascii="宋体" w:hAnsi="宋体" w:eastAsia="宋体" w:cs="宋体"/>
                <w:color w:val="000000"/>
                <w:sz w:val="21"/>
                <w:szCs w:val="21"/>
              </w:rPr>
              <w:t>推进投资主体多元化、创新合作开放化、高新产业集聚化、科技服务一体化、创新机制市场化，打造生命健康和智能装备产业创新中心。加强全域创新，逐步将鹿城区、永嘉县、平阳县、苍南县等地产业园区纳入自创区建设范围。</w:t>
            </w:r>
          </w:p>
        </w:tc>
        <w:tc>
          <w:tcPr>
            <w:tcW w:w="1478" w:type="pct"/>
            <w:tcBorders>
              <w:top w:val="single" w:color="auto" w:sz="4" w:space="0"/>
              <w:left w:val="nil"/>
              <w:bottom w:val="single" w:color="auto" w:sz="4" w:space="0"/>
              <w:right w:val="single" w:color="auto" w:sz="4" w:space="0"/>
            </w:tcBorders>
            <w:noWrap/>
            <w:vAlign w:val="center"/>
          </w:tcPr>
          <w:p>
            <w:pPr>
              <w:rPr>
                <w:rFonts w:ascii="宋体" w:hAnsi="宋体" w:cs="宋体"/>
                <w:color w:val="000000"/>
                <w:sz w:val="21"/>
                <w:szCs w:val="21"/>
              </w:rPr>
            </w:pPr>
            <w:r>
              <w:rPr>
                <w:rFonts w:hint="eastAsia" w:ascii="宋体" w:hAnsi="宋体" w:cs="宋体"/>
                <w:color w:val="000000"/>
                <w:sz w:val="21"/>
                <w:szCs w:val="21"/>
              </w:rPr>
              <w:t>到</w:t>
            </w:r>
            <w:r>
              <w:rPr>
                <w:rFonts w:ascii="宋体" w:hAnsi="宋体" w:cs="宋体"/>
                <w:color w:val="000000"/>
                <w:sz w:val="21"/>
                <w:szCs w:val="21"/>
              </w:rPr>
              <w:t>2025年，</w:t>
            </w:r>
            <w:r>
              <w:rPr>
                <w:rFonts w:hint="eastAsia" w:ascii="宋体" w:hAnsi="宋体" w:cs="宋体"/>
                <w:color w:val="000000"/>
                <w:sz w:val="21"/>
                <w:szCs w:val="21"/>
              </w:rPr>
              <w:t>自创区“一区五园”全社会研发经费支出占GDP比重达到3.6%，高新技术产业投资增速达到25%，生命健康、智能装备两大主导产业工业增加值年均增长12%以上</w:t>
            </w:r>
            <w:r>
              <w:rPr>
                <w:rFonts w:hint="eastAsia" w:ascii="宋体" w:hAnsi="宋体" w:cs="宋体"/>
                <w:color w:val="000000"/>
                <w:sz w:val="21"/>
                <w:szCs w:val="21"/>
                <w:lang w:eastAsia="zh-CN"/>
              </w:rPr>
              <w:t>；</w:t>
            </w:r>
            <w:r>
              <w:rPr>
                <w:rFonts w:hint="eastAsia" w:ascii="宋体" w:hAnsi="宋体" w:cs="宋体"/>
                <w:color w:val="000000"/>
                <w:sz w:val="21"/>
                <w:szCs w:val="21"/>
              </w:rPr>
              <w:t>五年累计打造高能级创新平台</w:t>
            </w:r>
            <w:r>
              <w:rPr>
                <w:rFonts w:hint="eastAsia" w:ascii="宋体" w:hAnsi="宋体" w:cs="宋体"/>
                <w:color w:val="000000"/>
                <w:sz w:val="21"/>
                <w:szCs w:val="21"/>
                <w:lang w:val="en-US" w:eastAsia="zh-CN"/>
              </w:rPr>
              <w:t>30</w:t>
            </w:r>
            <w:r>
              <w:rPr>
                <w:rFonts w:hint="eastAsia" w:ascii="宋体" w:hAnsi="宋体" w:cs="宋体"/>
                <w:color w:val="000000"/>
                <w:sz w:val="21"/>
                <w:szCs w:val="21"/>
              </w:rPr>
              <w:t>家以上。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trPr>
        <w:tc>
          <w:tcPr>
            <w:tcW w:w="245" w:type="pct"/>
            <w:tcBorders>
              <w:top w:val="nil"/>
              <w:left w:val="single" w:color="auto" w:sz="4" w:space="0"/>
              <w:right w:val="single" w:color="auto" w:sz="4" w:space="0"/>
            </w:tcBorders>
            <w:noWrap/>
            <w:vAlign w:val="center"/>
          </w:tcPr>
          <w:p>
            <w:pPr>
              <w:jc w:val="center"/>
              <w:rPr>
                <w:rFonts w:ascii="宋体" w:hAnsi="宋体" w:cs="宋体"/>
                <w:color w:val="000000"/>
                <w:sz w:val="21"/>
                <w:szCs w:val="21"/>
              </w:rPr>
            </w:pPr>
            <w:r>
              <w:rPr>
                <w:rFonts w:ascii="宋体" w:hAnsi="宋体" w:cs="宋体"/>
                <w:color w:val="000000"/>
                <w:sz w:val="21"/>
                <w:szCs w:val="21"/>
              </w:rPr>
              <w:t>2</w:t>
            </w:r>
          </w:p>
        </w:tc>
        <w:tc>
          <w:tcPr>
            <w:tcW w:w="384" w:type="pct"/>
            <w:tcBorders>
              <w:top w:val="single" w:color="auto" w:sz="4" w:space="0"/>
              <w:left w:val="nil"/>
              <w:bottom w:val="single" w:color="auto" w:sz="4" w:space="0"/>
              <w:right w:val="single" w:color="auto" w:sz="4" w:space="0"/>
            </w:tcBorders>
            <w:noWrap/>
            <w:vAlign w:val="center"/>
          </w:tcPr>
          <w:p>
            <w:pPr>
              <w:rPr>
                <w:rFonts w:ascii="宋体" w:hAnsi="宋体" w:cs="宋体"/>
                <w:color w:val="000000"/>
                <w:sz w:val="21"/>
                <w:szCs w:val="21"/>
              </w:rPr>
            </w:pPr>
            <w:r>
              <w:rPr>
                <w:rFonts w:hint="eastAsia" w:ascii="宋体" w:hAnsi="宋体" w:cs="宋体"/>
                <w:color w:val="000000"/>
                <w:sz w:val="21"/>
                <w:szCs w:val="21"/>
              </w:rPr>
              <w:t>环大罗山科创走廊</w:t>
            </w:r>
          </w:p>
        </w:tc>
        <w:tc>
          <w:tcPr>
            <w:tcW w:w="1363" w:type="pct"/>
            <w:tcBorders>
              <w:top w:val="single" w:color="auto" w:sz="4" w:space="0"/>
              <w:left w:val="nil"/>
              <w:bottom w:val="single" w:color="auto" w:sz="4" w:space="0"/>
              <w:right w:val="single" w:color="auto" w:sz="4" w:space="0"/>
            </w:tcBorders>
            <w:noWrap/>
            <w:vAlign w:val="center"/>
          </w:tcPr>
          <w:p>
            <w:pPr>
              <w:rPr>
                <w:rFonts w:ascii="宋体" w:hAnsi="宋体" w:cs="宋体"/>
                <w:color w:val="000000"/>
                <w:sz w:val="21"/>
                <w:szCs w:val="21"/>
              </w:rPr>
            </w:pPr>
            <w:r>
              <w:rPr>
                <w:rFonts w:hint="eastAsia" w:ascii="宋体" w:hAnsi="宋体" w:cs="宋体"/>
                <w:color w:val="000000"/>
                <w:sz w:val="21"/>
                <w:szCs w:val="21"/>
              </w:rPr>
              <w:t>规划面积</w:t>
            </w:r>
            <w:r>
              <w:rPr>
                <w:rFonts w:ascii="宋体" w:hAnsi="宋体" w:cs="宋体"/>
                <w:color w:val="000000"/>
                <w:sz w:val="21"/>
                <w:szCs w:val="21"/>
              </w:rPr>
              <w:t>230.5平方公里，包括温州国家高新区（浙南科技城）、高教园区、浙南产业集聚区核心区（温州经开区）、三垟湿地、瑞安科技城等。</w:t>
            </w:r>
          </w:p>
        </w:tc>
        <w:tc>
          <w:tcPr>
            <w:tcW w:w="1529" w:type="pct"/>
            <w:tcBorders>
              <w:top w:val="single" w:color="auto" w:sz="4" w:space="0"/>
              <w:left w:val="nil"/>
              <w:bottom w:val="single" w:color="auto" w:sz="4" w:space="0"/>
              <w:right w:val="single" w:color="auto" w:sz="4" w:space="0"/>
            </w:tcBorders>
            <w:noWrap/>
            <w:vAlign w:val="center"/>
          </w:tcPr>
          <w:p>
            <w:pPr>
              <w:rPr>
                <w:rFonts w:ascii="宋体" w:hAnsi="宋体" w:cs="宋体"/>
                <w:color w:val="000000"/>
                <w:sz w:val="21"/>
                <w:szCs w:val="21"/>
              </w:rPr>
            </w:pPr>
            <w:r>
              <w:rPr>
                <w:rFonts w:hint="eastAsia" w:ascii="宋体" w:hAnsi="宋体" w:cs="宋体"/>
                <w:color w:val="000000"/>
                <w:sz w:val="21"/>
                <w:szCs w:val="21"/>
              </w:rPr>
              <w:t>全面建成环大罗山交通环，强化科创带和外围辐射产业带联动发展，大力推进科创研发、创新智造、创新服务三大类重点区块建设，打造全球有竞争力的眼健康科创高地。</w:t>
            </w:r>
          </w:p>
        </w:tc>
        <w:tc>
          <w:tcPr>
            <w:tcW w:w="1478" w:type="pct"/>
            <w:tcBorders>
              <w:top w:val="single" w:color="auto" w:sz="4" w:space="0"/>
              <w:left w:val="nil"/>
              <w:bottom w:val="single" w:color="auto" w:sz="4" w:space="0"/>
              <w:right w:val="single" w:color="auto" w:sz="4" w:space="0"/>
            </w:tcBorders>
            <w:noWrap/>
            <w:vAlign w:val="center"/>
          </w:tcPr>
          <w:p>
            <w:pPr>
              <w:rPr>
                <w:rFonts w:ascii="宋体" w:hAnsi="宋体" w:cs="宋体"/>
                <w:color w:val="000000"/>
                <w:sz w:val="21"/>
                <w:szCs w:val="21"/>
              </w:rPr>
            </w:pPr>
            <w:r>
              <w:rPr>
                <w:rFonts w:hint="eastAsia" w:ascii="宋体" w:hAnsi="宋体" w:cs="宋体"/>
                <w:color w:val="000000"/>
                <w:sz w:val="21"/>
                <w:szCs w:val="21"/>
              </w:rPr>
              <w:t>集中资源打造形成</w:t>
            </w:r>
            <w:r>
              <w:rPr>
                <w:rFonts w:ascii="宋体" w:hAnsi="宋体" w:cs="宋体"/>
                <w:color w:val="000000"/>
                <w:sz w:val="21"/>
                <w:szCs w:val="21"/>
              </w:rPr>
              <w:t>10个以上科创资源集聚、区域创新引领作用显著的标志性重点区块，新增省级企业研究院、企业研发中心、企业技术中心300家以上。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5" w:type="pct"/>
            <w:tcBorders>
              <w:top w:val="nil"/>
              <w:left w:val="single" w:color="auto" w:sz="4" w:space="0"/>
              <w:right w:val="single" w:color="auto" w:sz="4" w:space="0"/>
            </w:tcBorders>
            <w:noWrap/>
            <w:vAlign w:val="center"/>
          </w:tcPr>
          <w:p>
            <w:pPr>
              <w:jc w:val="center"/>
              <w:rPr>
                <w:rFonts w:ascii="宋体" w:hAnsi="宋体" w:cs="宋体"/>
                <w:color w:val="000000"/>
                <w:sz w:val="21"/>
                <w:szCs w:val="21"/>
              </w:rPr>
            </w:pPr>
            <w:r>
              <w:rPr>
                <w:rFonts w:ascii="宋体" w:hAnsi="宋体" w:cs="宋体"/>
                <w:color w:val="000000"/>
                <w:sz w:val="21"/>
                <w:szCs w:val="21"/>
              </w:rPr>
              <w:t>3</w:t>
            </w:r>
          </w:p>
        </w:tc>
        <w:tc>
          <w:tcPr>
            <w:tcW w:w="384" w:type="pct"/>
            <w:tcBorders>
              <w:top w:val="single" w:color="auto" w:sz="4" w:space="0"/>
              <w:left w:val="nil"/>
              <w:bottom w:val="single" w:color="auto" w:sz="4" w:space="0"/>
              <w:right w:val="single" w:color="auto" w:sz="4" w:space="0"/>
            </w:tcBorders>
            <w:noWrap/>
            <w:vAlign w:val="center"/>
          </w:tcPr>
          <w:p>
            <w:pPr>
              <w:rPr>
                <w:rFonts w:ascii="宋体" w:hAnsi="宋体" w:cs="宋体"/>
                <w:color w:val="000000"/>
                <w:sz w:val="21"/>
                <w:szCs w:val="21"/>
              </w:rPr>
            </w:pPr>
            <w:r>
              <w:rPr>
                <w:rFonts w:hint="eastAsia" w:ascii="宋体" w:hAnsi="宋体" w:cs="宋体"/>
                <w:color w:val="auto"/>
                <w:sz w:val="21"/>
                <w:szCs w:val="21"/>
              </w:rPr>
              <w:t>高</w:t>
            </w:r>
            <w:r>
              <w:rPr>
                <w:rFonts w:hint="eastAsia" w:ascii="宋体" w:hAnsi="宋体" w:cs="宋体"/>
                <w:color w:val="auto"/>
                <w:sz w:val="21"/>
                <w:szCs w:val="21"/>
                <w:lang w:val="en-US" w:eastAsia="zh-CN"/>
              </w:rPr>
              <w:t>新技术产业园</w:t>
            </w:r>
            <w:r>
              <w:rPr>
                <w:rFonts w:hint="eastAsia" w:ascii="宋体" w:hAnsi="宋体" w:cs="宋体"/>
                <w:color w:val="auto"/>
                <w:sz w:val="21"/>
                <w:szCs w:val="21"/>
              </w:rPr>
              <w:t>区</w:t>
            </w:r>
          </w:p>
        </w:tc>
        <w:tc>
          <w:tcPr>
            <w:tcW w:w="1363" w:type="pct"/>
            <w:tcBorders>
              <w:top w:val="single" w:color="auto" w:sz="4" w:space="0"/>
              <w:left w:val="nil"/>
              <w:bottom w:val="single" w:color="auto" w:sz="4" w:space="0"/>
              <w:right w:val="single" w:color="auto" w:sz="4" w:space="0"/>
            </w:tcBorders>
            <w:noWrap/>
            <w:vAlign w:val="center"/>
          </w:tcPr>
          <w:p>
            <w:pPr>
              <w:rPr>
                <w:rFonts w:ascii="宋体" w:hAnsi="宋体" w:cs="宋体"/>
                <w:color w:val="000000"/>
                <w:sz w:val="21"/>
                <w:szCs w:val="21"/>
              </w:rPr>
            </w:pPr>
            <w:r>
              <w:rPr>
                <w:rFonts w:hint="eastAsia" w:ascii="宋体" w:hAnsi="宋体" w:cs="宋体"/>
                <w:color w:val="000000"/>
                <w:sz w:val="21"/>
                <w:szCs w:val="21"/>
              </w:rPr>
              <w:t>系统重构以重大创新类高能级战略平台为引领、省级以上高新区等高质量骨干平台为支撑、特色化基础平台为补充的高能级产业平台体系。</w:t>
            </w:r>
          </w:p>
        </w:tc>
        <w:tc>
          <w:tcPr>
            <w:tcW w:w="1529" w:type="pct"/>
            <w:tcBorders>
              <w:top w:val="single" w:color="auto" w:sz="4" w:space="0"/>
              <w:left w:val="nil"/>
              <w:bottom w:val="single" w:color="auto" w:sz="4" w:space="0"/>
              <w:right w:val="single" w:color="auto" w:sz="4" w:space="0"/>
            </w:tcBorders>
            <w:noWrap/>
            <w:vAlign w:val="center"/>
          </w:tcPr>
          <w:p>
            <w:pPr>
              <w:rPr>
                <w:rFonts w:ascii="宋体" w:hAnsi="宋体" w:cs="宋体"/>
                <w:color w:val="000000"/>
                <w:sz w:val="21"/>
                <w:szCs w:val="21"/>
              </w:rPr>
            </w:pPr>
            <w:r>
              <w:rPr>
                <w:rFonts w:hint="eastAsia" w:ascii="宋体" w:hAnsi="宋体" w:cs="宋体"/>
                <w:color w:val="000000"/>
                <w:sz w:val="21"/>
                <w:szCs w:val="21"/>
              </w:rPr>
              <w:t>实施高新区高质量发展行动计划，推进以重大项目带动、产城融合建设、高端人才引进为抓手，持续稳定推动温州国家高新区“一区多园”融合发展。加强乐清、瑞安等省级高新园区建设，突出特色，加强创新型企业培育。支持平阳、永嘉、瓯海、龙港等地创建省级高新区。</w:t>
            </w:r>
          </w:p>
        </w:tc>
        <w:tc>
          <w:tcPr>
            <w:tcW w:w="1478" w:type="pct"/>
            <w:tcBorders>
              <w:top w:val="single" w:color="auto" w:sz="4" w:space="0"/>
              <w:left w:val="nil"/>
              <w:bottom w:val="single" w:color="auto" w:sz="4" w:space="0"/>
              <w:right w:val="single" w:color="auto" w:sz="4" w:space="0"/>
            </w:tcBorders>
            <w:noWrap/>
            <w:vAlign w:val="center"/>
          </w:tcPr>
          <w:p>
            <w:pPr>
              <w:rPr>
                <w:rFonts w:ascii="宋体" w:hAnsi="宋体" w:cs="宋体"/>
                <w:color w:val="000000"/>
                <w:sz w:val="21"/>
                <w:szCs w:val="21"/>
              </w:rPr>
            </w:pPr>
            <w:r>
              <w:rPr>
                <w:rFonts w:hint="eastAsia" w:ascii="宋体" w:hAnsi="宋体" w:cs="宋体"/>
                <w:color w:val="000000"/>
                <w:sz w:val="21"/>
                <w:szCs w:val="21"/>
              </w:rPr>
              <w:t>国家高新区排名进入全国前40%</w:t>
            </w:r>
            <w:r>
              <w:rPr>
                <w:rFonts w:ascii="宋体" w:hAnsi="宋体" w:cs="宋体"/>
                <w:color w:val="000000"/>
                <w:sz w:val="21"/>
                <w:szCs w:val="21"/>
              </w:rPr>
              <w:t>。</w:t>
            </w:r>
          </w:p>
          <w:p>
            <w:pPr>
              <w:rPr>
                <w:rFonts w:ascii="宋体" w:hAnsi="宋体" w:cs="宋体"/>
                <w:color w:val="000000"/>
                <w:sz w:val="21"/>
                <w:szCs w:val="21"/>
              </w:rPr>
            </w:pPr>
            <w:r>
              <w:rPr>
                <w:rFonts w:hint="eastAsia" w:ascii="宋体" w:hAnsi="宋体" w:cs="宋体"/>
                <w:color w:val="000000"/>
                <w:sz w:val="21"/>
                <w:szCs w:val="21"/>
              </w:rPr>
              <w:t>乐清、瑞安等省级高新园区保持全省前列，并建设全省一流高新技术产业园区。</w:t>
            </w:r>
          </w:p>
          <w:p>
            <w:pPr>
              <w:rPr>
                <w:rFonts w:ascii="宋体" w:hAnsi="宋体" w:cs="宋体"/>
                <w:color w:val="000000"/>
                <w:sz w:val="21"/>
                <w:szCs w:val="21"/>
              </w:rPr>
            </w:pPr>
            <w:r>
              <w:rPr>
                <w:rFonts w:hint="eastAsia" w:ascii="宋体" w:hAnsi="宋体" w:cs="宋体"/>
                <w:color w:val="000000"/>
                <w:sz w:val="21"/>
                <w:szCs w:val="21"/>
              </w:rPr>
              <w:t>新创建省级高新区</w:t>
            </w:r>
            <w:r>
              <w:rPr>
                <w:rFonts w:ascii="宋体" w:hAnsi="宋体" w:cs="宋体"/>
                <w:color w:val="000000"/>
                <w:sz w:val="21"/>
                <w:szCs w:val="21"/>
              </w:rPr>
              <w:t>4家。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4" w:hRule="atLeast"/>
        </w:trPr>
        <w:tc>
          <w:tcPr>
            <w:tcW w:w="245" w:type="pct"/>
            <w:tcBorders>
              <w:top w:val="nil"/>
              <w:left w:val="single" w:color="auto" w:sz="4" w:space="0"/>
              <w:right w:val="single" w:color="auto" w:sz="4" w:space="0"/>
            </w:tcBorders>
            <w:noWrap/>
            <w:vAlign w:val="center"/>
          </w:tcPr>
          <w:p>
            <w:pPr>
              <w:jc w:val="center"/>
              <w:rPr>
                <w:rFonts w:ascii="宋体" w:hAnsi="宋体" w:cs="宋体"/>
                <w:color w:val="000000"/>
                <w:sz w:val="21"/>
                <w:szCs w:val="21"/>
              </w:rPr>
            </w:pPr>
            <w:r>
              <w:rPr>
                <w:rFonts w:ascii="宋体" w:hAnsi="宋体" w:cs="宋体"/>
                <w:color w:val="000000"/>
                <w:sz w:val="21"/>
                <w:szCs w:val="21"/>
              </w:rPr>
              <w:t>4</w:t>
            </w:r>
          </w:p>
        </w:tc>
        <w:tc>
          <w:tcPr>
            <w:tcW w:w="384" w:type="pct"/>
            <w:tcBorders>
              <w:top w:val="single" w:color="auto" w:sz="4" w:space="0"/>
              <w:left w:val="nil"/>
              <w:bottom w:val="single" w:color="auto" w:sz="4" w:space="0"/>
              <w:right w:val="single" w:color="auto" w:sz="4" w:space="0"/>
            </w:tcBorders>
            <w:noWrap/>
            <w:vAlign w:val="center"/>
          </w:tcPr>
          <w:p>
            <w:pPr>
              <w:rPr>
                <w:rFonts w:ascii="宋体" w:hAnsi="宋体" w:cs="宋体"/>
                <w:color w:val="000000"/>
                <w:sz w:val="21"/>
                <w:szCs w:val="21"/>
              </w:rPr>
            </w:pPr>
            <w:r>
              <w:rPr>
                <w:rFonts w:hint="eastAsia" w:ascii="宋体" w:hAnsi="宋体" w:cs="宋体"/>
                <w:color w:val="000000"/>
                <w:sz w:val="21"/>
                <w:szCs w:val="21"/>
              </w:rPr>
              <w:t>实验室体系</w:t>
            </w:r>
          </w:p>
        </w:tc>
        <w:tc>
          <w:tcPr>
            <w:tcW w:w="1363" w:type="pct"/>
            <w:tcBorders>
              <w:top w:val="single" w:color="auto" w:sz="4" w:space="0"/>
              <w:left w:val="nil"/>
              <w:bottom w:val="single" w:color="auto" w:sz="4" w:space="0"/>
              <w:right w:val="single" w:color="auto" w:sz="4" w:space="0"/>
            </w:tcBorders>
            <w:noWrap/>
            <w:vAlign w:val="center"/>
          </w:tcPr>
          <w:p>
            <w:pPr>
              <w:rPr>
                <w:rFonts w:ascii="宋体" w:hAnsi="宋体" w:cs="宋体"/>
                <w:color w:val="000000"/>
                <w:sz w:val="21"/>
                <w:szCs w:val="21"/>
              </w:rPr>
            </w:pPr>
            <w:r>
              <w:rPr>
                <w:rFonts w:hint="eastAsia" w:ascii="宋体" w:hAnsi="宋体" w:cs="宋体"/>
                <w:color w:val="000000"/>
                <w:sz w:val="21"/>
                <w:szCs w:val="21"/>
              </w:rPr>
              <w:t>加快构建由“国家实验室、国家重点实验室、省实验室、省级重点实验室、市级重点实验室”等组成的实验室体系。</w:t>
            </w:r>
          </w:p>
        </w:tc>
        <w:tc>
          <w:tcPr>
            <w:tcW w:w="1529" w:type="pct"/>
            <w:tcBorders>
              <w:top w:val="single" w:color="auto" w:sz="4" w:space="0"/>
              <w:left w:val="nil"/>
              <w:bottom w:val="single" w:color="auto" w:sz="4" w:space="0"/>
              <w:right w:val="single" w:color="auto" w:sz="4" w:space="0"/>
            </w:tcBorders>
            <w:noWrap/>
            <w:vAlign w:val="center"/>
          </w:tcPr>
          <w:p>
            <w:pPr>
              <w:rPr>
                <w:rFonts w:ascii="宋体" w:hAnsi="宋体" w:cs="宋体"/>
                <w:color w:val="000000"/>
                <w:sz w:val="21"/>
                <w:szCs w:val="21"/>
              </w:rPr>
            </w:pPr>
            <w:r>
              <w:rPr>
                <w:rFonts w:hint="eastAsia" w:ascii="宋体" w:hAnsi="宋体" w:cs="宋体"/>
                <w:color w:val="000000"/>
                <w:sz w:val="21"/>
                <w:szCs w:val="21"/>
              </w:rPr>
              <w:t>推进瓯江实验室建设，做好重点实验梯队培育，落实省级重点实验室、市级重点实验室奖励政策，完善绩效评价制度，大力支持企业主体建设重点实验室。</w:t>
            </w:r>
          </w:p>
        </w:tc>
        <w:tc>
          <w:tcPr>
            <w:tcW w:w="1478" w:type="pct"/>
            <w:tcBorders>
              <w:top w:val="single" w:color="auto" w:sz="4" w:space="0"/>
              <w:left w:val="nil"/>
              <w:bottom w:val="single" w:color="auto" w:sz="4" w:space="0"/>
              <w:right w:val="single" w:color="auto" w:sz="4" w:space="0"/>
            </w:tcBorders>
            <w:noWrap/>
            <w:vAlign w:val="center"/>
          </w:tcPr>
          <w:p>
            <w:pPr>
              <w:ind w:firstLine="0" w:firstLineChars="0"/>
              <w:rPr>
                <w:rFonts w:ascii="宋体" w:hAnsi="宋体" w:cs="宋体"/>
                <w:color w:val="000000"/>
                <w:sz w:val="21"/>
                <w:szCs w:val="21"/>
              </w:rPr>
            </w:pPr>
            <w:r>
              <w:rPr>
                <w:rFonts w:hint="eastAsia" w:ascii="宋体" w:hAnsi="宋体" w:cs="宋体"/>
                <w:color w:val="000000"/>
                <w:sz w:val="21"/>
                <w:szCs w:val="21"/>
              </w:rPr>
              <w:t>瓯江实验室投入运行，开展基础研究和应用基础研究，努力打造全国第一、世界一流的再生调控和眼脑健康创新平台，力争成为国家实验室分部。以瓯江实验室为龙头，构建全市基础研发体系，到</w:t>
            </w:r>
            <w:r>
              <w:rPr>
                <w:rFonts w:ascii="宋体" w:hAnsi="宋体" w:cs="宋体"/>
                <w:color w:val="000000"/>
                <w:sz w:val="21"/>
                <w:szCs w:val="21"/>
              </w:rPr>
              <w:t>2025年，累计建成国家重点实验室3家、省实验室1家、省级重点实验室30家、市级重点实验室100家</w:t>
            </w:r>
            <w:r>
              <w:rPr>
                <w:rFonts w:hint="eastAsia" w:ascii="宋体" w:hAnsi="宋体" w:cs="宋体"/>
                <w:color w:val="000000"/>
                <w:sz w:val="21"/>
                <w:szCs w:val="21"/>
              </w:rPr>
              <w:t>，基础研究和应用基础研究整体水平和国际影响力显著提升，支撑引领创新驱动发展的源头供给能力显著增强</w:t>
            </w:r>
            <w:r>
              <w:rPr>
                <w:rFonts w:ascii="宋体" w:hAnsi="宋体" w:cs="宋体"/>
                <w:color w:val="000000"/>
                <w:sz w:val="21"/>
                <w:szCs w:val="21"/>
              </w:rPr>
              <w:t>,取得一批具有世界影响力的原创性重大科研成果,集聚一批具有国际顶尖水平的战略科技人才和团队,建立实验室支撑学科发展和产业壮大的新机制。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245" w:type="pct"/>
            <w:tcBorders>
              <w:top w:val="nil"/>
              <w:left w:val="single" w:color="auto" w:sz="4" w:space="0"/>
              <w:right w:val="single" w:color="auto" w:sz="4" w:space="0"/>
            </w:tcBorders>
            <w:noWrap/>
            <w:vAlign w:val="center"/>
          </w:tcPr>
          <w:p>
            <w:pPr>
              <w:jc w:val="center"/>
              <w:rPr>
                <w:rFonts w:ascii="宋体" w:hAnsi="宋体" w:cs="宋体"/>
                <w:color w:val="000000"/>
                <w:sz w:val="21"/>
                <w:szCs w:val="21"/>
              </w:rPr>
            </w:pPr>
            <w:r>
              <w:rPr>
                <w:rFonts w:ascii="宋体" w:hAnsi="宋体" w:cs="宋体"/>
                <w:color w:val="000000"/>
                <w:sz w:val="21"/>
                <w:szCs w:val="21"/>
              </w:rPr>
              <w:t>5</w:t>
            </w:r>
          </w:p>
        </w:tc>
        <w:tc>
          <w:tcPr>
            <w:tcW w:w="384" w:type="pct"/>
            <w:tcBorders>
              <w:top w:val="single" w:color="auto" w:sz="4" w:space="0"/>
              <w:left w:val="nil"/>
              <w:bottom w:val="single" w:color="auto" w:sz="4" w:space="0"/>
              <w:right w:val="single" w:color="auto" w:sz="4" w:space="0"/>
            </w:tcBorders>
            <w:noWrap/>
            <w:vAlign w:val="center"/>
          </w:tcPr>
          <w:p>
            <w:pPr>
              <w:rPr>
                <w:rFonts w:ascii="宋体" w:hAnsi="宋体" w:cs="宋体"/>
                <w:color w:val="000000"/>
                <w:sz w:val="21"/>
                <w:szCs w:val="21"/>
              </w:rPr>
            </w:pPr>
            <w:r>
              <w:rPr>
                <w:rFonts w:hint="eastAsia" w:ascii="宋体" w:hAnsi="宋体" w:cs="宋体"/>
                <w:color w:val="000000"/>
                <w:sz w:val="21"/>
                <w:szCs w:val="21"/>
              </w:rPr>
              <w:t>新型研发机构</w:t>
            </w:r>
          </w:p>
        </w:tc>
        <w:tc>
          <w:tcPr>
            <w:tcW w:w="1363" w:type="pct"/>
            <w:tcBorders>
              <w:top w:val="single" w:color="auto" w:sz="4" w:space="0"/>
              <w:left w:val="nil"/>
              <w:bottom w:val="single" w:color="auto" w:sz="4" w:space="0"/>
              <w:right w:val="single" w:color="auto" w:sz="4" w:space="0"/>
            </w:tcBorders>
            <w:noWrap/>
            <w:vAlign w:val="center"/>
          </w:tcPr>
          <w:p>
            <w:pPr>
              <w:rPr>
                <w:rFonts w:ascii="宋体" w:hAnsi="宋体" w:cs="宋体"/>
                <w:color w:val="000000"/>
                <w:sz w:val="21"/>
                <w:szCs w:val="21"/>
              </w:rPr>
            </w:pPr>
            <w:r>
              <w:rPr>
                <w:rFonts w:hint="eastAsia" w:ascii="宋体" w:hAnsi="宋体" w:cs="宋体"/>
                <w:color w:val="000000"/>
                <w:sz w:val="21"/>
                <w:szCs w:val="21"/>
              </w:rPr>
              <w:t>实施新型研发机构建设行动，做好新型研发机构梯队培育。</w:t>
            </w:r>
          </w:p>
        </w:tc>
        <w:tc>
          <w:tcPr>
            <w:tcW w:w="1529" w:type="pct"/>
            <w:tcBorders>
              <w:top w:val="single" w:color="auto" w:sz="4" w:space="0"/>
              <w:left w:val="nil"/>
              <w:bottom w:val="single" w:color="auto" w:sz="4" w:space="0"/>
              <w:right w:val="single" w:color="auto" w:sz="4" w:space="0"/>
            </w:tcBorders>
            <w:noWrap/>
            <w:vAlign w:val="center"/>
          </w:tcPr>
          <w:p>
            <w:pPr>
              <w:rPr>
                <w:rFonts w:ascii="宋体" w:hAnsi="宋体" w:cs="宋体"/>
                <w:color w:val="000000"/>
                <w:sz w:val="21"/>
                <w:szCs w:val="21"/>
              </w:rPr>
            </w:pPr>
            <w:r>
              <w:rPr>
                <w:rFonts w:hint="eastAsia" w:ascii="宋体" w:hAnsi="宋体" w:cs="宋体"/>
                <w:color w:val="000000"/>
                <w:sz w:val="21"/>
                <w:szCs w:val="21"/>
              </w:rPr>
              <w:t>实施新型研发机构建设行动，完善共建创新载体协调管理机制和新型研发机构考评机制，落实新型研发机构奖励政策，做好新型研发机构梯队培育，引进共建一批、优化提升一批、整合组建一批、重点打造一批新型研发机构，加快推进国内外大院名校落地建设，持续推进已引进创新平台发挥实效，提升创新平台研发产出率、技术转化率、成果落地率。</w:t>
            </w:r>
          </w:p>
        </w:tc>
        <w:tc>
          <w:tcPr>
            <w:tcW w:w="1478" w:type="pct"/>
            <w:tcBorders>
              <w:top w:val="single" w:color="auto" w:sz="4" w:space="0"/>
              <w:left w:val="nil"/>
              <w:bottom w:val="single" w:color="auto" w:sz="4" w:space="0"/>
              <w:right w:val="single" w:color="auto" w:sz="4" w:space="0"/>
            </w:tcBorders>
            <w:noWrap/>
            <w:vAlign w:val="center"/>
          </w:tcPr>
          <w:p>
            <w:pPr>
              <w:jc w:val="left"/>
              <w:rPr>
                <w:rFonts w:ascii="宋体" w:hAnsi="宋体" w:cs="宋体"/>
                <w:color w:val="000000"/>
                <w:sz w:val="21"/>
                <w:szCs w:val="21"/>
              </w:rPr>
            </w:pPr>
            <w:r>
              <w:rPr>
                <w:rFonts w:hint="eastAsia" w:ascii="宋体" w:hAnsi="宋体" w:cs="宋体"/>
                <w:color w:val="000000"/>
                <w:sz w:val="21"/>
                <w:szCs w:val="21"/>
              </w:rPr>
              <w:t>到</w:t>
            </w:r>
            <w:r>
              <w:rPr>
                <w:rFonts w:ascii="宋体" w:hAnsi="宋体" w:cs="宋体"/>
                <w:color w:val="000000"/>
                <w:sz w:val="21"/>
                <w:szCs w:val="21"/>
              </w:rPr>
              <w:t>2025年，全市建成新型研发机构50家、其中省级15家，打造一批覆盖科技创新全周期、全链条、全过程的高水平创新平台，有力推动高水平创新型城市建设。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9" w:hRule="atLeast"/>
        </w:trPr>
        <w:tc>
          <w:tcPr>
            <w:tcW w:w="245" w:type="pct"/>
            <w:tcBorders>
              <w:top w:val="nil"/>
              <w:left w:val="single" w:color="auto" w:sz="4" w:space="0"/>
              <w:right w:val="single" w:color="auto" w:sz="4" w:space="0"/>
            </w:tcBorders>
            <w:noWrap/>
            <w:vAlign w:val="center"/>
          </w:tcPr>
          <w:p>
            <w:pPr>
              <w:jc w:val="center"/>
              <w:rPr>
                <w:rFonts w:ascii="宋体" w:hAnsi="宋体" w:cs="宋体"/>
                <w:sz w:val="21"/>
                <w:szCs w:val="21"/>
              </w:rPr>
            </w:pPr>
            <w:r>
              <w:rPr>
                <w:rFonts w:ascii="宋体" w:hAnsi="宋体" w:cs="宋体"/>
                <w:sz w:val="21"/>
                <w:szCs w:val="21"/>
              </w:rPr>
              <w:t>6</w:t>
            </w:r>
          </w:p>
        </w:tc>
        <w:tc>
          <w:tcPr>
            <w:tcW w:w="384" w:type="pct"/>
            <w:tcBorders>
              <w:top w:val="single" w:color="auto" w:sz="4" w:space="0"/>
              <w:left w:val="nil"/>
              <w:bottom w:val="single" w:color="auto" w:sz="4" w:space="0"/>
              <w:right w:val="single" w:color="auto" w:sz="4" w:space="0"/>
            </w:tcBorders>
            <w:noWrap/>
            <w:vAlign w:val="center"/>
          </w:tcPr>
          <w:p>
            <w:pPr>
              <w:rPr>
                <w:rFonts w:ascii="宋体" w:hAnsi="宋体" w:cs="宋体"/>
                <w:sz w:val="21"/>
                <w:szCs w:val="21"/>
              </w:rPr>
            </w:pPr>
            <w:r>
              <w:rPr>
                <w:rFonts w:hint="eastAsia" w:ascii="宋体" w:hAnsi="宋体" w:cs="宋体"/>
                <w:sz w:val="21"/>
                <w:szCs w:val="21"/>
              </w:rPr>
              <w:t>产业创新服务综合体</w:t>
            </w:r>
          </w:p>
        </w:tc>
        <w:tc>
          <w:tcPr>
            <w:tcW w:w="1363" w:type="pct"/>
            <w:tcBorders>
              <w:top w:val="single" w:color="auto" w:sz="4" w:space="0"/>
              <w:left w:val="nil"/>
              <w:bottom w:val="single" w:color="auto" w:sz="4" w:space="0"/>
              <w:right w:val="single" w:color="auto" w:sz="4" w:space="0"/>
            </w:tcBorders>
            <w:noWrap/>
            <w:vAlign w:val="center"/>
          </w:tcPr>
          <w:p>
            <w:pPr>
              <w:rPr>
                <w:rFonts w:ascii="宋体" w:hAnsi="宋体" w:cs="宋体"/>
                <w:sz w:val="21"/>
                <w:szCs w:val="21"/>
              </w:rPr>
            </w:pPr>
            <w:r>
              <w:rPr>
                <w:rFonts w:hint="eastAsia" w:ascii="宋体" w:hAnsi="宋体" w:cs="宋体"/>
                <w:sz w:val="21"/>
                <w:szCs w:val="21"/>
              </w:rPr>
              <w:t>按照“一个产业一个综合体”的建设思路，深入实施市级产业创新服务综合体建设行动。</w:t>
            </w:r>
          </w:p>
        </w:tc>
        <w:tc>
          <w:tcPr>
            <w:tcW w:w="1529" w:type="pct"/>
            <w:tcBorders>
              <w:top w:val="single" w:color="auto" w:sz="4" w:space="0"/>
              <w:left w:val="nil"/>
              <w:bottom w:val="single" w:color="auto" w:sz="4" w:space="0"/>
              <w:right w:val="single" w:color="auto" w:sz="4" w:space="0"/>
            </w:tcBorders>
            <w:noWrap/>
            <w:vAlign w:val="center"/>
          </w:tcPr>
          <w:p>
            <w:pPr>
              <w:rPr>
                <w:rFonts w:ascii="宋体" w:hAnsi="宋体" w:cs="宋体"/>
                <w:sz w:val="21"/>
                <w:szCs w:val="21"/>
              </w:rPr>
            </w:pPr>
            <w:r>
              <w:rPr>
                <w:rFonts w:hint="eastAsia" w:ascii="宋体" w:hAnsi="宋体" w:cs="宋体"/>
                <w:sz w:val="21"/>
                <w:szCs w:val="21"/>
              </w:rPr>
              <w:t>以</w:t>
            </w:r>
            <w:r>
              <w:rPr>
                <w:rFonts w:ascii="宋体" w:hAnsi="宋体" w:cs="宋体"/>
                <w:sz w:val="21"/>
                <w:szCs w:val="21"/>
              </w:rPr>
              <w:t>KPI指标体系推动完善综合体运行机制和服务功能，建设一批“专精特新”特色化产业创新服务平台，着力打造具有浙江特色的创新综合体标杆。</w:t>
            </w:r>
          </w:p>
        </w:tc>
        <w:tc>
          <w:tcPr>
            <w:tcW w:w="1478" w:type="pct"/>
            <w:tcBorders>
              <w:top w:val="single" w:color="auto" w:sz="4" w:space="0"/>
              <w:left w:val="nil"/>
              <w:bottom w:val="single" w:color="auto" w:sz="4" w:space="0"/>
              <w:right w:val="single" w:color="auto" w:sz="4" w:space="0"/>
            </w:tcBorders>
            <w:noWrap/>
            <w:vAlign w:val="center"/>
          </w:tcPr>
          <w:p>
            <w:pPr>
              <w:rPr>
                <w:rFonts w:ascii="宋体" w:hAnsi="宋体" w:cs="宋体"/>
                <w:sz w:val="21"/>
                <w:szCs w:val="21"/>
              </w:rPr>
            </w:pPr>
            <w:r>
              <w:rPr>
                <w:rFonts w:hint="eastAsia" w:ascii="宋体" w:hAnsi="宋体" w:cs="宋体"/>
                <w:sz w:val="21"/>
                <w:szCs w:val="21"/>
              </w:rPr>
              <w:t>到</w:t>
            </w:r>
            <w:r>
              <w:rPr>
                <w:rFonts w:ascii="宋体" w:hAnsi="宋体" w:cs="宋体"/>
                <w:sz w:val="21"/>
                <w:szCs w:val="21"/>
              </w:rPr>
              <w:t>2025年，实现市级及以上综合体“5+5”产业全覆盖，</w:t>
            </w:r>
            <w:r>
              <w:rPr>
                <w:rFonts w:hint="eastAsia" w:ascii="宋体" w:hAnsi="宋体" w:cs="宋体"/>
                <w:sz w:val="21"/>
                <w:szCs w:val="21"/>
              </w:rPr>
              <w:t>建成省市县三级产业创新服务综合体</w:t>
            </w:r>
            <w:r>
              <w:rPr>
                <w:rFonts w:ascii="宋体" w:hAnsi="宋体" w:cs="宋体"/>
                <w:sz w:val="21"/>
                <w:szCs w:val="21"/>
              </w:rPr>
              <w:t>40家，其中省级15家，打造省标杆型产业创新服务综合体3家以上。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245" w:type="pct"/>
            <w:tcBorders>
              <w:top w:val="nil"/>
              <w:left w:val="single" w:color="auto" w:sz="4" w:space="0"/>
              <w:right w:val="single" w:color="auto" w:sz="4" w:space="0"/>
            </w:tcBorders>
            <w:noWrap/>
            <w:vAlign w:val="center"/>
          </w:tcPr>
          <w:p>
            <w:pPr>
              <w:jc w:val="center"/>
              <w:rPr>
                <w:rFonts w:ascii="宋体" w:hAnsi="宋体" w:cs="宋体"/>
                <w:sz w:val="21"/>
                <w:szCs w:val="21"/>
              </w:rPr>
            </w:pPr>
            <w:r>
              <w:rPr>
                <w:rFonts w:ascii="宋体" w:hAnsi="宋体" w:cs="宋体"/>
                <w:sz w:val="21"/>
                <w:szCs w:val="21"/>
              </w:rPr>
              <w:t>7</w:t>
            </w:r>
          </w:p>
        </w:tc>
        <w:tc>
          <w:tcPr>
            <w:tcW w:w="384" w:type="pct"/>
            <w:tcBorders>
              <w:top w:val="single" w:color="auto" w:sz="4" w:space="0"/>
              <w:left w:val="nil"/>
              <w:bottom w:val="single" w:color="auto" w:sz="4" w:space="0"/>
              <w:right w:val="single" w:color="auto" w:sz="4" w:space="0"/>
            </w:tcBorders>
            <w:noWrap/>
            <w:vAlign w:val="center"/>
          </w:tcPr>
          <w:p>
            <w:pPr>
              <w:rPr>
                <w:rFonts w:ascii="宋体" w:hAnsi="宋体" w:cs="宋体"/>
                <w:sz w:val="21"/>
                <w:szCs w:val="21"/>
              </w:rPr>
            </w:pPr>
            <w:r>
              <w:rPr>
                <w:rFonts w:hint="eastAsia" w:ascii="宋体" w:hAnsi="宋体" w:cs="宋体"/>
                <w:sz w:val="21"/>
                <w:szCs w:val="21"/>
              </w:rPr>
              <w:t>技术创新中心体系</w:t>
            </w:r>
          </w:p>
        </w:tc>
        <w:tc>
          <w:tcPr>
            <w:tcW w:w="1363" w:type="pct"/>
            <w:tcBorders>
              <w:top w:val="single" w:color="auto" w:sz="4" w:space="0"/>
              <w:left w:val="nil"/>
              <w:bottom w:val="single" w:color="auto" w:sz="4" w:space="0"/>
              <w:right w:val="single" w:color="auto" w:sz="4" w:space="0"/>
            </w:tcBorders>
            <w:noWrap/>
            <w:vAlign w:val="center"/>
          </w:tcPr>
          <w:p>
            <w:pPr>
              <w:rPr>
                <w:rFonts w:ascii="宋体" w:hAnsi="宋体" w:cs="宋体"/>
                <w:sz w:val="21"/>
                <w:szCs w:val="21"/>
              </w:rPr>
            </w:pPr>
            <w:r>
              <w:rPr>
                <w:rFonts w:hint="eastAsia" w:ascii="宋体" w:hAnsi="宋体" w:cs="宋体"/>
                <w:sz w:val="21"/>
                <w:szCs w:val="21"/>
              </w:rPr>
              <w:t>加快构建由“省技术创新中心、省级重点企业研究院、省级高新技术企业研发中心”等组成的特色优势明显的技术创新中心体系。</w:t>
            </w:r>
          </w:p>
        </w:tc>
        <w:tc>
          <w:tcPr>
            <w:tcW w:w="1529" w:type="pct"/>
            <w:tcBorders>
              <w:top w:val="single" w:color="auto" w:sz="4" w:space="0"/>
              <w:left w:val="nil"/>
              <w:bottom w:val="single" w:color="auto" w:sz="4" w:space="0"/>
              <w:right w:val="single" w:color="auto" w:sz="4" w:space="0"/>
            </w:tcBorders>
            <w:noWrap/>
            <w:vAlign w:val="center"/>
          </w:tcPr>
          <w:p>
            <w:pPr>
              <w:rPr>
                <w:rFonts w:ascii="宋体" w:hAnsi="宋体" w:cs="宋体"/>
                <w:sz w:val="21"/>
                <w:szCs w:val="21"/>
              </w:rPr>
            </w:pPr>
            <w:r>
              <w:rPr>
                <w:rFonts w:hint="eastAsia" w:ascii="宋体" w:hAnsi="宋体" w:cs="宋体"/>
                <w:sz w:val="21"/>
                <w:szCs w:val="21"/>
              </w:rPr>
              <w:t>以集聚整合创新要素、组织开展科技创新、支撑企业持续发展和引领行业技术进步为目标，鼓励企业自建或与高校院所联合组建高水平研发机构，全面增强企业持续创新能力和核心竞争力。</w:t>
            </w:r>
          </w:p>
        </w:tc>
        <w:tc>
          <w:tcPr>
            <w:tcW w:w="1478" w:type="pct"/>
            <w:tcBorders>
              <w:top w:val="single" w:color="auto" w:sz="4" w:space="0"/>
              <w:left w:val="nil"/>
              <w:bottom w:val="single" w:color="auto" w:sz="4" w:space="0"/>
              <w:right w:val="single" w:color="auto" w:sz="4" w:space="0"/>
            </w:tcBorders>
            <w:noWrap/>
            <w:vAlign w:val="center"/>
          </w:tcPr>
          <w:p>
            <w:pPr>
              <w:rPr>
                <w:rFonts w:ascii="宋体" w:hAnsi="宋体" w:cs="宋体"/>
                <w:sz w:val="21"/>
                <w:szCs w:val="21"/>
              </w:rPr>
            </w:pPr>
            <w:r>
              <w:rPr>
                <w:rFonts w:hint="eastAsia" w:ascii="宋体" w:hAnsi="宋体" w:cs="宋体"/>
                <w:sz w:val="21"/>
                <w:szCs w:val="21"/>
              </w:rPr>
              <w:t>到</w:t>
            </w:r>
            <w:r>
              <w:rPr>
                <w:rFonts w:ascii="宋体" w:hAnsi="宋体" w:cs="宋体"/>
                <w:sz w:val="21"/>
                <w:szCs w:val="21"/>
              </w:rPr>
              <w:t>2025年，争创省技术创新中心1-2家，新增重点企业研究院8家，企业研究院100家，高新技术企业研发中心260家，实现规上高新技术企业研发机构全覆盖。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5" w:type="pct"/>
            <w:tcBorders>
              <w:top w:val="nil"/>
              <w:left w:val="single" w:color="auto" w:sz="4" w:space="0"/>
              <w:right w:val="single" w:color="auto" w:sz="4" w:space="0"/>
            </w:tcBorders>
            <w:noWrap/>
            <w:vAlign w:val="center"/>
          </w:tcPr>
          <w:p>
            <w:pPr>
              <w:jc w:val="center"/>
              <w:rPr>
                <w:rFonts w:ascii="宋体" w:hAnsi="宋体" w:cs="宋体"/>
                <w:sz w:val="21"/>
                <w:szCs w:val="21"/>
              </w:rPr>
            </w:pPr>
            <w:r>
              <w:rPr>
                <w:rFonts w:ascii="宋体" w:hAnsi="宋体" w:cs="宋体"/>
                <w:sz w:val="21"/>
                <w:szCs w:val="21"/>
              </w:rPr>
              <w:t>8</w:t>
            </w:r>
          </w:p>
        </w:tc>
        <w:tc>
          <w:tcPr>
            <w:tcW w:w="384" w:type="pct"/>
            <w:tcBorders>
              <w:top w:val="single" w:color="auto" w:sz="4" w:space="0"/>
              <w:left w:val="nil"/>
              <w:bottom w:val="single" w:color="auto" w:sz="4" w:space="0"/>
              <w:right w:val="single" w:color="auto" w:sz="4" w:space="0"/>
            </w:tcBorders>
            <w:noWrap/>
            <w:vAlign w:val="center"/>
          </w:tcPr>
          <w:p>
            <w:pPr>
              <w:rPr>
                <w:rFonts w:ascii="宋体" w:hAnsi="宋体" w:cs="宋体"/>
                <w:sz w:val="21"/>
                <w:szCs w:val="21"/>
              </w:rPr>
            </w:pPr>
            <w:r>
              <w:rPr>
                <w:rFonts w:hint="eastAsia" w:ascii="宋体" w:hAnsi="宋体" w:cs="宋体"/>
                <w:sz w:val="21"/>
                <w:szCs w:val="21"/>
              </w:rPr>
              <w:t>科技合作平台</w:t>
            </w:r>
          </w:p>
        </w:tc>
        <w:tc>
          <w:tcPr>
            <w:tcW w:w="1363" w:type="pct"/>
            <w:tcBorders>
              <w:top w:val="single" w:color="auto" w:sz="4" w:space="0"/>
              <w:left w:val="nil"/>
              <w:bottom w:val="single" w:color="auto" w:sz="4" w:space="0"/>
              <w:right w:val="single" w:color="auto" w:sz="4" w:space="0"/>
            </w:tcBorders>
            <w:noWrap/>
            <w:vAlign w:val="center"/>
          </w:tcPr>
          <w:p>
            <w:pPr>
              <w:rPr>
                <w:rFonts w:ascii="宋体" w:hAnsi="宋体" w:cs="宋体"/>
                <w:sz w:val="21"/>
                <w:szCs w:val="21"/>
              </w:rPr>
            </w:pPr>
            <w:r>
              <w:rPr>
                <w:rFonts w:hint="eastAsia" w:ascii="宋体" w:hAnsi="宋体" w:cs="宋体"/>
                <w:sz w:val="21"/>
                <w:szCs w:val="21"/>
              </w:rPr>
              <w:t>开展国际国内科技合作载体提升发展行动，创建一批精准合作示范平台。</w:t>
            </w:r>
          </w:p>
        </w:tc>
        <w:tc>
          <w:tcPr>
            <w:tcW w:w="1529" w:type="pct"/>
            <w:tcBorders>
              <w:top w:val="single" w:color="auto" w:sz="4" w:space="0"/>
              <w:left w:val="nil"/>
              <w:bottom w:val="single" w:color="auto" w:sz="4" w:space="0"/>
              <w:right w:val="single" w:color="auto" w:sz="4" w:space="0"/>
            </w:tcBorders>
            <w:noWrap/>
            <w:vAlign w:val="center"/>
          </w:tcPr>
          <w:p>
            <w:pPr>
              <w:rPr>
                <w:rFonts w:ascii="宋体" w:hAnsi="宋体" w:cs="宋体"/>
                <w:sz w:val="21"/>
                <w:szCs w:val="21"/>
              </w:rPr>
            </w:pPr>
            <w:r>
              <w:rPr>
                <w:rFonts w:hint="eastAsia" w:ascii="宋体" w:hAnsi="宋体" w:cs="宋体"/>
                <w:sz w:val="21"/>
                <w:szCs w:val="21"/>
              </w:rPr>
              <w:t>全面对接上海全球科创中心建设，加快科技飞地建设，发挥对外科创窗口作用。加强与“创新大国”“关键小国”在关键技术、前沿科技和重大基础研究等领域的合作交流，打造科技精准合作升级版。</w:t>
            </w:r>
          </w:p>
        </w:tc>
        <w:tc>
          <w:tcPr>
            <w:tcW w:w="1478" w:type="pct"/>
            <w:tcBorders>
              <w:top w:val="single" w:color="auto" w:sz="4" w:space="0"/>
              <w:left w:val="nil"/>
              <w:bottom w:val="single" w:color="auto" w:sz="4" w:space="0"/>
              <w:right w:val="single" w:color="auto" w:sz="4" w:space="0"/>
            </w:tcBorders>
            <w:noWrap/>
            <w:vAlign w:val="center"/>
          </w:tcPr>
          <w:p>
            <w:pPr>
              <w:pStyle w:val="33"/>
              <w:spacing w:line="240" w:lineRule="auto"/>
              <w:ind w:firstLine="0" w:firstLineChars="0"/>
              <w:rPr>
                <w:rFonts w:ascii="宋体" w:hAnsi="宋体" w:cs="宋体"/>
                <w:sz w:val="21"/>
                <w:szCs w:val="21"/>
              </w:rPr>
            </w:pPr>
            <w:r>
              <w:rPr>
                <w:rFonts w:hint="eastAsia" w:ascii="宋体" w:hAnsi="宋体" w:eastAsia="宋体" w:cs="宋体"/>
                <w:sz w:val="21"/>
                <w:szCs w:val="21"/>
              </w:rPr>
              <w:t>到</w:t>
            </w:r>
            <w:r>
              <w:rPr>
                <w:rFonts w:ascii="宋体" w:hAnsi="宋体" w:eastAsia="宋体" w:cs="宋体"/>
                <w:sz w:val="21"/>
                <w:szCs w:val="21"/>
              </w:rPr>
              <w:t>2025年，累计建设科技飞地8家、海外创新孵化中心20家。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245" w:type="pct"/>
            <w:tcBorders>
              <w:top w:val="nil"/>
              <w:left w:val="single" w:color="auto" w:sz="4" w:space="0"/>
              <w:right w:val="single" w:color="auto" w:sz="4" w:space="0"/>
            </w:tcBorders>
            <w:noWrap/>
            <w:vAlign w:val="center"/>
          </w:tcPr>
          <w:p>
            <w:pPr>
              <w:jc w:val="center"/>
              <w:rPr>
                <w:rFonts w:ascii="宋体" w:hAnsi="宋体" w:cs="宋体"/>
                <w:sz w:val="21"/>
                <w:szCs w:val="21"/>
              </w:rPr>
            </w:pPr>
            <w:r>
              <w:rPr>
                <w:rFonts w:ascii="宋体" w:hAnsi="宋体" w:cs="宋体"/>
                <w:sz w:val="21"/>
                <w:szCs w:val="21"/>
              </w:rPr>
              <w:t>9</w:t>
            </w:r>
          </w:p>
        </w:tc>
        <w:tc>
          <w:tcPr>
            <w:tcW w:w="384" w:type="pct"/>
            <w:tcBorders>
              <w:top w:val="single" w:color="auto" w:sz="4" w:space="0"/>
              <w:left w:val="nil"/>
              <w:bottom w:val="single" w:color="auto" w:sz="4" w:space="0"/>
              <w:right w:val="single" w:color="auto" w:sz="4" w:space="0"/>
            </w:tcBorders>
            <w:noWrap/>
            <w:vAlign w:val="center"/>
          </w:tcPr>
          <w:p>
            <w:pPr>
              <w:rPr>
                <w:rFonts w:ascii="宋体" w:hAnsi="宋体" w:cs="宋体"/>
                <w:sz w:val="21"/>
                <w:szCs w:val="21"/>
              </w:rPr>
            </w:pPr>
            <w:r>
              <w:rPr>
                <w:rFonts w:hint="eastAsia" w:ascii="宋体" w:hAnsi="宋体" w:cs="宋体"/>
                <w:sz w:val="21"/>
                <w:szCs w:val="21"/>
              </w:rPr>
              <w:t>成果转化平台</w:t>
            </w:r>
          </w:p>
        </w:tc>
        <w:tc>
          <w:tcPr>
            <w:tcW w:w="1363" w:type="pct"/>
            <w:tcBorders>
              <w:top w:val="single" w:color="auto" w:sz="4" w:space="0"/>
              <w:left w:val="nil"/>
              <w:bottom w:val="single" w:color="auto" w:sz="4" w:space="0"/>
              <w:right w:val="single" w:color="auto" w:sz="4" w:space="0"/>
            </w:tcBorders>
            <w:noWrap/>
            <w:vAlign w:val="center"/>
          </w:tcPr>
          <w:p>
            <w:pPr>
              <w:rPr>
                <w:rFonts w:ascii="宋体" w:hAnsi="宋体" w:cs="宋体"/>
                <w:sz w:val="21"/>
                <w:szCs w:val="21"/>
              </w:rPr>
            </w:pPr>
            <w:r>
              <w:rPr>
                <w:rFonts w:hint="eastAsia" w:ascii="宋体" w:hAnsi="宋体" w:cs="宋体"/>
                <w:sz w:val="21"/>
                <w:szCs w:val="21"/>
              </w:rPr>
              <w:t>健全科技成果转化机制，搭建科技成果转化平台，促进产学研用合作</w:t>
            </w:r>
            <w:r>
              <w:rPr>
                <w:rFonts w:ascii="宋体" w:hAnsi="宋体" w:cs="宋体"/>
                <w:sz w:val="21"/>
                <w:szCs w:val="21"/>
              </w:rPr>
              <w:t>,不断提升科技成果转化率。</w:t>
            </w:r>
          </w:p>
        </w:tc>
        <w:tc>
          <w:tcPr>
            <w:tcW w:w="1529" w:type="pct"/>
            <w:tcBorders>
              <w:top w:val="single" w:color="auto" w:sz="4" w:space="0"/>
              <w:left w:val="nil"/>
              <w:bottom w:val="single" w:color="auto" w:sz="4" w:space="0"/>
              <w:right w:val="single" w:color="auto" w:sz="4" w:space="0"/>
            </w:tcBorders>
            <w:noWrap/>
            <w:vAlign w:val="center"/>
          </w:tcPr>
          <w:p>
            <w:pPr>
              <w:rPr>
                <w:rFonts w:ascii="宋体" w:hAnsi="宋体" w:cs="宋体"/>
                <w:sz w:val="21"/>
                <w:szCs w:val="21"/>
              </w:rPr>
            </w:pPr>
            <w:r>
              <w:rPr>
                <w:rFonts w:hint="eastAsia" w:ascii="宋体" w:hAnsi="宋体" w:cs="宋体"/>
                <w:sz w:val="21"/>
                <w:szCs w:val="21"/>
              </w:rPr>
              <w:t>建设</w:t>
            </w:r>
            <w:r>
              <w:rPr>
                <w:rFonts w:ascii="宋体" w:hAnsi="宋体" w:cs="宋体"/>
                <w:sz w:val="21"/>
                <w:szCs w:val="21"/>
              </w:rPr>
              <w:t>3.0版网上技术市场，打造线上线下一体化科技大市场，加强技术转移人才队伍和技术转移转化机构建设。打造一批专业化科技企业孵化器和众创空间。</w:t>
            </w:r>
          </w:p>
        </w:tc>
        <w:tc>
          <w:tcPr>
            <w:tcW w:w="1478" w:type="pct"/>
            <w:tcBorders>
              <w:top w:val="single" w:color="auto" w:sz="4" w:space="0"/>
              <w:left w:val="nil"/>
              <w:bottom w:val="single" w:color="auto" w:sz="4" w:space="0"/>
              <w:right w:val="single" w:color="auto" w:sz="4" w:space="0"/>
            </w:tcBorders>
            <w:noWrap/>
            <w:vAlign w:val="center"/>
          </w:tcPr>
          <w:p>
            <w:pPr>
              <w:pStyle w:val="33"/>
              <w:spacing w:line="240" w:lineRule="auto"/>
              <w:ind w:firstLine="0" w:firstLineChars="0"/>
              <w:rPr>
                <w:rFonts w:ascii="宋体" w:hAnsi="宋体" w:eastAsia="宋体" w:cs="宋体"/>
                <w:sz w:val="21"/>
                <w:szCs w:val="21"/>
              </w:rPr>
            </w:pPr>
            <w:r>
              <w:rPr>
                <w:rFonts w:hint="eastAsia" w:ascii="宋体" w:hAnsi="宋体" w:eastAsia="宋体" w:cs="宋体"/>
                <w:sz w:val="21"/>
                <w:szCs w:val="21"/>
              </w:rPr>
              <w:t>到</w:t>
            </w:r>
            <w:r>
              <w:rPr>
                <w:rFonts w:ascii="宋体" w:hAnsi="宋体" w:eastAsia="宋体" w:cs="宋体"/>
                <w:sz w:val="21"/>
                <w:szCs w:val="21"/>
              </w:rPr>
              <w:t>2025年，省级以上孵化器和众创空间累计达到100家。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7" w:hRule="atLeast"/>
        </w:trPr>
        <w:tc>
          <w:tcPr>
            <w:tcW w:w="245" w:type="pct"/>
            <w:tcBorders>
              <w:left w:val="single" w:color="auto" w:sz="4" w:space="0"/>
              <w:right w:val="single" w:color="auto" w:sz="4" w:space="0"/>
            </w:tcBorders>
            <w:noWrap/>
            <w:vAlign w:val="center"/>
          </w:tcPr>
          <w:p>
            <w:pPr>
              <w:jc w:val="center"/>
              <w:rPr>
                <w:rFonts w:ascii="宋体" w:hAnsi="宋体" w:cs="宋体"/>
                <w:sz w:val="21"/>
                <w:szCs w:val="21"/>
              </w:rPr>
            </w:pPr>
            <w:r>
              <w:rPr>
                <w:rFonts w:ascii="宋体" w:hAnsi="宋体" w:cs="宋体"/>
                <w:sz w:val="21"/>
                <w:szCs w:val="21"/>
              </w:rPr>
              <w:t>10</w:t>
            </w:r>
          </w:p>
        </w:tc>
        <w:tc>
          <w:tcPr>
            <w:tcW w:w="384" w:type="pct"/>
            <w:tcBorders>
              <w:top w:val="single" w:color="auto" w:sz="4" w:space="0"/>
              <w:left w:val="nil"/>
              <w:bottom w:val="single" w:color="auto" w:sz="4" w:space="0"/>
              <w:right w:val="single" w:color="auto" w:sz="4" w:space="0"/>
            </w:tcBorders>
            <w:noWrap/>
            <w:vAlign w:val="center"/>
          </w:tcPr>
          <w:p>
            <w:pPr>
              <w:rPr>
                <w:rFonts w:ascii="宋体" w:hAnsi="宋体" w:cs="宋体"/>
                <w:sz w:val="21"/>
                <w:szCs w:val="21"/>
              </w:rPr>
            </w:pPr>
            <w:r>
              <w:rPr>
                <w:rFonts w:hint="eastAsia" w:ascii="宋体" w:hAnsi="宋体" w:cs="宋体"/>
                <w:sz w:val="21"/>
                <w:szCs w:val="21"/>
              </w:rPr>
              <w:t>农业科技园</w:t>
            </w:r>
          </w:p>
        </w:tc>
        <w:tc>
          <w:tcPr>
            <w:tcW w:w="1363" w:type="pct"/>
            <w:tcBorders>
              <w:top w:val="single" w:color="auto" w:sz="4" w:space="0"/>
              <w:left w:val="nil"/>
              <w:bottom w:val="single" w:color="auto" w:sz="4" w:space="0"/>
              <w:right w:val="single" w:color="auto" w:sz="4" w:space="0"/>
            </w:tcBorders>
            <w:noWrap/>
            <w:vAlign w:val="center"/>
          </w:tcPr>
          <w:p>
            <w:pPr>
              <w:rPr>
                <w:rFonts w:ascii="宋体" w:hAnsi="宋体" w:cs="宋体"/>
                <w:sz w:val="21"/>
                <w:szCs w:val="21"/>
              </w:rPr>
            </w:pPr>
            <w:r>
              <w:rPr>
                <w:rFonts w:hint="eastAsia" w:ascii="宋体" w:hAnsi="宋体" w:cs="宋体"/>
                <w:sz w:val="21"/>
                <w:szCs w:val="21"/>
              </w:rPr>
              <w:t>加大农业科技创新载体建设，打造国家级、省级联动的农业科技园建设梯队。</w:t>
            </w:r>
          </w:p>
        </w:tc>
        <w:tc>
          <w:tcPr>
            <w:tcW w:w="1529" w:type="pct"/>
            <w:tcBorders>
              <w:top w:val="single" w:color="auto" w:sz="4" w:space="0"/>
              <w:left w:val="nil"/>
              <w:bottom w:val="single" w:color="auto" w:sz="4" w:space="0"/>
              <w:right w:val="single" w:color="auto" w:sz="4" w:space="0"/>
            </w:tcBorders>
            <w:noWrap/>
            <w:vAlign w:val="center"/>
          </w:tcPr>
          <w:p>
            <w:pPr>
              <w:rPr>
                <w:rFonts w:ascii="宋体" w:hAnsi="宋体" w:cs="宋体"/>
                <w:sz w:val="21"/>
                <w:szCs w:val="21"/>
              </w:rPr>
            </w:pPr>
            <w:r>
              <w:rPr>
                <w:rFonts w:hint="eastAsia" w:ascii="宋体" w:hAnsi="宋体" w:cs="宋体"/>
                <w:sz w:val="21"/>
                <w:szCs w:val="21"/>
              </w:rPr>
              <w:t>着力拓展农村创新创业、成果展示示范、成果转化推广和高素质农民培训四大功能，把科技园区建设成为现代农业创新驱动发展的高地，加快培育育繁推一体种业企业，积极创建省级农业产业化龙头企业或农业科技企业。</w:t>
            </w:r>
          </w:p>
        </w:tc>
        <w:tc>
          <w:tcPr>
            <w:tcW w:w="1478" w:type="pct"/>
            <w:tcBorders>
              <w:top w:val="single" w:color="auto" w:sz="4" w:space="0"/>
              <w:left w:val="nil"/>
              <w:bottom w:val="single" w:color="auto" w:sz="4" w:space="0"/>
              <w:right w:val="single" w:color="auto" w:sz="4" w:space="0"/>
            </w:tcBorders>
            <w:noWrap/>
            <w:vAlign w:val="center"/>
          </w:tcPr>
          <w:p>
            <w:pPr>
              <w:rPr>
                <w:rFonts w:ascii="宋体" w:hAnsi="宋体" w:cs="宋体"/>
                <w:sz w:val="21"/>
                <w:szCs w:val="21"/>
              </w:rPr>
            </w:pPr>
            <w:r>
              <w:rPr>
                <w:rFonts w:hint="eastAsia" w:ascii="宋体" w:hAnsi="宋体" w:cs="宋体"/>
                <w:sz w:val="21"/>
                <w:szCs w:val="21"/>
              </w:rPr>
              <w:t>到</w:t>
            </w:r>
            <w:r>
              <w:rPr>
                <w:rFonts w:ascii="宋体" w:hAnsi="宋体" w:cs="宋体"/>
                <w:sz w:val="21"/>
                <w:szCs w:val="21"/>
              </w:rPr>
              <w:t>2025年，温州国家农业科技园</w:t>
            </w:r>
            <w:r>
              <w:rPr>
                <w:rFonts w:hint="eastAsia" w:ascii="宋体" w:hAnsi="宋体" w:cs="宋体"/>
                <w:sz w:val="21"/>
                <w:szCs w:val="21"/>
              </w:rPr>
              <w:t>推广新品种</w:t>
            </w:r>
            <w:r>
              <w:rPr>
                <w:rFonts w:ascii="宋体" w:hAnsi="宋体" w:cs="宋体"/>
                <w:sz w:val="21"/>
                <w:szCs w:val="21"/>
              </w:rPr>
              <w:t>20个以上，新品种、新技术覆盖率90%以上，形成有影响力的区域品牌2-5个。实施创业项目30个，种业科技成果转化10项。</w:t>
            </w:r>
          </w:p>
          <w:p>
            <w:pPr>
              <w:rPr>
                <w:rFonts w:ascii="宋体" w:hAnsi="宋体" w:cs="宋体"/>
                <w:sz w:val="21"/>
                <w:szCs w:val="21"/>
              </w:rPr>
            </w:pPr>
            <w:r>
              <w:rPr>
                <w:rFonts w:hint="eastAsia" w:ascii="宋体" w:hAnsi="宋体" w:cs="宋体"/>
                <w:sz w:val="21"/>
                <w:szCs w:val="21"/>
              </w:rPr>
              <w:t>新增创建</w:t>
            </w:r>
            <w:r>
              <w:rPr>
                <w:rFonts w:ascii="宋体" w:hAnsi="宋体" w:cs="宋体"/>
                <w:sz w:val="21"/>
                <w:szCs w:val="21"/>
              </w:rPr>
              <w:t>2家省级农业科技园区，争创1家国家级农业高新技术产业示范区。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245" w:type="pct"/>
            <w:tcBorders>
              <w:left w:val="single" w:color="auto" w:sz="4" w:space="0"/>
              <w:right w:val="single" w:color="auto" w:sz="4" w:space="0"/>
            </w:tcBorders>
            <w:noWrap/>
            <w:vAlign w:val="center"/>
          </w:tcPr>
          <w:p>
            <w:pPr>
              <w:jc w:val="center"/>
              <w:rPr>
                <w:rFonts w:ascii="宋体" w:hAnsi="宋体" w:cs="宋体"/>
                <w:sz w:val="21"/>
                <w:szCs w:val="21"/>
              </w:rPr>
            </w:pPr>
            <w:r>
              <w:rPr>
                <w:rFonts w:ascii="宋体" w:hAnsi="宋体" w:cs="宋体"/>
                <w:sz w:val="21"/>
                <w:szCs w:val="21"/>
              </w:rPr>
              <w:t>11</w:t>
            </w:r>
          </w:p>
        </w:tc>
        <w:tc>
          <w:tcPr>
            <w:tcW w:w="384" w:type="pct"/>
            <w:tcBorders>
              <w:top w:val="single" w:color="auto" w:sz="4" w:space="0"/>
              <w:left w:val="nil"/>
              <w:bottom w:val="single" w:color="auto" w:sz="4" w:space="0"/>
              <w:right w:val="single" w:color="auto" w:sz="4" w:space="0"/>
            </w:tcBorders>
            <w:noWrap/>
            <w:vAlign w:val="center"/>
          </w:tcPr>
          <w:p>
            <w:pPr>
              <w:rPr>
                <w:rFonts w:ascii="宋体" w:hAnsi="宋体" w:cs="宋体"/>
                <w:sz w:val="21"/>
                <w:szCs w:val="21"/>
              </w:rPr>
            </w:pPr>
            <w:r>
              <w:rPr>
                <w:rFonts w:hint="eastAsia" w:ascii="宋体" w:hAnsi="宋体" w:cs="宋体"/>
                <w:sz w:val="21"/>
                <w:szCs w:val="21"/>
              </w:rPr>
              <w:t>科技型小微企业创新园</w:t>
            </w:r>
          </w:p>
        </w:tc>
        <w:tc>
          <w:tcPr>
            <w:tcW w:w="1363" w:type="pct"/>
            <w:tcBorders>
              <w:top w:val="single" w:color="auto" w:sz="4" w:space="0"/>
              <w:left w:val="nil"/>
              <w:bottom w:val="single" w:color="auto" w:sz="4" w:space="0"/>
              <w:right w:val="single" w:color="auto" w:sz="4" w:space="0"/>
            </w:tcBorders>
            <w:noWrap/>
            <w:vAlign w:val="center"/>
          </w:tcPr>
          <w:p>
            <w:pPr>
              <w:rPr>
                <w:rFonts w:ascii="宋体" w:hAnsi="宋体" w:cs="宋体"/>
                <w:sz w:val="21"/>
                <w:szCs w:val="21"/>
              </w:rPr>
            </w:pPr>
            <w:r>
              <w:rPr>
                <w:rFonts w:hint="eastAsia" w:ascii="宋体" w:hAnsi="宋体" w:cs="宋体"/>
                <w:sz w:val="21"/>
                <w:szCs w:val="21"/>
              </w:rPr>
              <w:t>单个园区面积在</w:t>
            </w:r>
            <w:r>
              <w:rPr>
                <w:rFonts w:ascii="宋体" w:hAnsi="宋体" w:cs="宋体"/>
                <w:sz w:val="21"/>
                <w:szCs w:val="21"/>
              </w:rPr>
              <w:t>2万平方米以上，建有较完善的基础设施、生产经营和生活配套设施等。</w:t>
            </w:r>
          </w:p>
        </w:tc>
        <w:tc>
          <w:tcPr>
            <w:tcW w:w="1529" w:type="pct"/>
            <w:tcBorders>
              <w:top w:val="single" w:color="auto" w:sz="4" w:space="0"/>
              <w:left w:val="nil"/>
              <w:bottom w:val="single" w:color="auto" w:sz="4" w:space="0"/>
              <w:right w:val="single" w:color="auto" w:sz="4" w:space="0"/>
            </w:tcBorders>
            <w:noWrap/>
            <w:vAlign w:val="center"/>
          </w:tcPr>
          <w:p>
            <w:pPr>
              <w:rPr>
                <w:rFonts w:ascii="宋体" w:hAnsi="宋体" w:cs="宋体"/>
                <w:sz w:val="21"/>
                <w:szCs w:val="21"/>
              </w:rPr>
            </w:pPr>
            <w:r>
              <w:rPr>
                <w:rFonts w:hint="eastAsia" w:ascii="宋体" w:hAnsi="宋体" w:cs="宋体"/>
                <w:sz w:val="21"/>
                <w:szCs w:val="21"/>
              </w:rPr>
              <w:t>聚焦五大战略性新兴产业，精准定位科创园主导产业，稳步抓好规范化管理，逐步加大科技支撑要素供给。</w:t>
            </w:r>
          </w:p>
        </w:tc>
        <w:tc>
          <w:tcPr>
            <w:tcW w:w="1478" w:type="pct"/>
            <w:tcBorders>
              <w:top w:val="single" w:color="auto" w:sz="4" w:space="0"/>
              <w:left w:val="nil"/>
              <w:bottom w:val="single" w:color="auto" w:sz="4" w:space="0"/>
              <w:right w:val="single" w:color="auto" w:sz="4" w:space="0"/>
            </w:tcBorders>
            <w:noWrap/>
            <w:vAlign w:val="center"/>
          </w:tcPr>
          <w:p>
            <w:pPr>
              <w:rPr>
                <w:rFonts w:ascii="宋体" w:hAnsi="宋体" w:cs="宋体"/>
                <w:sz w:val="21"/>
                <w:szCs w:val="21"/>
              </w:rPr>
            </w:pPr>
            <w:r>
              <w:rPr>
                <w:rFonts w:hint="eastAsia" w:ascii="宋体" w:hAnsi="宋体" w:cs="宋体"/>
                <w:sz w:val="21"/>
                <w:szCs w:val="21"/>
              </w:rPr>
              <w:t>将科创园建设纳入小微园年度建设供地计划，优先安排用地指标。到</w:t>
            </w:r>
            <w:r>
              <w:rPr>
                <w:rFonts w:ascii="宋体" w:hAnsi="宋体" w:cs="宋体"/>
                <w:sz w:val="21"/>
                <w:szCs w:val="21"/>
              </w:rPr>
              <w:t>2025年，</w:t>
            </w:r>
            <w:r>
              <w:rPr>
                <w:rFonts w:hint="eastAsia" w:ascii="宋体" w:hAnsi="宋体" w:cs="宋体"/>
                <w:sz w:val="21"/>
                <w:szCs w:val="21"/>
              </w:rPr>
              <w:t>科技型小微企业创新园达</w:t>
            </w:r>
            <w:r>
              <w:rPr>
                <w:rFonts w:ascii="宋体" w:hAnsi="宋体" w:cs="宋体"/>
                <w:sz w:val="21"/>
                <w:szCs w:val="21"/>
              </w:rPr>
              <w:t>30家。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245" w:type="pct"/>
            <w:tcBorders>
              <w:left w:val="single" w:color="auto" w:sz="4" w:space="0"/>
              <w:right w:val="single" w:color="auto" w:sz="4" w:space="0"/>
            </w:tcBorders>
            <w:noWrap/>
            <w:vAlign w:val="center"/>
          </w:tcPr>
          <w:p>
            <w:pPr>
              <w:jc w:val="center"/>
              <w:rPr>
                <w:rFonts w:ascii="宋体" w:hAnsi="宋体" w:cs="宋体"/>
                <w:color w:val="000000"/>
                <w:sz w:val="21"/>
                <w:szCs w:val="21"/>
              </w:rPr>
            </w:pPr>
            <w:r>
              <w:rPr>
                <w:rFonts w:ascii="宋体" w:hAnsi="宋体" w:cs="宋体"/>
                <w:color w:val="000000"/>
                <w:sz w:val="21"/>
                <w:szCs w:val="21"/>
              </w:rPr>
              <w:t>12</w:t>
            </w:r>
          </w:p>
        </w:tc>
        <w:tc>
          <w:tcPr>
            <w:tcW w:w="384" w:type="pct"/>
            <w:tcBorders>
              <w:top w:val="single" w:color="auto" w:sz="4" w:space="0"/>
              <w:left w:val="nil"/>
              <w:bottom w:val="single" w:color="auto" w:sz="4" w:space="0"/>
              <w:right w:val="single" w:color="auto" w:sz="4" w:space="0"/>
            </w:tcBorders>
            <w:noWrap/>
            <w:vAlign w:val="center"/>
          </w:tcPr>
          <w:p>
            <w:pPr>
              <w:rPr>
                <w:rFonts w:ascii="宋体" w:hAnsi="宋体" w:cs="宋体"/>
                <w:color w:val="000000"/>
                <w:sz w:val="21"/>
                <w:szCs w:val="21"/>
              </w:rPr>
            </w:pPr>
            <w:r>
              <w:rPr>
                <w:rFonts w:hint="eastAsia" w:ascii="宋体" w:hAnsi="宋体" w:cs="宋体"/>
                <w:color w:val="000000"/>
                <w:sz w:val="21"/>
                <w:szCs w:val="21"/>
              </w:rPr>
              <w:t>温州国际未来科技岛</w:t>
            </w:r>
          </w:p>
        </w:tc>
        <w:tc>
          <w:tcPr>
            <w:tcW w:w="1363" w:type="pct"/>
            <w:tcBorders>
              <w:top w:val="single" w:color="auto" w:sz="4" w:space="0"/>
              <w:left w:val="nil"/>
              <w:bottom w:val="single" w:color="auto" w:sz="4" w:space="0"/>
              <w:right w:val="single" w:color="auto" w:sz="4" w:space="0"/>
            </w:tcBorders>
            <w:noWrap/>
            <w:vAlign w:val="center"/>
          </w:tcPr>
          <w:p>
            <w:pPr>
              <w:rPr>
                <w:rFonts w:ascii="宋体" w:hAnsi="宋体" w:cs="宋体"/>
                <w:color w:val="000000"/>
                <w:sz w:val="21"/>
                <w:szCs w:val="21"/>
              </w:rPr>
            </w:pPr>
            <w:r>
              <w:rPr>
                <w:rFonts w:hint="eastAsia" w:ascii="宋体" w:hAnsi="宋体" w:cs="宋体"/>
                <w:color w:val="000000"/>
                <w:sz w:val="21"/>
                <w:szCs w:val="21"/>
              </w:rPr>
              <w:t>规划面积</w:t>
            </w:r>
            <w:r>
              <w:rPr>
                <w:rFonts w:ascii="宋体" w:hAnsi="宋体" w:cs="宋体"/>
                <w:color w:val="000000"/>
                <w:sz w:val="21"/>
                <w:szCs w:val="21"/>
              </w:rPr>
              <w:t>12.7平方公里。启动区面积117亩，即温州国际智能制造产业化服务中心。</w:t>
            </w:r>
          </w:p>
        </w:tc>
        <w:tc>
          <w:tcPr>
            <w:tcW w:w="1529" w:type="pct"/>
            <w:tcBorders>
              <w:top w:val="single" w:color="auto" w:sz="4" w:space="0"/>
              <w:left w:val="nil"/>
              <w:bottom w:val="single" w:color="auto" w:sz="4" w:space="0"/>
              <w:right w:val="single" w:color="auto" w:sz="4" w:space="0"/>
            </w:tcBorders>
            <w:noWrap/>
            <w:vAlign w:val="center"/>
          </w:tcPr>
          <w:p>
            <w:pPr>
              <w:rPr>
                <w:rFonts w:ascii="宋体" w:hAnsi="宋体" w:cs="宋体"/>
                <w:color w:val="000000"/>
                <w:sz w:val="21"/>
                <w:szCs w:val="21"/>
              </w:rPr>
            </w:pPr>
            <w:r>
              <w:rPr>
                <w:rFonts w:hint="eastAsia" w:ascii="宋体" w:hAnsi="宋体" w:cs="宋体"/>
                <w:color w:val="000000"/>
                <w:sz w:val="21"/>
                <w:szCs w:val="21"/>
              </w:rPr>
              <w:t>加快推进启动区建设，建设长三角科技企业总部园、温州国际科技金融中心。充分发挥高校资源优势，建设瓯越院士之家，引进高端前沿产业，落地高层次人才团队，打造科技创新高地，形成区域性金融总部中心。</w:t>
            </w:r>
          </w:p>
        </w:tc>
        <w:tc>
          <w:tcPr>
            <w:tcW w:w="1478" w:type="pct"/>
            <w:tcBorders>
              <w:top w:val="single" w:color="auto" w:sz="4" w:space="0"/>
              <w:left w:val="nil"/>
              <w:bottom w:val="single" w:color="auto" w:sz="4" w:space="0"/>
              <w:right w:val="single" w:color="auto" w:sz="4" w:space="0"/>
            </w:tcBorders>
            <w:noWrap/>
            <w:vAlign w:val="center"/>
          </w:tcPr>
          <w:p>
            <w:pPr>
              <w:rPr>
                <w:rFonts w:ascii="宋体" w:hAnsi="宋体" w:cs="宋体"/>
                <w:color w:val="000000"/>
                <w:sz w:val="21"/>
                <w:szCs w:val="21"/>
              </w:rPr>
            </w:pPr>
            <w:r>
              <w:rPr>
                <w:rFonts w:hint="eastAsia" w:ascii="宋体" w:hAnsi="宋体" w:cs="宋体"/>
                <w:color w:val="000000"/>
                <w:sz w:val="21"/>
                <w:szCs w:val="21"/>
              </w:rPr>
              <w:t>到</w:t>
            </w:r>
            <w:r>
              <w:rPr>
                <w:rFonts w:ascii="宋体" w:hAnsi="宋体" w:cs="宋体"/>
                <w:color w:val="000000"/>
                <w:sz w:val="21"/>
                <w:szCs w:val="21"/>
              </w:rPr>
              <w:t>2025年，</w:t>
            </w:r>
            <w:r>
              <w:rPr>
                <w:rFonts w:hint="eastAsia" w:ascii="宋体" w:hAnsi="宋体" w:cs="宋体"/>
                <w:color w:val="000000"/>
                <w:sz w:val="21"/>
                <w:szCs w:val="21"/>
              </w:rPr>
              <w:t>引进</w:t>
            </w:r>
            <w:r>
              <w:rPr>
                <w:rFonts w:ascii="宋体" w:hAnsi="宋体" w:cs="宋体"/>
                <w:color w:val="000000"/>
                <w:sz w:val="21"/>
                <w:szCs w:val="21"/>
              </w:rPr>
              <w:t>5个以上院士产业化项目和500家以上企业落户，引进培育规上数字经济核心产业企业40家，引进培育产值超亿元总部项目10个。</w:t>
            </w:r>
          </w:p>
        </w:tc>
      </w:tr>
    </w:tbl>
    <w:p>
      <w:pPr>
        <w:pStyle w:val="5"/>
        <w:spacing w:line="480" w:lineRule="exact"/>
        <w:ind w:firstLine="0" w:firstLineChars="0"/>
        <w:rPr>
          <w:rFonts w:hint="eastAsia"/>
        </w:rPr>
      </w:pPr>
    </w:p>
    <w:p>
      <w:pPr>
        <w:pStyle w:val="5"/>
        <w:spacing w:line="480" w:lineRule="exact"/>
        <w:ind w:firstLine="0" w:firstLineChars="0"/>
        <w:rPr>
          <w:rFonts w:hint="eastAsia"/>
        </w:rPr>
      </w:pPr>
    </w:p>
    <w:p>
      <w:pPr>
        <w:pStyle w:val="5"/>
        <w:spacing w:line="480" w:lineRule="exact"/>
        <w:ind w:firstLine="0" w:firstLineChars="0"/>
        <w:rPr>
          <w:rFonts w:hint="eastAsia"/>
        </w:rPr>
      </w:pPr>
    </w:p>
    <w:p>
      <w:pPr>
        <w:rPr>
          <w:rFonts w:hint="eastAsia"/>
        </w:rPr>
      </w:pPr>
    </w:p>
    <w:p>
      <w:pPr>
        <w:pStyle w:val="2"/>
        <w:rPr>
          <w:rFonts w:hint="eastAsia"/>
        </w:rPr>
      </w:pPr>
    </w:p>
    <w:p>
      <w:pPr>
        <w:pStyle w:val="5"/>
        <w:spacing w:after="0" w:afterLines="0" w:line="480" w:lineRule="exact"/>
        <w:ind w:firstLine="0" w:firstLineChars="0"/>
      </w:pPr>
      <w:r>
        <w:rPr>
          <w:rFonts w:hint="eastAsia"/>
        </w:rPr>
        <w:t>附件2</w:t>
      </w:r>
    </w:p>
    <w:p>
      <w:pPr>
        <w:pStyle w:val="5"/>
        <w:spacing w:after="0" w:afterLines="0" w:line="480" w:lineRule="exact"/>
        <w:ind w:firstLine="0" w:firstLineChars="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重大项目</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539"/>
        <w:gridCol w:w="987"/>
        <w:gridCol w:w="989"/>
        <w:gridCol w:w="1148"/>
        <w:gridCol w:w="4918"/>
        <w:gridCol w:w="1131"/>
        <w:gridCol w:w="1359"/>
        <w:gridCol w:w="1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25" w:type="pct"/>
            <w:tcBorders>
              <w:tl2br w:val="nil"/>
              <w:tr2bl w:val="nil"/>
            </w:tcBorders>
            <w:noWrap/>
            <w:vAlign w:val="center"/>
          </w:tcPr>
          <w:p>
            <w:pPr>
              <w:jc w:val="center"/>
              <w:rPr>
                <w:rFonts w:ascii="黑体" w:hAnsi="黑体" w:eastAsia="黑体" w:cs="黑体"/>
                <w:color w:val="000000"/>
                <w:sz w:val="21"/>
                <w:szCs w:val="21"/>
              </w:rPr>
            </w:pPr>
            <w:r>
              <w:rPr>
                <w:rFonts w:hint="eastAsia" w:ascii="黑体" w:hAnsi="黑体" w:eastAsia="黑体" w:cs="黑体"/>
                <w:color w:val="000000"/>
                <w:sz w:val="21"/>
                <w:szCs w:val="21"/>
              </w:rPr>
              <w:t>序号</w:t>
            </w:r>
          </w:p>
        </w:tc>
        <w:tc>
          <w:tcPr>
            <w:tcW w:w="542" w:type="pct"/>
            <w:tcBorders>
              <w:tl2br w:val="nil"/>
              <w:tr2bl w:val="nil"/>
            </w:tcBorders>
            <w:noWrap/>
            <w:vAlign w:val="center"/>
          </w:tcPr>
          <w:p>
            <w:pPr>
              <w:jc w:val="center"/>
              <w:rPr>
                <w:rFonts w:ascii="黑体" w:hAnsi="黑体" w:eastAsia="黑体" w:cs="黑体"/>
                <w:color w:val="000000"/>
                <w:sz w:val="21"/>
                <w:szCs w:val="21"/>
              </w:rPr>
            </w:pPr>
            <w:r>
              <w:rPr>
                <w:rFonts w:hint="eastAsia" w:ascii="黑体" w:hAnsi="黑体" w:eastAsia="黑体" w:cs="黑体"/>
                <w:color w:val="000000"/>
                <w:sz w:val="21"/>
                <w:szCs w:val="21"/>
              </w:rPr>
              <w:t>项目名称</w:t>
            </w:r>
          </w:p>
        </w:tc>
        <w:tc>
          <w:tcPr>
            <w:tcW w:w="348" w:type="pct"/>
            <w:tcBorders>
              <w:tl2br w:val="nil"/>
              <w:tr2bl w:val="nil"/>
            </w:tcBorders>
            <w:noWrap/>
            <w:vAlign w:val="center"/>
          </w:tcPr>
          <w:p>
            <w:pPr>
              <w:jc w:val="center"/>
              <w:rPr>
                <w:rFonts w:ascii="黑体" w:hAnsi="黑体" w:eastAsia="黑体" w:cs="黑体"/>
                <w:color w:val="000000"/>
                <w:sz w:val="21"/>
                <w:szCs w:val="21"/>
              </w:rPr>
            </w:pPr>
            <w:r>
              <w:rPr>
                <w:rFonts w:hint="eastAsia" w:ascii="黑体" w:hAnsi="黑体" w:eastAsia="黑体" w:cs="黑体"/>
                <w:color w:val="000000"/>
                <w:sz w:val="21"/>
                <w:szCs w:val="21"/>
              </w:rPr>
              <w:t>项目</w:t>
            </w:r>
          </w:p>
          <w:p>
            <w:pPr>
              <w:jc w:val="center"/>
              <w:rPr>
                <w:rFonts w:ascii="黑体" w:hAnsi="黑体" w:eastAsia="黑体" w:cs="黑体"/>
                <w:color w:val="000000"/>
                <w:sz w:val="21"/>
                <w:szCs w:val="21"/>
              </w:rPr>
            </w:pPr>
            <w:r>
              <w:rPr>
                <w:rFonts w:hint="eastAsia" w:ascii="黑体" w:hAnsi="黑体" w:eastAsia="黑体" w:cs="黑体"/>
                <w:color w:val="000000"/>
                <w:sz w:val="21"/>
                <w:szCs w:val="21"/>
              </w:rPr>
              <w:t>类型</w:t>
            </w:r>
          </w:p>
        </w:tc>
        <w:tc>
          <w:tcPr>
            <w:tcW w:w="348" w:type="pct"/>
            <w:tcBorders>
              <w:tl2br w:val="nil"/>
              <w:tr2bl w:val="nil"/>
            </w:tcBorders>
            <w:noWrap/>
            <w:vAlign w:val="center"/>
          </w:tcPr>
          <w:p>
            <w:pPr>
              <w:jc w:val="center"/>
              <w:rPr>
                <w:rFonts w:ascii="黑体" w:hAnsi="黑体" w:eastAsia="黑体" w:cs="黑体"/>
                <w:color w:val="000000"/>
                <w:sz w:val="21"/>
                <w:szCs w:val="21"/>
              </w:rPr>
            </w:pPr>
            <w:r>
              <w:rPr>
                <w:rFonts w:hint="eastAsia" w:ascii="黑体" w:hAnsi="黑体" w:eastAsia="黑体" w:cs="黑体"/>
                <w:color w:val="000000"/>
                <w:sz w:val="21"/>
                <w:szCs w:val="21"/>
              </w:rPr>
              <w:t>项目</w:t>
            </w:r>
          </w:p>
          <w:p>
            <w:pPr>
              <w:jc w:val="center"/>
              <w:rPr>
                <w:rFonts w:ascii="黑体" w:hAnsi="黑体" w:eastAsia="黑体" w:cs="黑体"/>
                <w:color w:val="000000"/>
                <w:sz w:val="21"/>
                <w:szCs w:val="21"/>
              </w:rPr>
            </w:pPr>
            <w:r>
              <w:rPr>
                <w:rFonts w:hint="eastAsia" w:ascii="黑体" w:hAnsi="黑体" w:eastAsia="黑体" w:cs="黑体"/>
                <w:color w:val="000000"/>
                <w:sz w:val="21"/>
                <w:szCs w:val="21"/>
              </w:rPr>
              <w:t>期限</w:t>
            </w:r>
          </w:p>
        </w:tc>
        <w:tc>
          <w:tcPr>
            <w:tcW w:w="404" w:type="pct"/>
            <w:tcBorders>
              <w:tl2br w:val="nil"/>
              <w:tr2bl w:val="nil"/>
            </w:tcBorders>
            <w:noWrap/>
            <w:vAlign w:val="center"/>
          </w:tcPr>
          <w:p>
            <w:pPr>
              <w:jc w:val="center"/>
              <w:rPr>
                <w:rFonts w:ascii="黑体" w:hAnsi="黑体" w:eastAsia="黑体" w:cs="黑体"/>
                <w:color w:val="000000"/>
                <w:sz w:val="21"/>
                <w:szCs w:val="21"/>
              </w:rPr>
            </w:pPr>
            <w:r>
              <w:rPr>
                <w:rFonts w:hint="eastAsia" w:ascii="黑体" w:hAnsi="黑体" w:eastAsia="黑体" w:cs="黑体"/>
                <w:color w:val="000000"/>
                <w:sz w:val="21"/>
                <w:szCs w:val="21"/>
              </w:rPr>
              <w:t>建设</w:t>
            </w:r>
          </w:p>
          <w:p>
            <w:pPr>
              <w:jc w:val="center"/>
              <w:rPr>
                <w:rFonts w:ascii="黑体" w:hAnsi="黑体" w:eastAsia="黑体" w:cs="黑体"/>
                <w:color w:val="000000"/>
                <w:sz w:val="21"/>
                <w:szCs w:val="21"/>
              </w:rPr>
            </w:pPr>
            <w:r>
              <w:rPr>
                <w:rFonts w:hint="eastAsia" w:ascii="黑体" w:hAnsi="黑体" w:eastAsia="黑体" w:cs="黑体"/>
                <w:color w:val="000000"/>
                <w:sz w:val="21"/>
                <w:szCs w:val="21"/>
              </w:rPr>
              <w:t>地点</w:t>
            </w:r>
          </w:p>
        </w:tc>
        <w:tc>
          <w:tcPr>
            <w:tcW w:w="1734" w:type="pct"/>
            <w:tcBorders>
              <w:tl2br w:val="nil"/>
              <w:tr2bl w:val="nil"/>
            </w:tcBorders>
            <w:noWrap/>
            <w:vAlign w:val="center"/>
          </w:tcPr>
          <w:p>
            <w:pPr>
              <w:jc w:val="center"/>
              <w:rPr>
                <w:rFonts w:ascii="黑体" w:hAnsi="黑体" w:eastAsia="黑体" w:cs="黑体"/>
                <w:color w:val="000000"/>
                <w:sz w:val="21"/>
                <w:szCs w:val="21"/>
              </w:rPr>
            </w:pPr>
            <w:r>
              <w:rPr>
                <w:rFonts w:hint="eastAsia" w:ascii="黑体" w:hAnsi="黑体" w:eastAsia="黑体" w:cs="黑体"/>
                <w:color w:val="000000"/>
                <w:sz w:val="21"/>
                <w:szCs w:val="21"/>
              </w:rPr>
              <w:t>建设内容和规模</w:t>
            </w:r>
          </w:p>
        </w:tc>
        <w:tc>
          <w:tcPr>
            <w:tcW w:w="398" w:type="pct"/>
            <w:tcBorders>
              <w:tl2br w:val="nil"/>
              <w:tr2bl w:val="nil"/>
            </w:tcBorders>
            <w:noWrap/>
            <w:vAlign w:val="center"/>
          </w:tcPr>
          <w:p>
            <w:pPr>
              <w:jc w:val="center"/>
              <w:rPr>
                <w:rFonts w:ascii="黑体" w:hAnsi="黑体" w:eastAsia="黑体" w:cs="黑体"/>
                <w:color w:val="000000"/>
                <w:sz w:val="21"/>
                <w:szCs w:val="21"/>
              </w:rPr>
            </w:pPr>
            <w:r>
              <w:rPr>
                <w:rFonts w:hint="eastAsia" w:ascii="黑体" w:hAnsi="黑体" w:eastAsia="黑体" w:cs="黑体"/>
                <w:color w:val="000000"/>
                <w:sz w:val="21"/>
                <w:szCs w:val="21"/>
              </w:rPr>
              <w:t>总投资</w:t>
            </w:r>
          </w:p>
          <w:p>
            <w:pPr>
              <w:jc w:val="center"/>
              <w:rPr>
                <w:rFonts w:ascii="黑体" w:hAnsi="黑体" w:eastAsia="黑体" w:cs="黑体"/>
                <w:color w:val="000000"/>
                <w:sz w:val="21"/>
                <w:szCs w:val="21"/>
              </w:rPr>
            </w:pPr>
            <w:r>
              <w:rPr>
                <w:rFonts w:hint="eastAsia" w:ascii="黑体" w:hAnsi="黑体" w:eastAsia="黑体" w:cs="黑体"/>
                <w:color w:val="000000"/>
                <w:sz w:val="21"/>
                <w:szCs w:val="21"/>
              </w:rPr>
              <w:t>（万元）</w:t>
            </w:r>
          </w:p>
        </w:tc>
        <w:tc>
          <w:tcPr>
            <w:tcW w:w="479" w:type="pct"/>
            <w:tcBorders>
              <w:tl2br w:val="nil"/>
              <w:tr2bl w:val="nil"/>
            </w:tcBorders>
            <w:noWrap/>
            <w:vAlign w:val="center"/>
          </w:tcPr>
          <w:p>
            <w:pPr>
              <w:jc w:val="center"/>
              <w:rPr>
                <w:rFonts w:ascii="黑体" w:hAnsi="黑体" w:eastAsia="黑体" w:cs="黑体"/>
                <w:color w:val="000000"/>
                <w:sz w:val="21"/>
                <w:szCs w:val="21"/>
              </w:rPr>
            </w:pPr>
            <w:r>
              <w:rPr>
                <w:rFonts w:hint="eastAsia" w:ascii="黑体" w:hAnsi="黑体" w:eastAsia="黑体" w:cs="黑体"/>
                <w:color w:val="000000"/>
                <w:sz w:val="21"/>
                <w:szCs w:val="21"/>
              </w:rPr>
              <w:t>“十四五”计划投资（万元）</w:t>
            </w:r>
          </w:p>
        </w:tc>
        <w:tc>
          <w:tcPr>
            <w:tcW w:w="516" w:type="pct"/>
            <w:tcBorders>
              <w:tl2br w:val="nil"/>
              <w:tr2bl w:val="nil"/>
            </w:tcBorders>
            <w:noWrap/>
            <w:vAlign w:val="center"/>
          </w:tcPr>
          <w:p>
            <w:pPr>
              <w:jc w:val="center"/>
              <w:rPr>
                <w:rFonts w:ascii="黑体" w:hAnsi="黑体" w:eastAsia="黑体" w:cs="黑体"/>
                <w:color w:val="000000"/>
                <w:sz w:val="21"/>
                <w:szCs w:val="21"/>
              </w:rPr>
            </w:pPr>
            <w:r>
              <w:rPr>
                <w:rFonts w:hint="eastAsia" w:ascii="黑体" w:hAnsi="黑体" w:eastAsia="黑体" w:cs="黑体"/>
                <w:color w:val="000000"/>
                <w:sz w:val="21"/>
                <w:szCs w:val="21"/>
              </w:rPr>
              <w:t>建设单位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225" w:type="pct"/>
            <w:tcBorders>
              <w:tl2br w:val="nil"/>
              <w:tr2bl w:val="nil"/>
            </w:tcBorders>
            <w:noWrap/>
            <w:vAlign w:val="center"/>
          </w:tcPr>
          <w:p>
            <w:pPr>
              <w:jc w:val="center"/>
              <w:rPr>
                <w:rFonts w:ascii="宋体" w:hAnsi="宋体" w:cs="宋体"/>
                <w:sz w:val="21"/>
                <w:szCs w:val="21"/>
              </w:rPr>
            </w:pPr>
            <w:r>
              <w:rPr>
                <w:rFonts w:ascii="宋体" w:hAnsi="宋体" w:eastAsia="宋体" w:cs="宋体"/>
                <w:sz w:val="21"/>
                <w:szCs w:val="21"/>
              </w:rPr>
              <w:t>1</w:t>
            </w:r>
          </w:p>
        </w:tc>
        <w:tc>
          <w:tcPr>
            <w:tcW w:w="542" w:type="pct"/>
            <w:tcBorders>
              <w:tl2br w:val="nil"/>
              <w:tr2bl w:val="nil"/>
            </w:tcBorders>
            <w:noWrap/>
            <w:vAlign w:val="center"/>
          </w:tcPr>
          <w:p>
            <w:pPr>
              <w:jc w:val="left"/>
              <w:rPr>
                <w:rFonts w:ascii="宋体" w:hAnsi="宋体" w:cs="宋体"/>
                <w:sz w:val="21"/>
                <w:szCs w:val="21"/>
              </w:rPr>
            </w:pPr>
            <w:r>
              <w:rPr>
                <w:rFonts w:hint="eastAsia" w:ascii="宋体" w:hAnsi="宋体" w:eastAsia="宋体" w:cs="宋体"/>
                <w:sz w:val="21"/>
                <w:szCs w:val="21"/>
              </w:rPr>
              <w:t>龙湾国际云软件生态谷项目</w:t>
            </w:r>
          </w:p>
        </w:tc>
        <w:tc>
          <w:tcPr>
            <w:tcW w:w="348" w:type="pct"/>
            <w:tcBorders>
              <w:tl2br w:val="nil"/>
              <w:tr2bl w:val="nil"/>
            </w:tcBorders>
            <w:noWrap/>
            <w:vAlign w:val="center"/>
          </w:tcPr>
          <w:p>
            <w:pPr>
              <w:widowControl/>
              <w:jc w:val="center"/>
              <w:rPr>
                <w:rFonts w:hint="eastAsia" w:ascii="宋体" w:hAnsi="宋体" w:cs="宋体"/>
                <w:sz w:val="21"/>
                <w:szCs w:val="21"/>
              </w:rPr>
            </w:pPr>
            <w:r>
              <w:rPr>
                <w:rFonts w:hint="eastAsia" w:ascii="宋体" w:hAnsi="宋体" w:cs="宋体"/>
                <w:sz w:val="21"/>
                <w:szCs w:val="21"/>
              </w:rPr>
              <w:t>新建</w:t>
            </w:r>
          </w:p>
        </w:tc>
        <w:tc>
          <w:tcPr>
            <w:tcW w:w="348" w:type="pct"/>
            <w:tcBorders>
              <w:tl2br w:val="nil"/>
              <w:tr2bl w:val="nil"/>
            </w:tcBorders>
            <w:noWrap/>
            <w:vAlign w:val="center"/>
          </w:tcPr>
          <w:p>
            <w:pPr>
              <w:rPr>
                <w:rFonts w:ascii="宋体" w:hAnsi="宋体" w:cs="宋体"/>
                <w:sz w:val="21"/>
                <w:szCs w:val="21"/>
              </w:rPr>
            </w:pPr>
            <w:r>
              <w:rPr>
                <w:rFonts w:ascii="宋体" w:hAnsi="宋体" w:eastAsia="宋体" w:cs="宋体"/>
                <w:sz w:val="21"/>
                <w:szCs w:val="21"/>
              </w:rPr>
              <w:t>2021年—2027年</w:t>
            </w:r>
          </w:p>
        </w:tc>
        <w:tc>
          <w:tcPr>
            <w:tcW w:w="404" w:type="pct"/>
            <w:tcBorders>
              <w:tl2br w:val="nil"/>
              <w:tr2bl w:val="nil"/>
            </w:tcBorders>
            <w:noWrap/>
            <w:vAlign w:val="center"/>
          </w:tcPr>
          <w:p>
            <w:pPr>
              <w:jc w:val="center"/>
              <w:rPr>
                <w:rFonts w:ascii="宋体" w:hAnsi="宋体" w:cs="宋体"/>
                <w:sz w:val="21"/>
                <w:szCs w:val="21"/>
              </w:rPr>
            </w:pPr>
            <w:r>
              <w:rPr>
                <w:rFonts w:hint="eastAsia" w:ascii="宋体" w:hAnsi="宋体" w:eastAsia="宋体" w:cs="宋体"/>
                <w:sz w:val="21"/>
                <w:szCs w:val="21"/>
              </w:rPr>
              <w:t>龙湾区</w:t>
            </w:r>
          </w:p>
        </w:tc>
        <w:tc>
          <w:tcPr>
            <w:tcW w:w="1734" w:type="pct"/>
            <w:tcBorders>
              <w:tl2br w:val="nil"/>
              <w:tr2bl w:val="nil"/>
            </w:tcBorders>
            <w:noWrap/>
            <w:vAlign w:val="center"/>
          </w:tcPr>
          <w:p>
            <w:pPr>
              <w:jc w:val="left"/>
              <w:rPr>
                <w:rFonts w:ascii="宋体" w:hAnsi="宋体" w:cs="宋体"/>
                <w:sz w:val="21"/>
                <w:szCs w:val="21"/>
              </w:rPr>
            </w:pPr>
            <w:r>
              <w:rPr>
                <w:rFonts w:hint="eastAsia" w:ascii="宋体" w:hAnsi="宋体" w:eastAsia="宋体" w:cs="宋体"/>
                <w:sz w:val="21"/>
                <w:szCs w:val="21"/>
              </w:rPr>
              <w:t>项目总用地面积约</w:t>
            </w:r>
            <w:r>
              <w:rPr>
                <w:rFonts w:ascii="宋体" w:hAnsi="宋体" w:eastAsia="宋体" w:cs="宋体"/>
                <w:sz w:val="21"/>
                <w:szCs w:val="21"/>
              </w:rPr>
              <w:t>500</w:t>
            </w:r>
            <w:r>
              <w:rPr>
                <w:rFonts w:hint="eastAsia" w:ascii="宋体" w:hAnsi="宋体" w:eastAsia="宋体" w:cs="宋体"/>
                <w:sz w:val="21"/>
                <w:szCs w:val="21"/>
              </w:rPr>
              <w:t>亩，其中一期国际软件云测研发总部拟选址状元北单元，用地面积约</w:t>
            </w:r>
            <w:r>
              <w:rPr>
                <w:rFonts w:ascii="宋体" w:hAnsi="宋体" w:eastAsia="宋体" w:cs="宋体"/>
                <w:sz w:val="21"/>
                <w:szCs w:val="21"/>
              </w:rPr>
              <w:t>92</w:t>
            </w:r>
            <w:r>
              <w:rPr>
                <w:rFonts w:hint="eastAsia" w:ascii="宋体" w:hAnsi="宋体" w:eastAsia="宋体" w:cs="宋体"/>
                <w:sz w:val="21"/>
                <w:szCs w:val="21"/>
              </w:rPr>
              <w:t>亩，总建筑面积约</w:t>
            </w:r>
            <w:r>
              <w:rPr>
                <w:rFonts w:ascii="宋体" w:hAnsi="宋体" w:eastAsia="宋体" w:cs="宋体"/>
                <w:sz w:val="21"/>
                <w:szCs w:val="21"/>
              </w:rPr>
              <w:t>21.3</w:t>
            </w:r>
            <w:r>
              <w:rPr>
                <w:rFonts w:hint="eastAsia" w:ascii="宋体" w:hAnsi="宋体" w:eastAsia="宋体" w:cs="宋体"/>
                <w:sz w:val="21"/>
                <w:szCs w:val="21"/>
              </w:rPr>
              <w:t>万平方米，二期开发建设国际软件云测中心项目。</w:t>
            </w:r>
          </w:p>
        </w:tc>
        <w:tc>
          <w:tcPr>
            <w:tcW w:w="398" w:type="pct"/>
            <w:tcBorders>
              <w:tl2br w:val="nil"/>
              <w:tr2bl w:val="nil"/>
            </w:tcBorders>
            <w:noWrap/>
            <w:vAlign w:val="center"/>
          </w:tcPr>
          <w:p>
            <w:pPr>
              <w:jc w:val="center"/>
              <w:rPr>
                <w:rFonts w:ascii="宋体" w:hAnsi="宋体" w:cs="宋体"/>
                <w:sz w:val="21"/>
                <w:szCs w:val="21"/>
              </w:rPr>
            </w:pPr>
            <w:r>
              <w:rPr>
                <w:rFonts w:ascii="宋体" w:hAnsi="宋体" w:eastAsia="宋体" w:cs="宋体"/>
                <w:sz w:val="21"/>
                <w:szCs w:val="21"/>
              </w:rPr>
              <w:t>10</w:t>
            </w:r>
            <w:r>
              <w:rPr>
                <w:rFonts w:hint="eastAsia" w:ascii="宋体" w:hAnsi="宋体" w:cs="宋体"/>
                <w:sz w:val="21"/>
                <w:szCs w:val="21"/>
                <w:lang w:val="en-US" w:eastAsia="zh-CN"/>
              </w:rPr>
              <w:t>0</w:t>
            </w:r>
            <w:r>
              <w:rPr>
                <w:rFonts w:ascii="宋体" w:hAnsi="宋体" w:eastAsia="宋体" w:cs="宋体"/>
                <w:sz w:val="21"/>
                <w:szCs w:val="21"/>
              </w:rPr>
              <w:t>0000</w:t>
            </w:r>
          </w:p>
        </w:tc>
        <w:tc>
          <w:tcPr>
            <w:tcW w:w="479" w:type="pct"/>
            <w:tcBorders>
              <w:tl2br w:val="nil"/>
              <w:tr2bl w:val="nil"/>
            </w:tcBorders>
            <w:noWrap/>
            <w:vAlign w:val="center"/>
          </w:tcPr>
          <w:p>
            <w:pPr>
              <w:jc w:val="center"/>
              <w:rPr>
                <w:rFonts w:ascii="宋体" w:hAnsi="宋体" w:cs="宋体"/>
                <w:sz w:val="21"/>
                <w:szCs w:val="21"/>
              </w:rPr>
            </w:pPr>
            <w:r>
              <w:rPr>
                <w:rFonts w:hint="eastAsia" w:ascii="宋体" w:hAnsi="宋体" w:cs="宋体"/>
                <w:sz w:val="21"/>
                <w:szCs w:val="21"/>
                <w:lang w:val="en-US" w:eastAsia="zh-CN"/>
              </w:rPr>
              <w:t>3</w:t>
            </w:r>
            <w:r>
              <w:rPr>
                <w:rFonts w:ascii="宋体" w:hAnsi="宋体" w:eastAsia="宋体" w:cs="宋体"/>
                <w:sz w:val="21"/>
                <w:szCs w:val="21"/>
              </w:rPr>
              <w:t>00000</w:t>
            </w:r>
          </w:p>
        </w:tc>
        <w:tc>
          <w:tcPr>
            <w:tcW w:w="516" w:type="pct"/>
            <w:tcBorders>
              <w:tl2br w:val="nil"/>
              <w:tr2bl w:val="nil"/>
            </w:tcBorders>
            <w:noWrap/>
            <w:vAlign w:val="center"/>
          </w:tcPr>
          <w:p>
            <w:pPr>
              <w:jc w:val="left"/>
              <w:rPr>
                <w:rFonts w:ascii="宋体" w:hAnsi="宋体" w:cs="宋体"/>
                <w:sz w:val="21"/>
                <w:szCs w:val="21"/>
              </w:rPr>
            </w:pPr>
            <w:r>
              <w:rPr>
                <w:rFonts w:hint="eastAsia" w:ascii="宋体" w:hAnsi="宋体" w:eastAsia="宋体" w:cs="宋体"/>
                <w:sz w:val="21"/>
                <w:szCs w:val="21"/>
              </w:rPr>
              <w:t>龙湾区政府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1" w:hRule="atLeast"/>
          <w:jc w:val="center"/>
        </w:trPr>
        <w:tc>
          <w:tcPr>
            <w:tcW w:w="225" w:type="pct"/>
            <w:tcBorders>
              <w:tl2br w:val="nil"/>
              <w:tr2bl w:val="nil"/>
            </w:tcBorders>
            <w:noWrap/>
            <w:vAlign w:val="center"/>
          </w:tcPr>
          <w:p>
            <w:pPr>
              <w:jc w:val="center"/>
              <w:rPr>
                <w:rFonts w:ascii="宋体" w:hAnsi="宋体" w:cs="宋体"/>
                <w:color w:val="000000"/>
                <w:sz w:val="21"/>
                <w:szCs w:val="21"/>
              </w:rPr>
            </w:pPr>
            <w:r>
              <w:rPr>
                <w:rFonts w:ascii="宋体" w:hAnsi="宋体" w:eastAsia="宋体" w:cs="宋体"/>
                <w:color w:val="000000"/>
                <w:sz w:val="21"/>
                <w:szCs w:val="21"/>
              </w:rPr>
              <w:t>2</w:t>
            </w:r>
          </w:p>
        </w:tc>
        <w:tc>
          <w:tcPr>
            <w:tcW w:w="542"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瓯江实验室</w:t>
            </w:r>
          </w:p>
        </w:tc>
        <w:tc>
          <w:tcPr>
            <w:tcW w:w="348" w:type="pct"/>
            <w:tcBorders>
              <w:tl2br w:val="nil"/>
              <w:tr2bl w:val="nil"/>
            </w:tcBorders>
            <w:noWrap/>
            <w:vAlign w:val="center"/>
          </w:tcPr>
          <w:p>
            <w:pPr>
              <w:widowControl/>
              <w:jc w:val="center"/>
              <w:rPr>
                <w:rFonts w:hint="eastAsia" w:ascii="宋体" w:hAnsi="宋体" w:cs="宋体"/>
                <w:sz w:val="21"/>
                <w:szCs w:val="21"/>
              </w:rPr>
            </w:pPr>
            <w:r>
              <w:rPr>
                <w:rFonts w:hint="eastAsia" w:ascii="宋体" w:hAnsi="宋体" w:cs="宋体"/>
                <w:sz w:val="21"/>
                <w:szCs w:val="21"/>
              </w:rPr>
              <w:t>新建</w:t>
            </w:r>
          </w:p>
        </w:tc>
        <w:tc>
          <w:tcPr>
            <w:tcW w:w="348" w:type="pct"/>
            <w:tcBorders>
              <w:tl2br w:val="nil"/>
              <w:tr2bl w:val="nil"/>
            </w:tcBorders>
            <w:noWrap/>
            <w:vAlign w:val="center"/>
          </w:tcPr>
          <w:p>
            <w:pPr>
              <w:rPr>
                <w:rFonts w:ascii="宋体" w:hAnsi="宋体" w:eastAsia="宋体" w:cs="宋体"/>
                <w:sz w:val="21"/>
                <w:szCs w:val="21"/>
              </w:rPr>
            </w:pPr>
            <w:r>
              <w:rPr>
                <w:rFonts w:ascii="宋体" w:hAnsi="宋体" w:eastAsia="宋体" w:cs="宋体"/>
                <w:sz w:val="21"/>
                <w:szCs w:val="21"/>
              </w:rPr>
              <w:t>2021年—2025年</w:t>
            </w:r>
          </w:p>
        </w:tc>
        <w:tc>
          <w:tcPr>
            <w:tcW w:w="404" w:type="pct"/>
            <w:tcBorders>
              <w:tl2br w:val="nil"/>
              <w:tr2bl w:val="nil"/>
            </w:tcBorders>
            <w:noWrap/>
            <w:vAlign w:val="center"/>
          </w:tcPr>
          <w:p>
            <w:pPr>
              <w:jc w:val="center"/>
              <w:rPr>
                <w:rFonts w:hint="eastAsia" w:ascii="宋体" w:hAnsi="宋体" w:eastAsia="宋体" w:cs="宋体"/>
                <w:sz w:val="21"/>
                <w:szCs w:val="21"/>
              </w:rPr>
            </w:pPr>
            <w:r>
              <w:rPr>
                <w:rFonts w:hint="eastAsia" w:ascii="宋体" w:hAnsi="宋体" w:eastAsia="宋体" w:cs="宋体"/>
                <w:sz w:val="21"/>
                <w:szCs w:val="21"/>
              </w:rPr>
              <w:t>龙湾区</w:t>
            </w:r>
          </w:p>
        </w:tc>
        <w:tc>
          <w:tcPr>
            <w:tcW w:w="1734"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安排2万平方米场地作为启动区。围绕再生调控与眼脑健康领域布局建设“三大集群（五大研究中心）两大平台”。打造该领域“国内第一、国际领先”的综合研究平台，力争成为国家实验室分部，成为创新资源汇聚、高端人才云集、科研成果溢出的温州创新“塔尖”“重器”，5年集聚国内外顶尖水平创新团队5个以上、高层次人才2000人以上。</w:t>
            </w:r>
          </w:p>
        </w:tc>
        <w:tc>
          <w:tcPr>
            <w:tcW w:w="398" w:type="pct"/>
            <w:tcBorders>
              <w:tl2br w:val="nil"/>
              <w:tr2bl w:val="nil"/>
            </w:tcBorders>
            <w:noWrap/>
            <w:vAlign w:val="center"/>
          </w:tcPr>
          <w:p>
            <w:pPr>
              <w:jc w:val="center"/>
              <w:rPr>
                <w:rFonts w:ascii="宋体" w:hAnsi="宋体" w:eastAsia="宋体" w:cs="宋体"/>
                <w:sz w:val="21"/>
                <w:szCs w:val="21"/>
              </w:rPr>
            </w:pPr>
            <w:r>
              <w:rPr>
                <w:rFonts w:ascii="宋体" w:hAnsi="宋体" w:eastAsia="宋体" w:cs="宋体"/>
                <w:sz w:val="21"/>
                <w:szCs w:val="21"/>
              </w:rPr>
              <w:t>680000</w:t>
            </w:r>
          </w:p>
        </w:tc>
        <w:tc>
          <w:tcPr>
            <w:tcW w:w="479" w:type="pct"/>
            <w:tcBorders>
              <w:tl2br w:val="nil"/>
              <w:tr2bl w:val="nil"/>
            </w:tcBorders>
            <w:noWrap/>
            <w:vAlign w:val="center"/>
          </w:tcPr>
          <w:p>
            <w:pPr>
              <w:jc w:val="center"/>
              <w:rPr>
                <w:rFonts w:ascii="宋体" w:hAnsi="宋体" w:eastAsia="宋体" w:cs="宋体"/>
                <w:sz w:val="21"/>
                <w:szCs w:val="21"/>
              </w:rPr>
            </w:pPr>
            <w:r>
              <w:rPr>
                <w:rFonts w:ascii="宋体" w:hAnsi="宋体" w:eastAsia="宋体" w:cs="宋体"/>
                <w:sz w:val="21"/>
                <w:szCs w:val="21"/>
              </w:rPr>
              <w:t>680000</w:t>
            </w:r>
          </w:p>
        </w:tc>
        <w:tc>
          <w:tcPr>
            <w:tcW w:w="516"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市政府、浙南科技城管委会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1" w:hRule="atLeast"/>
          <w:jc w:val="center"/>
        </w:trPr>
        <w:tc>
          <w:tcPr>
            <w:tcW w:w="225" w:type="pct"/>
            <w:tcBorders>
              <w:tl2br w:val="nil"/>
              <w:tr2bl w:val="nil"/>
            </w:tcBorders>
            <w:noWrap/>
            <w:vAlign w:val="center"/>
          </w:tcPr>
          <w:p>
            <w:pPr>
              <w:jc w:val="center"/>
              <w:rPr>
                <w:rFonts w:ascii="宋体" w:hAnsi="宋体" w:eastAsia="宋体" w:cs="宋体"/>
                <w:color w:val="000000"/>
                <w:sz w:val="21"/>
                <w:szCs w:val="21"/>
              </w:rPr>
            </w:pPr>
            <w:r>
              <w:rPr>
                <w:rFonts w:ascii="宋体" w:hAnsi="宋体" w:eastAsia="宋体" w:cs="宋体"/>
                <w:color w:val="000000"/>
                <w:sz w:val="21"/>
                <w:szCs w:val="21"/>
              </w:rPr>
              <w:t>3</w:t>
            </w:r>
          </w:p>
        </w:tc>
        <w:tc>
          <w:tcPr>
            <w:tcW w:w="542"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北斗产业基地</w:t>
            </w:r>
          </w:p>
        </w:tc>
        <w:tc>
          <w:tcPr>
            <w:tcW w:w="348" w:type="pct"/>
            <w:tcBorders>
              <w:tl2br w:val="nil"/>
              <w:tr2bl w:val="nil"/>
            </w:tcBorders>
            <w:noWrap/>
            <w:vAlign w:val="center"/>
          </w:tcPr>
          <w:p>
            <w:pPr>
              <w:widowControl/>
              <w:jc w:val="center"/>
              <w:rPr>
                <w:rFonts w:hint="eastAsia" w:ascii="宋体" w:hAnsi="宋体" w:cs="宋体"/>
                <w:sz w:val="21"/>
                <w:szCs w:val="21"/>
              </w:rPr>
            </w:pPr>
            <w:r>
              <w:rPr>
                <w:rFonts w:hint="eastAsia" w:ascii="宋体" w:hAnsi="宋体" w:cs="宋体"/>
                <w:sz w:val="21"/>
                <w:szCs w:val="21"/>
              </w:rPr>
              <w:t>新建</w:t>
            </w:r>
          </w:p>
        </w:tc>
        <w:tc>
          <w:tcPr>
            <w:tcW w:w="348" w:type="pct"/>
            <w:tcBorders>
              <w:tl2br w:val="nil"/>
              <w:tr2bl w:val="nil"/>
            </w:tcBorders>
            <w:noWrap/>
            <w:vAlign w:val="center"/>
          </w:tcPr>
          <w:p>
            <w:pPr>
              <w:rPr>
                <w:rFonts w:ascii="宋体" w:hAnsi="宋体" w:eastAsia="宋体" w:cs="宋体"/>
                <w:sz w:val="21"/>
                <w:szCs w:val="21"/>
              </w:rPr>
            </w:pPr>
            <w:r>
              <w:rPr>
                <w:rFonts w:ascii="宋体" w:hAnsi="宋体" w:eastAsia="宋体" w:cs="宋体"/>
                <w:sz w:val="21"/>
                <w:szCs w:val="21"/>
              </w:rPr>
              <w:t>2021年—2025年</w:t>
            </w:r>
          </w:p>
        </w:tc>
        <w:tc>
          <w:tcPr>
            <w:tcW w:w="404" w:type="pct"/>
            <w:tcBorders>
              <w:tl2br w:val="nil"/>
              <w:tr2bl w:val="nil"/>
            </w:tcBorders>
            <w:noWrap/>
            <w:vAlign w:val="center"/>
          </w:tcPr>
          <w:p>
            <w:pPr>
              <w:jc w:val="center"/>
              <w:rPr>
                <w:rFonts w:hint="eastAsia" w:ascii="宋体" w:hAnsi="宋体" w:eastAsia="宋体" w:cs="宋体"/>
                <w:sz w:val="21"/>
                <w:szCs w:val="21"/>
              </w:rPr>
            </w:pPr>
            <w:r>
              <w:rPr>
                <w:rFonts w:hint="eastAsia" w:ascii="宋体" w:hAnsi="宋体" w:eastAsia="宋体" w:cs="宋体"/>
                <w:sz w:val="21"/>
                <w:szCs w:val="21"/>
              </w:rPr>
              <w:t>龙湾区</w:t>
            </w:r>
          </w:p>
        </w:tc>
        <w:tc>
          <w:tcPr>
            <w:tcW w:w="1734"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北斗信息产业基地分一期创新中心和二期北斗信息产业示范园，计划建设周期5年。一期创新中心作为先行区，选址于双创新天地一期核心区2万平方米（轻资产运营）；二期北斗信息产业示范园作为拓展区，选址黄石山北单元55亩产业用地用于今后北斗产业扶持发展。</w:t>
            </w:r>
          </w:p>
        </w:tc>
        <w:tc>
          <w:tcPr>
            <w:tcW w:w="398" w:type="pct"/>
            <w:tcBorders>
              <w:tl2br w:val="nil"/>
              <w:tr2bl w:val="nil"/>
            </w:tcBorders>
            <w:noWrap/>
            <w:vAlign w:val="center"/>
          </w:tcPr>
          <w:p>
            <w:pPr>
              <w:jc w:val="center"/>
              <w:rPr>
                <w:rFonts w:ascii="宋体" w:hAnsi="宋体" w:eastAsia="宋体" w:cs="宋体"/>
                <w:sz w:val="21"/>
                <w:szCs w:val="21"/>
              </w:rPr>
            </w:pPr>
            <w:r>
              <w:rPr>
                <w:rFonts w:ascii="宋体" w:hAnsi="宋体" w:eastAsia="宋体" w:cs="宋体"/>
                <w:sz w:val="21"/>
                <w:szCs w:val="21"/>
              </w:rPr>
              <w:t>33000</w:t>
            </w:r>
          </w:p>
        </w:tc>
        <w:tc>
          <w:tcPr>
            <w:tcW w:w="479" w:type="pct"/>
            <w:tcBorders>
              <w:tl2br w:val="nil"/>
              <w:tr2bl w:val="nil"/>
            </w:tcBorders>
            <w:noWrap/>
            <w:vAlign w:val="center"/>
          </w:tcPr>
          <w:p>
            <w:pPr>
              <w:jc w:val="center"/>
              <w:rPr>
                <w:rFonts w:ascii="宋体" w:hAnsi="宋体" w:eastAsia="宋体" w:cs="宋体"/>
                <w:sz w:val="21"/>
                <w:szCs w:val="21"/>
              </w:rPr>
            </w:pPr>
            <w:r>
              <w:rPr>
                <w:rFonts w:ascii="宋体" w:hAnsi="宋体" w:eastAsia="宋体" w:cs="宋体"/>
                <w:sz w:val="21"/>
                <w:szCs w:val="21"/>
              </w:rPr>
              <w:t>33000</w:t>
            </w:r>
          </w:p>
        </w:tc>
        <w:tc>
          <w:tcPr>
            <w:tcW w:w="516"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浙南科技城管委会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6" w:hRule="atLeast"/>
          <w:jc w:val="center"/>
        </w:trPr>
        <w:tc>
          <w:tcPr>
            <w:tcW w:w="225" w:type="pct"/>
            <w:tcBorders>
              <w:tl2br w:val="nil"/>
              <w:tr2bl w:val="nil"/>
            </w:tcBorders>
            <w:noWrap/>
            <w:vAlign w:val="center"/>
          </w:tcPr>
          <w:p>
            <w:pPr>
              <w:jc w:val="center"/>
              <w:rPr>
                <w:rFonts w:ascii="宋体" w:hAnsi="宋体" w:eastAsia="宋体" w:cs="宋体"/>
                <w:color w:val="000000"/>
                <w:sz w:val="21"/>
                <w:szCs w:val="21"/>
                <w:highlight w:val="none"/>
              </w:rPr>
            </w:pPr>
            <w:r>
              <w:rPr>
                <w:rFonts w:ascii="宋体" w:hAnsi="宋体" w:eastAsia="宋体" w:cs="宋体"/>
                <w:color w:val="000000"/>
                <w:sz w:val="21"/>
                <w:szCs w:val="21"/>
                <w:highlight w:val="none"/>
              </w:rPr>
              <w:t>4</w:t>
            </w:r>
          </w:p>
        </w:tc>
        <w:tc>
          <w:tcPr>
            <w:tcW w:w="542" w:type="pct"/>
            <w:tcBorders>
              <w:tl2br w:val="nil"/>
              <w:tr2bl w:val="nil"/>
            </w:tcBorders>
            <w:noWrap/>
            <w:vAlign w:val="center"/>
          </w:tcPr>
          <w:p>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温州中科纳米创新城</w:t>
            </w:r>
          </w:p>
        </w:tc>
        <w:tc>
          <w:tcPr>
            <w:tcW w:w="348" w:type="pct"/>
            <w:tcBorders>
              <w:tl2br w:val="nil"/>
              <w:tr2bl w:val="nil"/>
            </w:tcBorders>
            <w:noWrap/>
            <w:vAlign w:val="center"/>
          </w:tcPr>
          <w:p>
            <w:pPr>
              <w:widowControl/>
              <w:jc w:val="center"/>
              <w:rPr>
                <w:rFonts w:hint="eastAsia" w:ascii="宋体" w:hAnsi="宋体" w:cs="宋体"/>
                <w:sz w:val="21"/>
                <w:szCs w:val="21"/>
              </w:rPr>
            </w:pPr>
            <w:r>
              <w:rPr>
                <w:rFonts w:hint="eastAsia" w:ascii="宋体" w:hAnsi="宋体" w:cs="宋体"/>
                <w:sz w:val="21"/>
                <w:szCs w:val="21"/>
              </w:rPr>
              <w:t>新建</w:t>
            </w:r>
          </w:p>
        </w:tc>
        <w:tc>
          <w:tcPr>
            <w:tcW w:w="348" w:type="pct"/>
            <w:tcBorders>
              <w:tl2br w:val="nil"/>
              <w:tr2bl w:val="nil"/>
            </w:tcBorders>
            <w:noWrap/>
            <w:vAlign w:val="center"/>
          </w:tcPr>
          <w:p>
            <w:pPr>
              <w:rPr>
                <w:rFonts w:ascii="宋体" w:hAnsi="宋体" w:eastAsia="宋体" w:cs="宋体"/>
                <w:sz w:val="21"/>
                <w:szCs w:val="21"/>
              </w:rPr>
            </w:pPr>
            <w:r>
              <w:rPr>
                <w:rFonts w:ascii="宋体" w:hAnsi="宋体" w:eastAsia="宋体" w:cs="宋体"/>
                <w:sz w:val="21"/>
                <w:szCs w:val="21"/>
              </w:rPr>
              <w:t>2021年—2025年</w:t>
            </w:r>
          </w:p>
        </w:tc>
        <w:tc>
          <w:tcPr>
            <w:tcW w:w="404" w:type="pct"/>
            <w:tcBorders>
              <w:tl2br w:val="nil"/>
              <w:tr2bl w:val="nil"/>
            </w:tcBorders>
            <w:noWrap/>
            <w:vAlign w:val="center"/>
          </w:tcPr>
          <w:p>
            <w:pPr>
              <w:jc w:val="center"/>
              <w:rPr>
                <w:rFonts w:hint="eastAsia" w:ascii="宋体" w:hAnsi="宋体" w:eastAsia="宋体" w:cs="宋体"/>
                <w:sz w:val="21"/>
                <w:szCs w:val="21"/>
              </w:rPr>
            </w:pPr>
            <w:r>
              <w:rPr>
                <w:rFonts w:hint="eastAsia" w:ascii="宋体" w:hAnsi="宋体" w:eastAsia="宋体" w:cs="宋体"/>
                <w:sz w:val="21"/>
                <w:szCs w:val="21"/>
              </w:rPr>
              <w:t>瓯海区</w:t>
            </w:r>
          </w:p>
        </w:tc>
        <w:tc>
          <w:tcPr>
            <w:tcW w:w="1734"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总用地面积约200亩，引进一批具备自主创新能力和科技研发实力的中科院产业化项目、中科系企业和产业链相关企业，打造人才、技术、产业、资本集聚的温州创谷。</w:t>
            </w:r>
          </w:p>
        </w:tc>
        <w:tc>
          <w:tcPr>
            <w:tcW w:w="398" w:type="pct"/>
            <w:tcBorders>
              <w:tl2br w:val="nil"/>
              <w:tr2bl w:val="nil"/>
            </w:tcBorders>
            <w:noWrap/>
            <w:vAlign w:val="center"/>
          </w:tcPr>
          <w:p>
            <w:pPr>
              <w:jc w:val="center"/>
              <w:rPr>
                <w:rFonts w:ascii="宋体" w:hAnsi="宋体" w:eastAsia="宋体" w:cs="宋体"/>
                <w:sz w:val="21"/>
                <w:szCs w:val="21"/>
              </w:rPr>
            </w:pPr>
            <w:r>
              <w:rPr>
                <w:rFonts w:ascii="宋体" w:hAnsi="宋体" w:eastAsia="宋体" w:cs="宋体"/>
                <w:sz w:val="21"/>
                <w:szCs w:val="21"/>
              </w:rPr>
              <w:t>300000</w:t>
            </w:r>
          </w:p>
        </w:tc>
        <w:tc>
          <w:tcPr>
            <w:tcW w:w="479" w:type="pct"/>
            <w:tcBorders>
              <w:tl2br w:val="nil"/>
              <w:tr2bl w:val="nil"/>
            </w:tcBorders>
            <w:noWrap/>
            <w:vAlign w:val="center"/>
          </w:tcPr>
          <w:p>
            <w:pPr>
              <w:jc w:val="center"/>
              <w:rPr>
                <w:rFonts w:ascii="宋体" w:hAnsi="宋体" w:eastAsia="宋体" w:cs="宋体"/>
                <w:sz w:val="21"/>
                <w:szCs w:val="21"/>
              </w:rPr>
            </w:pPr>
            <w:r>
              <w:rPr>
                <w:rFonts w:ascii="宋体" w:hAnsi="宋体" w:eastAsia="宋体" w:cs="宋体"/>
                <w:sz w:val="21"/>
                <w:szCs w:val="21"/>
              </w:rPr>
              <w:t>300000</w:t>
            </w:r>
          </w:p>
        </w:tc>
        <w:tc>
          <w:tcPr>
            <w:tcW w:w="516"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瓯海区政府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6" w:hRule="atLeast"/>
          <w:jc w:val="center"/>
        </w:trPr>
        <w:tc>
          <w:tcPr>
            <w:tcW w:w="225" w:type="pct"/>
            <w:tcBorders>
              <w:tl2br w:val="nil"/>
              <w:tr2bl w:val="nil"/>
            </w:tcBorders>
            <w:noWrap/>
            <w:vAlign w:val="center"/>
          </w:tcPr>
          <w:p>
            <w:pPr>
              <w:jc w:val="center"/>
              <w:rPr>
                <w:rFonts w:ascii="宋体" w:hAnsi="宋体" w:eastAsia="宋体" w:cs="宋体"/>
                <w:color w:val="000000"/>
                <w:sz w:val="21"/>
                <w:szCs w:val="21"/>
              </w:rPr>
            </w:pPr>
            <w:r>
              <w:rPr>
                <w:rFonts w:ascii="宋体" w:hAnsi="宋体" w:eastAsia="宋体" w:cs="宋体"/>
                <w:color w:val="000000"/>
                <w:sz w:val="21"/>
                <w:szCs w:val="21"/>
              </w:rPr>
              <w:t>5</w:t>
            </w:r>
          </w:p>
        </w:tc>
        <w:tc>
          <w:tcPr>
            <w:tcW w:w="542"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安防智慧科技产业园</w:t>
            </w:r>
          </w:p>
        </w:tc>
        <w:tc>
          <w:tcPr>
            <w:tcW w:w="348" w:type="pct"/>
            <w:tcBorders>
              <w:tl2br w:val="nil"/>
              <w:tr2bl w:val="nil"/>
            </w:tcBorders>
            <w:noWrap/>
            <w:vAlign w:val="center"/>
          </w:tcPr>
          <w:p>
            <w:pPr>
              <w:widowControl/>
              <w:jc w:val="center"/>
              <w:rPr>
                <w:rFonts w:hint="eastAsia" w:ascii="宋体" w:hAnsi="宋体" w:cs="宋体"/>
                <w:sz w:val="21"/>
                <w:szCs w:val="21"/>
              </w:rPr>
            </w:pPr>
            <w:r>
              <w:rPr>
                <w:rFonts w:hint="eastAsia" w:ascii="宋体" w:hAnsi="宋体" w:cs="宋体"/>
                <w:sz w:val="21"/>
                <w:szCs w:val="21"/>
              </w:rPr>
              <w:t>新建</w:t>
            </w:r>
          </w:p>
        </w:tc>
        <w:tc>
          <w:tcPr>
            <w:tcW w:w="348" w:type="pct"/>
            <w:tcBorders>
              <w:tl2br w:val="nil"/>
              <w:tr2bl w:val="nil"/>
            </w:tcBorders>
            <w:noWrap/>
            <w:vAlign w:val="center"/>
          </w:tcPr>
          <w:p>
            <w:pPr>
              <w:rPr>
                <w:rFonts w:ascii="宋体" w:hAnsi="宋体" w:eastAsia="宋体" w:cs="宋体"/>
                <w:sz w:val="21"/>
                <w:szCs w:val="21"/>
              </w:rPr>
            </w:pPr>
            <w:r>
              <w:rPr>
                <w:rFonts w:ascii="宋体" w:hAnsi="宋体" w:eastAsia="宋体" w:cs="宋体"/>
                <w:sz w:val="21"/>
                <w:szCs w:val="21"/>
              </w:rPr>
              <w:t>2021年—2025年</w:t>
            </w:r>
          </w:p>
        </w:tc>
        <w:tc>
          <w:tcPr>
            <w:tcW w:w="404" w:type="pct"/>
            <w:tcBorders>
              <w:tl2br w:val="nil"/>
              <w:tr2bl w:val="nil"/>
            </w:tcBorders>
            <w:noWrap/>
            <w:vAlign w:val="center"/>
          </w:tcPr>
          <w:p>
            <w:pPr>
              <w:jc w:val="center"/>
              <w:rPr>
                <w:rFonts w:hint="eastAsia" w:ascii="宋体" w:hAnsi="宋体" w:eastAsia="宋体" w:cs="宋体"/>
                <w:sz w:val="21"/>
                <w:szCs w:val="21"/>
              </w:rPr>
            </w:pPr>
            <w:r>
              <w:rPr>
                <w:rFonts w:hint="eastAsia" w:ascii="宋体" w:hAnsi="宋体" w:eastAsia="宋体" w:cs="宋体"/>
                <w:sz w:val="21"/>
                <w:szCs w:val="21"/>
              </w:rPr>
              <w:t>瓯海区</w:t>
            </w:r>
          </w:p>
        </w:tc>
        <w:tc>
          <w:tcPr>
            <w:tcW w:w="1734"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总用地面积 200 亩，与安防学院开展校地合作，打造集生产、研发、消费、服务等多种功能于一体的科技产业园区。</w:t>
            </w:r>
          </w:p>
        </w:tc>
        <w:tc>
          <w:tcPr>
            <w:tcW w:w="398" w:type="pct"/>
            <w:tcBorders>
              <w:tl2br w:val="nil"/>
              <w:tr2bl w:val="nil"/>
            </w:tcBorders>
            <w:noWrap/>
            <w:vAlign w:val="center"/>
          </w:tcPr>
          <w:p>
            <w:pPr>
              <w:jc w:val="center"/>
              <w:rPr>
                <w:rFonts w:ascii="宋体" w:hAnsi="宋体" w:eastAsia="宋体" w:cs="宋体"/>
                <w:sz w:val="21"/>
                <w:szCs w:val="21"/>
              </w:rPr>
            </w:pPr>
            <w:r>
              <w:rPr>
                <w:rFonts w:ascii="宋体" w:hAnsi="宋体" w:eastAsia="宋体" w:cs="宋体"/>
                <w:sz w:val="21"/>
                <w:szCs w:val="21"/>
              </w:rPr>
              <w:t>200000</w:t>
            </w:r>
          </w:p>
        </w:tc>
        <w:tc>
          <w:tcPr>
            <w:tcW w:w="479" w:type="pct"/>
            <w:tcBorders>
              <w:tl2br w:val="nil"/>
              <w:tr2bl w:val="nil"/>
            </w:tcBorders>
            <w:noWrap/>
            <w:vAlign w:val="center"/>
          </w:tcPr>
          <w:p>
            <w:pPr>
              <w:jc w:val="center"/>
              <w:rPr>
                <w:rFonts w:ascii="宋体" w:hAnsi="宋体" w:eastAsia="宋体" w:cs="宋体"/>
                <w:sz w:val="21"/>
                <w:szCs w:val="21"/>
              </w:rPr>
            </w:pPr>
            <w:r>
              <w:rPr>
                <w:rFonts w:ascii="宋体" w:hAnsi="宋体" w:eastAsia="宋体" w:cs="宋体"/>
                <w:sz w:val="21"/>
                <w:szCs w:val="21"/>
              </w:rPr>
              <w:t>200000</w:t>
            </w:r>
          </w:p>
        </w:tc>
        <w:tc>
          <w:tcPr>
            <w:tcW w:w="516"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瓯海区政府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2" w:hRule="atLeast"/>
          <w:jc w:val="center"/>
        </w:trPr>
        <w:tc>
          <w:tcPr>
            <w:tcW w:w="225" w:type="pct"/>
            <w:tcBorders>
              <w:tl2br w:val="nil"/>
              <w:tr2bl w:val="nil"/>
            </w:tcBorders>
            <w:noWrap/>
            <w:vAlign w:val="center"/>
          </w:tcPr>
          <w:p>
            <w:pPr>
              <w:jc w:val="center"/>
              <w:rPr>
                <w:rFonts w:ascii="宋体" w:hAnsi="宋体" w:eastAsia="宋体" w:cs="宋体"/>
                <w:color w:val="000000"/>
                <w:sz w:val="21"/>
                <w:szCs w:val="21"/>
                <w:highlight w:val="none"/>
              </w:rPr>
            </w:pPr>
            <w:r>
              <w:rPr>
                <w:rFonts w:ascii="宋体" w:hAnsi="宋体" w:eastAsia="宋体" w:cs="宋体"/>
                <w:color w:val="000000"/>
                <w:sz w:val="21"/>
                <w:szCs w:val="21"/>
                <w:highlight w:val="none"/>
              </w:rPr>
              <w:t>6</w:t>
            </w:r>
          </w:p>
        </w:tc>
        <w:tc>
          <w:tcPr>
            <w:tcW w:w="542" w:type="pct"/>
            <w:tcBorders>
              <w:tl2br w:val="nil"/>
              <w:tr2bl w:val="nil"/>
            </w:tcBorders>
            <w:noWrap/>
            <w:vAlign w:val="center"/>
          </w:tcPr>
          <w:p>
            <w:pPr>
              <w:jc w:val="left"/>
              <w:rPr>
                <w:rFonts w:hint="eastAsia" w:ascii="宋体" w:hAnsi="宋体" w:eastAsia="宋体" w:cs="宋体"/>
                <w:sz w:val="21"/>
                <w:szCs w:val="21"/>
                <w:highlight w:val="none"/>
              </w:rPr>
            </w:pPr>
            <w:r>
              <w:rPr>
                <w:rFonts w:hint="eastAsia" w:ascii="Times New Roman" w:hAnsi="Times New Roman" w:eastAsia="宋体" w:cs="宋体"/>
                <w:kern w:val="0"/>
                <w:sz w:val="21"/>
                <w:szCs w:val="21"/>
                <w:highlight w:val="none"/>
                <w:lang w:bidi="ar"/>
              </w:rPr>
              <w:t>诚意药业海洋生物医药制造项目（年产</w:t>
            </w:r>
            <w:r>
              <w:rPr>
                <w:rFonts w:ascii="Times New Roman" w:hAnsi="Times New Roman" w:eastAsia="宋体"/>
                <w:kern w:val="0"/>
                <w:sz w:val="21"/>
                <w:szCs w:val="21"/>
                <w:highlight w:val="none"/>
                <w:lang w:bidi="ar"/>
              </w:rPr>
              <w:t>1000</w:t>
            </w:r>
            <w:r>
              <w:rPr>
                <w:rFonts w:hint="eastAsia" w:ascii="Times New Roman" w:hAnsi="Times New Roman" w:eastAsia="宋体" w:cs="宋体"/>
                <w:kern w:val="0"/>
                <w:sz w:val="21"/>
                <w:szCs w:val="21"/>
                <w:highlight w:val="none"/>
                <w:lang w:bidi="ar"/>
              </w:rPr>
              <w:t>吨超级鱼油</w:t>
            </w:r>
            <w:r>
              <w:rPr>
                <w:rFonts w:ascii="Times New Roman" w:hAnsi="Times New Roman" w:eastAsia="宋体"/>
                <w:kern w:val="0"/>
                <w:sz w:val="21"/>
                <w:szCs w:val="21"/>
                <w:highlight w:val="none"/>
                <w:lang w:bidi="ar"/>
              </w:rPr>
              <w:t>EPA</w:t>
            </w:r>
            <w:r>
              <w:rPr>
                <w:rFonts w:hint="eastAsia" w:ascii="Times New Roman" w:hAnsi="Times New Roman" w:eastAsia="宋体" w:cs="宋体"/>
                <w:kern w:val="0"/>
                <w:sz w:val="21"/>
                <w:szCs w:val="21"/>
                <w:highlight w:val="none"/>
                <w:lang w:bidi="ar"/>
              </w:rPr>
              <w:t>及中药项目）</w:t>
            </w:r>
          </w:p>
        </w:tc>
        <w:tc>
          <w:tcPr>
            <w:tcW w:w="348" w:type="pct"/>
            <w:tcBorders>
              <w:tl2br w:val="nil"/>
              <w:tr2bl w:val="nil"/>
            </w:tcBorders>
            <w:noWrap/>
            <w:vAlign w:val="center"/>
          </w:tcPr>
          <w:p>
            <w:pPr>
              <w:widowControl/>
              <w:jc w:val="center"/>
              <w:rPr>
                <w:rFonts w:hint="eastAsia" w:ascii="宋体" w:hAnsi="宋体" w:cs="宋体"/>
                <w:sz w:val="21"/>
                <w:szCs w:val="21"/>
              </w:rPr>
            </w:pPr>
            <w:r>
              <w:rPr>
                <w:rFonts w:hint="eastAsia" w:ascii="宋体" w:hAnsi="宋体" w:cs="宋体"/>
                <w:sz w:val="21"/>
                <w:szCs w:val="21"/>
              </w:rPr>
              <w:t>新建</w:t>
            </w:r>
          </w:p>
        </w:tc>
        <w:tc>
          <w:tcPr>
            <w:tcW w:w="348" w:type="pct"/>
            <w:tcBorders>
              <w:tl2br w:val="nil"/>
              <w:tr2bl w:val="nil"/>
            </w:tcBorders>
            <w:noWrap/>
            <w:vAlign w:val="center"/>
          </w:tcPr>
          <w:p>
            <w:pPr>
              <w:rPr>
                <w:rFonts w:ascii="宋体" w:hAnsi="宋体" w:eastAsia="宋体" w:cs="宋体"/>
                <w:sz w:val="21"/>
                <w:szCs w:val="21"/>
              </w:rPr>
            </w:pPr>
            <w:r>
              <w:rPr>
                <w:rFonts w:ascii="宋体" w:hAnsi="宋体" w:eastAsia="宋体" w:cs="宋体"/>
                <w:sz w:val="21"/>
                <w:szCs w:val="21"/>
              </w:rPr>
              <w:t>2021年</w:t>
            </w:r>
            <w:r>
              <w:rPr>
                <w:rFonts w:hint="eastAsia" w:ascii="宋体" w:hAnsi="宋体" w:eastAsia="宋体" w:cs="宋体"/>
                <w:sz w:val="21"/>
                <w:szCs w:val="21"/>
              </w:rPr>
              <w:t>—</w:t>
            </w:r>
            <w:r>
              <w:rPr>
                <w:rFonts w:ascii="宋体" w:hAnsi="宋体" w:eastAsia="宋体" w:cs="宋体"/>
                <w:sz w:val="21"/>
                <w:szCs w:val="21"/>
              </w:rPr>
              <w:t>202</w:t>
            </w:r>
            <w:r>
              <w:rPr>
                <w:rFonts w:hint="eastAsia" w:ascii="宋体" w:hAnsi="宋体" w:cs="宋体"/>
                <w:sz w:val="21"/>
                <w:szCs w:val="21"/>
                <w:lang w:val="en-US" w:eastAsia="zh-CN"/>
              </w:rPr>
              <w:t>4</w:t>
            </w:r>
            <w:r>
              <w:rPr>
                <w:rFonts w:ascii="宋体" w:hAnsi="宋体" w:eastAsia="宋体" w:cs="宋体"/>
                <w:sz w:val="21"/>
                <w:szCs w:val="21"/>
              </w:rPr>
              <w:t>年</w:t>
            </w:r>
          </w:p>
        </w:tc>
        <w:tc>
          <w:tcPr>
            <w:tcW w:w="404" w:type="pct"/>
            <w:tcBorders>
              <w:tl2br w:val="nil"/>
              <w:tr2bl w:val="nil"/>
            </w:tcBorders>
            <w:noWrap/>
            <w:vAlign w:val="center"/>
          </w:tcPr>
          <w:p>
            <w:pPr>
              <w:jc w:val="center"/>
              <w:rPr>
                <w:rFonts w:hint="eastAsia" w:ascii="宋体" w:hAnsi="宋体" w:eastAsia="宋体" w:cs="宋体"/>
                <w:sz w:val="21"/>
                <w:szCs w:val="21"/>
              </w:rPr>
            </w:pPr>
            <w:r>
              <w:rPr>
                <w:rFonts w:hint="eastAsia" w:ascii="宋体" w:hAnsi="宋体" w:eastAsia="宋体" w:cs="宋体"/>
                <w:sz w:val="21"/>
                <w:szCs w:val="21"/>
              </w:rPr>
              <w:t>洞头区</w:t>
            </w:r>
          </w:p>
        </w:tc>
        <w:tc>
          <w:tcPr>
            <w:tcW w:w="1734"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主要建设鱼油提取车间、中试车间、中药车间、鱼油库等，项目建成后形成年产1110吨鱼油、2600吨中药饮片的生产能力。</w:t>
            </w:r>
          </w:p>
        </w:tc>
        <w:tc>
          <w:tcPr>
            <w:tcW w:w="398" w:type="pct"/>
            <w:tcBorders>
              <w:tl2br w:val="nil"/>
              <w:tr2bl w:val="nil"/>
            </w:tcBorders>
            <w:noWrap/>
            <w:vAlign w:val="center"/>
          </w:tcPr>
          <w:p>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100000</w:t>
            </w:r>
          </w:p>
        </w:tc>
        <w:tc>
          <w:tcPr>
            <w:tcW w:w="479" w:type="pct"/>
            <w:tcBorders>
              <w:tl2br w:val="nil"/>
              <w:tr2bl w:val="nil"/>
            </w:tcBorders>
            <w:noWrap/>
            <w:vAlign w:val="center"/>
          </w:tcPr>
          <w:p>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100000</w:t>
            </w:r>
          </w:p>
        </w:tc>
        <w:tc>
          <w:tcPr>
            <w:tcW w:w="516"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浙江诚意药业股份有限公司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6" w:hRule="atLeast"/>
          <w:jc w:val="center"/>
        </w:trPr>
        <w:tc>
          <w:tcPr>
            <w:tcW w:w="225" w:type="pct"/>
            <w:tcBorders>
              <w:tl2br w:val="nil"/>
              <w:tr2bl w:val="nil"/>
            </w:tcBorders>
            <w:noWrap/>
            <w:vAlign w:val="center"/>
          </w:tcPr>
          <w:p>
            <w:pPr>
              <w:jc w:val="center"/>
              <w:rPr>
                <w:rFonts w:ascii="宋体" w:hAnsi="宋体" w:eastAsia="宋体" w:cs="宋体"/>
                <w:color w:val="000000"/>
                <w:sz w:val="21"/>
                <w:szCs w:val="21"/>
                <w:highlight w:val="none"/>
              </w:rPr>
            </w:pPr>
            <w:r>
              <w:rPr>
                <w:rFonts w:ascii="宋体" w:hAnsi="宋体" w:eastAsia="宋体" w:cs="宋体"/>
                <w:color w:val="000000"/>
                <w:sz w:val="21"/>
                <w:szCs w:val="21"/>
                <w:highlight w:val="none"/>
              </w:rPr>
              <w:t>7</w:t>
            </w:r>
          </w:p>
        </w:tc>
        <w:tc>
          <w:tcPr>
            <w:tcW w:w="542" w:type="pct"/>
            <w:tcBorders>
              <w:tl2br w:val="nil"/>
              <w:tr2bl w:val="nil"/>
            </w:tcBorders>
            <w:noWrap/>
            <w:vAlign w:val="center"/>
          </w:tcPr>
          <w:p>
            <w:pPr>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永嘉数字经济产业园</w:t>
            </w:r>
          </w:p>
        </w:tc>
        <w:tc>
          <w:tcPr>
            <w:tcW w:w="348" w:type="pct"/>
            <w:tcBorders>
              <w:tl2br w:val="nil"/>
              <w:tr2bl w:val="nil"/>
            </w:tcBorders>
            <w:noWrap/>
            <w:vAlign w:val="center"/>
          </w:tcPr>
          <w:p>
            <w:pPr>
              <w:widowControl/>
              <w:jc w:val="center"/>
              <w:rPr>
                <w:rFonts w:hint="eastAsia" w:ascii="宋体" w:hAnsi="宋体" w:eastAsia="宋体" w:cs="宋体"/>
                <w:kern w:val="2"/>
                <w:sz w:val="21"/>
                <w:szCs w:val="21"/>
                <w:lang w:val="en-US" w:eastAsia="zh-CN" w:bidi="ar-SA"/>
              </w:rPr>
            </w:pPr>
            <w:r>
              <w:rPr>
                <w:rFonts w:hint="eastAsia" w:ascii="宋体" w:hAnsi="宋体" w:cs="宋体"/>
                <w:sz w:val="21"/>
                <w:szCs w:val="21"/>
              </w:rPr>
              <w:t>新建</w:t>
            </w:r>
          </w:p>
        </w:tc>
        <w:tc>
          <w:tcPr>
            <w:tcW w:w="348" w:type="pct"/>
            <w:tcBorders>
              <w:tl2br w:val="nil"/>
              <w:tr2bl w:val="nil"/>
            </w:tcBorders>
            <w:noWrap/>
            <w:vAlign w:val="center"/>
          </w:tcPr>
          <w:p>
            <w:pPr>
              <w:rPr>
                <w:rFonts w:ascii="宋体" w:hAnsi="宋体" w:eastAsia="宋体" w:cs="宋体"/>
                <w:kern w:val="2"/>
                <w:sz w:val="21"/>
                <w:szCs w:val="21"/>
                <w:lang w:val="en-US" w:eastAsia="zh-CN" w:bidi="ar-SA"/>
              </w:rPr>
            </w:pPr>
            <w:r>
              <w:rPr>
                <w:rFonts w:ascii="宋体" w:hAnsi="宋体" w:eastAsia="宋体" w:cs="宋体"/>
                <w:sz w:val="21"/>
                <w:szCs w:val="21"/>
              </w:rPr>
              <w:t>2021</w:t>
            </w:r>
            <w:r>
              <w:rPr>
                <w:rFonts w:hint="eastAsia" w:ascii="宋体" w:hAnsi="宋体" w:eastAsia="宋体" w:cs="宋体"/>
                <w:sz w:val="21"/>
                <w:szCs w:val="21"/>
              </w:rPr>
              <w:t>年—</w:t>
            </w:r>
            <w:r>
              <w:rPr>
                <w:rFonts w:ascii="宋体" w:hAnsi="宋体" w:eastAsia="宋体" w:cs="宋体"/>
                <w:sz w:val="21"/>
                <w:szCs w:val="21"/>
              </w:rPr>
              <w:t>2024年</w:t>
            </w:r>
          </w:p>
        </w:tc>
        <w:tc>
          <w:tcPr>
            <w:tcW w:w="404" w:type="pct"/>
            <w:tcBorders>
              <w:tl2br w:val="nil"/>
              <w:tr2bl w:val="nil"/>
            </w:tcBorders>
            <w:noWrap/>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永嘉县</w:t>
            </w:r>
          </w:p>
        </w:tc>
        <w:tc>
          <w:tcPr>
            <w:tcW w:w="1734" w:type="pct"/>
            <w:tcBorders>
              <w:tl2br w:val="nil"/>
              <w:tr2bl w:val="nil"/>
            </w:tcBorders>
            <w:noWrap/>
            <w:vAlign w:val="center"/>
          </w:tcPr>
          <w:p>
            <w:pPr>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建设永嘉县数字经济产业园，引进工业互联网、5G电信、电商产业链、跨境电商、新零售、直播等数字经济产业。</w:t>
            </w:r>
          </w:p>
        </w:tc>
        <w:tc>
          <w:tcPr>
            <w:tcW w:w="398" w:type="pct"/>
            <w:tcBorders>
              <w:tl2br w:val="nil"/>
              <w:tr2bl w:val="nil"/>
            </w:tcBorders>
            <w:noWrap/>
            <w:vAlign w:val="center"/>
          </w:tcPr>
          <w:p>
            <w:pPr>
              <w:jc w:val="center"/>
              <w:rPr>
                <w:rFonts w:ascii="宋体" w:hAnsi="宋体" w:eastAsia="宋体" w:cs="宋体"/>
                <w:kern w:val="2"/>
                <w:sz w:val="21"/>
                <w:szCs w:val="21"/>
                <w:lang w:val="en-US" w:eastAsia="zh-CN" w:bidi="ar-SA"/>
              </w:rPr>
            </w:pPr>
            <w:r>
              <w:rPr>
                <w:rFonts w:ascii="宋体" w:hAnsi="宋体" w:eastAsia="宋体" w:cs="宋体"/>
                <w:sz w:val="21"/>
                <w:szCs w:val="21"/>
              </w:rPr>
              <w:t>300000</w:t>
            </w:r>
          </w:p>
        </w:tc>
        <w:tc>
          <w:tcPr>
            <w:tcW w:w="479" w:type="pct"/>
            <w:tcBorders>
              <w:tl2br w:val="nil"/>
              <w:tr2bl w:val="nil"/>
            </w:tcBorders>
            <w:noWrap/>
            <w:vAlign w:val="center"/>
          </w:tcPr>
          <w:p>
            <w:pPr>
              <w:jc w:val="center"/>
              <w:rPr>
                <w:rFonts w:ascii="宋体" w:hAnsi="宋体" w:eastAsia="宋体" w:cs="宋体"/>
                <w:kern w:val="2"/>
                <w:sz w:val="21"/>
                <w:szCs w:val="21"/>
                <w:lang w:val="en-US" w:eastAsia="zh-CN" w:bidi="ar-SA"/>
              </w:rPr>
            </w:pPr>
            <w:r>
              <w:rPr>
                <w:rFonts w:ascii="宋体" w:hAnsi="宋体" w:eastAsia="宋体" w:cs="宋体"/>
                <w:sz w:val="21"/>
                <w:szCs w:val="21"/>
              </w:rPr>
              <w:t>300000</w:t>
            </w:r>
          </w:p>
        </w:tc>
        <w:tc>
          <w:tcPr>
            <w:tcW w:w="516" w:type="pct"/>
            <w:tcBorders>
              <w:tl2br w:val="nil"/>
              <w:tr2bl w:val="nil"/>
            </w:tcBorders>
            <w:noWrap/>
            <w:vAlign w:val="center"/>
          </w:tcPr>
          <w:p>
            <w:pPr>
              <w:jc w:val="left"/>
              <w:rPr>
                <w:rFonts w:hint="default" w:ascii="宋体" w:hAnsi="宋体" w:eastAsia="宋体" w:cs="宋体"/>
                <w:kern w:val="2"/>
                <w:sz w:val="21"/>
                <w:szCs w:val="21"/>
                <w:lang w:val="en-US" w:eastAsia="zh-CN" w:bidi="ar-SA"/>
              </w:rPr>
            </w:pPr>
            <w:r>
              <w:rPr>
                <w:rFonts w:hint="eastAsia" w:ascii="宋体" w:hAnsi="宋体" w:eastAsia="宋体" w:cs="宋体"/>
                <w:sz w:val="21"/>
                <w:szCs w:val="21"/>
              </w:rPr>
              <w:t>永嘉县政府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225" w:type="pct"/>
            <w:tcBorders>
              <w:tl2br w:val="nil"/>
              <w:tr2bl w:val="nil"/>
            </w:tcBorders>
            <w:noWrap/>
            <w:vAlign w:val="center"/>
          </w:tcPr>
          <w:p>
            <w:pPr>
              <w:jc w:val="center"/>
              <w:rPr>
                <w:rFonts w:ascii="宋体" w:hAnsi="宋体" w:eastAsia="宋体" w:cs="宋体"/>
                <w:color w:val="000000"/>
                <w:sz w:val="21"/>
                <w:szCs w:val="21"/>
                <w:highlight w:val="none"/>
              </w:rPr>
            </w:pPr>
            <w:r>
              <w:rPr>
                <w:rFonts w:ascii="宋体" w:hAnsi="宋体" w:eastAsia="宋体" w:cs="宋体"/>
                <w:color w:val="000000"/>
                <w:sz w:val="21"/>
                <w:szCs w:val="21"/>
                <w:highlight w:val="none"/>
              </w:rPr>
              <w:t>8</w:t>
            </w:r>
          </w:p>
        </w:tc>
        <w:tc>
          <w:tcPr>
            <w:tcW w:w="542" w:type="pct"/>
            <w:tcBorders>
              <w:tl2br w:val="nil"/>
              <w:tr2bl w:val="nil"/>
            </w:tcBorders>
            <w:noWrap/>
            <w:vAlign w:val="center"/>
          </w:tcPr>
          <w:p>
            <w:pPr>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大数据中心项目</w:t>
            </w:r>
          </w:p>
        </w:tc>
        <w:tc>
          <w:tcPr>
            <w:tcW w:w="348" w:type="pct"/>
            <w:tcBorders>
              <w:tl2br w:val="nil"/>
              <w:tr2bl w:val="nil"/>
            </w:tcBorders>
            <w:noWrap/>
            <w:vAlign w:val="center"/>
          </w:tcPr>
          <w:p>
            <w:pPr>
              <w:widowControl/>
              <w:jc w:val="center"/>
              <w:rPr>
                <w:rFonts w:hint="eastAsia" w:ascii="宋体" w:hAnsi="宋体" w:eastAsia="宋体" w:cs="宋体"/>
                <w:kern w:val="2"/>
                <w:sz w:val="21"/>
                <w:szCs w:val="21"/>
                <w:lang w:val="en-US" w:eastAsia="zh-CN" w:bidi="ar-SA"/>
              </w:rPr>
            </w:pPr>
            <w:r>
              <w:rPr>
                <w:rFonts w:hint="eastAsia" w:ascii="宋体" w:hAnsi="宋体" w:cs="宋体"/>
                <w:sz w:val="21"/>
                <w:szCs w:val="21"/>
              </w:rPr>
              <w:t>新建</w:t>
            </w:r>
          </w:p>
        </w:tc>
        <w:tc>
          <w:tcPr>
            <w:tcW w:w="348" w:type="pct"/>
            <w:tcBorders>
              <w:tl2br w:val="nil"/>
              <w:tr2bl w:val="nil"/>
            </w:tcBorders>
            <w:noWrap/>
            <w:vAlign w:val="center"/>
          </w:tcPr>
          <w:p>
            <w:pPr>
              <w:rPr>
                <w:rFonts w:ascii="宋体" w:hAnsi="宋体" w:eastAsia="宋体" w:cs="宋体"/>
                <w:kern w:val="2"/>
                <w:sz w:val="21"/>
                <w:szCs w:val="21"/>
                <w:lang w:val="en-US" w:eastAsia="zh-CN" w:bidi="ar-SA"/>
              </w:rPr>
            </w:pPr>
            <w:r>
              <w:rPr>
                <w:rFonts w:ascii="宋体" w:hAnsi="宋体" w:eastAsia="宋体" w:cs="宋体"/>
                <w:sz w:val="21"/>
                <w:szCs w:val="21"/>
              </w:rPr>
              <w:t>2022年—2025年</w:t>
            </w:r>
          </w:p>
        </w:tc>
        <w:tc>
          <w:tcPr>
            <w:tcW w:w="404" w:type="pct"/>
            <w:tcBorders>
              <w:tl2br w:val="nil"/>
              <w:tr2bl w:val="nil"/>
            </w:tcBorders>
            <w:noWrap/>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文成县</w:t>
            </w:r>
          </w:p>
        </w:tc>
        <w:tc>
          <w:tcPr>
            <w:tcW w:w="1734" w:type="pct"/>
            <w:tcBorders>
              <w:tl2br w:val="nil"/>
              <w:tr2bl w:val="nil"/>
            </w:tcBorders>
            <w:noWrap/>
            <w:vAlign w:val="center"/>
          </w:tcPr>
          <w:p>
            <w:pPr>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建设用地面积80亩，建设标准44U机柜5000个，服务器60000台，推动企业上云。</w:t>
            </w:r>
          </w:p>
        </w:tc>
        <w:tc>
          <w:tcPr>
            <w:tcW w:w="398" w:type="pct"/>
            <w:tcBorders>
              <w:tl2br w:val="nil"/>
              <w:tr2bl w:val="nil"/>
            </w:tcBorders>
            <w:noWrap/>
            <w:vAlign w:val="center"/>
          </w:tcPr>
          <w:p>
            <w:pPr>
              <w:jc w:val="center"/>
              <w:rPr>
                <w:rFonts w:ascii="宋体" w:hAnsi="宋体" w:eastAsia="宋体" w:cs="宋体"/>
                <w:kern w:val="2"/>
                <w:sz w:val="21"/>
                <w:szCs w:val="21"/>
                <w:lang w:val="en-US" w:eastAsia="zh-CN" w:bidi="ar-SA"/>
              </w:rPr>
            </w:pPr>
            <w:r>
              <w:rPr>
                <w:rFonts w:ascii="宋体" w:hAnsi="宋体" w:eastAsia="宋体" w:cs="宋体"/>
                <w:sz w:val="21"/>
                <w:szCs w:val="21"/>
              </w:rPr>
              <w:t>100000</w:t>
            </w:r>
          </w:p>
        </w:tc>
        <w:tc>
          <w:tcPr>
            <w:tcW w:w="479" w:type="pct"/>
            <w:tcBorders>
              <w:tl2br w:val="nil"/>
              <w:tr2bl w:val="nil"/>
            </w:tcBorders>
            <w:noWrap/>
            <w:vAlign w:val="center"/>
          </w:tcPr>
          <w:p>
            <w:pPr>
              <w:jc w:val="center"/>
              <w:rPr>
                <w:rFonts w:ascii="宋体" w:hAnsi="宋体" w:eastAsia="宋体" w:cs="宋体"/>
                <w:kern w:val="2"/>
                <w:sz w:val="21"/>
                <w:szCs w:val="21"/>
                <w:lang w:val="en-US" w:eastAsia="zh-CN" w:bidi="ar-SA"/>
              </w:rPr>
            </w:pPr>
            <w:r>
              <w:rPr>
                <w:rFonts w:ascii="宋体" w:hAnsi="宋体" w:eastAsia="宋体" w:cs="宋体"/>
                <w:sz w:val="21"/>
                <w:szCs w:val="21"/>
              </w:rPr>
              <w:t>100000</w:t>
            </w:r>
          </w:p>
        </w:tc>
        <w:tc>
          <w:tcPr>
            <w:tcW w:w="516" w:type="pct"/>
            <w:tcBorders>
              <w:tl2br w:val="nil"/>
              <w:tr2bl w:val="nil"/>
            </w:tcBorders>
            <w:noWrap/>
            <w:vAlign w:val="center"/>
          </w:tcPr>
          <w:p>
            <w:pPr>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文成县政府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jc w:val="center"/>
        </w:trPr>
        <w:tc>
          <w:tcPr>
            <w:tcW w:w="225" w:type="pct"/>
            <w:tcBorders>
              <w:tl2br w:val="nil"/>
              <w:tr2bl w:val="nil"/>
            </w:tcBorders>
            <w:noWrap/>
            <w:vAlign w:val="center"/>
          </w:tcPr>
          <w:p>
            <w:pPr>
              <w:jc w:val="center"/>
              <w:rPr>
                <w:rFonts w:ascii="宋体" w:hAnsi="宋体" w:eastAsia="宋体" w:cs="宋体"/>
                <w:color w:val="000000"/>
                <w:sz w:val="21"/>
                <w:szCs w:val="21"/>
                <w:highlight w:val="none"/>
              </w:rPr>
            </w:pPr>
            <w:r>
              <w:rPr>
                <w:rFonts w:ascii="宋体" w:hAnsi="宋体" w:eastAsia="宋体" w:cs="宋体"/>
                <w:color w:val="000000"/>
                <w:sz w:val="21"/>
                <w:szCs w:val="21"/>
                <w:highlight w:val="none"/>
              </w:rPr>
              <w:t>9</w:t>
            </w:r>
          </w:p>
        </w:tc>
        <w:tc>
          <w:tcPr>
            <w:tcW w:w="542" w:type="pct"/>
            <w:tcBorders>
              <w:tl2br w:val="nil"/>
              <w:tr2bl w:val="nil"/>
            </w:tcBorders>
            <w:noWrap/>
            <w:vAlign w:val="center"/>
          </w:tcPr>
          <w:p>
            <w:pPr>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苍南浙南云计算数据中心</w:t>
            </w:r>
          </w:p>
        </w:tc>
        <w:tc>
          <w:tcPr>
            <w:tcW w:w="348" w:type="pct"/>
            <w:tcBorders>
              <w:tl2br w:val="nil"/>
              <w:tr2bl w:val="nil"/>
            </w:tcBorders>
            <w:noWrap/>
            <w:vAlign w:val="center"/>
          </w:tcPr>
          <w:p>
            <w:pPr>
              <w:widowControl/>
              <w:jc w:val="center"/>
              <w:rPr>
                <w:rFonts w:hint="eastAsia" w:ascii="宋体" w:hAnsi="宋体" w:eastAsia="宋体" w:cs="宋体"/>
                <w:kern w:val="2"/>
                <w:sz w:val="21"/>
                <w:szCs w:val="21"/>
                <w:lang w:val="en-US" w:eastAsia="zh-CN" w:bidi="ar-SA"/>
              </w:rPr>
            </w:pPr>
            <w:r>
              <w:rPr>
                <w:rFonts w:hint="eastAsia" w:ascii="宋体" w:hAnsi="宋体" w:cs="宋体"/>
                <w:sz w:val="21"/>
                <w:szCs w:val="21"/>
              </w:rPr>
              <w:t>新建</w:t>
            </w:r>
          </w:p>
        </w:tc>
        <w:tc>
          <w:tcPr>
            <w:tcW w:w="348" w:type="pct"/>
            <w:tcBorders>
              <w:tl2br w:val="nil"/>
              <w:tr2bl w:val="nil"/>
            </w:tcBorders>
            <w:noWrap/>
            <w:vAlign w:val="center"/>
          </w:tcPr>
          <w:p>
            <w:pPr>
              <w:rPr>
                <w:rFonts w:ascii="宋体" w:hAnsi="宋体" w:eastAsia="宋体" w:cs="宋体"/>
                <w:kern w:val="2"/>
                <w:sz w:val="21"/>
                <w:szCs w:val="21"/>
                <w:lang w:val="en-US" w:eastAsia="zh-CN" w:bidi="ar-SA"/>
              </w:rPr>
            </w:pPr>
            <w:r>
              <w:rPr>
                <w:rFonts w:ascii="宋体" w:hAnsi="宋体" w:eastAsia="宋体" w:cs="宋体"/>
                <w:sz w:val="21"/>
                <w:szCs w:val="21"/>
              </w:rPr>
              <w:t>2022年—2026年</w:t>
            </w:r>
          </w:p>
        </w:tc>
        <w:tc>
          <w:tcPr>
            <w:tcW w:w="404" w:type="pct"/>
            <w:tcBorders>
              <w:tl2br w:val="nil"/>
              <w:tr2bl w:val="nil"/>
            </w:tcBorders>
            <w:noWrap/>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苍南县</w:t>
            </w:r>
          </w:p>
        </w:tc>
        <w:tc>
          <w:tcPr>
            <w:tcW w:w="1734" w:type="pct"/>
            <w:tcBorders>
              <w:tl2br w:val="nil"/>
              <w:tr2bl w:val="nil"/>
            </w:tcBorders>
            <w:noWrap/>
            <w:vAlign w:val="center"/>
          </w:tcPr>
          <w:p>
            <w:pPr>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25000个5KW机架，2个110KV变电站。</w:t>
            </w:r>
          </w:p>
        </w:tc>
        <w:tc>
          <w:tcPr>
            <w:tcW w:w="398" w:type="pct"/>
            <w:tcBorders>
              <w:tl2br w:val="nil"/>
              <w:tr2bl w:val="nil"/>
            </w:tcBorders>
            <w:noWrap/>
            <w:vAlign w:val="center"/>
          </w:tcPr>
          <w:p>
            <w:pPr>
              <w:jc w:val="center"/>
              <w:rPr>
                <w:rFonts w:ascii="宋体" w:hAnsi="宋体" w:eastAsia="宋体" w:cs="宋体"/>
                <w:kern w:val="2"/>
                <w:sz w:val="21"/>
                <w:szCs w:val="21"/>
                <w:lang w:val="en-US" w:eastAsia="zh-CN" w:bidi="ar-SA"/>
              </w:rPr>
            </w:pPr>
            <w:r>
              <w:rPr>
                <w:rFonts w:ascii="宋体" w:hAnsi="宋体" w:eastAsia="宋体" w:cs="宋体"/>
                <w:sz w:val="21"/>
                <w:szCs w:val="21"/>
              </w:rPr>
              <w:t>220000</w:t>
            </w:r>
          </w:p>
        </w:tc>
        <w:tc>
          <w:tcPr>
            <w:tcW w:w="479" w:type="pct"/>
            <w:tcBorders>
              <w:tl2br w:val="nil"/>
              <w:tr2bl w:val="nil"/>
            </w:tcBorders>
            <w:noWrap/>
            <w:vAlign w:val="center"/>
          </w:tcPr>
          <w:p>
            <w:pPr>
              <w:jc w:val="center"/>
              <w:rPr>
                <w:rFonts w:ascii="宋体" w:hAnsi="宋体" w:eastAsia="宋体" w:cs="宋体"/>
                <w:kern w:val="2"/>
                <w:sz w:val="21"/>
                <w:szCs w:val="21"/>
                <w:lang w:val="en-US" w:eastAsia="zh-CN" w:bidi="ar-SA"/>
              </w:rPr>
            </w:pPr>
            <w:r>
              <w:rPr>
                <w:rFonts w:ascii="宋体" w:hAnsi="宋体" w:eastAsia="宋体" w:cs="宋体"/>
                <w:sz w:val="21"/>
                <w:szCs w:val="21"/>
              </w:rPr>
              <w:t>160000</w:t>
            </w:r>
          </w:p>
        </w:tc>
        <w:tc>
          <w:tcPr>
            <w:tcW w:w="516" w:type="pct"/>
            <w:tcBorders>
              <w:tl2br w:val="nil"/>
              <w:tr2bl w:val="nil"/>
            </w:tcBorders>
            <w:noWrap/>
            <w:vAlign w:val="center"/>
          </w:tcPr>
          <w:p>
            <w:pPr>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苍南县政府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0" w:hRule="atLeast"/>
          <w:jc w:val="center"/>
        </w:trPr>
        <w:tc>
          <w:tcPr>
            <w:tcW w:w="225" w:type="pct"/>
            <w:tcBorders>
              <w:tl2br w:val="nil"/>
              <w:tr2bl w:val="nil"/>
            </w:tcBorders>
            <w:noWrap/>
            <w:vAlign w:val="center"/>
          </w:tcPr>
          <w:p>
            <w:pPr>
              <w:jc w:val="center"/>
              <w:rPr>
                <w:rFonts w:ascii="宋体" w:hAnsi="宋体" w:eastAsia="宋体" w:cs="宋体"/>
                <w:color w:val="000000"/>
                <w:sz w:val="21"/>
                <w:szCs w:val="21"/>
              </w:rPr>
            </w:pPr>
            <w:r>
              <w:rPr>
                <w:rFonts w:ascii="宋体" w:hAnsi="宋体" w:eastAsia="宋体" w:cs="宋体"/>
                <w:color w:val="000000"/>
                <w:sz w:val="21"/>
                <w:szCs w:val="21"/>
              </w:rPr>
              <w:t>10</w:t>
            </w:r>
          </w:p>
        </w:tc>
        <w:tc>
          <w:tcPr>
            <w:tcW w:w="542" w:type="pct"/>
            <w:tcBorders>
              <w:tl2br w:val="nil"/>
              <w:tr2bl w:val="nil"/>
            </w:tcBorders>
            <w:noWrap/>
            <w:vAlign w:val="center"/>
          </w:tcPr>
          <w:p>
            <w:pPr>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科思技术（温州）研究院</w:t>
            </w:r>
          </w:p>
        </w:tc>
        <w:tc>
          <w:tcPr>
            <w:tcW w:w="348" w:type="pct"/>
            <w:tcBorders>
              <w:tl2br w:val="nil"/>
              <w:tr2bl w:val="nil"/>
            </w:tcBorders>
            <w:noWrap/>
            <w:vAlign w:val="center"/>
          </w:tcPr>
          <w:p>
            <w:pPr>
              <w:widowControl/>
              <w:jc w:val="center"/>
              <w:rPr>
                <w:rFonts w:hint="eastAsia" w:ascii="宋体" w:hAnsi="宋体" w:eastAsia="宋体" w:cs="宋体"/>
                <w:kern w:val="2"/>
                <w:sz w:val="21"/>
                <w:szCs w:val="21"/>
                <w:lang w:val="en-US" w:eastAsia="zh-CN" w:bidi="ar-SA"/>
              </w:rPr>
            </w:pPr>
            <w:r>
              <w:rPr>
                <w:rFonts w:hint="eastAsia" w:ascii="宋体" w:hAnsi="宋体" w:cs="宋体"/>
                <w:sz w:val="21"/>
                <w:szCs w:val="21"/>
              </w:rPr>
              <w:t>新建</w:t>
            </w:r>
          </w:p>
        </w:tc>
        <w:tc>
          <w:tcPr>
            <w:tcW w:w="348" w:type="pct"/>
            <w:tcBorders>
              <w:tl2br w:val="nil"/>
              <w:tr2bl w:val="nil"/>
            </w:tcBorders>
            <w:noWrap/>
            <w:vAlign w:val="center"/>
          </w:tcPr>
          <w:p>
            <w:pPr>
              <w:rPr>
                <w:rFonts w:ascii="宋体" w:hAnsi="宋体" w:eastAsia="宋体" w:cs="宋体"/>
                <w:kern w:val="2"/>
                <w:sz w:val="21"/>
                <w:szCs w:val="21"/>
                <w:lang w:val="en-US" w:eastAsia="zh-CN" w:bidi="ar-SA"/>
              </w:rPr>
            </w:pPr>
            <w:r>
              <w:rPr>
                <w:rFonts w:ascii="宋体" w:hAnsi="宋体" w:eastAsia="宋体" w:cs="宋体"/>
                <w:sz w:val="21"/>
                <w:szCs w:val="21"/>
              </w:rPr>
              <w:t>2023年</w:t>
            </w:r>
            <w:r>
              <w:rPr>
                <w:rFonts w:hint="eastAsia" w:ascii="宋体" w:hAnsi="宋体" w:eastAsia="宋体" w:cs="宋体"/>
                <w:sz w:val="21"/>
                <w:szCs w:val="21"/>
              </w:rPr>
              <w:t>—</w:t>
            </w:r>
            <w:r>
              <w:rPr>
                <w:rFonts w:ascii="宋体" w:hAnsi="宋体" w:eastAsia="宋体" w:cs="宋体"/>
                <w:sz w:val="21"/>
                <w:szCs w:val="21"/>
              </w:rPr>
              <w:t>2030年</w:t>
            </w:r>
          </w:p>
        </w:tc>
        <w:tc>
          <w:tcPr>
            <w:tcW w:w="404" w:type="pct"/>
            <w:tcBorders>
              <w:tl2br w:val="nil"/>
              <w:tr2bl w:val="nil"/>
            </w:tcBorders>
            <w:noWrap/>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浙南科技城</w:t>
            </w:r>
          </w:p>
        </w:tc>
        <w:tc>
          <w:tcPr>
            <w:tcW w:w="1734" w:type="pct"/>
            <w:tcBorders>
              <w:tl2br w:val="nil"/>
              <w:tr2bl w:val="nil"/>
            </w:tcBorders>
            <w:noWrap/>
            <w:vAlign w:val="center"/>
          </w:tcPr>
          <w:p>
            <w:pPr>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由温州市人民政府与中国科学院院士王中林、知名研究员董洁林为代表的科思团队共建的新型研发机构。重点围绕新能源、新材料等产业领域，打造具有国际竞争力的前沿高科技研发中心和产业化基地。</w:t>
            </w:r>
          </w:p>
        </w:tc>
        <w:tc>
          <w:tcPr>
            <w:tcW w:w="398" w:type="pct"/>
            <w:tcBorders>
              <w:tl2br w:val="nil"/>
              <w:tr2bl w:val="nil"/>
            </w:tcBorders>
            <w:noWrap/>
            <w:vAlign w:val="center"/>
          </w:tcPr>
          <w:p>
            <w:pPr>
              <w:jc w:val="center"/>
              <w:rPr>
                <w:rFonts w:ascii="宋体" w:hAnsi="宋体" w:eastAsia="宋体" w:cs="宋体"/>
                <w:kern w:val="2"/>
                <w:sz w:val="21"/>
                <w:szCs w:val="21"/>
                <w:lang w:val="en-US" w:eastAsia="zh-CN" w:bidi="ar-SA"/>
              </w:rPr>
            </w:pPr>
            <w:r>
              <w:rPr>
                <w:rFonts w:ascii="宋体" w:hAnsi="宋体" w:eastAsia="宋体" w:cs="宋体"/>
                <w:sz w:val="21"/>
                <w:szCs w:val="21"/>
              </w:rPr>
              <w:t>200000</w:t>
            </w:r>
          </w:p>
        </w:tc>
        <w:tc>
          <w:tcPr>
            <w:tcW w:w="479" w:type="pct"/>
            <w:tcBorders>
              <w:tl2br w:val="nil"/>
              <w:tr2bl w:val="nil"/>
            </w:tcBorders>
            <w:noWrap/>
            <w:vAlign w:val="center"/>
          </w:tcPr>
          <w:p>
            <w:pPr>
              <w:jc w:val="center"/>
              <w:rPr>
                <w:rFonts w:ascii="宋体" w:hAnsi="宋体" w:eastAsia="宋体" w:cs="宋体"/>
                <w:kern w:val="2"/>
                <w:sz w:val="21"/>
                <w:szCs w:val="21"/>
                <w:lang w:val="en-US" w:eastAsia="zh-CN" w:bidi="ar-SA"/>
              </w:rPr>
            </w:pPr>
            <w:r>
              <w:rPr>
                <w:rFonts w:ascii="宋体" w:hAnsi="宋体" w:eastAsia="宋体" w:cs="宋体"/>
                <w:sz w:val="21"/>
                <w:szCs w:val="21"/>
              </w:rPr>
              <w:t>50000</w:t>
            </w:r>
          </w:p>
        </w:tc>
        <w:tc>
          <w:tcPr>
            <w:tcW w:w="516" w:type="pct"/>
            <w:tcBorders>
              <w:tl2br w:val="nil"/>
              <w:tr2bl w:val="nil"/>
            </w:tcBorders>
            <w:noWrap/>
            <w:vAlign w:val="center"/>
          </w:tcPr>
          <w:p>
            <w:pPr>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浙南科技城管委会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atLeast"/>
          <w:jc w:val="center"/>
        </w:trPr>
        <w:tc>
          <w:tcPr>
            <w:tcW w:w="225" w:type="pct"/>
            <w:tcBorders>
              <w:tl2br w:val="nil"/>
              <w:tr2bl w:val="nil"/>
            </w:tcBorders>
            <w:noWrap/>
            <w:vAlign w:val="center"/>
          </w:tcPr>
          <w:p>
            <w:pPr>
              <w:jc w:val="center"/>
              <w:rPr>
                <w:rFonts w:ascii="宋体" w:hAnsi="宋体" w:eastAsia="宋体" w:cs="宋体"/>
                <w:color w:val="000000"/>
                <w:sz w:val="21"/>
                <w:szCs w:val="21"/>
                <w:highlight w:val="none"/>
              </w:rPr>
            </w:pPr>
            <w:r>
              <w:rPr>
                <w:rFonts w:ascii="宋体" w:hAnsi="宋体" w:eastAsia="宋体" w:cs="宋体"/>
                <w:color w:val="000000"/>
                <w:sz w:val="21"/>
                <w:szCs w:val="21"/>
                <w:highlight w:val="none"/>
              </w:rPr>
              <w:t>11</w:t>
            </w:r>
          </w:p>
        </w:tc>
        <w:tc>
          <w:tcPr>
            <w:tcW w:w="542" w:type="pct"/>
            <w:tcBorders>
              <w:tl2br w:val="nil"/>
              <w:tr2bl w:val="nil"/>
            </w:tcBorders>
            <w:noWrap/>
            <w:vAlign w:val="center"/>
          </w:tcPr>
          <w:p>
            <w:pPr>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君浩高端高精密度电子电路板项目</w:t>
            </w:r>
          </w:p>
        </w:tc>
        <w:tc>
          <w:tcPr>
            <w:tcW w:w="348" w:type="pct"/>
            <w:tcBorders>
              <w:tl2br w:val="nil"/>
              <w:tr2bl w:val="nil"/>
            </w:tcBorders>
            <w:noWrap/>
            <w:vAlign w:val="center"/>
          </w:tcPr>
          <w:p>
            <w:pPr>
              <w:widowControl/>
              <w:jc w:val="center"/>
              <w:rPr>
                <w:rFonts w:hint="eastAsia" w:ascii="宋体" w:hAnsi="宋体" w:eastAsia="宋体" w:cs="宋体"/>
                <w:kern w:val="2"/>
                <w:sz w:val="21"/>
                <w:szCs w:val="21"/>
                <w:lang w:val="en-US" w:eastAsia="zh-CN" w:bidi="ar-SA"/>
              </w:rPr>
            </w:pPr>
            <w:r>
              <w:rPr>
                <w:rFonts w:hint="eastAsia" w:ascii="宋体" w:hAnsi="宋体" w:cs="宋体"/>
                <w:sz w:val="21"/>
                <w:szCs w:val="21"/>
              </w:rPr>
              <w:t>新建</w:t>
            </w:r>
          </w:p>
        </w:tc>
        <w:tc>
          <w:tcPr>
            <w:tcW w:w="348" w:type="pct"/>
            <w:tcBorders>
              <w:tl2br w:val="nil"/>
              <w:tr2bl w:val="nil"/>
            </w:tcBorders>
            <w:noWrap/>
            <w:vAlign w:val="center"/>
          </w:tcPr>
          <w:p>
            <w:pPr>
              <w:rPr>
                <w:rFonts w:ascii="宋体" w:hAnsi="宋体" w:eastAsia="宋体" w:cs="宋体"/>
                <w:sz w:val="21"/>
                <w:szCs w:val="21"/>
              </w:rPr>
            </w:pPr>
            <w:r>
              <w:rPr>
                <w:rFonts w:ascii="宋体" w:hAnsi="宋体" w:eastAsia="宋体" w:cs="宋体"/>
                <w:sz w:val="21"/>
                <w:szCs w:val="21"/>
              </w:rPr>
              <w:t>2021年—</w:t>
            </w:r>
          </w:p>
          <w:p>
            <w:pPr>
              <w:rPr>
                <w:rFonts w:ascii="宋体" w:hAnsi="宋体" w:eastAsia="宋体" w:cs="宋体"/>
                <w:kern w:val="2"/>
                <w:sz w:val="21"/>
                <w:szCs w:val="21"/>
                <w:lang w:val="en-US" w:eastAsia="zh-CN" w:bidi="ar-SA"/>
              </w:rPr>
            </w:pPr>
            <w:r>
              <w:rPr>
                <w:rFonts w:ascii="宋体" w:hAnsi="宋体" w:eastAsia="宋体" w:cs="宋体"/>
                <w:sz w:val="21"/>
                <w:szCs w:val="21"/>
              </w:rPr>
              <w:t>2025年</w:t>
            </w:r>
          </w:p>
        </w:tc>
        <w:tc>
          <w:tcPr>
            <w:tcW w:w="404" w:type="pct"/>
            <w:tcBorders>
              <w:tl2br w:val="nil"/>
              <w:tr2bl w:val="nil"/>
            </w:tcBorders>
            <w:noWrap/>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温州经济技术开发区</w:t>
            </w:r>
          </w:p>
        </w:tc>
        <w:tc>
          <w:tcPr>
            <w:tcW w:w="1734" w:type="pct"/>
            <w:tcBorders>
              <w:tl2br w:val="nil"/>
              <w:tr2bl w:val="nil"/>
            </w:tcBorders>
            <w:noWrap/>
            <w:vAlign w:val="center"/>
          </w:tcPr>
          <w:p>
            <w:pPr>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项目用地面积200亩，拟生产高端高精密度电子电路板项目，达产后可实现产值20亿元，税收1.2亿元。</w:t>
            </w:r>
          </w:p>
        </w:tc>
        <w:tc>
          <w:tcPr>
            <w:tcW w:w="398" w:type="pct"/>
            <w:tcBorders>
              <w:tl2br w:val="nil"/>
              <w:tr2bl w:val="nil"/>
            </w:tcBorders>
            <w:noWrap/>
            <w:vAlign w:val="center"/>
          </w:tcPr>
          <w:p>
            <w:pPr>
              <w:jc w:val="center"/>
              <w:rPr>
                <w:rFonts w:ascii="宋体" w:hAnsi="宋体" w:eastAsia="宋体" w:cs="宋体"/>
                <w:kern w:val="2"/>
                <w:sz w:val="21"/>
                <w:szCs w:val="21"/>
                <w:lang w:val="en-US" w:eastAsia="zh-CN" w:bidi="ar-SA"/>
              </w:rPr>
            </w:pPr>
            <w:r>
              <w:rPr>
                <w:rFonts w:ascii="宋体" w:hAnsi="宋体" w:eastAsia="宋体" w:cs="宋体"/>
                <w:sz w:val="21"/>
                <w:szCs w:val="21"/>
              </w:rPr>
              <w:t>100000</w:t>
            </w:r>
          </w:p>
        </w:tc>
        <w:tc>
          <w:tcPr>
            <w:tcW w:w="479" w:type="pct"/>
            <w:tcBorders>
              <w:tl2br w:val="nil"/>
              <w:tr2bl w:val="nil"/>
            </w:tcBorders>
            <w:noWrap/>
            <w:vAlign w:val="center"/>
          </w:tcPr>
          <w:p>
            <w:pPr>
              <w:jc w:val="center"/>
              <w:rPr>
                <w:rFonts w:ascii="宋体" w:hAnsi="宋体" w:eastAsia="宋体" w:cs="宋体"/>
                <w:kern w:val="2"/>
                <w:sz w:val="21"/>
                <w:szCs w:val="21"/>
                <w:lang w:val="en-US" w:eastAsia="zh-CN" w:bidi="ar-SA"/>
              </w:rPr>
            </w:pPr>
            <w:r>
              <w:rPr>
                <w:rFonts w:ascii="宋体" w:hAnsi="宋体" w:eastAsia="宋体" w:cs="宋体"/>
                <w:sz w:val="21"/>
                <w:szCs w:val="21"/>
              </w:rPr>
              <w:t>100000</w:t>
            </w:r>
          </w:p>
        </w:tc>
        <w:tc>
          <w:tcPr>
            <w:tcW w:w="516" w:type="pct"/>
            <w:tcBorders>
              <w:tl2br w:val="nil"/>
              <w:tr2bl w:val="nil"/>
            </w:tcBorders>
            <w:noWrap/>
            <w:vAlign w:val="center"/>
          </w:tcPr>
          <w:p>
            <w:pPr>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经开区管委会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225" w:type="pct"/>
            <w:tcBorders>
              <w:tl2br w:val="nil"/>
              <w:tr2bl w:val="nil"/>
            </w:tcBorders>
            <w:noWrap/>
            <w:vAlign w:val="center"/>
          </w:tcPr>
          <w:p>
            <w:pPr>
              <w:jc w:val="center"/>
              <w:rPr>
                <w:rFonts w:ascii="宋体" w:hAnsi="宋体" w:eastAsia="宋体" w:cs="宋体"/>
                <w:color w:val="000000"/>
                <w:sz w:val="21"/>
                <w:szCs w:val="21"/>
                <w:highlight w:val="none"/>
              </w:rPr>
            </w:pPr>
            <w:r>
              <w:rPr>
                <w:rFonts w:ascii="宋体" w:hAnsi="宋体" w:eastAsia="宋体" w:cs="宋体"/>
                <w:color w:val="000000"/>
                <w:sz w:val="21"/>
                <w:szCs w:val="21"/>
                <w:highlight w:val="none"/>
              </w:rPr>
              <w:t>12</w:t>
            </w:r>
          </w:p>
        </w:tc>
        <w:tc>
          <w:tcPr>
            <w:tcW w:w="542" w:type="pct"/>
            <w:tcBorders>
              <w:tl2br w:val="nil"/>
              <w:tr2bl w:val="nil"/>
            </w:tcBorders>
            <w:noWrap/>
            <w:vAlign w:val="center"/>
          </w:tcPr>
          <w:p>
            <w:pPr>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高端医疗器械产业园</w:t>
            </w:r>
          </w:p>
        </w:tc>
        <w:tc>
          <w:tcPr>
            <w:tcW w:w="348" w:type="pct"/>
            <w:tcBorders>
              <w:tl2br w:val="nil"/>
              <w:tr2bl w:val="nil"/>
            </w:tcBorders>
            <w:noWrap/>
            <w:vAlign w:val="center"/>
          </w:tcPr>
          <w:p>
            <w:pPr>
              <w:widowControl/>
              <w:jc w:val="center"/>
              <w:rPr>
                <w:rFonts w:hint="eastAsia" w:ascii="宋体" w:hAnsi="宋体" w:eastAsia="宋体" w:cs="宋体"/>
                <w:kern w:val="2"/>
                <w:sz w:val="21"/>
                <w:szCs w:val="21"/>
                <w:lang w:val="en-US" w:eastAsia="zh-CN" w:bidi="ar-SA"/>
              </w:rPr>
            </w:pPr>
            <w:r>
              <w:rPr>
                <w:rFonts w:hint="eastAsia" w:ascii="宋体" w:hAnsi="宋体" w:cs="宋体"/>
                <w:sz w:val="21"/>
                <w:szCs w:val="21"/>
              </w:rPr>
              <w:t>新建</w:t>
            </w:r>
          </w:p>
        </w:tc>
        <w:tc>
          <w:tcPr>
            <w:tcW w:w="348" w:type="pct"/>
            <w:tcBorders>
              <w:tl2br w:val="nil"/>
              <w:tr2bl w:val="nil"/>
            </w:tcBorders>
            <w:noWrap/>
            <w:vAlign w:val="center"/>
          </w:tcPr>
          <w:p>
            <w:pPr>
              <w:rPr>
                <w:rFonts w:ascii="宋体" w:hAnsi="宋体" w:eastAsia="宋体" w:cs="宋体"/>
                <w:kern w:val="2"/>
                <w:sz w:val="21"/>
                <w:szCs w:val="21"/>
                <w:lang w:val="en-US" w:eastAsia="zh-CN" w:bidi="ar-SA"/>
              </w:rPr>
            </w:pPr>
            <w:r>
              <w:rPr>
                <w:rFonts w:ascii="宋体" w:hAnsi="宋体" w:eastAsia="宋体" w:cs="宋体"/>
                <w:sz w:val="21"/>
                <w:szCs w:val="21"/>
              </w:rPr>
              <w:t>2021</w:t>
            </w:r>
            <w:r>
              <w:rPr>
                <w:rFonts w:hint="eastAsia" w:ascii="宋体" w:hAnsi="宋体" w:eastAsia="宋体" w:cs="宋体"/>
                <w:sz w:val="21"/>
                <w:szCs w:val="21"/>
              </w:rPr>
              <w:t>年—</w:t>
            </w:r>
            <w:r>
              <w:rPr>
                <w:rFonts w:ascii="宋体" w:hAnsi="宋体" w:eastAsia="宋体" w:cs="宋体"/>
                <w:sz w:val="21"/>
                <w:szCs w:val="21"/>
              </w:rPr>
              <w:t>2025</w:t>
            </w:r>
            <w:r>
              <w:rPr>
                <w:rFonts w:hint="eastAsia" w:ascii="宋体" w:hAnsi="宋体" w:eastAsia="宋体" w:cs="宋体"/>
                <w:sz w:val="21"/>
                <w:szCs w:val="21"/>
              </w:rPr>
              <w:t>年</w:t>
            </w:r>
          </w:p>
        </w:tc>
        <w:tc>
          <w:tcPr>
            <w:tcW w:w="404" w:type="pct"/>
            <w:tcBorders>
              <w:tl2br w:val="nil"/>
              <w:tr2bl w:val="nil"/>
            </w:tcBorders>
            <w:noWrap/>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温州经济技术开发区</w:t>
            </w:r>
          </w:p>
        </w:tc>
        <w:tc>
          <w:tcPr>
            <w:tcW w:w="1734" w:type="pct"/>
            <w:tcBorders>
              <w:tl2br w:val="nil"/>
              <w:tr2bl w:val="nil"/>
            </w:tcBorders>
            <w:noWrap/>
            <w:vAlign w:val="center"/>
          </w:tcPr>
          <w:p>
            <w:pPr>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高端医疗器械产业园项目拟用地约200亩，目前在洽谈阶段。</w:t>
            </w:r>
          </w:p>
        </w:tc>
        <w:tc>
          <w:tcPr>
            <w:tcW w:w="398" w:type="pct"/>
            <w:tcBorders>
              <w:tl2br w:val="nil"/>
              <w:tr2bl w:val="nil"/>
            </w:tcBorders>
            <w:noWrap/>
            <w:vAlign w:val="center"/>
          </w:tcPr>
          <w:p>
            <w:pPr>
              <w:jc w:val="center"/>
              <w:rPr>
                <w:rFonts w:ascii="宋体" w:hAnsi="宋体" w:eastAsia="宋体" w:cs="宋体"/>
                <w:kern w:val="2"/>
                <w:sz w:val="21"/>
                <w:szCs w:val="21"/>
                <w:lang w:val="en-US" w:eastAsia="zh-CN" w:bidi="ar-SA"/>
              </w:rPr>
            </w:pPr>
            <w:r>
              <w:rPr>
                <w:rFonts w:ascii="宋体" w:hAnsi="宋体" w:eastAsia="宋体" w:cs="宋体"/>
                <w:sz w:val="21"/>
                <w:szCs w:val="21"/>
              </w:rPr>
              <w:t>100000</w:t>
            </w:r>
          </w:p>
        </w:tc>
        <w:tc>
          <w:tcPr>
            <w:tcW w:w="479" w:type="pct"/>
            <w:tcBorders>
              <w:tl2br w:val="nil"/>
              <w:tr2bl w:val="nil"/>
            </w:tcBorders>
            <w:noWrap/>
            <w:vAlign w:val="center"/>
          </w:tcPr>
          <w:p>
            <w:pPr>
              <w:jc w:val="center"/>
              <w:rPr>
                <w:rFonts w:ascii="宋体" w:hAnsi="宋体" w:eastAsia="宋体" w:cs="宋体"/>
                <w:kern w:val="2"/>
                <w:sz w:val="21"/>
                <w:szCs w:val="21"/>
                <w:lang w:val="en-US" w:eastAsia="zh-CN" w:bidi="ar-SA"/>
              </w:rPr>
            </w:pPr>
            <w:r>
              <w:rPr>
                <w:rFonts w:ascii="宋体" w:hAnsi="宋体" w:eastAsia="宋体" w:cs="宋体"/>
                <w:sz w:val="21"/>
                <w:szCs w:val="21"/>
              </w:rPr>
              <w:t>100000</w:t>
            </w:r>
          </w:p>
        </w:tc>
        <w:tc>
          <w:tcPr>
            <w:tcW w:w="516" w:type="pct"/>
            <w:tcBorders>
              <w:tl2br w:val="nil"/>
              <w:tr2bl w:val="nil"/>
            </w:tcBorders>
            <w:noWrap/>
            <w:vAlign w:val="center"/>
          </w:tcPr>
          <w:p>
            <w:pPr>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经开区管委会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225" w:type="pct"/>
            <w:tcBorders>
              <w:tl2br w:val="nil"/>
              <w:tr2bl w:val="nil"/>
            </w:tcBorders>
            <w:noWrap/>
            <w:vAlign w:val="center"/>
          </w:tcPr>
          <w:p>
            <w:pPr>
              <w:jc w:val="center"/>
              <w:rPr>
                <w:rFonts w:ascii="宋体" w:hAnsi="宋体" w:eastAsia="宋体" w:cs="宋体"/>
                <w:color w:val="000000"/>
                <w:sz w:val="21"/>
                <w:szCs w:val="21"/>
                <w:highlight w:val="none"/>
              </w:rPr>
            </w:pPr>
            <w:r>
              <w:rPr>
                <w:rFonts w:ascii="宋体" w:hAnsi="宋体" w:eastAsia="宋体" w:cs="宋体"/>
                <w:color w:val="000000"/>
                <w:sz w:val="21"/>
                <w:szCs w:val="21"/>
                <w:highlight w:val="none"/>
              </w:rPr>
              <w:t>13</w:t>
            </w:r>
          </w:p>
        </w:tc>
        <w:tc>
          <w:tcPr>
            <w:tcW w:w="542" w:type="pct"/>
            <w:tcBorders>
              <w:tl2br w:val="nil"/>
              <w:tr2bl w:val="nil"/>
            </w:tcBorders>
            <w:noWrap/>
            <w:vAlign w:val="center"/>
          </w:tcPr>
          <w:p>
            <w:pPr>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机器人（温州）科创中心项目</w:t>
            </w:r>
          </w:p>
        </w:tc>
        <w:tc>
          <w:tcPr>
            <w:tcW w:w="348" w:type="pct"/>
            <w:tcBorders>
              <w:tl2br w:val="nil"/>
              <w:tr2bl w:val="nil"/>
            </w:tcBorders>
            <w:noWrap/>
            <w:vAlign w:val="center"/>
          </w:tcPr>
          <w:p>
            <w:pPr>
              <w:widowControl/>
              <w:jc w:val="center"/>
              <w:rPr>
                <w:rFonts w:hint="eastAsia" w:ascii="宋体" w:hAnsi="宋体" w:eastAsia="宋体" w:cs="宋体"/>
                <w:kern w:val="2"/>
                <w:sz w:val="21"/>
                <w:szCs w:val="21"/>
                <w:lang w:val="en-US" w:eastAsia="zh-CN" w:bidi="ar-SA"/>
              </w:rPr>
            </w:pPr>
            <w:r>
              <w:rPr>
                <w:rFonts w:hint="eastAsia" w:ascii="宋体" w:hAnsi="宋体" w:cs="宋体"/>
                <w:sz w:val="21"/>
                <w:szCs w:val="21"/>
              </w:rPr>
              <w:t>新建</w:t>
            </w:r>
          </w:p>
        </w:tc>
        <w:tc>
          <w:tcPr>
            <w:tcW w:w="348" w:type="pct"/>
            <w:tcBorders>
              <w:tl2br w:val="nil"/>
              <w:tr2bl w:val="nil"/>
            </w:tcBorders>
            <w:noWrap/>
            <w:vAlign w:val="center"/>
          </w:tcPr>
          <w:p>
            <w:pPr>
              <w:rPr>
                <w:rFonts w:ascii="宋体" w:hAnsi="宋体" w:eastAsia="宋体" w:cs="宋体"/>
                <w:kern w:val="2"/>
                <w:sz w:val="21"/>
                <w:szCs w:val="21"/>
                <w:lang w:val="en-US" w:eastAsia="zh-CN" w:bidi="ar-SA"/>
              </w:rPr>
            </w:pPr>
            <w:r>
              <w:rPr>
                <w:rFonts w:ascii="宋体" w:hAnsi="宋体" w:eastAsia="宋体" w:cs="宋体"/>
                <w:sz w:val="21"/>
                <w:szCs w:val="21"/>
              </w:rPr>
              <w:t>2021</w:t>
            </w:r>
            <w:r>
              <w:rPr>
                <w:rFonts w:hint="eastAsia" w:ascii="宋体" w:hAnsi="宋体" w:eastAsia="宋体" w:cs="宋体"/>
                <w:sz w:val="21"/>
                <w:szCs w:val="21"/>
              </w:rPr>
              <w:t>年—</w:t>
            </w:r>
            <w:r>
              <w:rPr>
                <w:rFonts w:ascii="宋体" w:hAnsi="宋体" w:eastAsia="宋体" w:cs="宋体"/>
                <w:sz w:val="21"/>
                <w:szCs w:val="21"/>
              </w:rPr>
              <w:t>2025</w:t>
            </w:r>
            <w:r>
              <w:rPr>
                <w:rFonts w:hint="eastAsia" w:ascii="宋体" w:hAnsi="宋体" w:eastAsia="宋体" w:cs="宋体"/>
                <w:sz w:val="21"/>
                <w:szCs w:val="21"/>
              </w:rPr>
              <w:t>年</w:t>
            </w:r>
          </w:p>
        </w:tc>
        <w:tc>
          <w:tcPr>
            <w:tcW w:w="404" w:type="pct"/>
            <w:tcBorders>
              <w:tl2br w:val="nil"/>
              <w:tr2bl w:val="nil"/>
            </w:tcBorders>
            <w:noWrap/>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温州经济技术开发区</w:t>
            </w:r>
          </w:p>
        </w:tc>
        <w:tc>
          <w:tcPr>
            <w:tcW w:w="1734" w:type="pct"/>
            <w:tcBorders>
              <w:tl2br w:val="nil"/>
              <w:tr2bl w:val="nil"/>
            </w:tcBorders>
            <w:noWrap/>
            <w:vAlign w:val="center"/>
          </w:tcPr>
          <w:p>
            <w:pPr>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机器人（温州）科创中心项目拟用地约200亩，目前在洽谈阶段。</w:t>
            </w:r>
          </w:p>
        </w:tc>
        <w:tc>
          <w:tcPr>
            <w:tcW w:w="398" w:type="pct"/>
            <w:tcBorders>
              <w:tl2br w:val="nil"/>
              <w:tr2bl w:val="nil"/>
            </w:tcBorders>
            <w:noWrap/>
            <w:vAlign w:val="center"/>
          </w:tcPr>
          <w:p>
            <w:pPr>
              <w:jc w:val="center"/>
              <w:rPr>
                <w:rFonts w:ascii="宋体" w:hAnsi="宋体" w:eastAsia="宋体" w:cs="宋体"/>
                <w:kern w:val="2"/>
                <w:sz w:val="21"/>
                <w:szCs w:val="21"/>
                <w:lang w:val="en-US" w:eastAsia="zh-CN" w:bidi="ar-SA"/>
              </w:rPr>
            </w:pPr>
            <w:r>
              <w:rPr>
                <w:rFonts w:ascii="宋体" w:hAnsi="宋体" w:eastAsia="宋体" w:cs="宋体"/>
                <w:sz w:val="21"/>
                <w:szCs w:val="21"/>
              </w:rPr>
              <w:t>100000</w:t>
            </w:r>
          </w:p>
        </w:tc>
        <w:tc>
          <w:tcPr>
            <w:tcW w:w="479" w:type="pct"/>
            <w:tcBorders>
              <w:tl2br w:val="nil"/>
              <w:tr2bl w:val="nil"/>
            </w:tcBorders>
            <w:noWrap/>
            <w:vAlign w:val="center"/>
          </w:tcPr>
          <w:p>
            <w:pPr>
              <w:jc w:val="center"/>
              <w:rPr>
                <w:rFonts w:ascii="宋体" w:hAnsi="宋体" w:eastAsia="宋体" w:cs="宋体"/>
                <w:kern w:val="2"/>
                <w:sz w:val="21"/>
                <w:szCs w:val="21"/>
                <w:lang w:val="en-US" w:eastAsia="zh-CN" w:bidi="ar-SA"/>
              </w:rPr>
            </w:pPr>
            <w:r>
              <w:rPr>
                <w:rFonts w:ascii="宋体" w:hAnsi="宋体" w:eastAsia="宋体" w:cs="宋体"/>
                <w:sz w:val="21"/>
                <w:szCs w:val="21"/>
              </w:rPr>
              <w:t>100000</w:t>
            </w:r>
          </w:p>
        </w:tc>
        <w:tc>
          <w:tcPr>
            <w:tcW w:w="516" w:type="pct"/>
            <w:tcBorders>
              <w:tl2br w:val="nil"/>
              <w:tr2bl w:val="nil"/>
            </w:tcBorders>
            <w:noWrap/>
            <w:vAlign w:val="center"/>
          </w:tcPr>
          <w:p>
            <w:pPr>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经开区管委会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225" w:type="pct"/>
            <w:tcBorders>
              <w:tl2br w:val="nil"/>
              <w:tr2bl w:val="nil"/>
            </w:tcBorders>
            <w:noWrap/>
            <w:vAlign w:val="center"/>
          </w:tcPr>
          <w:p>
            <w:pPr>
              <w:jc w:val="center"/>
              <w:rPr>
                <w:rFonts w:ascii="宋体" w:hAnsi="宋体" w:eastAsia="宋体" w:cs="宋体"/>
                <w:color w:val="000000"/>
                <w:sz w:val="21"/>
                <w:szCs w:val="21"/>
                <w:highlight w:val="none"/>
              </w:rPr>
            </w:pPr>
            <w:r>
              <w:rPr>
                <w:rFonts w:ascii="宋体" w:hAnsi="宋体" w:eastAsia="宋体" w:cs="宋体"/>
                <w:color w:val="000000"/>
                <w:sz w:val="21"/>
                <w:szCs w:val="21"/>
                <w:highlight w:val="none"/>
              </w:rPr>
              <w:t>14</w:t>
            </w:r>
          </w:p>
        </w:tc>
        <w:tc>
          <w:tcPr>
            <w:tcW w:w="542" w:type="pct"/>
            <w:tcBorders>
              <w:tl2br w:val="nil"/>
              <w:tr2bl w:val="nil"/>
            </w:tcBorders>
            <w:noWrap/>
            <w:vAlign w:val="center"/>
          </w:tcPr>
          <w:p>
            <w:pPr>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温州经济技术开发区海洋科技创新园一期、二期项目</w:t>
            </w:r>
          </w:p>
        </w:tc>
        <w:tc>
          <w:tcPr>
            <w:tcW w:w="348" w:type="pct"/>
            <w:tcBorders>
              <w:tl2br w:val="nil"/>
              <w:tr2bl w:val="nil"/>
            </w:tcBorders>
            <w:noWrap/>
            <w:vAlign w:val="center"/>
          </w:tcPr>
          <w:p>
            <w:pPr>
              <w:widowControl/>
              <w:jc w:val="center"/>
              <w:rPr>
                <w:rFonts w:hint="eastAsia" w:ascii="宋体" w:hAnsi="宋体" w:eastAsia="宋体" w:cs="宋体"/>
                <w:kern w:val="2"/>
                <w:sz w:val="21"/>
                <w:szCs w:val="21"/>
                <w:lang w:val="en-US" w:eastAsia="zh-CN" w:bidi="ar-SA"/>
              </w:rPr>
            </w:pPr>
            <w:r>
              <w:rPr>
                <w:rFonts w:hint="eastAsia" w:ascii="宋体" w:hAnsi="宋体" w:cs="宋体"/>
                <w:sz w:val="21"/>
                <w:szCs w:val="21"/>
              </w:rPr>
              <w:t>新建</w:t>
            </w:r>
          </w:p>
        </w:tc>
        <w:tc>
          <w:tcPr>
            <w:tcW w:w="348" w:type="pct"/>
            <w:tcBorders>
              <w:tl2br w:val="nil"/>
              <w:tr2bl w:val="nil"/>
            </w:tcBorders>
            <w:noWrap/>
            <w:vAlign w:val="center"/>
          </w:tcPr>
          <w:p>
            <w:pPr>
              <w:rPr>
                <w:rFonts w:ascii="宋体" w:hAnsi="宋体" w:eastAsia="宋体" w:cs="宋体"/>
                <w:kern w:val="2"/>
                <w:sz w:val="21"/>
                <w:szCs w:val="21"/>
                <w:lang w:val="en-US" w:eastAsia="zh-CN" w:bidi="ar-SA"/>
              </w:rPr>
            </w:pPr>
            <w:r>
              <w:rPr>
                <w:rFonts w:ascii="宋体" w:hAnsi="宋体" w:eastAsia="宋体" w:cs="宋体"/>
                <w:sz w:val="21"/>
                <w:szCs w:val="21"/>
              </w:rPr>
              <w:t>2022年—2025</w:t>
            </w:r>
            <w:r>
              <w:rPr>
                <w:rFonts w:hint="eastAsia" w:ascii="宋体" w:hAnsi="宋体" w:eastAsia="宋体" w:cs="宋体"/>
                <w:sz w:val="21"/>
                <w:szCs w:val="21"/>
              </w:rPr>
              <w:t>年</w:t>
            </w:r>
          </w:p>
        </w:tc>
        <w:tc>
          <w:tcPr>
            <w:tcW w:w="404" w:type="pct"/>
            <w:tcBorders>
              <w:tl2br w:val="nil"/>
              <w:tr2bl w:val="nil"/>
            </w:tcBorders>
            <w:noWrap/>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温州经济技术开发区</w:t>
            </w:r>
          </w:p>
        </w:tc>
        <w:tc>
          <w:tcPr>
            <w:tcW w:w="1734" w:type="pct"/>
            <w:tcBorders>
              <w:tl2br w:val="nil"/>
              <w:tr2bl w:val="nil"/>
            </w:tcBorders>
            <w:noWrap/>
            <w:vAlign w:val="center"/>
          </w:tcPr>
          <w:p>
            <w:pPr>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园区集中优势资源，打造科技创业新空间、科技服务新平台、科技研发新领地和人才聚集新社区。引进高层次人才创业项目100个以上、培育高科技企业100家以上、共建高能级科创平台10家以上，最终形成具有内在发展基因的科创新生态</w:t>
            </w:r>
            <w:r>
              <w:rPr>
                <w:rFonts w:hint="eastAsia" w:ascii="宋体" w:hAnsi="宋体" w:cs="宋体"/>
                <w:sz w:val="21"/>
                <w:szCs w:val="21"/>
                <w:lang w:eastAsia="zh-CN"/>
              </w:rPr>
              <w:t>。</w:t>
            </w:r>
          </w:p>
        </w:tc>
        <w:tc>
          <w:tcPr>
            <w:tcW w:w="398" w:type="pct"/>
            <w:tcBorders>
              <w:tl2br w:val="nil"/>
              <w:tr2bl w:val="nil"/>
            </w:tcBorders>
            <w:noWrap/>
            <w:vAlign w:val="center"/>
          </w:tcPr>
          <w:p>
            <w:pPr>
              <w:jc w:val="center"/>
              <w:rPr>
                <w:rFonts w:ascii="宋体" w:hAnsi="宋体" w:eastAsia="宋体" w:cs="宋体"/>
                <w:kern w:val="2"/>
                <w:sz w:val="21"/>
                <w:szCs w:val="21"/>
                <w:lang w:val="en-US" w:eastAsia="zh-CN" w:bidi="ar-SA"/>
              </w:rPr>
            </w:pPr>
            <w:r>
              <w:rPr>
                <w:rFonts w:ascii="宋体" w:hAnsi="宋体" w:eastAsia="宋体" w:cs="宋体"/>
                <w:sz w:val="21"/>
                <w:szCs w:val="21"/>
              </w:rPr>
              <w:t>100000</w:t>
            </w:r>
          </w:p>
        </w:tc>
        <w:tc>
          <w:tcPr>
            <w:tcW w:w="479" w:type="pct"/>
            <w:tcBorders>
              <w:tl2br w:val="nil"/>
              <w:tr2bl w:val="nil"/>
            </w:tcBorders>
            <w:noWrap/>
            <w:vAlign w:val="center"/>
          </w:tcPr>
          <w:p>
            <w:pPr>
              <w:jc w:val="center"/>
              <w:rPr>
                <w:rFonts w:ascii="宋体" w:hAnsi="宋体" w:eastAsia="宋体" w:cs="宋体"/>
                <w:kern w:val="2"/>
                <w:sz w:val="21"/>
                <w:szCs w:val="21"/>
                <w:lang w:val="en-US" w:eastAsia="zh-CN" w:bidi="ar-SA"/>
              </w:rPr>
            </w:pPr>
            <w:r>
              <w:rPr>
                <w:rFonts w:ascii="宋体" w:hAnsi="宋体" w:eastAsia="宋体" w:cs="宋体"/>
                <w:sz w:val="21"/>
                <w:szCs w:val="21"/>
              </w:rPr>
              <w:t>100000</w:t>
            </w:r>
          </w:p>
        </w:tc>
        <w:tc>
          <w:tcPr>
            <w:tcW w:w="516" w:type="pct"/>
            <w:tcBorders>
              <w:tl2br w:val="nil"/>
              <w:tr2bl w:val="nil"/>
            </w:tcBorders>
            <w:noWrap/>
            <w:vAlign w:val="center"/>
          </w:tcPr>
          <w:p>
            <w:pPr>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经开区管委会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3" w:hRule="atLeast"/>
          <w:jc w:val="center"/>
        </w:trPr>
        <w:tc>
          <w:tcPr>
            <w:tcW w:w="225" w:type="pct"/>
            <w:tcBorders>
              <w:tl2br w:val="nil"/>
              <w:tr2bl w:val="nil"/>
            </w:tcBorders>
            <w:noWrap/>
            <w:vAlign w:val="center"/>
          </w:tcPr>
          <w:p>
            <w:pPr>
              <w:jc w:val="center"/>
              <w:rPr>
                <w:rFonts w:ascii="宋体" w:hAnsi="宋体" w:eastAsia="宋体" w:cs="宋体"/>
                <w:color w:val="000000"/>
                <w:sz w:val="21"/>
                <w:szCs w:val="21"/>
                <w:highlight w:val="none"/>
              </w:rPr>
            </w:pPr>
            <w:r>
              <w:rPr>
                <w:rFonts w:ascii="宋体" w:hAnsi="宋体" w:eastAsia="宋体" w:cs="宋体"/>
                <w:color w:val="000000"/>
                <w:sz w:val="21"/>
                <w:szCs w:val="21"/>
                <w:highlight w:val="none"/>
              </w:rPr>
              <w:t>15</w:t>
            </w:r>
          </w:p>
        </w:tc>
        <w:tc>
          <w:tcPr>
            <w:tcW w:w="542" w:type="pct"/>
            <w:tcBorders>
              <w:tl2br w:val="nil"/>
              <w:tr2bl w:val="nil"/>
            </w:tcBorders>
            <w:noWrap/>
            <w:vAlign w:val="center"/>
          </w:tcPr>
          <w:p>
            <w:pPr>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年产2000台套高功率激光数控机床建设项目</w:t>
            </w:r>
          </w:p>
        </w:tc>
        <w:tc>
          <w:tcPr>
            <w:tcW w:w="348" w:type="pct"/>
            <w:tcBorders>
              <w:tl2br w:val="nil"/>
              <w:tr2bl w:val="nil"/>
            </w:tcBorders>
            <w:noWrap/>
            <w:vAlign w:val="center"/>
          </w:tcPr>
          <w:p>
            <w:pPr>
              <w:widowControl/>
              <w:jc w:val="center"/>
              <w:rPr>
                <w:rFonts w:hint="eastAsia" w:ascii="宋体" w:hAnsi="宋体" w:eastAsia="宋体" w:cs="宋体"/>
                <w:kern w:val="2"/>
                <w:sz w:val="21"/>
                <w:szCs w:val="21"/>
                <w:lang w:val="en-US" w:eastAsia="zh-CN" w:bidi="ar-SA"/>
              </w:rPr>
            </w:pPr>
            <w:r>
              <w:rPr>
                <w:rFonts w:hint="eastAsia" w:ascii="宋体" w:hAnsi="宋体" w:cs="宋体"/>
                <w:sz w:val="21"/>
                <w:szCs w:val="21"/>
              </w:rPr>
              <w:t>新建</w:t>
            </w:r>
          </w:p>
        </w:tc>
        <w:tc>
          <w:tcPr>
            <w:tcW w:w="348" w:type="pct"/>
            <w:tcBorders>
              <w:tl2br w:val="nil"/>
              <w:tr2bl w:val="nil"/>
            </w:tcBorders>
            <w:noWrap/>
            <w:vAlign w:val="center"/>
          </w:tcPr>
          <w:p>
            <w:pPr>
              <w:rPr>
                <w:rFonts w:ascii="宋体" w:hAnsi="宋体" w:eastAsia="宋体" w:cs="宋体"/>
                <w:sz w:val="21"/>
                <w:szCs w:val="21"/>
              </w:rPr>
            </w:pPr>
            <w:r>
              <w:rPr>
                <w:rFonts w:ascii="宋体" w:hAnsi="宋体" w:eastAsia="宋体" w:cs="宋体"/>
                <w:sz w:val="21"/>
                <w:szCs w:val="21"/>
              </w:rPr>
              <w:t>2021年—</w:t>
            </w:r>
          </w:p>
          <w:p>
            <w:pPr>
              <w:rPr>
                <w:rFonts w:ascii="宋体" w:hAnsi="宋体" w:eastAsia="宋体" w:cs="宋体"/>
                <w:kern w:val="2"/>
                <w:sz w:val="21"/>
                <w:szCs w:val="21"/>
                <w:lang w:val="en-US" w:eastAsia="zh-CN" w:bidi="ar-SA"/>
              </w:rPr>
            </w:pPr>
            <w:r>
              <w:rPr>
                <w:rFonts w:ascii="宋体" w:hAnsi="宋体" w:eastAsia="宋体" w:cs="宋体"/>
                <w:sz w:val="21"/>
                <w:szCs w:val="21"/>
              </w:rPr>
              <w:t>2025年</w:t>
            </w:r>
          </w:p>
        </w:tc>
        <w:tc>
          <w:tcPr>
            <w:tcW w:w="404" w:type="pct"/>
            <w:tcBorders>
              <w:tl2br w:val="nil"/>
              <w:tr2bl w:val="nil"/>
            </w:tcBorders>
            <w:noWrap/>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温州经济技术开发区</w:t>
            </w:r>
          </w:p>
        </w:tc>
        <w:tc>
          <w:tcPr>
            <w:tcW w:w="1734" w:type="pct"/>
            <w:tcBorders>
              <w:tl2br w:val="nil"/>
              <w:tr2bl w:val="nil"/>
            </w:tcBorders>
            <w:noWrap/>
            <w:vAlign w:val="center"/>
          </w:tcPr>
          <w:p>
            <w:pPr>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项目拟用地约100亩，建设年产2000台套高功率激光数控机床建设项目</w:t>
            </w:r>
            <w:r>
              <w:rPr>
                <w:rFonts w:hint="eastAsia" w:ascii="宋体" w:hAnsi="宋体" w:cs="宋体"/>
                <w:sz w:val="21"/>
                <w:szCs w:val="21"/>
                <w:lang w:eastAsia="zh-CN"/>
              </w:rPr>
              <w:t>。</w:t>
            </w:r>
          </w:p>
        </w:tc>
        <w:tc>
          <w:tcPr>
            <w:tcW w:w="398" w:type="pct"/>
            <w:tcBorders>
              <w:tl2br w:val="nil"/>
              <w:tr2bl w:val="nil"/>
            </w:tcBorders>
            <w:noWrap/>
            <w:vAlign w:val="center"/>
          </w:tcPr>
          <w:p>
            <w:pPr>
              <w:jc w:val="center"/>
              <w:rPr>
                <w:rFonts w:ascii="宋体" w:hAnsi="宋体" w:eastAsia="宋体" w:cs="宋体"/>
                <w:kern w:val="2"/>
                <w:sz w:val="21"/>
                <w:szCs w:val="21"/>
                <w:lang w:val="en-US" w:eastAsia="zh-CN" w:bidi="ar-SA"/>
              </w:rPr>
            </w:pPr>
            <w:r>
              <w:rPr>
                <w:rFonts w:ascii="宋体" w:hAnsi="宋体" w:eastAsia="宋体" w:cs="宋体"/>
                <w:sz w:val="21"/>
                <w:szCs w:val="21"/>
              </w:rPr>
              <w:t>50000</w:t>
            </w:r>
          </w:p>
        </w:tc>
        <w:tc>
          <w:tcPr>
            <w:tcW w:w="479" w:type="pct"/>
            <w:tcBorders>
              <w:tl2br w:val="nil"/>
              <w:tr2bl w:val="nil"/>
            </w:tcBorders>
            <w:noWrap/>
            <w:vAlign w:val="center"/>
          </w:tcPr>
          <w:p>
            <w:pPr>
              <w:jc w:val="center"/>
              <w:rPr>
                <w:rFonts w:ascii="宋体" w:hAnsi="宋体" w:eastAsia="宋体" w:cs="宋体"/>
                <w:kern w:val="2"/>
                <w:sz w:val="21"/>
                <w:szCs w:val="21"/>
                <w:lang w:val="en-US" w:eastAsia="zh-CN" w:bidi="ar-SA"/>
              </w:rPr>
            </w:pPr>
            <w:r>
              <w:rPr>
                <w:rFonts w:ascii="宋体" w:hAnsi="宋体" w:eastAsia="宋体" w:cs="宋体"/>
                <w:sz w:val="21"/>
                <w:szCs w:val="21"/>
              </w:rPr>
              <w:t>50000</w:t>
            </w:r>
          </w:p>
        </w:tc>
        <w:tc>
          <w:tcPr>
            <w:tcW w:w="516" w:type="pct"/>
            <w:tcBorders>
              <w:tl2br w:val="nil"/>
              <w:tr2bl w:val="nil"/>
            </w:tcBorders>
            <w:noWrap/>
            <w:vAlign w:val="center"/>
          </w:tcPr>
          <w:p>
            <w:pPr>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经开区管委会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1" w:hRule="atLeast"/>
          <w:jc w:val="center"/>
        </w:trPr>
        <w:tc>
          <w:tcPr>
            <w:tcW w:w="225" w:type="pct"/>
            <w:tcBorders>
              <w:tl2br w:val="nil"/>
              <w:tr2bl w:val="nil"/>
            </w:tcBorders>
            <w:noWrap/>
            <w:vAlign w:val="center"/>
          </w:tcPr>
          <w:p>
            <w:pPr>
              <w:jc w:val="center"/>
              <w:rPr>
                <w:rFonts w:ascii="宋体" w:hAnsi="宋体" w:eastAsia="宋体" w:cs="宋体"/>
                <w:color w:val="000000"/>
                <w:sz w:val="21"/>
                <w:szCs w:val="21"/>
              </w:rPr>
            </w:pPr>
            <w:r>
              <w:rPr>
                <w:rFonts w:ascii="宋体" w:hAnsi="宋体" w:eastAsia="宋体" w:cs="宋体"/>
                <w:color w:val="000000"/>
                <w:sz w:val="21"/>
                <w:szCs w:val="21"/>
              </w:rPr>
              <w:t>16</w:t>
            </w:r>
          </w:p>
        </w:tc>
        <w:tc>
          <w:tcPr>
            <w:tcW w:w="542" w:type="pct"/>
            <w:tcBorders>
              <w:tl2br w:val="nil"/>
              <w:tr2bl w:val="nil"/>
            </w:tcBorders>
            <w:noWrap/>
            <w:vAlign w:val="center"/>
          </w:tcPr>
          <w:p>
            <w:pPr>
              <w:jc w:val="lef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 xml:space="preserve">中国温州安全 </w:t>
            </w:r>
          </w:p>
          <w:p>
            <w:pPr>
              <w:jc w:val="left"/>
              <w:rPr>
                <w:rFonts w:hint="eastAsia" w:ascii="宋体" w:hAnsi="宋体" w:eastAsia="宋体" w:cs="宋体"/>
                <w:kern w:val="2"/>
                <w:sz w:val="21"/>
                <w:szCs w:val="21"/>
                <w:lang w:val="en-US" w:eastAsia="zh-CN" w:bidi="ar-SA"/>
              </w:rPr>
            </w:pPr>
            <w:r>
              <w:rPr>
                <w:rFonts w:hint="eastAsia" w:ascii="宋体" w:hAnsi="宋体" w:eastAsia="宋体" w:cs="宋体"/>
                <w:color w:val="auto"/>
                <w:sz w:val="21"/>
                <w:szCs w:val="21"/>
                <w:lang w:val="en-US" w:eastAsia="zh-CN"/>
              </w:rPr>
              <w:t>（应急）产业园</w:t>
            </w:r>
          </w:p>
        </w:tc>
        <w:tc>
          <w:tcPr>
            <w:tcW w:w="348" w:type="pct"/>
            <w:tcBorders>
              <w:tl2br w:val="nil"/>
              <w:tr2bl w:val="nil"/>
            </w:tcBorders>
            <w:noWrap/>
            <w:vAlign w:val="center"/>
          </w:tcPr>
          <w:p>
            <w:pPr>
              <w:widowControl/>
              <w:jc w:val="center"/>
              <w:rPr>
                <w:rFonts w:hint="eastAsia" w:ascii="宋体" w:hAnsi="宋体" w:eastAsia="宋体" w:cs="宋体"/>
                <w:kern w:val="2"/>
                <w:sz w:val="21"/>
                <w:szCs w:val="21"/>
                <w:lang w:val="en-US" w:eastAsia="zh-CN" w:bidi="ar-SA"/>
              </w:rPr>
            </w:pPr>
            <w:r>
              <w:rPr>
                <w:rFonts w:hint="eastAsia" w:ascii="宋体" w:hAnsi="宋体" w:cs="宋体"/>
                <w:sz w:val="21"/>
                <w:szCs w:val="21"/>
              </w:rPr>
              <w:t>新建</w:t>
            </w:r>
          </w:p>
        </w:tc>
        <w:tc>
          <w:tcPr>
            <w:tcW w:w="348" w:type="pct"/>
            <w:tcBorders>
              <w:tl2br w:val="nil"/>
              <w:tr2bl w:val="nil"/>
            </w:tcBorders>
            <w:noWrap/>
            <w:vAlign w:val="center"/>
          </w:tcPr>
          <w:p>
            <w:pPr>
              <w:rPr>
                <w:rFonts w:ascii="宋体" w:hAnsi="宋体" w:eastAsia="宋体" w:cs="宋体"/>
                <w:kern w:val="2"/>
                <w:sz w:val="21"/>
                <w:szCs w:val="21"/>
                <w:lang w:val="en-US" w:eastAsia="zh-CN" w:bidi="ar-SA"/>
              </w:rPr>
            </w:pPr>
            <w:r>
              <w:rPr>
                <w:rFonts w:ascii="宋体" w:hAnsi="宋体" w:eastAsia="宋体" w:cs="宋体"/>
                <w:sz w:val="21"/>
                <w:szCs w:val="21"/>
              </w:rPr>
              <w:t>202</w:t>
            </w:r>
            <w:r>
              <w:rPr>
                <w:rFonts w:hint="eastAsia" w:ascii="宋体" w:hAnsi="宋体" w:cs="宋体"/>
                <w:sz w:val="21"/>
                <w:szCs w:val="21"/>
                <w:lang w:val="en-US" w:eastAsia="zh-CN"/>
              </w:rPr>
              <w:t>0</w:t>
            </w:r>
            <w:r>
              <w:rPr>
                <w:rFonts w:hint="eastAsia" w:ascii="宋体" w:hAnsi="宋体" w:eastAsia="宋体" w:cs="宋体"/>
                <w:sz w:val="21"/>
                <w:szCs w:val="21"/>
              </w:rPr>
              <w:t>年—</w:t>
            </w:r>
            <w:r>
              <w:rPr>
                <w:rFonts w:ascii="宋体" w:hAnsi="宋体" w:eastAsia="宋体" w:cs="宋体"/>
                <w:sz w:val="21"/>
                <w:szCs w:val="21"/>
              </w:rPr>
              <w:t>202</w:t>
            </w:r>
            <w:r>
              <w:rPr>
                <w:rFonts w:hint="eastAsia" w:ascii="宋体" w:hAnsi="宋体" w:cs="宋体"/>
                <w:sz w:val="21"/>
                <w:szCs w:val="21"/>
                <w:lang w:val="en-US" w:eastAsia="zh-CN"/>
              </w:rPr>
              <w:t>3</w:t>
            </w:r>
            <w:r>
              <w:rPr>
                <w:rFonts w:hint="eastAsia" w:ascii="宋体" w:hAnsi="宋体" w:eastAsia="宋体" w:cs="宋体"/>
                <w:sz w:val="21"/>
                <w:szCs w:val="21"/>
              </w:rPr>
              <w:t>年</w:t>
            </w:r>
          </w:p>
        </w:tc>
        <w:tc>
          <w:tcPr>
            <w:tcW w:w="404" w:type="pct"/>
            <w:tcBorders>
              <w:tl2br w:val="nil"/>
              <w:tr2bl w:val="nil"/>
            </w:tcBorders>
            <w:noWrap/>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瓯江口产业集聚区</w:t>
            </w:r>
          </w:p>
        </w:tc>
        <w:tc>
          <w:tcPr>
            <w:tcW w:w="1734" w:type="pct"/>
            <w:tcBorders>
              <w:tl2br w:val="nil"/>
              <w:tr2bl w:val="nil"/>
            </w:tcBorders>
            <w:noWrap/>
            <w:vAlign w:val="center"/>
          </w:tcPr>
          <w:p>
            <w:pPr>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建设以安全（应急）产业为主导的企业总部、双创生产、研发、办公等工程。</w:t>
            </w:r>
          </w:p>
        </w:tc>
        <w:tc>
          <w:tcPr>
            <w:tcW w:w="398" w:type="pct"/>
            <w:tcBorders>
              <w:tl2br w:val="nil"/>
              <w:tr2bl w:val="nil"/>
            </w:tcBorders>
            <w:noWrap/>
            <w:vAlign w:val="center"/>
          </w:tcPr>
          <w:p>
            <w:pPr>
              <w:jc w:val="center"/>
              <w:rPr>
                <w:rFonts w:ascii="宋体" w:hAnsi="宋体" w:eastAsia="宋体" w:cs="宋体"/>
                <w:kern w:val="2"/>
                <w:sz w:val="21"/>
                <w:szCs w:val="21"/>
                <w:lang w:val="en-US" w:eastAsia="zh-CN" w:bidi="ar-SA"/>
              </w:rPr>
            </w:pPr>
            <w:r>
              <w:rPr>
                <w:rFonts w:ascii="宋体" w:hAnsi="宋体" w:eastAsia="宋体" w:cs="宋体"/>
                <w:sz w:val="21"/>
                <w:szCs w:val="21"/>
              </w:rPr>
              <w:t>2</w:t>
            </w:r>
            <w:r>
              <w:rPr>
                <w:rFonts w:hint="eastAsia" w:ascii="宋体" w:hAnsi="宋体" w:cs="宋体"/>
                <w:sz w:val="21"/>
                <w:szCs w:val="21"/>
                <w:lang w:val="en-US" w:eastAsia="zh-CN"/>
              </w:rPr>
              <w:t>52</w:t>
            </w:r>
            <w:r>
              <w:rPr>
                <w:rFonts w:ascii="宋体" w:hAnsi="宋体" w:eastAsia="宋体" w:cs="宋体"/>
                <w:sz w:val="21"/>
                <w:szCs w:val="21"/>
              </w:rPr>
              <w:t>000</w:t>
            </w:r>
          </w:p>
        </w:tc>
        <w:tc>
          <w:tcPr>
            <w:tcW w:w="479" w:type="pct"/>
            <w:tcBorders>
              <w:tl2br w:val="nil"/>
              <w:tr2bl w:val="nil"/>
            </w:tcBorders>
            <w:noWrap/>
            <w:vAlign w:val="center"/>
          </w:tcPr>
          <w:p>
            <w:pPr>
              <w:jc w:val="center"/>
              <w:rPr>
                <w:rFonts w:ascii="宋体" w:hAnsi="宋体" w:eastAsia="宋体" w:cs="宋体"/>
                <w:kern w:val="2"/>
                <w:sz w:val="21"/>
                <w:szCs w:val="21"/>
                <w:lang w:val="en-US" w:eastAsia="zh-CN" w:bidi="ar-SA"/>
              </w:rPr>
            </w:pPr>
            <w:r>
              <w:rPr>
                <w:rFonts w:ascii="宋体" w:hAnsi="宋体" w:eastAsia="宋体" w:cs="宋体"/>
                <w:sz w:val="21"/>
                <w:szCs w:val="21"/>
              </w:rPr>
              <w:t>200000</w:t>
            </w:r>
          </w:p>
        </w:tc>
        <w:tc>
          <w:tcPr>
            <w:tcW w:w="516" w:type="pct"/>
            <w:tcBorders>
              <w:tl2br w:val="nil"/>
              <w:tr2bl w:val="nil"/>
            </w:tcBorders>
            <w:noWrap/>
            <w:vAlign w:val="center"/>
          </w:tcPr>
          <w:p>
            <w:pPr>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温州瓯江口产业集聚区管理委员会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1" w:hRule="atLeast"/>
          <w:jc w:val="center"/>
        </w:trPr>
        <w:tc>
          <w:tcPr>
            <w:tcW w:w="225" w:type="pct"/>
            <w:tcBorders>
              <w:tl2br w:val="nil"/>
              <w:tr2bl w:val="nil"/>
            </w:tcBorders>
            <w:noWrap/>
            <w:vAlign w:val="center"/>
          </w:tcPr>
          <w:p>
            <w:pPr>
              <w:jc w:val="center"/>
              <w:rPr>
                <w:rFonts w:hint="default" w:ascii="宋体" w:hAnsi="宋体" w:eastAsia="宋体" w:cs="宋体"/>
                <w:color w:val="auto"/>
                <w:kern w:val="2"/>
                <w:sz w:val="21"/>
                <w:szCs w:val="21"/>
                <w:lang w:val="en-US" w:eastAsia="zh-CN" w:bidi="ar-SA"/>
              </w:rPr>
            </w:pPr>
            <w:r>
              <w:rPr>
                <w:rFonts w:hint="eastAsia" w:ascii="宋体" w:hAnsi="宋体" w:cs="宋体"/>
                <w:color w:val="auto"/>
                <w:sz w:val="21"/>
                <w:szCs w:val="21"/>
                <w:lang w:eastAsia="zh-CN"/>
              </w:rPr>
              <w:t>1</w:t>
            </w:r>
            <w:r>
              <w:rPr>
                <w:rFonts w:hint="eastAsia" w:ascii="宋体" w:hAnsi="宋体" w:cs="宋体"/>
                <w:color w:val="auto"/>
                <w:sz w:val="21"/>
                <w:szCs w:val="21"/>
                <w:lang w:val="en-US" w:eastAsia="zh-CN"/>
              </w:rPr>
              <w:t>7</w:t>
            </w:r>
          </w:p>
        </w:tc>
        <w:tc>
          <w:tcPr>
            <w:tcW w:w="542" w:type="pct"/>
            <w:tcBorders>
              <w:tl2br w:val="nil"/>
              <w:tr2bl w:val="nil"/>
            </w:tcBorders>
            <w:noWrap/>
            <w:vAlign w:val="center"/>
          </w:tcPr>
          <w:p>
            <w:pPr>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温州（嘉定）科创园二期建设项目</w:t>
            </w:r>
          </w:p>
        </w:tc>
        <w:tc>
          <w:tcPr>
            <w:tcW w:w="348" w:type="pct"/>
            <w:tcBorders>
              <w:tl2br w:val="nil"/>
              <w:tr2bl w:val="nil"/>
            </w:tcBorders>
            <w:noWrap/>
            <w:vAlign w:val="center"/>
          </w:tcPr>
          <w:p>
            <w:pPr>
              <w:widowControl/>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新</w:t>
            </w:r>
            <w:r>
              <w:rPr>
                <w:rFonts w:hint="eastAsia" w:ascii="宋体" w:hAnsi="宋体" w:cs="宋体"/>
                <w:color w:val="auto"/>
                <w:sz w:val="21"/>
                <w:szCs w:val="21"/>
              </w:rPr>
              <w:t>建</w:t>
            </w:r>
          </w:p>
        </w:tc>
        <w:tc>
          <w:tcPr>
            <w:tcW w:w="348" w:type="pct"/>
            <w:tcBorders>
              <w:tl2br w:val="nil"/>
              <w:tr2bl w:val="nil"/>
            </w:tcBorders>
            <w:noWrap/>
            <w:vAlign w:val="center"/>
          </w:tcPr>
          <w:p>
            <w:pPr>
              <w:rPr>
                <w:rFonts w:ascii="宋体" w:hAnsi="宋体" w:eastAsia="宋体" w:cs="宋体"/>
                <w:color w:val="auto"/>
                <w:kern w:val="2"/>
                <w:sz w:val="21"/>
                <w:szCs w:val="21"/>
                <w:lang w:val="en-US" w:eastAsia="zh-CN" w:bidi="ar-SA"/>
              </w:rPr>
            </w:pPr>
            <w:r>
              <w:rPr>
                <w:rFonts w:ascii="宋体" w:hAnsi="宋体" w:eastAsia="宋体" w:cs="宋体"/>
                <w:color w:val="auto"/>
                <w:sz w:val="21"/>
                <w:szCs w:val="21"/>
              </w:rPr>
              <w:t>202</w:t>
            </w:r>
            <w:r>
              <w:rPr>
                <w:rFonts w:hint="eastAsia" w:ascii="宋体" w:hAnsi="宋体" w:cs="宋体"/>
                <w:color w:val="auto"/>
                <w:sz w:val="21"/>
                <w:szCs w:val="21"/>
                <w:lang w:val="en-US" w:eastAsia="zh-CN"/>
              </w:rPr>
              <w:t>1</w:t>
            </w:r>
            <w:r>
              <w:rPr>
                <w:rFonts w:ascii="宋体" w:hAnsi="宋体" w:eastAsia="宋体" w:cs="宋体"/>
                <w:color w:val="auto"/>
                <w:sz w:val="21"/>
                <w:szCs w:val="21"/>
              </w:rPr>
              <w:t>年—2023年</w:t>
            </w:r>
          </w:p>
        </w:tc>
        <w:tc>
          <w:tcPr>
            <w:tcW w:w="404" w:type="pct"/>
            <w:tcBorders>
              <w:tl2br w:val="nil"/>
              <w:tr2bl w:val="nil"/>
            </w:tcBorders>
            <w:noWrap/>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上海市嘉定区</w:t>
            </w:r>
          </w:p>
        </w:tc>
        <w:tc>
          <w:tcPr>
            <w:tcW w:w="1734" w:type="pct"/>
            <w:tcBorders>
              <w:tl2br w:val="nil"/>
              <w:tr2bl w:val="nil"/>
            </w:tcBorders>
            <w:noWrap/>
            <w:vAlign w:val="center"/>
          </w:tcPr>
          <w:p>
            <w:pPr>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总建筑面积9万平方米，建设内容主要包括研发用房、科研和生活配套等。</w:t>
            </w:r>
          </w:p>
        </w:tc>
        <w:tc>
          <w:tcPr>
            <w:tcW w:w="398" w:type="pct"/>
            <w:tcBorders>
              <w:tl2br w:val="nil"/>
              <w:tr2bl w:val="nil"/>
            </w:tcBorders>
            <w:noWrap/>
            <w:vAlign w:val="center"/>
          </w:tcPr>
          <w:p>
            <w:pPr>
              <w:jc w:val="center"/>
              <w:rPr>
                <w:rFonts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100</w:t>
            </w:r>
            <w:r>
              <w:rPr>
                <w:rFonts w:ascii="宋体" w:hAnsi="宋体" w:eastAsia="宋体" w:cs="宋体"/>
                <w:color w:val="auto"/>
                <w:sz w:val="21"/>
                <w:szCs w:val="21"/>
              </w:rPr>
              <w:t>000</w:t>
            </w:r>
          </w:p>
        </w:tc>
        <w:tc>
          <w:tcPr>
            <w:tcW w:w="479" w:type="pct"/>
            <w:tcBorders>
              <w:tl2br w:val="nil"/>
              <w:tr2bl w:val="nil"/>
            </w:tcBorders>
            <w:noWrap/>
            <w:vAlign w:val="center"/>
          </w:tcPr>
          <w:p>
            <w:pPr>
              <w:jc w:val="center"/>
              <w:rPr>
                <w:rFonts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100</w:t>
            </w:r>
            <w:r>
              <w:rPr>
                <w:rFonts w:ascii="宋体" w:hAnsi="宋体" w:eastAsia="宋体" w:cs="宋体"/>
                <w:color w:val="auto"/>
                <w:sz w:val="21"/>
                <w:szCs w:val="21"/>
              </w:rPr>
              <w:t>000</w:t>
            </w:r>
          </w:p>
        </w:tc>
        <w:tc>
          <w:tcPr>
            <w:tcW w:w="516" w:type="pct"/>
            <w:tcBorders>
              <w:tl2br w:val="nil"/>
              <w:tr2bl w:val="nil"/>
            </w:tcBorders>
            <w:noWrap/>
            <w:vAlign w:val="center"/>
          </w:tcPr>
          <w:p>
            <w:pPr>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温州现代集团有限公司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1" w:hRule="atLeast"/>
          <w:jc w:val="center"/>
        </w:trPr>
        <w:tc>
          <w:tcPr>
            <w:tcW w:w="225" w:type="pct"/>
            <w:tcBorders>
              <w:tl2br w:val="nil"/>
              <w:tr2bl w:val="nil"/>
            </w:tcBorders>
            <w:noWrap/>
            <w:vAlign w:val="center"/>
          </w:tcPr>
          <w:p>
            <w:pPr>
              <w:jc w:val="center"/>
              <w:rPr>
                <w:rFonts w:hint="default" w:ascii="宋体" w:hAnsi="宋体" w:eastAsia="宋体" w:cs="宋体"/>
                <w:color w:val="auto"/>
                <w:kern w:val="2"/>
                <w:sz w:val="21"/>
                <w:szCs w:val="21"/>
                <w:lang w:val="en-US" w:eastAsia="zh-CN" w:bidi="ar-SA"/>
              </w:rPr>
            </w:pPr>
            <w:r>
              <w:rPr>
                <w:rFonts w:hint="eastAsia" w:ascii="宋体" w:hAnsi="宋体" w:cs="宋体"/>
                <w:color w:val="auto"/>
                <w:sz w:val="21"/>
                <w:szCs w:val="21"/>
                <w:lang w:eastAsia="zh-CN"/>
              </w:rPr>
              <w:t>1</w:t>
            </w:r>
            <w:r>
              <w:rPr>
                <w:rFonts w:hint="eastAsia" w:ascii="宋体" w:hAnsi="宋体" w:cs="宋体"/>
                <w:color w:val="auto"/>
                <w:sz w:val="21"/>
                <w:szCs w:val="21"/>
                <w:lang w:val="en-US" w:eastAsia="zh-CN"/>
              </w:rPr>
              <w:t>8</w:t>
            </w:r>
          </w:p>
        </w:tc>
        <w:tc>
          <w:tcPr>
            <w:tcW w:w="542" w:type="pct"/>
            <w:tcBorders>
              <w:tl2br w:val="nil"/>
              <w:tr2bl w:val="nil"/>
            </w:tcBorders>
            <w:noWrap/>
            <w:vAlign w:val="center"/>
          </w:tcPr>
          <w:p>
            <w:pPr>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瓯江口电力物联网与工业互联网融合发展项目</w:t>
            </w:r>
          </w:p>
        </w:tc>
        <w:tc>
          <w:tcPr>
            <w:tcW w:w="348" w:type="pct"/>
            <w:tcBorders>
              <w:tl2br w:val="nil"/>
              <w:tr2bl w:val="nil"/>
            </w:tcBorders>
            <w:noWrap/>
            <w:vAlign w:val="center"/>
          </w:tcPr>
          <w:p>
            <w:pPr>
              <w:widowControl/>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新</w:t>
            </w:r>
            <w:r>
              <w:rPr>
                <w:rFonts w:hint="eastAsia" w:ascii="宋体" w:hAnsi="宋体" w:cs="宋体"/>
                <w:color w:val="auto"/>
                <w:sz w:val="21"/>
                <w:szCs w:val="21"/>
              </w:rPr>
              <w:t>建</w:t>
            </w:r>
          </w:p>
        </w:tc>
        <w:tc>
          <w:tcPr>
            <w:tcW w:w="348" w:type="pct"/>
            <w:tcBorders>
              <w:tl2br w:val="nil"/>
              <w:tr2bl w:val="nil"/>
            </w:tcBorders>
            <w:noWrap/>
            <w:vAlign w:val="center"/>
          </w:tcPr>
          <w:p>
            <w:pPr>
              <w:rPr>
                <w:rFonts w:ascii="宋体" w:hAnsi="宋体" w:eastAsia="宋体" w:cs="宋体"/>
                <w:color w:val="auto"/>
                <w:kern w:val="2"/>
                <w:sz w:val="21"/>
                <w:szCs w:val="21"/>
                <w:lang w:val="en-US" w:eastAsia="zh-CN" w:bidi="ar-SA"/>
              </w:rPr>
            </w:pPr>
            <w:r>
              <w:rPr>
                <w:rFonts w:ascii="宋体" w:hAnsi="宋体" w:eastAsia="宋体" w:cs="宋体"/>
                <w:color w:val="auto"/>
                <w:sz w:val="21"/>
                <w:szCs w:val="21"/>
              </w:rPr>
              <w:t>202</w:t>
            </w:r>
            <w:r>
              <w:rPr>
                <w:rFonts w:hint="eastAsia" w:ascii="宋体" w:hAnsi="宋体" w:cs="宋体"/>
                <w:color w:val="auto"/>
                <w:sz w:val="21"/>
                <w:szCs w:val="21"/>
                <w:lang w:val="en-US" w:eastAsia="zh-CN"/>
              </w:rPr>
              <w:t>1</w:t>
            </w:r>
            <w:r>
              <w:rPr>
                <w:rFonts w:hint="eastAsia" w:ascii="宋体" w:hAnsi="宋体" w:eastAsia="宋体" w:cs="宋体"/>
                <w:color w:val="auto"/>
                <w:sz w:val="21"/>
                <w:szCs w:val="21"/>
              </w:rPr>
              <w:t>年—</w:t>
            </w:r>
            <w:r>
              <w:rPr>
                <w:rFonts w:ascii="宋体" w:hAnsi="宋体" w:eastAsia="宋体" w:cs="宋体"/>
                <w:color w:val="auto"/>
                <w:sz w:val="21"/>
                <w:szCs w:val="21"/>
              </w:rPr>
              <w:t>202</w:t>
            </w:r>
            <w:r>
              <w:rPr>
                <w:rFonts w:hint="eastAsia" w:ascii="宋体" w:hAnsi="宋体" w:cs="宋体"/>
                <w:color w:val="auto"/>
                <w:sz w:val="21"/>
                <w:szCs w:val="21"/>
                <w:lang w:val="en-US" w:eastAsia="zh-CN"/>
              </w:rPr>
              <w:t>4</w:t>
            </w:r>
            <w:r>
              <w:rPr>
                <w:rFonts w:hint="eastAsia" w:ascii="宋体" w:hAnsi="宋体" w:eastAsia="宋体" w:cs="宋体"/>
                <w:color w:val="auto"/>
                <w:sz w:val="21"/>
                <w:szCs w:val="21"/>
              </w:rPr>
              <w:t>年</w:t>
            </w:r>
          </w:p>
        </w:tc>
        <w:tc>
          <w:tcPr>
            <w:tcW w:w="404" w:type="pct"/>
            <w:tcBorders>
              <w:tl2br w:val="nil"/>
              <w:tr2bl w:val="nil"/>
            </w:tcBorders>
            <w:noWrap/>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瓯江口</w:t>
            </w:r>
          </w:p>
        </w:tc>
        <w:tc>
          <w:tcPr>
            <w:tcW w:w="1734" w:type="pct"/>
            <w:tcBorders>
              <w:tl2br w:val="nil"/>
              <w:tr2bl w:val="nil"/>
            </w:tcBorders>
            <w:noWrap/>
            <w:vAlign w:val="center"/>
          </w:tcPr>
          <w:p>
            <w:pPr>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包括工业云数据中心、城市基础设施升级、电动汽车充电网络和具备能源特色的行业级工业互联网平台等。</w:t>
            </w:r>
          </w:p>
        </w:tc>
        <w:tc>
          <w:tcPr>
            <w:tcW w:w="398" w:type="pct"/>
            <w:tcBorders>
              <w:tl2br w:val="nil"/>
              <w:tr2bl w:val="nil"/>
            </w:tcBorders>
            <w:noWrap/>
            <w:vAlign w:val="center"/>
          </w:tcPr>
          <w:p>
            <w:pPr>
              <w:jc w:val="center"/>
              <w:rPr>
                <w:rFonts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131</w:t>
            </w:r>
            <w:r>
              <w:rPr>
                <w:rFonts w:ascii="宋体" w:hAnsi="宋体" w:eastAsia="宋体" w:cs="宋体"/>
                <w:color w:val="auto"/>
                <w:sz w:val="21"/>
                <w:szCs w:val="21"/>
              </w:rPr>
              <w:t>000</w:t>
            </w:r>
          </w:p>
        </w:tc>
        <w:tc>
          <w:tcPr>
            <w:tcW w:w="479" w:type="pct"/>
            <w:tcBorders>
              <w:tl2br w:val="nil"/>
              <w:tr2bl w:val="nil"/>
            </w:tcBorders>
            <w:noWrap/>
            <w:vAlign w:val="center"/>
          </w:tcPr>
          <w:p>
            <w:pPr>
              <w:jc w:val="center"/>
              <w:rPr>
                <w:rFonts w:ascii="宋体" w:hAnsi="宋体" w:eastAsia="宋体" w:cs="宋体"/>
                <w:color w:val="auto"/>
                <w:kern w:val="2"/>
                <w:sz w:val="21"/>
                <w:szCs w:val="21"/>
                <w:lang w:val="en-US" w:eastAsia="zh-CN" w:bidi="ar-SA"/>
              </w:rPr>
            </w:pPr>
            <w:r>
              <w:rPr>
                <w:rFonts w:ascii="宋体" w:hAnsi="宋体" w:eastAsia="宋体" w:cs="宋体"/>
                <w:color w:val="auto"/>
                <w:sz w:val="21"/>
                <w:szCs w:val="21"/>
              </w:rPr>
              <w:t>1</w:t>
            </w:r>
            <w:r>
              <w:rPr>
                <w:rFonts w:hint="eastAsia" w:ascii="宋体" w:hAnsi="宋体" w:cs="宋体"/>
                <w:color w:val="auto"/>
                <w:sz w:val="21"/>
                <w:szCs w:val="21"/>
                <w:lang w:val="en-US" w:eastAsia="zh-CN"/>
              </w:rPr>
              <w:t>31</w:t>
            </w:r>
            <w:r>
              <w:rPr>
                <w:rFonts w:ascii="宋体" w:hAnsi="宋体" w:eastAsia="宋体" w:cs="宋体"/>
                <w:color w:val="auto"/>
                <w:sz w:val="21"/>
                <w:szCs w:val="21"/>
              </w:rPr>
              <w:t>000</w:t>
            </w:r>
          </w:p>
        </w:tc>
        <w:tc>
          <w:tcPr>
            <w:tcW w:w="516" w:type="pct"/>
            <w:tcBorders>
              <w:tl2br w:val="nil"/>
              <w:tr2bl w:val="nil"/>
            </w:tcBorders>
            <w:noWrap/>
            <w:vAlign w:val="center"/>
          </w:tcPr>
          <w:p>
            <w:pPr>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瓯江口产业集聚区管委会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225" w:type="pct"/>
            <w:tcBorders>
              <w:tl2br w:val="nil"/>
              <w:tr2bl w:val="nil"/>
            </w:tcBorders>
            <w:noWrap/>
            <w:vAlign w:val="center"/>
          </w:tcPr>
          <w:p>
            <w:pPr>
              <w:jc w:val="center"/>
              <w:rPr>
                <w:rFonts w:hint="eastAsia" w:ascii="宋体" w:hAnsi="宋体" w:eastAsia="宋体" w:cs="宋体"/>
                <w:color w:val="000000"/>
                <w:sz w:val="21"/>
                <w:szCs w:val="21"/>
                <w:lang w:eastAsia="zh-CN"/>
              </w:rPr>
            </w:pPr>
            <w:r>
              <w:rPr>
                <w:rFonts w:ascii="宋体" w:hAnsi="宋体" w:eastAsia="宋体" w:cs="宋体"/>
                <w:color w:val="000000"/>
                <w:sz w:val="21"/>
                <w:szCs w:val="21"/>
              </w:rPr>
              <w:t>1</w:t>
            </w:r>
            <w:r>
              <w:rPr>
                <w:rFonts w:hint="eastAsia" w:ascii="宋体" w:hAnsi="宋体" w:cs="宋体"/>
                <w:color w:val="000000"/>
                <w:sz w:val="21"/>
                <w:szCs w:val="21"/>
                <w:lang w:val="en-US" w:eastAsia="zh-CN"/>
              </w:rPr>
              <w:t>9</w:t>
            </w:r>
          </w:p>
        </w:tc>
        <w:tc>
          <w:tcPr>
            <w:tcW w:w="542" w:type="pct"/>
            <w:tcBorders>
              <w:tl2br w:val="nil"/>
              <w:tr2bl w:val="nil"/>
            </w:tcBorders>
            <w:noWrap/>
            <w:vAlign w:val="center"/>
          </w:tcPr>
          <w:p>
            <w:pPr>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东新科创园</w:t>
            </w:r>
          </w:p>
        </w:tc>
        <w:tc>
          <w:tcPr>
            <w:tcW w:w="348" w:type="pct"/>
            <w:tcBorders>
              <w:tl2br w:val="nil"/>
              <w:tr2bl w:val="nil"/>
            </w:tcBorders>
            <w:noWrap/>
            <w:vAlign w:val="center"/>
          </w:tcPr>
          <w:p>
            <w:pPr>
              <w:widowControl/>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续</w:t>
            </w:r>
            <w:r>
              <w:rPr>
                <w:rFonts w:hint="eastAsia" w:ascii="宋体" w:hAnsi="宋体" w:cs="宋体"/>
                <w:sz w:val="21"/>
                <w:szCs w:val="21"/>
              </w:rPr>
              <w:t>建</w:t>
            </w:r>
          </w:p>
        </w:tc>
        <w:tc>
          <w:tcPr>
            <w:tcW w:w="348" w:type="pct"/>
            <w:tcBorders>
              <w:tl2br w:val="nil"/>
              <w:tr2bl w:val="nil"/>
            </w:tcBorders>
            <w:noWrap/>
            <w:vAlign w:val="center"/>
          </w:tcPr>
          <w:p>
            <w:pPr>
              <w:rPr>
                <w:rFonts w:ascii="宋体" w:hAnsi="宋体" w:eastAsia="宋体" w:cs="宋体"/>
                <w:kern w:val="2"/>
                <w:sz w:val="21"/>
                <w:szCs w:val="21"/>
                <w:lang w:val="en-US" w:eastAsia="zh-CN" w:bidi="ar-SA"/>
              </w:rPr>
            </w:pPr>
            <w:r>
              <w:rPr>
                <w:rFonts w:ascii="宋体" w:hAnsi="宋体" w:eastAsia="宋体" w:cs="宋体"/>
                <w:sz w:val="21"/>
                <w:szCs w:val="21"/>
              </w:rPr>
              <w:t>202</w:t>
            </w:r>
            <w:r>
              <w:rPr>
                <w:rFonts w:hint="eastAsia" w:ascii="宋体" w:hAnsi="宋体" w:cs="宋体"/>
                <w:sz w:val="21"/>
                <w:szCs w:val="21"/>
                <w:lang w:val="en-US" w:eastAsia="zh-CN"/>
              </w:rPr>
              <w:t>0</w:t>
            </w:r>
            <w:r>
              <w:rPr>
                <w:rFonts w:hint="eastAsia" w:ascii="宋体" w:hAnsi="宋体" w:eastAsia="宋体" w:cs="宋体"/>
                <w:sz w:val="21"/>
                <w:szCs w:val="21"/>
              </w:rPr>
              <w:t>年—</w:t>
            </w:r>
            <w:r>
              <w:rPr>
                <w:rFonts w:ascii="宋体" w:hAnsi="宋体" w:eastAsia="宋体" w:cs="宋体"/>
                <w:sz w:val="21"/>
                <w:szCs w:val="21"/>
              </w:rPr>
              <w:t>202</w:t>
            </w:r>
            <w:r>
              <w:rPr>
                <w:rFonts w:hint="eastAsia" w:ascii="宋体" w:hAnsi="宋体" w:cs="宋体"/>
                <w:sz w:val="21"/>
                <w:szCs w:val="21"/>
                <w:lang w:val="en-US" w:eastAsia="zh-CN"/>
              </w:rPr>
              <w:t>2</w:t>
            </w:r>
            <w:r>
              <w:rPr>
                <w:rFonts w:hint="eastAsia" w:ascii="宋体" w:hAnsi="宋体" w:eastAsia="宋体" w:cs="宋体"/>
                <w:sz w:val="21"/>
                <w:szCs w:val="21"/>
              </w:rPr>
              <w:t>年</w:t>
            </w:r>
          </w:p>
        </w:tc>
        <w:tc>
          <w:tcPr>
            <w:tcW w:w="404" w:type="pct"/>
            <w:tcBorders>
              <w:tl2br w:val="nil"/>
              <w:tr2bl w:val="nil"/>
            </w:tcBorders>
            <w:noWrap/>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瑞安市</w:t>
            </w:r>
          </w:p>
        </w:tc>
        <w:tc>
          <w:tcPr>
            <w:tcW w:w="1734" w:type="pct"/>
            <w:tcBorders>
              <w:tl2br w:val="nil"/>
              <w:tr2bl w:val="nil"/>
            </w:tcBorders>
            <w:noWrap/>
            <w:vAlign w:val="center"/>
          </w:tcPr>
          <w:p>
            <w:pPr>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建设成以信息产业为核心，以创意产业为特色的创业平台和产业基地。</w:t>
            </w:r>
          </w:p>
        </w:tc>
        <w:tc>
          <w:tcPr>
            <w:tcW w:w="398" w:type="pct"/>
            <w:tcBorders>
              <w:tl2br w:val="nil"/>
              <w:tr2bl w:val="nil"/>
            </w:tcBorders>
            <w:noWrap/>
            <w:vAlign w:val="center"/>
          </w:tcPr>
          <w:p>
            <w:pPr>
              <w:jc w:val="center"/>
              <w:rPr>
                <w:rFonts w:ascii="宋体" w:hAnsi="宋体" w:eastAsia="宋体" w:cs="宋体"/>
                <w:kern w:val="2"/>
                <w:sz w:val="21"/>
                <w:szCs w:val="21"/>
                <w:lang w:val="en-US" w:eastAsia="zh-CN" w:bidi="ar-SA"/>
              </w:rPr>
            </w:pPr>
            <w:r>
              <w:rPr>
                <w:rFonts w:hint="eastAsia" w:ascii="宋体" w:hAnsi="宋体" w:cs="宋体"/>
                <w:sz w:val="21"/>
                <w:szCs w:val="21"/>
                <w:lang w:val="en-US" w:eastAsia="zh-CN"/>
              </w:rPr>
              <w:t>50</w:t>
            </w:r>
            <w:r>
              <w:rPr>
                <w:rFonts w:ascii="宋体" w:hAnsi="宋体" w:eastAsia="宋体" w:cs="宋体"/>
                <w:sz w:val="21"/>
                <w:szCs w:val="21"/>
              </w:rPr>
              <w:t>0000</w:t>
            </w:r>
          </w:p>
        </w:tc>
        <w:tc>
          <w:tcPr>
            <w:tcW w:w="479" w:type="pct"/>
            <w:tcBorders>
              <w:tl2br w:val="nil"/>
              <w:tr2bl w:val="nil"/>
            </w:tcBorders>
            <w:noWrap/>
            <w:vAlign w:val="center"/>
          </w:tcPr>
          <w:p>
            <w:pPr>
              <w:jc w:val="center"/>
              <w:rPr>
                <w:rFonts w:ascii="宋体" w:hAnsi="宋体" w:eastAsia="宋体" w:cs="宋体"/>
                <w:kern w:val="2"/>
                <w:sz w:val="21"/>
                <w:szCs w:val="21"/>
                <w:lang w:val="en-US" w:eastAsia="zh-CN" w:bidi="ar-SA"/>
              </w:rPr>
            </w:pPr>
            <w:r>
              <w:rPr>
                <w:rFonts w:hint="eastAsia" w:ascii="宋体" w:hAnsi="宋体" w:cs="宋体"/>
                <w:sz w:val="21"/>
                <w:szCs w:val="21"/>
                <w:lang w:val="en-US" w:eastAsia="zh-CN"/>
              </w:rPr>
              <w:t>45</w:t>
            </w:r>
            <w:r>
              <w:rPr>
                <w:rFonts w:ascii="宋体" w:hAnsi="宋体" w:eastAsia="宋体" w:cs="宋体"/>
                <w:sz w:val="21"/>
                <w:szCs w:val="21"/>
              </w:rPr>
              <w:t>0000</w:t>
            </w:r>
          </w:p>
        </w:tc>
        <w:tc>
          <w:tcPr>
            <w:tcW w:w="516" w:type="pct"/>
            <w:tcBorders>
              <w:tl2br w:val="nil"/>
              <w:tr2bl w:val="nil"/>
            </w:tcBorders>
            <w:noWrap/>
            <w:vAlign w:val="center"/>
          </w:tcPr>
          <w:p>
            <w:pPr>
              <w:jc w:val="left"/>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瑞安市政府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225" w:type="pct"/>
            <w:tcBorders>
              <w:tl2br w:val="nil"/>
              <w:tr2bl w:val="nil"/>
            </w:tcBorders>
            <w:noWrap/>
            <w:vAlign w:val="center"/>
          </w:tcPr>
          <w:p>
            <w:pPr>
              <w:jc w:val="center"/>
              <w:rPr>
                <w:rFonts w:hint="default" w:ascii="宋体" w:hAnsi="宋体" w:eastAsia="宋体" w:cs="宋体"/>
                <w:color w:val="000000"/>
                <w:sz w:val="21"/>
                <w:szCs w:val="21"/>
                <w:highlight w:val="none"/>
                <w:lang w:val="en-US" w:eastAsia="zh-CN"/>
              </w:rPr>
            </w:pPr>
            <w:r>
              <w:rPr>
                <w:rFonts w:hint="eastAsia" w:ascii="宋体" w:hAnsi="宋体" w:cs="宋体"/>
                <w:sz w:val="21"/>
                <w:szCs w:val="21"/>
                <w:highlight w:val="none"/>
                <w:lang w:val="en-US" w:eastAsia="zh-CN"/>
              </w:rPr>
              <w:t>20</w:t>
            </w:r>
          </w:p>
        </w:tc>
        <w:tc>
          <w:tcPr>
            <w:tcW w:w="542" w:type="pct"/>
            <w:tcBorders>
              <w:tl2br w:val="nil"/>
              <w:tr2bl w:val="nil"/>
            </w:tcBorders>
            <w:noWrap/>
            <w:vAlign w:val="center"/>
          </w:tcPr>
          <w:p>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鹿城-泰顺总部科创园</w:t>
            </w:r>
          </w:p>
        </w:tc>
        <w:tc>
          <w:tcPr>
            <w:tcW w:w="348" w:type="pct"/>
            <w:tcBorders>
              <w:tl2br w:val="nil"/>
              <w:tr2bl w:val="nil"/>
            </w:tcBorders>
            <w:noWrap/>
            <w:vAlign w:val="center"/>
          </w:tcPr>
          <w:p>
            <w:pPr>
              <w:widowControl/>
              <w:jc w:val="center"/>
              <w:rPr>
                <w:rFonts w:hint="eastAsia" w:ascii="宋体" w:hAnsi="宋体" w:cs="宋体"/>
                <w:sz w:val="21"/>
                <w:szCs w:val="21"/>
              </w:rPr>
            </w:pPr>
            <w:r>
              <w:rPr>
                <w:rFonts w:hint="eastAsia" w:ascii="宋体" w:hAnsi="宋体" w:cs="宋体"/>
                <w:sz w:val="21"/>
                <w:szCs w:val="21"/>
              </w:rPr>
              <w:t>续建</w:t>
            </w:r>
          </w:p>
        </w:tc>
        <w:tc>
          <w:tcPr>
            <w:tcW w:w="348" w:type="pct"/>
            <w:tcBorders>
              <w:tl2br w:val="nil"/>
              <w:tr2bl w:val="nil"/>
            </w:tcBorders>
            <w:noWrap/>
            <w:vAlign w:val="center"/>
          </w:tcPr>
          <w:p>
            <w:pPr>
              <w:rPr>
                <w:rFonts w:ascii="宋体" w:hAnsi="宋体" w:eastAsia="宋体" w:cs="宋体"/>
                <w:sz w:val="21"/>
                <w:szCs w:val="21"/>
              </w:rPr>
            </w:pPr>
            <w:r>
              <w:rPr>
                <w:rFonts w:ascii="宋体" w:hAnsi="宋体" w:eastAsia="宋体" w:cs="宋体"/>
                <w:sz w:val="21"/>
                <w:szCs w:val="21"/>
              </w:rPr>
              <w:t>2019年</w:t>
            </w:r>
            <w:r>
              <w:rPr>
                <w:rFonts w:hint="eastAsia" w:ascii="宋体" w:hAnsi="宋体" w:eastAsia="宋体" w:cs="宋体"/>
                <w:sz w:val="21"/>
                <w:szCs w:val="21"/>
              </w:rPr>
              <w:t>—</w:t>
            </w:r>
            <w:r>
              <w:rPr>
                <w:rFonts w:ascii="宋体" w:hAnsi="宋体" w:eastAsia="宋体" w:cs="宋体"/>
                <w:sz w:val="21"/>
                <w:szCs w:val="21"/>
              </w:rPr>
              <w:t>2022年</w:t>
            </w:r>
          </w:p>
        </w:tc>
        <w:tc>
          <w:tcPr>
            <w:tcW w:w="404" w:type="pct"/>
            <w:tcBorders>
              <w:tl2br w:val="nil"/>
              <w:tr2bl w:val="nil"/>
            </w:tcBorders>
            <w:noWrap/>
            <w:vAlign w:val="center"/>
          </w:tcPr>
          <w:p>
            <w:pPr>
              <w:jc w:val="center"/>
              <w:rPr>
                <w:rFonts w:hint="eastAsia" w:ascii="宋体" w:hAnsi="宋体" w:eastAsia="宋体" w:cs="宋体"/>
                <w:sz w:val="21"/>
                <w:szCs w:val="21"/>
              </w:rPr>
            </w:pPr>
            <w:r>
              <w:rPr>
                <w:rFonts w:hint="eastAsia" w:ascii="宋体" w:hAnsi="宋体" w:eastAsia="宋体" w:cs="宋体"/>
                <w:sz w:val="21"/>
                <w:szCs w:val="21"/>
              </w:rPr>
              <w:t>鹿城区（七都片区）</w:t>
            </w:r>
          </w:p>
        </w:tc>
        <w:tc>
          <w:tcPr>
            <w:tcW w:w="1734"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本项目功能定位是集总部办公、研发、产业孵化、商贸展销、金融、互联网大数据等功能于一体的综合性“飞地”园区。项目总占地面积9240平方米，总建筑面积为43596平方米。</w:t>
            </w:r>
          </w:p>
        </w:tc>
        <w:tc>
          <w:tcPr>
            <w:tcW w:w="398" w:type="pct"/>
            <w:tcBorders>
              <w:tl2br w:val="nil"/>
              <w:tr2bl w:val="nil"/>
            </w:tcBorders>
            <w:noWrap/>
            <w:vAlign w:val="center"/>
          </w:tcPr>
          <w:p>
            <w:pPr>
              <w:jc w:val="center"/>
              <w:rPr>
                <w:rFonts w:ascii="宋体" w:hAnsi="宋体" w:eastAsia="宋体" w:cs="宋体"/>
                <w:sz w:val="21"/>
                <w:szCs w:val="21"/>
              </w:rPr>
            </w:pPr>
            <w:r>
              <w:rPr>
                <w:rFonts w:ascii="宋体" w:hAnsi="宋体" w:eastAsia="宋体" w:cs="宋体"/>
                <w:sz w:val="21"/>
                <w:szCs w:val="21"/>
              </w:rPr>
              <w:t>32100</w:t>
            </w:r>
          </w:p>
        </w:tc>
        <w:tc>
          <w:tcPr>
            <w:tcW w:w="479" w:type="pct"/>
            <w:tcBorders>
              <w:tl2br w:val="nil"/>
              <w:tr2bl w:val="nil"/>
            </w:tcBorders>
            <w:noWrap/>
            <w:vAlign w:val="center"/>
          </w:tcPr>
          <w:p>
            <w:pPr>
              <w:jc w:val="center"/>
              <w:rPr>
                <w:rFonts w:ascii="宋体" w:hAnsi="宋体" w:eastAsia="宋体" w:cs="宋体"/>
                <w:sz w:val="21"/>
                <w:szCs w:val="21"/>
              </w:rPr>
            </w:pPr>
            <w:r>
              <w:rPr>
                <w:rFonts w:ascii="宋体" w:hAnsi="宋体" w:eastAsia="宋体" w:cs="宋体"/>
                <w:sz w:val="21"/>
                <w:szCs w:val="21"/>
              </w:rPr>
              <w:t>16050</w:t>
            </w:r>
          </w:p>
        </w:tc>
        <w:tc>
          <w:tcPr>
            <w:tcW w:w="516"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温州鹿泰置业有限公司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5" w:type="pct"/>
            <w:tcBorders>
              <w:tl2br w:val="nil"/>
              <w:tr2bl w:val="nil"/>
            </w:tcBorders>
            <w:noWrap/>
            <w:vAlign w:val="center"/>
          </w:tcPr>
          <w:p>
            <w:pPr>
              <w:jc w:val="center"/>
              <w:rPr>
                <w:rFonts w:hint="default" w:ascii="宋体" w:hAnsi="宋体" w:eastAsia="宋体" w:cs="宋体"/>
                <w:color w:val="000000"/>
                <w:sz w:val="21"/>
                <w:szCs w:val="21"/>
                <w:highlight w:val="none"/>
              </w:rPr>
            </w:pPr>
            <w:r>
              <w:rPr>
                <w:rFonts w:hint="eastAsia" w:ascii="宋体" w:hAnsi="宋体" w:cs="宋体"/>
                <w:color w:val="000000"/>
                <w:sz w:val="21"/>
                <w:szCs w:val="21"/>
                <w:highlight w:val="none"/>
                <w:lang w:eastAsia="zh-CN"/>
              </w:rPr>
              <w:t>2</w:t>
            </w:r>
            <w:r>
              <w:rPr>
                <w:rFonts w:hint="eastAsia" w:ascii="宋体" w:hAnsi="宋体" w:cs="宋体"/>
                <w:color w:val="000000"/>
                <w:sz w:val="21"/>
                <w:szCs w:val="21"/>
                <w:highlight w:val="none"/>
                <w:lang w:val="en-US" w:eastAsia="zh-CN"/>
              </w:rPr>
              <w:t>1</w:t>
            </w:r>
          </w:p>
        </w:tc>
        <w:tc>
          <w:tcPr>
            <w:tcW w:w="542" w:type="pct"/>
            <w:tcBorders>
              <w:tl2br w:val="nil"/>
              <w:tr2bl w:val="nil"/>
            </w:tcBorders>
            <w:noWrap/>
            <w:vAlign w:val="center"/>
          </w:tcPr>
          <w:p>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中国基因药谷</w:t>
            </w:r>
          </w:p>
        </w:tc>
        <w:tc>
          <w:tcPr>
            <w:tcW w:w="348" w:type="pct"/>
            <w:tcBorders>
              <w:tl2br w:val="nil"/>
              <w:tr2bl w:val="nil"/>
            </w:tcBorders>
            <w:noWrap/>
            <w:vAlign w:val="center"/>
          </w:tcPr>
          <w:p>
            <w:pPr>
              <w:widowControl/>
              <w:jc w:val="center"/>
              <w:rPr>
                <w:rFonts w:hint="eastAsia" w:ascii="宋体" w:hAnsi="宋体" w:cs="宋体"/>
                <w:sz w:val="21"/>
                <w:szCs w:val="21"/>
              </w:rPr>
            </w:pPr>
            <w:r>
              <w:rPr>
                <w:rFonts w:hint="eastAsia" w:ascii="宋体" w:hAnsi="宋体" w:cs="宋体"/>
                <w:sz w:val="21"/>
                <w:szCs w:val="21"/>
              </w:rPr>
              <w:t>续建</w:t>
            </w:r>
          </w:p>
        </w:tc>
        <w:tc>
          <w:tcPr>
            <w:tcW w:w="348" w:type="pct"/>
            <w:tcBorders>
              <w:tl2br w:val="nil"/>
              <w:tr2bl w:val="nil"/>
            </w:tcBorders>
            <w:noWrap/>
            <w:vAlign w:val="center"/>
          </w:tcPr>
          <w:p>
            <w:pPr>
              <w:rPr>
                <w:rFonts w:ascii="宋体" w:hAnsi="宋体" w:eastAsia="宋体" w:cs="宋体"/>
                <w:sz w:val="21"/>
                <w:szCs w:val="21"/>
              </w:rPr>
            </w:pPr>
            <w:r>
              <w:rPr>
                <w:rFonts w:ascii="宋体" w:hAnsi="宋体" w:eastAsia="宋体" w:cs="宋体"/>
                <w:sz w:val="21"/>
                <w:szCs w:val="21"/>
              </w:rPr>
              <w:t>2020年—202</w:t>
            </w:r>
            <w:r>
              <w:rPr>
                <w:rFonts w:hint="eastAsia" w:ascii="宋体" w:hAnsi="宋体" w:cs="宋体"/>
                <w:sz w:val="21"/>
                <w:szCs w:val="21"/>
                <w:lang w:val="en-US" w:eastAsia="zh-CN"/>
              </w:rPr>
              <w:t>5</w:t>
            </w:r>
            <w:r>
              <w:rPr>
                <w:rFonts w:ascii="宋体" w:hAnsi="宋体" w:eastAsia="宋体" w:cs="宋体"/>
                <w:sz w:val="21"/>
                <w:szCs w:val="21"/>
              </w:rPr>
              <w:t>年</w:t>
            </w:r>
          </w:p>
        </w:tc>
        <w:tc>
          <w:tcPr>
            <w:tcW w:w="404" w:type="pct"/>
            <w:tcBorders>
              <w:tl2br w:val="nil"/>
              <w:tr2bl w:val="nil"/>
            </w:tcBorders>
            <w:noWrap/>
            <w:vAlign w:val="center"/>
          </w:tcPr>
          <w:p>
            <w:pPr>
              <w:jc w:val="center"/>
              <w:rPr>
                <w:rFonts w:hint="eastAsia" w:ascii="宋体" w:hAnsi="宋体" w:eastAsia="宋体" w:cs="宋体"/>
                <w:sz w:val="21"/>
                <w:szCs w:val="21"/>
              </w:rPr>
            </w:pPr>
            <w:r>
              <w:rPr>
                <w:rFonts w:hint="eastAsia" w:ascii="宋体" w:hAnsi="宋体" w:eastAsia="宋体" w:cs="宋体"/>
                <w:sz w:val="21"/>
                <w:szCs w:val="21"/>
              </w:rPr>
              <w:t>瓯海区</w:t>
            </w:r>
          </w:p>
        </w:tc>
        <w:tc>
          <w:tcPr>
            <w:tcW w:w="1734"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项目总用地630亩，总建筑面积约93万平方米。打造集研发生产、孵化办公、医学中心、人才配套为一体的生物医药产业综合体。</w:t>
            </w:r>
          </w:p>
        </w:tc>
        <w:tc>
          <w:tcPr>
            <w:tcW w:w="398" w:type="pct"/>
            <w:tcBorders>
              <w:tl2br w:val="nil"/>
              <w:tr2bl w:val="nil"/>
            </w:tcBorders>
            <w:noWrap/>
            <w:vAlign w:val="center"/>
          </w:tcPr>
          <w:p>
            <w:pPr>
              <w:jc w:val="center"/>
              <w:rPr>
                <w:rFonts w:ascii="宋体" w:hAnsi="宋体" w:eastAsia="宋体" w:cs="宋体"/>
                <w:sz w:val="21"/>
                <w:szCs w:val="21"/>
              </w:rPr>
            </w:pPr>
            <w:r>
              <w:rPr>
                <w:rFonts w:hint="eastAsia" w:ascii="宋体" w:hAnsi="宋体" w:cs="宋体"/>
                <w:sz w:val="21"/>
                <w:szCs w:val="21"/>
                <w:lang w:val="en-US" w:eastAsia="zh-CN"/>
              </w:rPr>
              <w:t>6</w:t>
            </w:r>
            <w:r>
              <w:rPr>
                <w:rFonts w:ascii="宋体" w:hAnsi="宋体" w:eastAsia="宋体" w:cs="宋体"/>
                <w:sz w:val="21"/>
                <w:szCs w:val="21"/>
              </w:rPr>
              <w:t>00000</w:t>
            </w:r>
          </w:p>
        </w:tc>
        <w:tc>
          <w:tcPr>
            <w:tcW w:w="479" w:type="pct"/>
            <w:tcBorders>
              <w:tl2br w:val="nil"/>
              <w:tr2bl w:val="nil"/>
            </w:tcBorders>
            <w:noWrap/>
            <w:vAlign w:val="center"/>
          </w:tcPr>
          <w:p>
            <w:pPr>
              <w:jc w:val="center"/>
              <w:rPr>
                <w:rFonts w:ascii="宋体" w:hAnsi="宋体" w:eastAsia="宋体" w:cs="宋体"/>
                <w:sz w:val="21"/>
                <w:szCs w:val="21"/>
              </w:rPr>
            </w:pPr>
            <w:r>
              <w:rPr>
                <w:rFonts w:hint="eastAsia" w:ascii="宋体" w:hAnsi="宋体" w:cs="宋体"/>
                <w:sz w:val="21"/>
                <w:szCs w:val="21"/>
                <w:lang w:val="en-US" w:eastAsia="zh-CN"/>
              </w:rPr>
              <w:t>598</w:t>
            </w:r>
            <w:r>
              <w:rPr>
                <w:rFonts w:ascii="宋体" w:hAnsi="宋体" w:eastAsia="宋体" w:cs="宋体"/>
                <w:sz w:val="21"/>
                <w:szCs w:val="21"/>
              </w:rPr>
              <w:t>000</w:t>
            </w:r>
          </w:p>
        </w:tc>
        <w:tc>
          <w:tcPr>
            <w:tcW w:w="516" w:type="pct"/>
            <w:tcBorders>
              <w:tl2br w:val="nil"/>
              <w:tr2bl w:val="nil"/>
            </w:tcBorders>
            <w:noWrap/>
            <w:vAlign w:val="center"/>
          </w:tcPr>
          <w:p>
            <w:pPr>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瓯海区政府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1" w:hRule="atLeast"/>
          <w:jc w:val="center"/>
        </w:trPr>
        <w:tc>
          <w:tcPr>
            <w:tcW w:w="225" w:type="pct"/>
            <w:tcBorders>
              <w:tl2br w:val="nil"/>
              <w:tr2bl w:val="nil"/>
            </w:tcBorders>
            <w:noWrap/>
            <w:vAlign w:val="center"/>
          </w:tcPr>
          <w:p>
            <w:pPr>
              <w:jc w:val="center"/>
              <w:rPr>
                <w:rFonts w:hint="eastAsia" w:ascii="宋体" w:hAnsi="宋体" w:eastAsia="宋体" w:cs="宋体"/>
                <w:color w:val="000000"/>
                <w:sz w:val="21"/>
                <w:szCs w:val="21"/>
                <w:highlight w:val="none"/>
                <w:lang w:eastAsia="zh-CN"/>
              </w:rPr>
            </w:pPr>
            <w:r>
              <w:rPr>
                <w:rFonts w:ascii="宋体" w:hAnsi="宋体" w:eastAsia="宋体" w:cs="宋体"/>
                <w:color w:val="000000"/>
                <w:sz w:val="21"/>
                <w:szCs w:val="21"/>
                <w:highlight w:val="none"/>
              </w:rPr>
              <w:t>2</w:t>
            </w:r>
            <w:r>
              <w:rPr>
                <w:rFonts w:hint="eastAsia" w:ascii="宋体" w:hAnsi="宋体" w:cs="宋体"/>
                <w:color w:val="000000"/>
                <w:sz w:val="21"/>
                <w:szCs w:val="21"/>
                <w:highlight w:val="none"/>
                <w:lang w:val="en-US" w:eastAsia="zh-CN"/>
              </w:rPr>
              <w:t>2</w:t>
            </w:r>
          </w:p>
        </w:tc>
        <w:tc>
          <w:tcPr>
            <w:tcW w:w="542" w:type="pct"/>
            <w:tcBorders>
              <w:tl2br w:val="nil"/>
              <w:tr2bl w:val="nil"/>
            </w:tcBorders>
            <w:noWrap/>
            <w:vAlign w:val="center"/>
          </w:tcPr>
          <w:p>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世界青年科学家峰会创业园/孵化器</w:t>
            </w:r>
          </w:p>
        </w:tc>
        <w:tc>
          <w:tcPr>
            <w:tcW w:w="348" w:type="pct"/>
            <w:tcBorders>
              <w:tl2br w:val="nil"/>
              <w:tr2bl w:val="nil"/>
            </w:tcBorders>
            <w:noWrap/>
            <w:vAlign w:val="center"/>
          </w:tcPr>
          <w:p>
            <w:pPr>
              <w:widowControl/>
              <w:jc w:val="center"/>
              <w:rPr>
                <w:rFonts w:hint="eastAsia" w:ascii="宋体" w:hAnsi="宋体" w:cs="宋体"/>
                <w:sz w:val="21"/>
                <w:szCs w:val="21"/>
              </w:rPr>
            </w:pPr>
            <w:r>
              <w:rPr>
                <w:rFonts w:hint="eastAsia" w:ascii="宋体" w:hAnsi="宋体" w:cs="宋体"/>
                <w:sz w:val="21"/>
                <w:szCs w:val="21"/>
              </w:rPr>
              <w:t>续建</w:t>
            </w:r>
          </w:p>
        </w:tc>
        <w:tc>
          <w:tcPr>
            <w:tcW w:w="348" w:type="pct"/>
            <w:tcBorders>
              <w:tl2br w:val="nil"/>
              <w:tr2bl w:val="nil"/>
            </w:tcBorders>
            <w:noWrap/>
            <w:vAlign w:val="center"/>
          </w:tcPr>
          <w:p>
            <w:pPr>
              <w:rPr>
                <w:rFonts w:ascii="宋体" w:hAnsi="宋体" w:eastAsia="宋体" w:cs="宋体"/>
                <w:sz w:val="21"/>
                <w:szCs w:val="21"/>
              </w:rPr>
            </w:pPr>
            <w:r>
              <w:rPr>
                <w:rFonts w:ascii="宋体" w:hAnsi="宋体" w:eastAsia="宋体" w:cs="宋体"/>
                <w:sz w:val="21"/>
                <w:szCs w:val="21"/>
              </w:rPr>
              <w:t>2020年—2025年</w:t>
            </w:r>
          </w:p>
        </w:tc>
        <w:tc>
          <w:tcPr>
            <w:tcW w:w="404" w:type="pct"/>
            <w:tcBorders>
              <w:tl2br w:val="nil"/>
              <w:tr2bl w:val="nil"/>
            </w:tcBorders>
            <w:noWrap/>
            <w:vAlign w:val="center"/>
          </w:tcPr>
          <w:p>
            <w:pPr>
              <w:jc w:val="center"/>
              <w:rPr>
                <w:rFonts w:hint="eastAsia" w:ascii="宋体" w:hAnsi="宋体" w:eastAsia="宋体" w:cs="宋体"/>
                <w:sz w:val="21"/>
                <w:szCs w:val="21"/>
              </w:rPr>
            </w:pPr>
            <w:r>
              <w:rPr>
                <w:rFonts w:hint="eastAsia" w:ascii="宋体" w:hAnsi="宋体" w:eastAsia="宋体" w:cs="宋体"/>
                <w:sz w:val="21"/>
                <w:szCs w:val="21"/>
              </w:rPr>
              <w:t>瓯海区</w:t>
            </w:r>
          </w:p>
        </w:tc>
        <w:tc>
          <w:tcPr>
            <w:tcW w:w="1734"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总用地面积54392.67㎡（81.589亩），总建筑面积约195838.55㎡，聚焦数字经济、智能装备、生命健康、新能源、新材料等五大战略性新兴产业，以“资本驱动”为特色，融合科技、人才、金融、市场等特色功能，打造一个集资源要素、孵化服务为一体的创新创业生态平台，五年内引进20个以上高层次科创项目。</w:t>
            </w:r>
          </w:p>
        </w:tc>
        <w:tc>
          <w:tcPr>
            <w:tcW w:w="398" w:type="pct"/>
            <w:tcBorders>
              <w:tl2br w:val="nil"/>
              <w:tr2bl w:val="nil"/>
            </w:tcBorders>
            <w:noWrap/>
            <w:vAlign w:val="center"/>
          </w:tcPr>
          <w:p>
            <w:pPr>
              <w:jc w:val="center"/>
              <w:rPr>
                <w:rFonts w:ascii="宋体" w:hAnsi="宋体" w:eastAsia="宋体" w:cs="宋体"/>
                <w:sz w:val="21"/>
                <w:szCs w:val="21"/>
              </w:rPr>
            </w:pPr>
            <w:r>
              <w:rPr>
                <w:rFonts w:ascii="宋体" w:hAnsi="宋体" w:eastAsia="宋体" w:cs="宋体"/>
                <w:sz w:val="21"/>
                <w:szCs w:val="21"/>
              </w:rPr>
              <w:t>93378</w:t>
            </w:r>
          </w:p>
        </w:tc>
        <w:tc>
          <w:tcPr>
            <w:tcW w:w="479" w:type="pct"/>
            <w:tcBorders>
              <w:tl2br w:val="nil"/>
              <w:tr2bl w:val="nil"/>
            </w:tcBorders>
            <w:noWrap/>
            <w:vAlign w:val="center"/>
          </w:tcPr>
          <w:p>
            <w:pPr>
              <w:jc w:val="center"/>
              <w:rPr>
                <w:rFonts w:ascii="宋体" w:hAnsi="宋体" w:eastAsia="宋体" w:cs="宋体"/>
                <w:sz w:val="21"/>
                <w:szCs w:val="21"/>
              </w:rPr>
            </w:pPr>
            <w:r>
              <w:rPr>
                <w:rFonts w:ascii="宋体" w:hAnsi="宋体" w:eastAsia="宋体" w:cs="宋体"/>
                <w:sz w:val="21"/>
                <w:szCs w:val="21"/>
              </w:rPr>
              <w:t>63548</w:t>
            </w:r>
          </w:p>
        </w:tc>
        <w:tc>
          <w:tcPr>
            <w:tcW w:w="516"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市高教新区发展中心、</w:t>
            </w:r>
          </w:p>
          <w:p>
            <w:pPr>
              <w:jc w:val="left"/>
              <w:rPr>
                <w:rFonts w:hint="eastAsia" w:ascii="宋体" w:hAnsi="宋体" w:eastAsia="宋体" w:cs="宋体"/>
                <w:sz w:val="21"/>
                <w:szCs w:val="21"/>
              </w:rPr>
            </w:pPr>
            <w:r>
              <w:rPr>
                <w:rFonts w:hint="eastAsia" w:ascii="宋体" w:hAnsi="宋体" w:eastAsia="宋体" w:cs="宋体"/>
                <w:sz w:val="21"/>
                <w:szCs w:val="21"/>
              </w:rPr>
              <w:t>市高教新区建设中心、</w:t>
            </w:r>
          </w:p>
          <w:p>
            <w:pPr>
              <w:jc w:val="left"/>
              <w:rPr>
                <w:rFonts w:hint="eastAsia" w:ascii="宋体" w:hAnsi="宋体" w:eastAsia="宋体" w:cs="宋体"/>
                <w:sz w:val="21"/>
                <w:szCs w:val="21"/>
              </w:rPr>
            </w:pPr>
            <w:r>
              <w:rPr>
                <w:rFonts w:hint="eastAsia" w:ascii="宋体" w:hAnsi="宋体" w:eastAsia="宋体" w:cs="宋体"/>
                <w:sz w:val="21"/>
                <w:szCs w:val="21"/>
              </w:rPr>
              <w:t>瓯海科创集团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225" w:type="pct"/>
            <w:tcBorders>
              <w:tl2br w:val="nil"/>
              <w:tr2bl w:val="nil"/>
            </w:tcBorders>
            <w:noWrap/>
            <w:vAlign w:val="center"/>
          </w:tcPr>
          <w:p>
            <w:pPr>
              <w:jc w:val="center"/>
              <w:rPr>
                <w:rFonts w:hint="eastAsia" w:ascii="宋体" w:hAnsi="宋体" w:eastAsia="宋体" w:cs="宋体"/>
                <w:color w:val="000000"/>
                <w:sz w:val="21"/>
                <w:szCs w:val="21"/>
                <w:highlight w:val="none"/>
                <w:lang w:eastAsia="zh-CN"/>
              </w:rPr>
            </w:pPr>
            <w:r>
              <w:rPr>
                <w:rFonts w:ascii="宋体" w:hAnsi="宋体" w:eastAsia="宋体" w:cs="宋体"/>
                <w:color w:val="000000"/>
                <w:sz w:val="21"/>
                <w:szCs w:val="21"/>
                <w:highlight w:val="none"/>
              </w:rPr>
              <w:t>2</w:t>
            </w:r>
            <w:r>
              <w:rPr>
                <w:rFonts w:hint="eastAsia" w:ascii="宋体" w:hAnsi="宋体" w:cs="宋体"/>
                <w:color w:val="000000"/>
                <w:sz w:val="21"/>
                <w:szCs w:val="21"/>
                <w:highlight w:val="none"/>
                <w:lang w:val="en-US" w:eastAsia="zh-CN"/>
              </w:rPr>
              <w:t>3</w:t>
            </w:r>
          </w:p>
        </w:tc>
        <w:tc>
          <w:tcPr>
            <w:tcW w:w="542" w:type="pct"/>
            <w:tcBorders>
              <w:tl2br w:val="nil"/>
              <w:tr2bl w:val="nil"/>
            </w:tcBorders>
            <w:noWrap/>
            <w:vAlign w:val="center"/>
          </w:tcPr>
          <w:p>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温州健康产业创新中心7号楼工程</w:t>
            </w:r>
          </w:p>
        </w:tc>
        <w:tc>
          <w:tcPr>
            <w:tcW w:w="348" w:type="pct"/>
            <w:tcBorders>
              <w:tl2br w:val="nil"/>
              <w:tr2bl w:val="nil"/>
            </w:tcBorders>
            <w:noWrap/>
            <w:vAlign w:val="center"/>
          </w:tcPr>
          <w:p>
            <w:pPr>
              <w:widowControl/>
              <w:jc w:val="center"/>
              <w:rPr>
                <w:rFonts w:hint="eastAsia" w:ascii="宋体" w:hAnsi="宋体" w:cs="宋体"/>
                <w:sz w:val="21"/>
                <w:szCs w:val="21"/>
              </w:rPr>
            </w:pPr>
            <w:r>
              <w:rPr>
                <w:rFonts w:hint="eastAsia" w:ascii="宋体" w:hAnsi="宋体" w:cs="宋体"/>
                <w:sz w:val="21"/>
                <w:szCs w:val="21"/>
              </w:rPr>
              <w:t>续建</w:t>
            </w:r>
          </w:p>
        </w:tc>
        <w:tc>
          <w:tcPr>
            <w:tcW w:w="348" w:type="pct"/>
            <w:tcBorders>
              <w:tl2br w:val="nil"/>
              <w:tr2bl w:val="nil"/>
            </w:tcBorders>
            <w:noWrap/>
            <w:vAlign w:val="center"/>
          </w:tcPr>
          <w:p>
            <w:pPr>
              <w:rPr>
                <w:rFonts w:ascii="宋体" w:hAnsi="宋体" w:eastAsia="宋体" w:cs="宋体"/>
                <w:sz w:val="21"/>
                <w:szCs w:val="21"/>
              </w:rPr>
            </w:pPr>
            <w:r>
              <w:rPr>
                <w:rFonts w:ascii="宋体" w:hAnsi="宋体" w:eastAsia="宋体" w:cs="宋体"/>
                <w:sz w:val="21"/>
                <w:szCs w:val="21"/>
              </w:rPr>
              <w:t>2018年—2021年</w:t>
            </w:r>
          </w:p>
        </w:tc>
        <w:tc>
          <w:tcPr>
            <w:tcW w:w="404" w:type="pct"/>
            <w:tcBorders>
              <w:tl2br w:val="nil"/>
              <w:tr2bl w:val="nil"/>
            </w:tcBorders>
            <w:noWrap/>
            <w:vAlign w:val="center"/>
          </w:tcPr>
          <w:p>
            <w:pPr>
              <w:jc w:val="center"/>
              <w:rPr>
                <w:rFonts w:hint="eastAsia" w:ascii="宋体" w:hAnsi="宋体" w:eastAsia="宋体" w:cs="宋体"/>
                <w:sz w:val="21"/>
                <w:szCs w:val="21"/>
              </w:rPr>
            </w:pPr>
            <w:r>
              <w:rPr>
                <w:rFonts w:hint="eastAsia" w:ascii="宋体" w:hAnsi="宋体" w:eastAsia="宋体" w:cs="宋体"/>
                <w:sz w:val="21"/>
                <w:szCs w:val="21"/>
              </w:rPr>
              <w:t>瓯海区</w:t>
            </w:r>
          </w:p>
        </w:tc>
        <w:tc>
          <w:tcPr>
            <w:tcW w:w="1734"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项目位于温州市生命健康小镇（茶白片区上蔡单元）B-11b地块，用地面积41.92亩，建筑面积为4.95万平方米，其中地下室建筑面积1.27万平方米。</w:t>
            </w:r>
          </w:p>
        </w:tc>
        <w:tc>
          <w:tcPr>
            <w:tcW w:w="398" w:type="pct"/>
            <w:tcBorders>
              <w:tl2br w:val="nil"/>
              <w:tr2bl w:val="nil"/>
            </w:tcBorders>
            <w:noWrap/>
            <w:vAlign w:val="center"/>
          </w:tcPr>
          <w:p>
            <w:pPr>
              <w:jc w:val="center"/>
              <w:rPr>
                <w:rFonts w:ascii="宋体" w:hAnsi="宋体" w:eastAsia="宋体" w:cs="宋体"/>
                <w:sz w:val="21"/>
                <w:szCs w:val="21"/>
              </w:rPr>
            </w:pPr>
            <w:r>
              <w:rPr>
                <w:rFonts w:ascii="宋体" w:hAnsi="宋体" w:eastAsia="宋体" w:cs="宋体"/>
                <w:sz w:val="21"/>
                <w:szCs w:val="21"/>
              </w:rPr>
              <w:t>48705</w:t>
            </w:r>
          </w:p>
        </w:tc>
        <w:tc>
          <w:tcPr>
            <w:tcW w:w="479" w:type="pct"/>
            <w:tcBorders>
              <w:tl2br w:val="nil"/>
              <w:tr2bl w:val="nil"/>
            </w:tcBorders>
            <w:noWrap/>
            <w:vAlign w:val="center"/>
          </w:tcPr>
          <w:p>
            <w:pPr>
              <w:jc w:val="center"/>
              <w:rPr>
                <w:rFonts w:ascii="宋体" w:hAnsi="宋体" w:eastAsia="宋体" w:cs="宋体"/>
                <w:sz w:val="21"/>
                <w:szCs w:val="21"/>
              </w:rPr>
            </w:pPr>
            <w:r>
              <w:rPr>
                <w:rFonts w:ascii="宋体" w:hAnsi="宋体" w:eastAsia="宋体" w:cs="宋体"/>
                <w:sz w:val="21"/>
                <w:szCs w:val="21"/>
              </w:rPr>
              <w:t>7000</w:t>
            </w:r>
          </w:p>
        </w:tc>
        <w:tc>
          <w:tcPr>
            <w:tcW w:w="516"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市高教新区建设中心（温州市瓯海健康产业投资有限公司）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6" w:hRule="atLeast"/>
          <w:jc w:val="center"/>
        </w:trPr>
        <w:tc>
          <w:tcPr>
            <w:tcW w:w="225" w:type="pct"/>
            <w:tcBorders>
              <w:tl2br w:val="nil"/>
              <w:tr2bl w:val="nil"/>
            </w:tcBorders>
            <w:noWrap/>
            <w:vAlign w:val="center"/>
          </w:tcPr>
          <w:p>
            <w:pPr>
              <w:jc w:val="center"/>
              <w:rPr>
                <w:rFonts w:hint="eastAsia" w:ascii="宋体" w:hAnsi="宋体" w:eastAsia="宋体" w:cs="宋体"/>
                <w:color w:val="auto"/>
                <w:sz w:val="21"/>
                <w:szCs w:val="21"/>
                <w:lang w:eastAsia="zh-CN"/>
              </w:rPr>
            </w:pPr>
            <w:r>
              <w:rPr>
                <w:rFonts w:ascii="宋体" w:hAnsi="宋体" w:eastAsia="宋体" w:cs="宋体"/>
                <w:color w:val="auto"/>
                <w:sz w:val="21"/>
                <w:szCs w:val="21"/>
              </w:rPr>
              <w:t>2</w:t>
            </w:r>
            <w:r>
              <w:rPr>
                <w:rFonts w:hint="eastAsia" w:ascii="宋体" w:hAnsi="宋体" w:cs="宋体"/>
                <w:color w:val="auto"/>
                <w:sz w:val="21"/>
                <w:szCs w:val="21"/>
                <w:lang w:val="en-US" w:eastAsia="zh-CN"/>
              </w:rPr>
              <w:t>4</w:t>
            </w:r>
          </w:p>
        </w:tc>
        <w:tc>
          <w:tcPr>
            <w:tcW w:w="542" w:type="pct"/>
            <w:tcBorders>
              <w:tl2br w:val="nil"/>
              <w:tr2bl w:val="nil"/>
            </w:tcBorders>
            <w:noWrap/>
            <w:vAlign w:val="center"/>
          </w:tcPr>
          <w:p>
            <w:pPr>
              <w:jc w:val="left"/>
              <w:rPr>
                <w:rFonts w:hint="eastAsia" w:ascii="宋体" w:hAnsi="宋体" w:eastAsia="宋体" w:cs="宋体"/>
                <w:color w:val="auto"/>
                <w:sz w:val="21"/>
                <w:szCs w:val="21"/>
              </w:rPr>
            </w:pPr>
            <w:r>
              <w:rPr>
                <w:rFonts w:hint="eastAsia" w:ascii="宋体" w:hAnsi="宋体" w:eastAsia="宋体" w:cs="宋体"/>
                <w:color w:val="auto"/>
                <w:sz w:val="21"/>
                <w:szCs w:val="21"/>
              </w:rPr>
              <w:t>温州数字经济大厦</w:t>
            </w:r>
          </w:p>
        </w:tc>
        <w:tc>
          <w:tcPr>
            <w:tcW w:w="348" w:type="pct"/>
            <w:tcBorders>
              <w:tl2br w:val="nil"/>
              <w:tr2bl w:val="nil"/>
            </w:tcBorders>
            <w:noWrap/>
            <w:vAlign w:val="center"/>
          </w:tcPr>
          <w:p>
            <w:pPr>
              <w:widowControl/>
              <w:jc w:val="center"/>
              <w:rPr>
                <w:rFonts w:hint="eastAsia" w:ascii="宋体" w:hAnsi="宋体" w:cs="宋体"/>
                <w:sz w:val="21"/>
                <w:szCs w:val="21"/>
              </w:rPr>
            </w:pPr>
            <w:r>
              <w:rPr>
                <w:rFonts w:hint="eastAsia" w:ascii="宋体" w:hAnsi="宋体" w:cs="宋体"/>
                <w:sz w:val="21"/>
                <w:szCs w:val="21"/>
              </w:rPr>
              <w:t>续建</w:t>
            </w:r>
          </w:p>
        </w:tc>
        <w:tc>
          <w:tcPr>
            <w:tcW w:w="348" w:type="pct"/>
            <w:tcBorders>
              <w:tl2br w:val="nil"/>
              <w:tr2bl w:val="nil"/>
            </w:tcBorders>
            <w:noWrap/>
            <w:vAlign w:val="center"/>
          </w:tcPr>
          <w:p>
            <w:pPr>
              <w:rPr>
                <w:rFonts w:ascii="宋体" w:hAnsi="宋体" w:eastAsia="宋体" w:cs="宋体"/>
                <w:sz w:val="21"/>
                <w:szCs w:val="21"/>
              </w:rPr>
            </w:pPr>
            <w:r>
              <w:rPr>
                <w:rFonts w:ascii="宋体" w:hAnsi="宋体" w:eastAsia="宋体" w:cs="宋体"/>
                <w:sz w:val="21"/>
                <w:szCs w:val="21"/>
              </w:rPr>
              <w:t>2020年—2024年</w:t>
            </w:r>
          </w:p>
        </w:tc>
        <w:tc>
          <w:tcPr>
            <w:tcW w:w="404" w:type="pct"/>
            <w:tcBorders>
              <w:tl2br w:val="nil"/>
              <w:tr2bl w:val="nil"/>
            </w:tcBorders>
            <w:noWrap/>
            <w:vAlign w:val="center"/>
          </w:tcPr>
          <w:p>
            <w:pPr>
              <w:jc w:val="center"/>
              <w:rPr>
                <w:rFonts w:hint="eastAsia" w:ascii="宋体" w:hAnsi="宋体" w:eastAsia="宋体" w:cs="宋体"/>
                <w:sz w:val="21"/>
                <w:szCs w:val="21"/>
              </w:rPr>
            </w:pPr>
            <w:r>
              <w:rPr>
                <w:rFonts w:hint="eastAsia" w:ascii="宋体" w:hAnsi="宋体" w:eastAsia="宋体" w:cs="宋体"/>
                <w:sz w:val="21"/>
                <w:szCs w:val="21"/>
              </w:rPr>
              <w:t>瓯海区</w:t>
            </w:r>
          </w:p>
        </w:tc>
        <w:tc>
          <w:tcPr>
            <w:tcW w:w="1734"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温州数字经济（总部）大厦位于温州瓯海大道与东方路交叉路口，占地面积10亩，已建成2.1万平方米。打造软件信息产业企业集聚平台，快速形成一座辐射带动效应明显的数字经济集聚发展示范大楼，推动温州数字经济产业蓬勃发展。园区2020年主营业务收入10亿元以上，5年主营业务收入累计超100亿元。</w:t>
            </w:r>
          </w:p>
        </w:tc>
        <w:tc>
          <w:tcPr>
            <w:tcW w:w="398" w:type="pct"/>
            <w:tcBorders>
              <w:tl2br w:val="nil"/>
              <w:tr2bl w:val="nil"/>
            </w:tcBorders>
            <w:noWrap/>
            <w:vAlign w:val="center"/>
          </w:tcPr>
          <w:p>
            <w:pPr>
              <w:jc w:val="center"/>
              <w:rPr>
                <w:rFonts w:ascii="宋体" w:hAnsi="宋体" w:eastAsia="宋体" w:cs="宋体"/>
                <w:sz w:val="21"/>
                <w:szCs w:val="21"/>
              </w:rPr>
            </w:pPr>
            <w:r>
              <w:rPr>
                <w:rFonts w:ascii="宋体" w:hAnsi="宋体" w:eastAsia="宋体" w:cs="宋体"/>
                <w:sz w:val="21"/>
                <w:szCs w:val="21"/>
              </w:rPr>
              <w:t>20000</w:t>
            </w:r>
          </w:p>
        </w:tc>
        <w:tc>
          <w:tcPr>
            <w:tcW w:w="479" w:type="pct"/>
            <w:tcBorders>
              <w:tl2br w:val="nil"/>
              <w:tr2bl w:val="nil"/>
            </w:tcBorders>
            <w:noWrap/>
            <w:vAlign w:val="center"/>
          </w:tcPr>
          <w:p>
            <w:pPr>
              <w:jc w:val="center"/>
              <w:rPr>
                <w:rFonts w:ascii="宋体" w:hAnsi="宋体" w:eastAsia="宋体" w:cs="宋体"/>
                <w:sz w:val="21"/>
                <w:szCs w:val="21"/>
              </w:rPr>
            </w:pPr>
            <w:r>
              <w:rPr>
                <w:rFonts w:ascii="宋体" w:hAnsi="宋体" w:eastAsia="宋体" w:cs="宋体"/>
                <w:sz w:val="21"/>
                <w:szCs w:val="21"/>
              </w:rPr>
              <w:t>16000</w:t>
            </w:r>
          </w:p>
        </w:tc>
        <w:tc>
          <w:tcPr>
            <w:tcW w:w="516"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温州市高教新区发展中心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atLeast"/>
          <w:jc w:val="center"/>
        </w:trPr>
        <w:tc>
          <w:tcPr>
            <w:tcW w:w="225" w:type="pct"/>
            <w:tcBorders>
              <w:tl2br w:val="nil"/>
              <w:tr2bl w:val="nil"/>
            </w:tcBorders>
            <w:noWrap/>
            <w:vAlign w:val="center"/>
          </w:tcPr>
          <w:p>
            <w:pPr>
              <w:jc w:val="center"/>
              <w:rPr>
                <w:rFonts w:hint="eastAsia" w:ascii="宋体" w:hAnsi="宋体" w:eastAsia="宋体" w:cs="宋体"/>
                <w:color w:val="000000"/>
                <w:sz w:val="21"/>
                <w:szCs w:val="21"/>
                <w:lang w:eastAsia="zh-CN"/>
              </w:rPr>
            </w:pPr>
            <w:r>
              <w:rPr>
                <w:rFonts w:ascii="宋体" w:hAnsi="宋体" w:eastAsia="宋体" w:cs="宋体"/>
                <w:color w:val="000000"/>
                <w:sz w:val="21"/>
                <w:szCs w:val="21"/>
              </w:rPr>
              <w:t>2</w:t>
            </w:r>
            <w:r>
              <w:rPr>
                <w:rFonts w:hint="eastAsia" w:ascii="宋体" w:hAnsi="宋体" w:cs="宋体"/>
                <w:color w:val="000000"/>
                <w:sz w:val="21"/>
                <w:szCs w:val="21"/>
                <w:lang w:val="en-US" w:eastAsia="zh-CN"/>
              </w:rPr>
              <w:t>5</w:t>
            </w:r>
          </w:p>
        </w:tc>
        <w:tc>
          <w:tcPr>
            <w:tcW w:w="542" w:type="pct"/>
            <w:tcBorders>
              <w:tl2br w:val="nil"/>
              <w:tr2bl w:val="nil"/>
            </w:tcBorders>
            <w:noWrap/>
            <w:vAlign w:val="center"/>
          </w:tcPr>
          <w:p>
            <w:pPr>
              <w:jc w:val="left"/>
              <w:rPr>
                <w:rFonts w:hint="eastAsia" w:ascii="宋体" w:hAnsi="宋体" w:eastAsia="宋体" w:cs="宋体"/>
                <w:color w:val="auto"/>
                <w:sz w:val="21"/>
                <w:szCs w:val="21"/>
              </w:rPr>
            </w:pPr>
            <w:r>
              <w:rPr>
                <w:rFonts w:hint="eastAsia" w:ascii="宋体" w:hAnsi="宋体" w:eastAsia="宋体" w:cs="宋体"/>
                <w:color w:val="auto"/>
                <w:sz w:val="21"/>
                <w:szCs w:val="21"/>
              </w:rPr>
              <w:t>天心天思数字经济产业</w:t>
            </w:r>
            <w:r>
              <w:rPr>
                <w:rFonts w:hint="eastAsia" w:ascii="宋体" w:hAnsi="宋体" w:cs="宋体"/>
                <w:color w:val="auto"/>
                <w:sz w:val="21"/>
                <w:szCs w:val="21"/>
                <w:lang w:val="en-US" w:eastAsia="zh-CN"/>
              </w:rPr>
              <w:t>园</w:t>
            </w:r>
          </w:p>
        </w:tc>
        <w:tc>
          <w:tcPr>
            <w:tcW w:w="348" w:type="pct"/>
            <w:tcBorders>
              <w:tl2br w:val="nil"/>
              <w:tr2bl w:val="nil"/>
            </w:tcBorders>
            <w:noWrap/>
            <w:vAlign w:val="center"/>
          </w:tcPr>
          <w:p>
            <w:pPr>
              <w:widowControl/>
              <w:jc w:val="center"/>
              <w:rPr>
                <w:rFonts w:hint="eastAsia" w:ascii="宋体" w:hAnsi="宋体" w:cs="宋体"/>
                <w:color w:val="auto"/>
                <w:sz w:val="21"/>
                <w:szCs w:val="21"/>
              </w:rPr>
            </w:pPr>
            <w:r>
              <w:rPr>
                <w:rFonts w:hint="eastAsia" w:ascii="宋体" w:hAnsi="宋体" w:cs="宋体"/>
                <w:color w:val="auto"/>
                <w:sz w:val="21"/>
                <w:szCs w:val="21"/>
              </w:rPr>
              <w:t>续建</w:t>
            </w:r>
          </w:p>
        </w:tc>
        <w:tc>
          <w:tcPr>
            <w:tcW w:w="348" w:type="pct"/>
            <w:tcBorders>
              <w:tl2br w:val="nil"/>
              <w:tr2bl w:val="nil"/>
            </w:tcBorders>
            <w:noWrap/>
            <w:vAlign w:val="center"/>
          </w:tcPr>
          <w:p>
            <w:pPr>
              <w:rPr>
                <w:rFonts w:ascii="宋体" w:hAnsi="宋体" w:eastAsia="宋体" w:cs="宋体"/>
                <w:color w:val="auto"/>
                <w:sz w:val="21"/>
                <w:szCs w:val="21"/>
              </w:rPr>
            </w:pPr>
            <w:r>
              <w:rPr>
                <w:rFonts w:ascii="宋体" w:hAnsi="宋体" w:eastAsia="宋体" w:cs="宋体"/>
                <w:color w:val="auto"/>
                <w:sz w:val="21"/>
                <w:szCs w:val="21"/>
              </w:rPr>
              <w:t>2019年—2022年</w:t>
            </w:r>
          </w:p>
        </w:tc>
        <w:tc>
          <w:tcPr>
            <w:tcW w:w="404" w:type="pct"/>
            <w:tcBorders>
              <w:tl2br w:val="nil"/>
              <w:tr2bl w:val="nil"/>
            </w:tcBorders>
            <w:noWrap/>
            <w:vAlign w:val="center"/>
          </w:tcPr>
          <w:p>
            <w:pPr>
              <w:jc w:val="center"/>
              <w:rPr>
                <w:rFonts w:hint="eastAsia" w:ascii="宋体" w:hAnsi="宋体" w:eastAsia="宋体" w:cs="宋体"/>
                <w:color w:val="auto"/>
                <w:sz w:val="21"/>
                <w:szCs w:val="21"/>
                <w:lang w:eastAsia="zh-CN"/>
              </w:rPr>
            </w:pPr>
            <w:r>
              <w:rPr>
                <w:rFonts w:hint="eastAsia" w:ascii="宋体" w:hAnsi="宋体" w:cs="宋体"/>
                <w:color w:val="auto"/>
                <w:sz w:val="21"/>
                <w:szCs w:val="21"/>
                <w:lang w:eastAsia="zh-CN"/>
              </w:rPr>
              <w:t>浙南科技城</w:t>
            </w:r>
          </w:p>
        </w:tc>
        <w:tc>
          <w:tcPr>
            <w:tcW w:w="1734" w:type="pct"/>
            <w:tcBorders>
              <w:tl2br w:val="nil"/>
              <w:tr2bl w:val="nil"/>
            </w:tcBorders>
            <w:noWrap/>
            <w:vAlign w:val="center"/>
          </w:tcPr>
          <w:p>
            <w:pPr>
              <w:jc w:val="left"/>
              <w:rPr>
                <w:rFonts w:hint="eastAsia" w:ascii="宋体" w:hAnsi="宋体" w:eastAsia="宋体" w:cs="宋体"/>
                <w:color w:val="auto"/>
                <w:sz w:val="21"/>
                <w:szCs w:val="21"/>
              </w:rPr>
            </w:pPr>
            <w:r>
              <w:rPr>
                <w:rFonts w:hint="eastAsia" w:ascii="宋体" w:hAnsi="宋体" w:eastAsia="宋体" w:cs="宋体"/>
                <w:color w:val="auto"/>
                <w:sz w:val="21"/>
                <w:szCs w:val="21"/>
              </w:rPr>
              <w:t>该项目用地约169亩，建设建筑面积约29万平方米，拟打造数字经济与智能制造高端产业链，推进温州企业两化融合和智能制造升级，拟建设温州数字经济转型升级示范产业基地、研发中心、创新应用中心。</w:t>
            </w:r>
          </w:p>
        </w:tc>
        <w:tc>
          <w:tcPr>
            <w:tcW w:w="398" w:type="pct"/>
            <w:tcBorders>
              <w:tl2br w:val="nil"/>
              <w:tr2bl w:val="nil"/>
            </w:tcBorders>
            <w:noWrap/>
            <w:vAlign w:val="center"/>
          </w:tcPr>
          <w:p>
            <w:pPr>
              <w:jc w:val="center"/>
              <w:rPr>
                <w:rFonts w:ascii="宋体" w:hAnsi="宋体" w:eastAsia="宋体" w:cs="宋体"/>
                <w:color w:val="auto"/>
                <w:sz w:val="21"/>
                <w:szCs w:val="21"/>
              </w:rPr>
            </w:pPr>
            <w:r>
              <w:rPr>
                <w:rFonts w:ascii="宋体" w:hAnsi="宋体" w:eastAsia="宋体" w:cs="宋体"/>
                <w:color w:val="auto"/>
                <w:sz w:val="21"/>
                <w:szCs w:val="21"/>
              </w:rPr>
              <w:t>200000</w:t>
            </w:r>
          </w:p>
        </w:tc>
        <w:tc>
          <w:tcPr>
            <w:tcW w:w="479" w:type="pct"/>
            <w:tcBorders>
              <w:tl2br w:val="nil"/>
              <w:tr2bl w:val="nil"/>
            </w:tcBorders>
            <w:noWrap/>
            <w:vAlign w:val="center"/>
          </w:tcPr>
          <w:p>
            <w:pPr>
              <w:jc w:val="center"/>
              <w:rPr>
                <w:rFonts w:ascii="宋体" w:hAnsi="宋体" w:eastAsia="宋体" w:cs="宋体"/>
                <w:color w:val="auto"/>
                <w:sz w:val="21"/>
                <w:szCs w:val="21"/>
              </w:rPr>
            </w:pPr>
            <w:r>
              <w:rPr>
                <w:rFonts w:ascii="宋体" w:hAnsi="宋体" w:eastAsia="宋体" w:cs="宋体"/>
                <w:color w:val="auto"/>
                <w:sz w:val="21"/>
                <w:szCs w:val="21"/>
              </w:rPr>
              <w:t>1</w:t>
            </w:r>
            <w:r>
              <w:rPr>
                <w:rFonts w:hint="eastAsia" w:ascii="宋体" w:hAnsi="宋体" w:cs="宋体"/>
                <w:color w:val="auto"/>
                <w:sz w:val="21"/>
                <w:szCs w:val="21"/>
                <w:lang w:val="en-US" w:eastAsia="zh-CN"/>
              </w:rPr>
              <w:t>6</w:t>
            </w:r>
            <w:r>
              <w:rPr>
                <w:rFonts w:ascii="宋体" w:hAnsi="宋体" w:eastAsia="宋体" w:cs="宋体"/>
                <w:color w:val="auto"/>
                <w:sz w:val="21"/>
                <w:szCs w:val="21"/>
              </w:rPr>
              <w:t>0000</w:t>
            </w:r>
          </w:p>
        </w:tc>
        <w:tc>
          <w:tcPr>
            <w:tcW w:w="516" w:type="pct"/>
            <w:tcBorders>
              <w:tl2br w:val="nil"/>
              <w:tr2bl w:val="nil"/>
            </w:tcBorders>
            <w:noWrap/>
            <w:vAlign w:val="center"/>
          </w:tcPr>
          <w:p>
            <w:pPr>
              <w:jc w:val="left"/>
              <w:rPr>
                <w:rFonts w:hint="eastAsia" w:ascii="宋体" w:hAnsi="宋体" w:eastAsia="宋体" w:cs="宋体"/>
                <w:color w:val="auto"/>
                <w:sz w:val="21"/>
                <w:szCs w:val="21"/>
              </w:rPr>
            </w:pPr>
            <w:r>
              <w:rPr>
                <w:rFonts w:hint="eastAsia" w:ascii="Times New Roman" w:hAnsi="Times New Roman" w:eastAsia="宋体" w:cs="宋体"/>
                <w:color w:val="auto"/>
                <w:kern w:val="0"/>
                <w:sz w:val="21"/>
                <w:szCs w:val="21"/>
                <w:lang w:bidi="ar"/>
              </w:rPr>
              <w:t>温州高新区（浙南科技城）管委会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1" w:hRule="atLeast"/>
          <w:jc w:val="center"/>
        </w:trPr>
        <w:tc>
          <w:tcPr>
            <w:tcW w:w="225" w:type="pct"/>
            <w:tcBorders>
              <w:tl2br w:val="nil"/>
              <w:tr2bl w:val="nil"/>
            </w:tcBorders>
            <w:noWrap/>
            <w:vAlign w:val="center"/>
          </w:tcPr>
          <w:p>
            <w:pPr>
              <w:jc w:val="center"/>
              <w:rPr>
                <w:rFonts w:ascii="宋体" w:hAnsi="宋体" w:eastAsia="宋体" w:cs="宋体"/>
                <w:color w:val="000000"/>
                <w:sz w:val="21"/>
                <w:szCs w:val="21"/>
                <w:highlight w:val="none"/>
              </w:rPr>
            </w:pPr>
            <w:r>
              <w:rPr>
                <w:rFonts w:ascii="宋体" w:hAnsi="宋体" w:eastAsia="宋体" w:cs="宋体"/>
                <w:color w:val="000000"/>
                <w:sz w:val="21"/>
                <w:szCs w:val="21"/>
                <w:highlight w:val="none"/>
              </w:rPr>
              <w:t>2</w:t>
            </w:r>
            <w:r>
              <w:rPr>
                <w:rFonts w:hint="eastAsia" w:ascii="宋体" w:hAnsi="宋体" w:cs="宋体"/>
                <w:color w:val="000000"/>
                <w:sz w:val="21"/>
                <w:szCs w:val="21"/>
                <w:highlight w:val="none"/>
                <w:lang w:val="en-US" w:eastAsia="zh-CN"/>
              </w:rPr>
              <w:t>6</w:t>
            </w:r>
          </w:p>
        </w:tc>
        <w:tc>
          <w:tcPr>
            <w:tcW w:w="542" w:type="pct"/>
            <w:tcBorders>
              <w:tl2br w:val="nil"/>
              <w:tr2bl w:val="nil"/>
            </w:tcBorders>
            <w:noWrap/>
            <w:vAlign w:val="center"/>
          </w:tcPr>
          <w:p>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创新创业新天地</w:t>
            </w:r>
          </w:p>
        </w:tc>
        <w:tc>
          <w:tcPr>
            <w:tcW w:w="348" w:type="pct"/>
            <w:tcBorders>
              <w:tl2br w:val="nil"/>
              <w:tr2bl w:val="nil"/>
            </w:tcBorders>
            <w:noWrap/>
            <w:vAlign w:val="center"/>
          </w:tcPr>
          <w:p>
            <w:pPr>
              <w:widowControl/>
              <w:jc w:val="center"/>
              <w:rPr>
                <w:rFonts w:hint="eastAsia" w:ascii="宋体" w:hAnsi="宋体" w:cs="宋体"/>
                <w:sz w:val="21"/>
                <w:szCs w:val="21"/>
              </w:rPr>
            </w:pPr>
            <w:r>
              <w:rPr>
                <w:rFonts w:hint="eastAsia" w:ascii="宋体" w:hAnsi="宋体" w:cs="宋体"/>
                <w:sz w:val="21"/>
                <w:szCs w:val="21"/>
              </w:rPr>
              <w:t>续建</w:t>
            </w:r>
          </w:p>
        </w:tc>
        <w:tc>
          <w:tcPr>
            <w:tcW w:w="348" w:type="pct"/>
            <w:tcBorders>
              <w:tl2br w:val="nil"/>
              <w:tr2bl w:val="nil"/>
            </w:tcBorders>
            <w:noWrap/>
            <w:vAlign w:val="center"/>
          </w:tcPr>
          <w:p>
            <w:pPr>
              <w:rPr>
                <w:rFonts w:ascii="宋体" w:hAnsi="宋体" w:eastAsia="宋体" w:cs="宋体"/>
                <w:sz w:val="21"/>
                <w:szCs w:val="21"/>
              </w:rPr>
            </w:pPr>
            <w:r>
              <w:rPr>
                <w:rFonts w:ascii="宋体" w:hAnsi="宋体" w:eastAsia="宋体" w:cs="宋体"/>
                <w:sz w:val="21"/>
                <w:szCs w:val="21"/>
              </w:rPr>
              <w:t>2016年—2023年</w:t>
            </w:r>
          </w:p>
        </w:tc>
        <w:tc>
          <w:tcPr>
            <w:tcW w:w="404" w:type="pct"/>
            <w:tcBorders>
              <w:tl2br w:val="nil"/>
              <w:tr2bl w:val="nil"/>
            </w:tcBorders>
            <w:noWrap/>
            <w:vAlign w:val="center"/>
          </w:tcPr>
          <w:p>
            <w:pPr>
              <w:jc w:val="center"/>
              <w:rPr>
                <w:rFonts w:hint="eastAsia" w:ascii="宋体" w:hAnsi="宋体" w:eastAsia="宋体" w:cs="宋体"/>
                <w:sz w:val="21"/>
                <w:szCs w:val="21"/>
              </w:rPr>
            </w:pPr>
            <w:r>
              <w:rPr>
                <w:rFonts w:hint="eastAsia" w:ascii="宋体" w:hAnsi="宋体" w:eastAsia="宋体" w:cs="宋体"/>
                <w:sz w:val="21"/>
                <w:szCs w:val="21"/>
              </w:rPr>
              <w:t>龙湾区</w:t>
            </w:r>
          </w:p>
        </w:tc>
        <w:tc>
          <w:tcPr>
            <w:tcW w:w="1734"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建设用地91809.98㎡（约138亩），项目建筑占地面积为30042.01㎡，项目分三期建设。主要建设内容为：研发用房、办公用房、宿舍，会议中心、公共活动、食堂、配套用房、天街等。</w:t>
            </w:r>
          </w:p>
        </w:tc>
        <w:tc>
          <w:tcPr>
            <w:tcW w:w="398" w:type="pct"/>
            <w:tcBorders>
              <w:tl2br w:val="nil"/>
              <w:tr2bl w:val="nil"/>
            </w:tcBorders>
            <w:noWrap/>
            <w:vAlign w:val="center"/>
          </w:tcPr>
          <w:p>
            <w:pPr>
              <w:jc w:val="center"/>
              <w:rPr>
                <w:rFonts w:ascii="宋体" w:hAnsi="宋体" w:eastAsia="宋体" w:cs="宋体"/>
                <w:sz w:val="21"/>
                <w:szCs w:val="21"/>
              </w:rPr>
            </w:pPr>
            <w:r>
              <w:rPr>
                <w:rFonts w:ascii="宋体" w:hAnsi="宋体" w:eastAsia="宋体" w:cs="宋体"/>
                <w:sz w:val="21"/>
                <w:szCs w:val="21"/>
              </w:rPr>
              <w:t>190660</w:t>
            </w:r>
          </w:p>
        </w:tc>
        <w:tc>
          <w:tcPr>
            <w:tcW w:w="479" w:type="pct"/>
            <w:tcBorders>
              <w:tl2br w:val="nil"/>
              <w:tr2bl w:val="nil"/>
            </w:tcBorders>
            <w:noWrap/>
            <w:vAlign w:val="center"/>
          </w:tcPr>
          <w:p>
            <w:pPr>
              <w:jc w:val="center"/>
              <w:rPr>
                <w:rFonts w:ascii="宋体" w:hAnsi="宋体" w:eastAsia="宋体" w:cs="宋体"/>
                <w:sz w:val="21"/>
                <w:szCs w:val="21"/>
              </w:rPr>
            </w:pPr>
            <w:r>
              <w:rPr>
                <w:rFonts w:ascii="宋体" w:hAnsi="宋体" w:eastAsia="宋体" w:cs="宋体"/>
                <w:sz w:val="21"/>
                <w:szCs w:val="21"/>
              </w:rPr>
              <w:t>75000</w:t>
            </w:r>
          </w:p>
        </w:tc>
        <w:tc>
          <w:tcPr>
            <w:tcW w:w="516"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温州高新技术产业开发区建设投资有限公司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jc w:val="center"/>
        </w:trPr>
        <w:tc>
          <w:tcPr>
            <w:tcW w:w="225" w:type="pct"/>
            <w:tcBorders>
              <w:tl2br w:val="nil"/>
              <w:tr2bl w:val="nil"/>
            </w:tcBorders>
            <w:noWrap/>
            <w:vAlign w:val="center"/>
          </w:tcPr>
          <w:p>
            <w:pPr>
              <w:jc w:val="center"/>
              <w:rPr>
                <w:rFonts w:hint="eastAsia" w:ascii="宋体" w:hAnsi="宋体" w:eastAsia="宋体" w:cs="宋体"/>
                <w:color w:val="000000"/>
                <w:sz w:val="21"/>
                <w:szCs w:val="21"/>
                <w:lang w:eastAsia="zh-CN"/>
              </w:rPr>
            </w:pPr>
            <w:r>
              <w:rPr>
                <w:rFonts w:ascii="宋体" w:hAnsi="宋体" w:eastAsia="宋体" w:cs="宋体"/>
                <w:color w:val="000000"/>
                <w:sz w:val="21"/>
                <w:szCs w:val="21"/>
              </w:rPr>
              <w:t>2</w:t>
            </w:r>
            <w:r>
              <w:rPr>
                <w:rFonts w:hint="eastAsia" w:ascii="宋体" w:hAnsi="宋体" w:cs="宋体"/>
                <w:color w:val="000000"/>
                <w:sz w:val="21"/>
                <w:szCs w:val="21"/>
                <w:lang w:val="en-US" w:eastAsia="zh-CN"/>
              </w:rPr>
              <w:t>7</w:t>
            </w:r>
          </w:p>
        </w:tc>
        <w:tc>
          <w:tcPr>
            <w:tcW w:w="542"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浙南科技城数字产业中心</w:t>
            </w:r>
          </w:p>
        </w:tc>
        <w:tc>
          <w:tcPr>
            <w:tcW w:w="348" w:type="pct"/>
            <w:tcBorders>
              <w:tl2br w:val="nil"/>
              <w:tr2bl w:val="nil"/>
            </w:tcBorders>
            <w:noWrap/>
            <w:vAlign w:val="center"/>
          </w:tcPr>
          <w:p>
            <w:pPr>
              <w:widowControl/>
              <w:jc w:val="center"/>
              <w:rPr>
                <w:rFonts w:hint="eastAsia" w:ascii="宋体" w:hAnsi="宋体" w:cs="宋体"/>
                <w:sz w:val="21"/>
                <w:szCs w:val="21"/>
              </w:rPr>
            </w:pPr>
            <w:r>
              <w:rPr>
                <w:rFonts w:hint="eastAsia" w:ascii="宋体" w:hAnsi="宋体" w:cs="宋体"/>
                <w:sz w:val="21"/>
                <w:szCs w:val="21"/>
              </w:rPr>
              <w:t>续建</w:t>
            </w:r>
          </w:p>
        </w:tc>
        <w:tc>
          <w:tcPr>
            <w:tcW w:w="348" w:type="pct"/>
            <w:tcBorders>
              <w:tl2br w:val="nil"/>
              <w:tr2bl w:val="nil"/>
            </w:tcBorders>
            <w:noWrap/>
            <w:vAlign w:val="center"/>
          </w:tcPr>
          <w:p>
            <w:pPr>
              <w:rPr>
                <w:rFonts w:ascii="宋体" w:hAnsi="宋体" w:eastAsia="宋体" w:cs="宋体"/>
                <w:sz w:val="21"/>
                <w:szCs w:val="21"/>
              </w:rPr>
            </w:pPr>
            <w:r>
              <w:rPr>
                <w:rFonts w:ascii="宋体" w:hAnsi="宋体" w:eastAsia="宋体" w:cs="宋体"/>
                <w:sz w:val="21"/>
                <w:szCs w:val="21"/>
              </w:rPr>
              <w:t>2020年—2023年</w:t>
            </w:r>
          </w:p>
        </w:tc>
        <w:tc>
          <w:tcPr>
            <w:tcW w:w="404" w:type="pct"/>
            <w:tcBorders>
              <w:tl2br w:val="nil"/>
              <w:tr2bl w:val="nil"/>
            </w:tcBorders>
            <w:noWrap/>
            <w:vAlign w:val="center"/>
          </w:tcPr>
          <w:p>
            <w:pPr>
              <w:jc w:val="center"/>
              <w:rPr>
                <w:rFonts w:hint="eastAsia" w:ascii="宋体" w:hAnsi="宋体" w:eastAsia="宋体" w:cs="宋体"/>
                <w:sz w:val="21"/>
                <w:szCs w:val="21"/>
              </w:rPr>
            </w:pPr>
            <w:r>
              <w:rPr>
                <w:rFonts w:hint="eastAsia" w:ascii="宋体" w:hAnsi="宋体" w:eastAsia="宋体" w:cs="宋体"/>
                <w:sz w:val="21"/>
                <w:szCs w:val="21"/>
              </w:rPr>
              <w:t>龙湾区</w:t>
            </w:r>
          </w:p>
        </w:tc>
        <w:tc>
          <w:tcPr>
            <w:tcW w:w="1734" w:type="pct"/>
            <w:tcBorders>
              <w:tl2br w:val="nil"/>
              <w:tr2bl w:val="nil"/>
            </w:tcBorders>
            <w:noWrap/>
            <w:vAlign w:val="center"/>
          </w:tcPr>
          <w:p>
            <w:pPr>
              <w:jc w:val="left"/>
              <w:rPr>
                <w:rFonts w:hint="eastAsia" w:ascii="宋体" w:hAnsi="宋体" w:eastAsia="宋体" w:cs="宋体"/>
                <w:sz w:val="21"/>
                <w:szCs w:val="21"/>
                <w:lang w:val="en-US" w:eastAsia="zh-CN"/>
              </w:rPr>
            </w:pPr>
            <w:r>
              <w:rPr>
                <w:rFonts w:hint="eastAsia" w:ascii="宋体" w:hAnsi="宋体" w:eastAsia="宋体" w:cs="宋体"/>
                <w:sz w:val="21"/>
                <w:szCs w:val="21"/>
              </w:rPr>
              <w:t>总建筑面积22.1万平方米，建设以智能制造与自动化、生命健康、数字经济核心产业等产业研发、小试为主的产业园区。</w:t>
            </w:r>
          </w:p>
        </w:tc>
        <w:tc>
          <w:tcPr>
            <w:tcW w:w="398" w:type="pct"/>
            <w:tcBorders>
              <w:tl2br w:val="nil"/>
              <w:tr2bl w:val="nil"/>
            </w:tcBorders>
            <w:noWrap/>
            <w:vAlign w:val="center"/>
          </w:tcPr>
          <w:p>
            <w:pPr>
              <w:jc w:val="center"/>
              <w:rPr>
                <w:rFonts w:ascii="宋体" w:hAnsi="宋体" w:eastAsia="宋体" w:cs="宋体"/>
                <w:sz w:val="21"/>
                <w:szCs w:val="21"/>
              </w:rPr>
            </w:pPr>
            <w:r>
              <w:rPr>
                <w:rFonts w:ascii="宋体" w:hAnsi="宋体" w:eastAsia="宋体" w:cs="宋体"/>
                <w:sz w:val="21"/>
                <w:szCs w:val="21"/>
              </w:rPr>
              <w:t>1</w:t>
            </w:r>
            <w:r>
              <w:rPr>
                <w:rFonts w:hint="eastAsia" w:ascii="宋体" w:hAnsi="宋体" w:cs="宋体"/>
                <w:sz w:val="21"/>
                <w:szCs w:val="21"/>
                <w:lang w:val="en-US" w:eastAsia="zh-CN"/>
              </w:rPr>
              <w:t>00</w:t>
            </w:r>
            <w:r>
              <w:rPr>
                <w:rFonts w:ascii="宋体" w:hAnsi="宋体" w:eastAsia="宋体" w:cs="宋体"/>
                <w:sz w:val="21"/>
                <w:szCs w:val="21"/>
              </w:rPr>
              <w:t>000</w:t>
            </w:r>
          </w:p>
        </w:tc>
        <w:tc>
          <w:tcPr>
            <w:tcW w:w="479" w:type="pct"/>
            <w:tcBorders>
              <w:tl2br w:val="nil"/>
              <w:tr2bl w:val="nil"/>
            </w:tcBorders>
            <w:noWrap/>
            <w:vAlign w:val="center"/>
          </w:tcPr>
          <w:p>
            <w:pPr>
              <w:jc w:val="center"/>
              <w:rPr>
                <w:rFonts w:ascii="宋体" w:hAnsi="宋体" w:eastAsia="宋体" w:cs="宋体"/>
                <w:sz w:val="21"/>
                <w:szCs w:val="21"/>
              </w:rPr>
            </w:pPr>
            <w:r>
              <w:rPr>
                <w:rFonts w:hint="eastAsia" w:ascii="宋体" w:hAnsi="宋体" w:cs="宋体"/>
                <w:sz w:val="21"/>
                <w:szCs w:val="21"/>
                <w:lang w:val="en-US" w:eastAsia="zh-CN"/>
              </w:rPr>
              <w:t>92</w:t>
            </w:r>
            <w:r>
              <w:rPr>
                <w:rFonts w:ascii="宋体" w:hAnsi="宋体" w:eastAsia="宋体" w:cs="宋体"/>
                <w:sz w:val="21"/>
                <w:szCs w:val="21"/>
              </w:rPr>
              <w:t>000</w:t>
            </w:r>
          </w:p>
        </w:tc>
        <w:tc>
          <w:tcPr>
            <w:tcW w:w="516"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浙南科技城管</w:t>
            </w:r>
          </w:p>
          <w:p>
            <w:pPr>
              <w:jc w:val="left"/>
              <w:rPr>
                <w:rFonts w:hint="eastAsia" w:ascii="宋体" w:hAnsi="宋体" w:eastAsia="宋体" w:cs="宋体"/>
                <w:sz w:val="21"/>
                <w:szCs w:val="21"/>
              </w:rPr>
            </w:pPr>
            <w:r>
              <w:rPr>
                <w:rFonts w:hint="eastAsia" w:ascii="宋体" w:hAnsi="宋体" w:eastAsia="宋体" w:cs="宋体"/>
                <w:sz w:val="21"/>
                <w:szCs w:val="21"/>
              </w:rPr>
              <w:t>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jc w:val="center"/>
        </w:trPr>
        <w:tc>
          <w:tcPr>
            <w:tcW w:w="225" w:type="pct"/>
            <w:tcBorders>
              <w:tl2br w:val="nil"/>
              <w:tr2bl w:val="nil"/>
            </w:tcBorders>
            <w:noWrap/>
            <w:vAlign w:val="center"/>
          </w:tcPr>
          <w:p>
            <w:pPr>
              <w:jc w:val="center"/>
              <w:rPr>
                <w:rFonts w:hint="eastAsia" w:ascii="宋体" w:hAnsi="宋体" w:eastAsia="宋体" w:cs="宋体"/>
                <w:color w:val="000000"/>
                <w:sz w:val="21"/>
                <w:szCs w:val="21"/>
                <w:lang w:eastAsia="zh-CN"/>
              </w:rPr>
            </w:pPr>
            <w:r>
              <w:rPr>
                <w:rFonts w:ascii="宋体" w:hAnsi="宋体" w:eastAsia="宋体" w:cs="宋体"/>
                <w:color w:val="000000"/>
                <w:sz w:val="21"/>
                <w:szCs w:val="21"/>
              </w:rPr>
              <w:t>2</w:t>
            </w:r>
            <w:r>
              <w:rPr>
                <w:rFonts w:hint="eastAsia" w:ascii="宋体" w:hAnsi="宋体" w:cs="宋体"/>
                <w:color w:val="000000"/>
                <w:sz w:val="21"/>
                <w:szCs w:val="21"/>
                <w:lang w:val="en-US" w:eastAsia="zh-CN"/>
              </w:rPr>
              <w:t>8</w:t>
            </w:r>
          </w:p>
        </w:tc>
        <w:tc>
          <w:tcPr>
            <w:tcW w:w="542"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中国眼谷－温州眼视光国际创新综合体</w:t>
            </w:r>
          </w:p>
        </w:tc>
        <w:tc>
          <w:tcPr>
            <w:tcW w:w="348" w:type="pct"/>
            <w:tcBorders>
              <w:tl2br w:val="nil"/>
              <w:tr2bl w:val="nil"/>
            </w:tcBorders>
            <w:noWrap/>
            <w:vAlign w:val="center"/>
          </w:tcPr>
          <w:p>
            <w:pPr>
              <w:widowControl/>
              <w:jc w:val="center"/>
              <w:rPr>
                <w:rFonts w:hint="eastAsia" w:ascii="宋体" w:hAnsi="宋体" w:cs="宋体"/>
                <w:sz w:val="21"/>
                <w:szCs w:val="21"/>
              </w:rPr>
            </w:pPr>
            <w:r>
              <w:rPr>
                <w:rFonts w:hint="eastAsia" w:ascii="宋体" w:hAnsi="宋体" w:cs="宋体"/>
                <w:sz w:val="21"/>
                <w:szCs w:val="21"/>
              </w:rPr>
              <w:t>续建</w:t>
            </w:r>
          </w:p>
        </w:tc>
        <w:tc>
          <w:tcPr>
            <w:tcW w:w="348" w:type="pct"/>
            <w:tcBorders>
              <w:tl2br w:val="nil"/>
              <w:tr2bl w:val="nil"/>
            </w:tcBorders>
            <w:noWrap/>
            <w:vAlign w:val="center"/>
          </w:tcPr>
          <w:p>
            <w:pPr>
              <w:rPr>
                <w:rFonts w:ascii="宋体" w:hAnsi="宋体" w:eastAsia="宋体" w:cs="宋体"/>
                <w:sz w:val="21"/>
                <w:szCs w:val="21"/>
              </w:rPr>
            </w:pPr>
            <w:r>
              <w:rPr>
                <w:rFonts w:ascii="宋体" w:hAnsi="宋体" w:eastAsia="宋体" w:cs="宋体"/>
                <w:sz w:val="21"/>
                <w:szCs w:val="21"/>
              </w:rPr>
              <w:t>2018年—202</w:t>
            </w:r>
            <w:r>
              <w:rPr>
                <w:rFonts w:hint="eastAsia" w:ascii="宋体" w:hAnsi="宋体" w:cs="宋体"/>
                <w:sz w:val="21"/>
                <w:szCs w:val="21"/>
                <w:lang w:val="en-US" w:eastAsia="zh-CN"/>
              </w:rPr>
              <w:t>5</w:t>
            </w:r>
            <w:r>
              <w:rPr>
                <w:rFonts w:ascii="宋体" w:hAnsi="宋体" w:eastAsia="宋体" w:cs="宋体"/>
                <w:sz w:val="21"/>
                <w:szCs w:val="21"/>
              </w:rPr>
              <w:t>年</w:t>
            </w:r>
          </w:p>
        </w:tc>
        <w:tc>
          <w:tcPr>
            <w:tcW w:w="404" w:type="pct"/>
            <w:tcBorders>
              <w:tl2br w:val="nil"/>
              <w:tr2bl w:val="nil"/>
            </w:tcBorders>
            <w:noWrap/>
            <w:vAlign w:val="center"/>
          </w:tcPr>
          <w:p>
            <w:pPr>
              <w:jc w:val="center"/>
              <w:rPr>
                <w:rFonts w:hint="eastAsia" w:ascii="宋体" w:hAnsi="宋体" w:eastAsia="宋体" w:cs="宋体"/>
                <w:sz w:val="21"/>
                <w:szCs w:val="21"/>
              </w:rPr>
            </w:pPr>
            <w:r>
              <w:rPr>
                <w:rFonts w:hint="eastAsia" w:ascii="宋体" w:hAnsi="宋体" w:eastAsia="宋体" w:cs="宋体"/>
                <w:sz w:val="21"/>
                <w:szCs w:val="21"/>
              </w:rPr>
              <w:t>龙湾区</w:t>
            </w:r>
          </w:p>
        </w:tc>
        <w:tc>
          <w:tcPr>
            <w:tcW w:w="1734" w:type="pct"/>
            <w:tcBorders>
              <w:tl2br w:val="nil"/>
              <w:tr2bl w:val="nil"/>
            </w:tcBorders>
            <w:noWrap/>
            <w:vAlign w:val="center"/>
          </w:tcPr>
          <w:p>
            <w:pPr>
              <w:jc w:val="left"/>
              <w:rPr>
                <w:rFonts w:hint="eastAsia" w:ascii="宋体" w:hAnsi="宋体" w:eastAsia="宋体" w:cs="宋体"/>
                <w:sz w:val="21"/>
                <w:szCs w:val="21"/>
                <w:lang w:eastAsia="zh-CN"/>
              </w:rPr>
            </w:pPr>
            <w:r>
              <w:rPr>
                <w:rFonts w:hint="eastAsia" w:ascii="宋体" w:hAnsi="宋体" w:eastAsia="宋体" w:cs="宋体"/>
                <w:sz w:val="21"/>
                <w:szCs w:val="21"/>
              </w:rPr>
              <w:t>建设集研发、生产一体的产业基地、眼视光研发中心、眼视光产业孵化器、眼视光创新创业人才集聚区及眼视光学术交流中心、国际眼视光高端医疗中心</w:t>
            </w:r>
            <w:r>
              <w:rPr>
                <w:rFonts w:hint="eastAsia" w:ascii="宋体" w:hAnsi="宋体" w:cs="宋体"/>
                <w:sz w:val="21"/>
                <w:szCs w:val="21"/>
                <w:lang w:eastAsia="zh-CN"/>
              </w:rPr>
              <w:t>。</w:t>
            </w:r>
          </w:p>
        </w:tc>
        <w:tc>
          <w:tcPr>
            <w:tcW w:w="398" w:type="pct"/>
            <w:tcBorders>
              <w:tl2br w:val="nil"/>
              <w:tr2bl w:val="nil"/>
            </w:tcBorders>
            <w:noWrap/>
            <w:vAlign w:val="center"/>
          </w:tcPr>
          <w:p>
            <w:pPr>
              <w:jc w:val="center"/>
              <w:rPr>
                <w:rFonts w:ascii="宋体" w:hAnsi="宋体" w:eastAsia="宋体" w:cs="宋体"/>
                <w:sz w:val="21"/>
                <w:szCs w:val="21"/>
              </w:rPr>
            </w:pPr>
            <w:r>
              <w:rPr>
                <w:rFonts w:hint="eastAsia" w:ascii="宋体" w:hAnsi="宋体" w:cs="宋体"/>
                <w:sz w:val="21"/>
                <w:szCs w:val="21"/>
                <w:lang w:val="en-US" w:eastAsia="zh-CN"/>
              </w:rPr>
              <w:t>300</w:t>
            </w:r>
            <w:r>
              <w:rPr>
                <w:rFonts w:ascii="宋体" w:hAnsi="宋体" w:eastAsia="宋体" w:cs="宋体"/>
                <w:sz w:val="21"/>
                <w:szCs w:val="21"/>
              </w:rPr>
              <w:t>000</w:t>
            </w:r>
          </w:p>
        </w:tc>
        <w:tc>
          <w:tcPr>
            <w:tcW w:w="479" w:type="pct"/>
            <w:tcBorders>
              <w:tl2br w:val="nil"/>
              <w:tr2bl w:val="nil"/>
            </w:tcBorders>
            <w:noWrap/>
            <w:vAlign w:val="center"/>
          </w:tcPr>
          <w:p>
            <w:pPr>
              <w:jc w:val="center"/>
              <w:rPr>
                <w:rFonts w:ascii="宋体" w:hAnsi="宋体" w:eastAsia="宋体" w:cs="宋体"/>
                <w:sz w:val="21"/>
                <w:szCs w:val="21"/>
              </w:rPr>
            </w:pPr>
            <w:r>
              <w:rPr>
                <w:rFonts w:hint="eastAsia" w:ascii="宋体" w:hAnsi="宋体" w:cs="宋体"/>
                <w:sz w:val="21"/>
                <w:szCs w:val="21"/>
                <w:lang w:val="en-US" w:eastAsia="zh-CN"/>
              </w:rPr>
              <w:t>200</w:t>
            </w:r>
            <w:r>
              <w:rPr>
                <w:rFonts w:ascii="宋体" w:hAnsi="宋体" w:eastAsia="宋体" w:cs="宋体"/>
                <w:sz w:val="21"/>
                <w:szCs w:val="21"/>
              </w:rPr>
              <w:t>000</w:t>
            </w:r>
          </w:p>
        </w:tc>
        <w:tc>
          <w:tcPr>
            <w:tcW w:w="516"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龙湾区政府、温州医科大学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225" w:type="pct"/>
            <w:tcBorders>
              <w:tl2br w:val="nil"/>
              <w:tr2bl w:val="nil"/>
            </w:tcBorders>
            <w:noWrap/>
            <w:vAlign w:val="center"/>
          </w:tcPr>
          <w:p>
            <w:pPr>
              <w:jc w:val="center"/>
              <w:rPr>
                <w:rFonts w:hint="eastAsia" w:ascii="宋体" w:hAnsi="宋体" w:eastAsia="宋体" w:cs="宋体"/>
                <w:color w:val="000000"/>
                <w:sz w:val="21"/>
                <w:szCs w:val="21"/>
                <w:highlight w:val="none"/>
                <w:lang w:eastAsia="zh-CN"/>
              </w:rPr>
            </w:pPr>
            <w:r>
              <w:rPr>
                <w:rFonts w:ascii="宋体" w:hAnsi="宋体" w:eastAsia="宋体" w:cs="宋体"/>
                <w:color w:val="000000"/>
                <w:sz w:val="21"/>
                <w:szCs w:val="21"/>
                <w:highlight w:val="none"/>
              </w:rPr>
              <w:t>2</w:t>
            </w:r>
            <w:r>
              <w:rPr>
                <w:rFonts w:hint="eastAsia" w:ascii="宋体" w:hAnsi="宋体" w:cs="宋体"/>
                <w:color w:val="000000"/>
                <w:sz w:val="21"/>
                <w:szCs w:val="21"/>
                <w:highlight w:val="none"/>
                <w:lang w:val="en-US" w:eastAsia="zh-CN"/>
              </w:rPr>
              <w:t>9</w:t>
            </w:r>
          </w:p>
        </w:tc>
        <w:tc>
          <w:tcPr>
            <w:tcW w:w="542" w:type="pct"/>
            <w:tcBorders>
              <w:tl2br w:val="nil"/>
              <w:tr2bl w:val="nil"/>
            </w:tcBorders>
            <w:noWrap/>
            <w:vAlign w:val="center"/>
          </w:tcPr>
          <w:p>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中国科学院大学温州研究院</w:t>
            </w:r>
          </w:p>
        </w:tc>
        <w:tc>
          <w:tcPr>
            <w:tcW w:w="348" w:type="pct"/>
            <w:tcBorders>
              <w:tl2br w:val="nil"/>
              <w:tr2bl w:val="nil"/>
            </w:tcBorders>
            <w:noWrap/>
            <w:vAlign w:val="center"/>
          </w:tcPr>
          <w:p>
            <w:pPr>
              <w:widowControl/>
              <w:jc w:val="center"/>
              <w:rPr>
                <w:rFonts w:hint="eastAsia" w:ascii="宋体" w:hAnsi="宋体" w:cs="宋体"/>
                <w:sz w:val="21"/>
                <w:szCs w:val="21"/>
              </w:rPr>
            </w:pPr>
            <w:r>
              <w:rPr>
                <w:rFonts w:hint="eastAsia" w:ascii="宋体" w:hAnsi="宋体" w:cs="宋体"/>
                <w:sz w:val="21"/>
                <w:szCs w:val="21"/>
              </w:rPr>
              <w:t>续建</w:t>
            </w:r>
          </w:p>
        </w:tc>
        <w:tc>
          <w:tcPr>
            <w:tcW w:w="348" w:type="pct"/>
            <w:tcBorders>
              <w:tl2br w:val="nil"/>
              <w:tr2bl w:val="nil"/>
            </w:tcBorders>
            <w:noWrap/>
            <w:vAlign w:val="center"/>
          </w:tcPr>
          <w:p>
            <w:pPr>
              <w:rPr>
                <w:rFonts w:ascii="宋体" w:hAnsi="宋体" w:eastAsia="宋体" w:cs="宋体"/>
                <w:sz w:val="21"/>
                <w:szCs w:val="21"/>
              </w:rPr>
            </w:pPr>
            <w:r>
              <w:rPr>
                <w:rFonts w:ascii="宋体" w:hAnsi="宋体" w:eastAsia="宋体" w:cs="宋体"/>
                <w:sz w:val="21"/>
                <w:szCs w:val="21"/>
              </w:rPr>
              <w:t>2018年—2025年</w:t>
            </w:r>
          </w:p>
        </w:tc>
        <w:tc>
          <w:tcPr>
            <w:tcW w:w="404" w:type="pct"/>
            <w:tcBorders>
              <w:tl2br w:val="nil"/>
              <w:tr2bl w:val="nil"/>
            </w:tcBorders>
            <w:noWrap/>
            <w:vAlign w:val="center"/>
          </w:tcPr>
          <w:p>
            <w:pPr>
              <w:jc w:val="center"/>
              <w:rPr>
                <w:rFonts w:hint="eastAsia" w:ascii="宋体" w:hAnsi="宋体" w:eastAsia="宋体" w:cs="宋体"/>
                <w:sz w:val="21"/>
                <w:szCs w:val="21"/>
              </w:rPr>
            </w:pPr>
            <w:r>
              <w:rPr>
                <w:rFonts w:hint="eastAsia" w:ascii="宋体" w:hAnsi="宋体" w:eastAsia="宋体" w:cs="宋体"/>
                <w:sz w:val="21"/>
                <w:szCs w:val="21"/>
              </w:rPr>
              <w:t>龙湾区</w:t>
            </w:r>
          </w:p>
        </w:tc>
        <w:tc>
          <w:tcPr>
            <w:tcW w:w="1734"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用地面积约31亩，总建筑面积约58000平方米，主要建设内容有科研用房、会议中心、食堂、动物实验室、精密仪器室等。</w:t>
            </w:r>
          </w:p>
        </w:tc>
        <w:tc>
          <w:tcPr>
            <w:tcW w:w="398" w:type="pct"/>
            <w:tcBorders>
              <w:tl2br w:val="nil"/>
              <w:tr2bl w:val="nil"/>
            </w:tcBorders>
            <w:noWrap/>
            <w:vAlign w:val="center"/>
          </w:tcPr>
          <w:p>
            <w:pPr>
              <w:jc w:val="center"/>
              <w:rPr>
                <w:rFonts w:ascii="宋体" w:hAnsi="宋体" w:eastAsia="宋体" w:cs="宋体"/>
                <w:sz w:val="21"/>
                <w:szCs w:val="21"/>
              </w:rPr>
            </w:pPr>
            <w:r>
              <w:rPr>
                <w:rFonts w:ascii="宋体" w:hAnsi="宋体" w:eastAsia="宋体" w:cs="宋体"/>
                <w:sz w:val="21"/>
                <w:szCs w:val="21"/>
              </w:rPr>
              <w:t>29500</w:t>
            </w:r>
          </w:p>
        </w:tc>
        <w:tc>
          <w:tcPr>
            <w:tcW w:w="479" w:type="pct"/>
            <w:tcBorders>
              <w:tl2br w:val="nil"/>
              <w:tr2bl w:val="nil"/>
            </w:tcBorders>
            <w:noWrap/>
            <w:vAlign w:val="center"/>
          </w:tcPr>
          <w:p>
            <w:pPr>
              <w:jc w:val="center"/>
              <w:rPr>
                <w:rFonts w:ascii="宋体" w:hAnsi="宋体" w:eastAsia="宋体" w:cs="宋体"/>
                <w:sz w:val="21"/>
                <w:szCs w:val="21"/>
              </w:rPr>
            </w:pPr>
            <w:r>
              <w:rPr>
                <w:rFonts w:ascii="宋体" w:hAnsi="宋体" w:eastAsia="宋体" w:cs="宋体"/>
                <w:sz w:val="21"/>
                <w:szCs w:val="21"/>
              </w:rPr>
              <w:t>18000</w:t>
            </w:r>
          </w:p>
        </w:tc>
        <w:tc>
          <w:tcPr>
            <w:tcW w:w="516"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国科大温州研究院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6" w:hRule="atLeast"/>
          <w:jc w:val="center"/>
        </w:trPr>
        <w:tc>
          <w:tcPr>
            <w:tcW w:w="225" w:type="pct"/>
            <w:tcBorders>
              <w:tl2br w:val="nil"/>
              <w:tr2bl w:val="nil"/>
            </w:tcBorders>
            <w:noWrap/>
            <w:vAlign w:val="center"/>
          </w:tcPr>
          <w:p>
            <w:pPr>
              <w:jc w:val="center"/>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30</w:t>
            </w:r>
          </w:p>
        </w:tc>
        <w:tc>
          <w:tcPr>
            <w:tcW w:w="542"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智能电气互联网创新中心</w:t>
            </w:r>
          </w:p>
        </w:tc>
        <w:tc>
          <w:tcPr>
            <w:tcW w:w="348" w:type="pct"/>
            <w:tcBorders>
              <w:tl2br w:val="nil"/>
              <w:tr2bl w:val="nil"/>
            </w:tcBorders>
            <w:noWrap/>
            <w:vAlign w:val="center"/>
          </w:tcPr>
          <w:p>
            <w:pPr>
              <w:widowControl/>
              <w:jc w:val="center"/>
              <w:rPr>
                <w:rFonts w:hint="eastAsia" w:ascii="宋体" w:hAnsi="宋体" w:cs="宋体"/>
                <w:sz w:val="21"/>
                <w:szCs w:val="21"/>
              </w:rPr>
            </w:pPr>
            <w:r>
              <w:rPr>
                <w:rFonts w:hint="eastAsia" w:ascii="宋体" w:hAnsi="宋体" w:cs="宋体"/>
                <w:sz w:val="21"/>
                <w:szCs w:val="21"/>
              </w:rPr>
              <w:t>续建</w:t>
            </w:r>
          </w:p>
        </w:tc>
        <w:tc>
          <w:tcPr>
            <w:tcW w:w="348" w:type="pct"/>
            <w:tcBorders>
              <w:tl2br w:val="nil"/>
              <w:tr2bl w:val="nil"/>
            </w:tcBorders>
            <w:noWrap/>
            <w:vAlign w:val="center"/>
          </w:tcPr>
          <w:p>
            <w:pPr>
              <w:rPr>
                <w:rFonts w:ascii="宋体" w:hAnsi="宋体" w:eastAsia="宋体" w:cs="宋体"/>
                <w:sz w:val="21"/>
                <w:szCs w:val="21"/>
              </w:rPr>
            </w:pPr>
            <w:r>
              <w:rPr>
                <w:rFonts w:ascii="宋体" w:hAnsi="宋体" w:eastAsia="宋体" w:cs="宋体"/>
                <w:sz w:val="21"/>
                <w:szCs w:val="21"/>
              </w:rPr>
              <w:t>2019年—</w:t>
            </w:r>
          </w:p>
          <w:p>
            <w:pPr>
              <w:rPr>
                <w:rFonts w:ascii="宋体" w:hAnsi="宋体" w:eastAsia="宋体" w:cs="宋体"/>
                <w:sz w:val="21"/>
                <w:szCs w:val="21"/>
              </w:rPr>
            </w:pPr>
            <w:r>
              <w:rPr>
                <w:rFonts w:ascii="宋体" w:hAnsi="宋体" w:eastAsia="宋体" w:cs="宋体"/>
                <w:sz w:val="21"/>
                <w:szCs w:val="21"/>
              </w:rPr>
              <w:t>2022年</w:t>
            </w:r>
          </w:p>
        </w:tc>
        <w:tc>
          <w:tcPr>
            <w:tcW w:w="404" w:type="pct"/>
            <w:tcBorders>
              <w:tl2br w:val="nil"/>
              <w:tr2bl w:val="nil"/>
            </w:tcBorders>
            <w:noWrap/>
            <w:vAlign w:val="center"/>
          </w:tcPr>
          <w:p>
            <w:pPr>
              <w:jc w:val="center"/>
              <w:rPr>
                <w:rFonts w:hint="eastAsia" w:ascii="宋体" w:hAnsi="宋体" w:eastAsia="宋体" w:cs="宋体"/>
                <w:sz w:val="21"/>
                <w:szCs w:val="21"/>
              </w:rPr>
            </w:pPr>
            <w:r>
              <w:rPr>
                <w:rFonts w:hint="eastAsia" w:ascii="宋体" w:hAnsi="宋体" w:eastAsia="宋体" w:cs="宋体"/>
                <w:sz w:val="21"/>
                <w:szCs w:val="21"/>
              </w:rPr>
              <w:t>乐清市</w:t>
            </w:r>
          </w:p>
        </w:tc>
        <w:tc>
          <w:tcPr>
            <w:tcW w:w="1734"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总用地面积80亩，建筑面积13万平方米,打造集智能电气研发、工业设计及自动控制、电气云数据、工业机器人、企业孵化于一体的创新型互联网中心。</w:t>
            </w:r>
          </w:p>
        </w:tc>
        <w:tc>
          <w:tcPr>
            <w:tcW w:w="398" w:type="pct"/>
            <w:tcBorders>
              <w:tl2br w:val="nil"/>
              <w:tr2bl w:val="nil"/>
            </w:tcBorders>
            <w:noWrap/>
            <w:vAlign w:val="center"/>
          </w:tcPr>
          <w:p>
            <w:pPr>
              <w:jc w:val="center"/>
              <w:rPr>
                <w:rFonts w:ascii="宋体" w:hAnsi="宋体" w:eastAsia="宋体" w:cs="宋体"/>
                <w:sz w:val="21"/>
                <w:szCs w:val="21"/>
              </w:rPr>
            </w:pPr>
            <w:r>
              <w:rPr>
                <w:rFonts w:ascii="宋体" w:hAnsi="宋体" w:eastAsia="宋体" w:cs="宋体"/>
                <w:sz w:val="21"/>
                <w:szCs w:val="21"/>
              </w:rPr>
              <w:t>105000</w:t>
            </w:r>
          </w:p>
        </w:tc>
        <w:tc>
          <w:tcPr>
            <w:tcW w:w="479" w:type="pct"/>
            <w:tcBorders>
              <w:tl2br w:val="nil"/>
              <w:tr2bl w:val="nil"/>
            </w:tcBorders>
            <w:noWrap/>
            <w:vAlign w:val="center"/>
          </w:tcPr>
          <w:p>
            <w:pPr>
              <w:jc w:val="center"/>
              <w:rPr>
                <w:rFonts w:ascii="宋体" w:hAnsi="宋体" w:eastAsia="宋体" w:cs="宋体"/>
                <w:sz w:val="21"/>
                <w:szCs w:val="21"/>
              </w:rPr>
            </w:pPr>
            <w:r>
              <w:rPr>
                <w:rFonts w:ascii="宋体" w:hAnsi="宋体" w:eastAsia="宋体" w:cs="宋体"/>
                <w:sz w:val="21"/>
                <w:szCs w:val="21"/>
              </w:rPr>
              <w:t>40000</w:t>
            </w:r>
          </w:p>
        </w:tc>
        <w:tc>
          <w:tcPr>
            <w:tcW w:w="516"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乐清市政府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jc w:val="center"/>
        </w:trPr>
        <w:tc>
          <w:tcPr>
            <w:tcW w:w="225" w:type="pct"/>
            <w:tcBorders>
              <w:tl2br w:val="nil"/>
              <w:tr2bl w:val="nil"/>
            </w:tcBorders>
            <w:noWrap/>
            <w:vAlign w:val="center"/>
          </w:tcPr>
          <w:p>
            <w:pPr>
              <w:jc w:val="center"/>
              <w:rPr>
                <w:rFonts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rPr>
              <w:t>31</w:t>
            </w:r>
          </w:p>
        </w:tc>
        <w:tc>
          <w:tcPr>
            <w:tcW w:w="542" w:type="pct"/>
            <w:tcBorders>
              <w:tl2br w:val="nil"/>
              <w:tr2bl w:val="nil"/>
            </w:tcBorders>
            <w:noWrap/>
            <w:vAlign w:val="center"/>
          </w:tcPr>
          <w:p>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温州高新区龙港分园（一期）配套中心</w:t>
            </w:r>
          </w:p>
        </w:tc>
        <w:tc>
          <w:tcPr>
            <w:tcW w:w="348" w:type="pct"/>
            <w:tcBorders>
              <w:tl2br w:val="nil"/>
              <w:tr2bl w:val="nil"/>
            </w:tcBorders>
            <w:noWrap/>
            <w:vAlign w:val="center"/>
          </w:tcPr>
          <w:p>
            <w:pPr>
              <w:widowControl/>
              <w:jc w:val="center"/>
              <w:rPr>
                <w:rFonts w:hint="eastAsia" w:ascii="宋体" w:hAnsi="宋体" w:cs="宋体"/>
                <w:sz w:val="21"/>
                <w:szCs w:val="21"/>
              </w:rPr>
            </w:pPr>
            <w:r>
              <w:rPr>
                <w:rFonts w:hint="eastAsia" w:ascii="宋体" w:hAnsi="宋体" w:cs="宋体"/>
                <w:sz w:val="21"/>
                <w:szCs w:val="21"/>
              </w:rPr>
              <w:t>续建</w:t>
            </w:r>
          </w:p>
        </w:tc>
        <w:tc>
          <w:tcPr>
            <w:tcW w:w="348" w:type="pct"/>
            <w:tcBorders>
              <w:tl2br w:val="nil"/>
              <w:tr2bl w:val="nil"/>
            </w:tcBorders>
            <w:noWrap/>
            <w:vAlign w:val="center"/>
          </w:tcPr>
          <w:p>
            <w:pPr>
              <w:rPr>
                <w:rFonts w:ascii="宋体" w:hAnsi="宋体" w:eastAsia="宋体" w:cs="宋体"/>
                <w:sz w:val="21"/>
                <w:szCs w:val="21"/>
              </w:rPr>
            </w:pPr>
            <w:r>
              <w:rPr>
                <w:rFonts w:ascii="宋体" w:hAnsi="宋体" w:eastAsia="宋体" w:cs="宋体"/>
                <w:sz w:val="21"/>
                <w:szCs w:val="21"/>
              </w:rPr>
              <w:t>2020年—2024年</w:t>
            </w:r>
          </w:p>
        </w:tc>
        <w:tc>
          <w:tcPr>
            <w:tcW w:w="404" w:type="pct"/>
            <w:tcBorders>
              <w:tl2br w:val="nil"/>
              <w:tr2bl w:val="nil"/>
            </w:tcBorders>
            <w:noWrap/>
            <w:vAlign w:val="center"/>
          </w:tcPr>
          <w:p>
            <w:pPr>
              <w:jc w:val="center"/>
              <w:rPr>
                <w:rFonts w:hint="eastAsia" w:ascii="宋体" w:hAnsi="宋体" w:eastAsia="宋体" w:cs="宋体"/>
                <w:sz w:val="21"/>
                <w:szCs w:val="21"/>
              </w:rPr>
            </w:pPr>
            <w:r>
              <w:rPr>
                <w:rFonts w:hint="eastAsia" w:ascii="宋体" w:hAnsi="宋体" w:eastAsia="宋体" w:cs="宋体"/>
                <w:sz w:val="21"/>
                <w:szCs w:val="21"/>
              </w:rPr>
              <w:t>龙港市</w:t>
            </w:r>
          </w:p>
        </w:tc>
        <w:tc>
          <w:tcPr>
            <w:tcW w:w="1734"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规划用地面积37267平方米，折约55.9亩。总建筑面积105290平方米，其中地上建筑面积75590平方米。地上建筑包括3栋蓝领、白领公寓、3栋研发孵化器及办公。相关配套设施同步建设。</w:t>
            </w:r>
          </w:p>
        </w:tc>
        <w:tc>
          <w:tcPr>
            <w:tcW w:w="398" w:type="pct"/>
            <w:tcBorders>
              <w:tl2br w:val="nil"/>
              <w:tr2bl w:val="nil"/>
            </w:tcBorders>
            <w:noWrap/>
            <w:vAlign w:val="center"/>
          </w:tcPr>
          <w:p>
            <w:pPr>
              <w:jc w:val="center"/>
              <w:rPr>
                <w:rFonts w:ascii="宋体" w:hAnsi="宋体" w:eastAsia="宋体" w:cs="宋体"/>
                <w:sz w:val="21"/>
                <w:szCs w:val="21"/>
              </w:rPr>
            </w:pPr>
            <w:r>
              <w:rPr>
                <w:rFonts w:ascii="宋体" w:hAnsi="宋体" w:eastAsia="宋体" w:cs="宋体"/>
                <w:sz w:val="21"/>
                <w:szCs w:val="21"/>
              </w:rPr>
              <w:t>53000</w:t>
            </w:r>
          </w:p>
        </w:tc>
        <w:tc>
          <w:tcPr>
            <w:tcW w:w="479" w:type="pct"/>
            <w:tcBorders>
              <w:tl2br w:val="nil"/>
              <w:tr2bl w:val="nil"/>
            </w:tcBorders>
            <w:noWrap/>
            <w:vAlign w:val="center"/>
          </w:tcPr>
          <w:p>
            <w:pPr>
              <w:jc w:val="center"/>
              <w:rPr>
                <w:rFonts w:ascii="宋体" w:hAnsi="宋体" w:eastAsia="宋体" w:cs="宋体"/>
                <w:sz w:val="21"/>
                <w:szCs w:val="21"/>
              </w:rPr>
            </w:pPr>
            <w:r>
              <w:rPr>
                <w:rFonts w:ascii="宋体" w:hAnsi="宋体" w:eastAsia="宋体" w:cs="宋体"/>
                <w:sz w:val="21"/>
                <w:szCs w:val="21"/>
              </w:rPr>
              <w:t>40000</w:t>
            </w:r>
          </w:p>
        </w:tc>
        <w:tc>
          <w:tcPr>
            <w:tcW w:w="516"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温州市双龙建设发展有限公司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2" w:hRule="atLeast"/>
          <w:jc w:val="center"/>
        </w:trPr>
        <w:tc>
          <w:tcPr>
            <w:tcW w:w="225" w:type="pct"/>
            <w:tcBorders>
              <w:tl2br w:val="nil"/>
              <w:tr2bl w:val="nil"/>
            </w:tcBorders>
            <w:noWrap/>
            <w:vAlign w:val="center"/>
          </w:tcPr>
          <w:p>
            <w:pPr>
              <w:jc w:val="center"/>
              <w:rPr>
                <w:rFonts w:hint="eastAsia" w:ascii="宋体" w:hAnsi="宋体" w:eastAsia="宋体" w:cs="宋体"/>
                <w:color w:val="000000"/>
                <w:sz w:val="21"/>
                <w:szCs w:val="21"/>
                <w:highlight w:val="none"/>
                <w:lang w:eastAsia="zh-CN"/>
              </w:rPr>
            </w:pPr>
            <w:r>
              <w:rPr>
                <w:rFonts w:ascii="宋体" w:hAnsi="宋体" w:eastAsia="宋体" w:cs="宋体"/>
                <w:color w:val="000000"/>
                <w:sz w:val="21"/>
                <w:szCs w:val="21"/>
                <w:highlight w:val="none"/>
              </w:rPr>
              <w:t>3</w:t>
            </w:r>
            <w:r>
              <w:rPr>
                <w:rFonts w:hint="eastAsia" w:ascii="宋体" w:hAnsi="宋体" w:cs="宋体"/>
                <w:color w:val="000000"/>
                <w:sz w:val="21"/>
                <w:szCs w:val="21"/>
                <w:highlight w:val="none"/>
                <w:lang w:val="en-US" w:eastAsia="zh-CN"/>
              </w:rPr>
              <w:t>2</w:t>
            </w:r>
          </w:p>
        </w:tc>
        <w:tc>
          <w:tcPr>
            <w:tcW w:w="542" w:type="pct"/>
            <w:tcBorders>
              <w:tl2br w:val="nil"/>
              <w:tr2bl w:val="nil"/>
            </w:tcBorders>
            <w:noWrap/>
            <w:vAlign w:val="center"/>
          </w:tcPr>
          <w:p>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龙港新城产业孵化园</w:t>
            </w:r>
          </w:p>
        </w:tc>
        <w:tc>
          <w:tcPr>
            <w:tcW w:w="348" w:type="pct"/>
            <w:tcBorders>
              <w:tl2br w:val="nil"/>
              <w:tr2bl w:val="nil"/>
            </w:tcBorders>
            <w:noWrap/>
            <w:vAlign w:val="center"/>
          </w:tcPr>
          <w:p>
            <w:pPr>
              <w:widowControl/>
              <w:jc w:val="center"/>
              <w:rPr>
                <w:rFonts w:hint="eastAsia" w:ascii="宋体" w:hAnsi="宋体" w:cs="宋体"/>
                <w:sz w:val="21"/>
                <w:szCs w:val="21"/>
              </w:rPr>
            </w:pPr>
            <w:r>
              <w:rPr>
                <w:rFonts w:hint="eastAsia" w:ascii="宋体" w:hAnsi="宋体" w:cs="宋体"/>
                <w:sz w:val="21"/>
                <w:szCs w:val="21"/>
              </w:rPr>
              <w:t>续建</w:t>
            </w:r>
          </w:p>
        </w:tc>
        <w:tc>
          <w:tcPr>
            <w:tcW w:w="348" w:type="pct"/>
            <w:tcBorders>
              <w:tl2br w:val="nil"/>
              <w:tr2bl w:val="nil"/>
            </w:tcBorders>
            <w:noWrap/>
            <w:vAlign w:val="center"/>
          </w:tcPr>
          <w:p>
            <w:pPr>
              <w:rPr>
                <w:rFonts w:ascii="宋体" w:hAnsi="宋体" w:eastAsia="宋体" w:cs="宋体"/>
                <w:sz w:val="21"/>
                <w:szCs w:val="21"/>
              </w:rPr>
            </w:pPr>
            <w:r>
              <w:rPr>
                <w:rFonts w:ascii="宋体" w:hAnsi="宋体" w:eastAsia="宋体" w:cs="宋体"/>
                <w:sz w:val="21"/>
                <w:szCs w:val="21"/>
              </w:rPr>
              <w:t>2020年—2024年</w:t>
            </w:r>
          </w:p>
        </w:tc>
        <w:tc>
          <w:tcPr>
            <w:tcW w:w="404" w:type="pct"/>
            <w:tcBorders>
              <w:tl2br w:val="nil"/>
              <w:tr2bl w:val="nil"/>
            </w:tcBorders>
            <w:noWrap/>
            <w:vAlign w:val="center"/>
          </w:tcPr>
          <w:p>
            <w:pPr>
              <w:jc w:val="center"/>
              <w:rPr>
                <w:rFonts w:hint="eastAsia" w:ascii="宋体" w:hAnsi="宋体" w:eastAsia="宋体" w:cs="宋体"/>
                <w:sz w:val="21"/>
                <w:szCs w:val="21"/>
              </w:rPr>
            </w:pPr>
            <w:r>
              <w:rPr>
                <w:rFonts w:hint="eastAsia" w:ascii="宋体" w:hAnsi="宋体" w:eastAsia="宋体" w:cs="宋体"/>
                <w:sz w:val="21"/>
                <w:szCs w:val="21"/>
              </w:rPr>
              <w:t>龙港市</w:t>
            </w:r>
          </w:p>
        </w:tc>
        <w:tc>
          <w:tcPr>
            <w:tcW w:w="1734"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建设用地面积36739.86平方米，总建筑面积95975平方米，其中地上建筑面积88175平方米，包括1栋科技孵化大楼、1栋人才服务中心、4栋孵化厂房、6栋标准厂房以及在科技孵化大楼和人才服务中心下新建1层地下室，相关配套设施同步建设。</w:t>
            </w:r>
          </w:p>
        </w:tc>
        <w:tc>
          <w:tcPr>
            <w:tcW w:w="398" w:type="pct"/>
            <w:tcBorders>
              <w:tl2br w:val="nil"/>
              <w:tr2bl w:val="nil"/>
            </w:tcBorders>
            <w:noWrap/>
            <w:vAlign w:val="center"/>
          </w:tcPr>
          <w:p>
            <w:pPr>
              <w:jc w:val="center"/>
              <w:rPr>
                <w:rFonts w:ascii="宋体" w:hAnsi="宋体" w:eastAsia="宋体" w:cs="宋体"/>
                <w:sz w:val="21"/>
                <w:szCs w:val="21"/>
              </w:rPr>
            </w:pPr>
            <w:r>
              <w:rPr>
                <w:rFonts w:ascii="宋体" w:hAnsi="宋体" w:eastAsia="宋体" w:cs="宋体"/>
                <w:sz w:val="21"/>
                <w:szCs w:val="21"/>
              </w:rPr>
              <w:t>31000</w:t>
            </w:r>
          </w:p>
        </w:tc>
        <w:tc>
          <w:tcPr>
            <w:tcW w:w="479" w:type="pct"/>
            <w:tcBorders>
              <w:tl2br w:val="nil"/>
              <w:tr2bl w:val="nil"/>
            </w:tcBorders>
            <w:noWrap/>
            <w:vAlign w:val="center"/>
          </w:tcPr>
          <w:p>
            <w:pPr>
              <w:jc w:val="center"/>
              <w:rPr>
                <w:rFonts w:ascii="宋体" w:hAnsi="宋体" w:eastAsia="宋体" w:cs="宋体"/>
                <w:sz w:val="21"/>
                <w:szCs w:val="21"/>
              </w:rPr>
            </w:pPr>
            <w:r>
              <w:rPr>
                <w:rFonts w:ascii="宋体" w:hAnsi="宋体" w:eastAsia="宋体" w:cs="宋体"/>
                <w:sz w:val="21"/>
                <w:szCs w:val="21"/>
              </w:rPr>
              <w:t>30000</w:t>
            </w:r>
          </w:p>
        </w:tc>
        <w:tc>
          <w:tcPr>
            <w:tcW w:w="516"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龙港市新城建设发展有限公司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5" w:type="pct"/>
            <w:tcBorders>
              <w:tl2br w:val="nil"/>
              <w:tr2bl w:val="nil"/>
            </w:tcBorders>
            <w:noWrap/>
            <w:vAlign w:val="center"/>
          </w:tcPr>
          <w:p>
            <w:pPr>
              <w:jc w:val="center"/>
              <w:rPr>
                <w:rFonts w:hint="eastAsia" w:ascii="宋体" w:hAnsi="宋体" w:eastAsia="宋体" w:cs="宋体"/>
                <w:color w:val="000000"/>
                <w:sz w:val="21"/>
                <w:szCs w:val="21"/>
                <w:lang w:eastAsia="zh-CN"/>
              </w:rPr>
            </w:pPr>
            <w:r>
              <w:rPr>
                <w:rFonts w:ascii="宋体" w:hAnsi="宋体" w:eastAsia="宋体" w:cs="宋体"/>
                <w:color w:val="000000"/>
                <w:sz w:val="21"/>
                <w:szCs w:val="21"/>
              </w:rPr>
              <w:t>3</w:t>
            </w:r>
            <w:r>
              <w:rPr>
                <w:rFonts w:hint="eastAsia" w:ascii="宋体" w:hAnsi="宋体" w:cs="宋体"/>
                <w:color w:val="000000"/>
                <w:sz w:val="21"/>
                <w:szCs w:val="21"/>
                <w:lang w:val="en-US" w:eastAsia="zh-CN"/>
              </w:rPr>
              <w:t>3</w:t>
            </w:r>
          </w:p>
        </w:tc>
        <w:tc>
          <w:tcPr>
            <w:tcW w:w="542"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永嘉鞋服时尚科技产业园项目</w:t>
            </w:r>
          </w:p>
        </w:tc>
        <w:tc>
          <w:tcPr>
            <w:tcW w:w="348" w:type="pct"/>
            <w:tcBorders>
              <w:tl2br w:val="nil"/>
              <w:tr2bl w:val="nil"/>
            </w:tcBorders>
            <w:noWrap/>
            <w:vAlign w:val="center"/>
          </w:tcPr>
          <w:p>
            <w:pPr>
              <w:widowControl/>
              <w:jc w:val="center"/>
              <w:rPr>
                <w:rFonts w:hint="eastAsia" w:ascii="宋体" w:hAnsi="宋体" w:cs="宋体"/>
                <w:sz w:val="21"/>
                <w:szCs w:val="21"/>
              </w:rPr>
            </w:pPr>
            <w:r>
              <w:rPr>
                <w:rFonts w:hint="eastAsia" w:ascii="宋体" w:hAnsi="宋体" w:cs="宋体"/>
                <w:sz w:val="21"/>
                <w:szCs w:val="21"/>
              </w:rPr>
              <w:t>续建</w:t>
            </w:r>
          </w:p>
        </w:tc>
        <w:tc>
          <w:tcPr>
            <w:tcW w:w="348" w:type="pct"/>
            <w:tcBorders>
              <w:tl2br w:val="nil"/>
              <w:tr2bl w:val="nil"/>
            </w:tcBorders>
            <w:noWrap/>
            <w:vAlign w:val="center"/>
          </w:tcPr>
          <w:p>
            <w:pPr>
              <w:rPr>
                <w:rFonts w:ascii="宋体" w:hAnsi="宋体" w:eastAsia="宋体" w:cs="宋体"/>
                <w:sz w:val="21"/>
                <w:szCs w:val="21"/>
              </w:rPr>
            </w:pPr>
            <w:r>
              <w:rPr>
                <w:rFonts w:ascii="宋体" w:hAnsi="宋体" w:eastAsia="宋体" w:cs="宋体"/>
                <w:sz w:val="21"/>
                <w:szCs w:val="21"/>
              </w:rPr>
              <w:t>2019年—2021年</w:t>
            </w:r>
          </w:p>
        </w:tc>
        <w:tc>
          <w:tcPr>
            <w:tcW w:w="404" w:type="pct"/>
            <w:tcBorders>
              <w:tl2br w:val="nil"/>
              <w:tr2bl w:val="nil"/>
            </w:tcBorders>
            <w:noWrap/>
            <w:vAlign w:val="center"/>
          </w:tcPr>
          <w:p>
            <w:pPr>
              <w:jc w:val="center"/>
              <w:rPr>
                <w:rFonts w:hint="eastAsia" w:ascii="宋体" w:hAnsi="宋体" w:eastAsia="宋体" w:cs="宋体"/>
                <w:sz w:val="21"/>
                <w:szCs w:val="21"/>
              </w:rPr>
            </w:pPr>
            <w:r>
              <w:rPr>
                <w:rFonts w:hint="eastAsia" w:ascii="宋体" w:hAnsi="宋体" w:eastAsia="宋体" w:cs="宋体"/>
                <w:sz w:val="21"/>
                <w:szCs w:val="21"/>
              </w:rPr>
              <w:t>永嘉县</w:t>
            </w:r>
          </w:p>
        </w:tc>
        <w:tc>
          <w:tcPr>
            <w:tcW w:w="1734"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总用地97.1亩，总建筑面积29.39万平方米，厂房2栋，研发中心1栋，宿舍2栋，地下建筑面积1.6万平方米。</w:t>
            </w:r>
          </w:p>
        </w:tc>
        <w:tc>
          <w:tcPr>
            <w:tcW w:w="398" w:type="pct"/>
            <w:tcBorders>
              <w:tl2br w:val="nil"/>
              <w:tr2bl w:val="nil"/>
            </w:tcBorders>
            <w:noWrap/>
            <w:vAlign w:val="center"/>
          </w:tcPr>
          <w:p>
            <w:pPr>
              <w:jc w:val="center"/>
              <w:rPr>
                <w:rFonts w:ascii="宋体" w:hAnsi="宋体" w:eastAsia="宋体" w:cs="宋体"/>
                <w:sz w:val="21"/>
                <w:szCs w:val="21"/>
              </w:rPr>
            </w:pPr>
            <w:r>
              <w:rPr>
                <w:rFonts w:ascii="宋体" w:hAnsi="宋体" w:eastAsia="宋体" w:cs="宋体"/>
                <w:sz w:val="21"/>
                <w:szCs w:val="21"/>
              </w:rPr>
              <w:t>110000</w:t>
            </w:r>
          </w:p>
        </w:tc>
        <w:tc>
          <w:tcPr>
            <w:tcW w:w="479" w:type="pct"/>
            <w:tcBorders>
              <w:tl2br w:val="nil"/>
              <w:tr2bl w:val="nil"/>
            </w:tcBorders>
            <w:noWrap/>
            <w:vAlign w:val="center"/>
          </w:tcPr>
          <w:p>
            <w:pPr>
              <w:jc w:val="center"/>
              <w:rPr>
                <w:rFonts w:ascii="宋体" w:hAnsi="宋体" w:eastAsia="宋体" w:cs="宋体"/>
                <w:sz w:val="21"/>
                <w:szCs w:val="21"/>
              </w:rPr>
            </w:pPr>
            <w:r>
              <w:rPr>
                <w:rFonts w:ascii="宋体" w:hAnsi="宋体" w:eastAsia="宋体" w:cs="宋体"/>
                <w:sz w:val="21"/>
                <w:szCs w:val="21"/>
              </w:rPr>
              <w:t>45000</w:t>
            </w:r>
          </w:p>
        </w:tc>
        <w:tc>
          <w:tcPr>
            <w:tcW w:w="516"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永嘉县政府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jc w:val="center"/>
        </w:trPr>
        <w:tc>
          <w:tcPr>
            <w:tcW w:w="225" w:type="pct"/>
            <w:tcBorders>
              <w:tl2br w:val="nil"/>
              <w:tr2bl w:val="nil"/>
            </w:tcBorders>
            <w:noWrap/>
            <w:vAlign w:val="center"/>
          </w:tcPr>
          <w:p>
            <w:pPr>
              <w:jc w:val="center"/>
              <w:rPr>
                <w:rFonts w:hint="eastAsia" w:ascii="宋体" w:hAnsi="宋体" w:eastAsia="宋体" w:cs="宋体"/>
                <w:color w:val="000000"/>
                <w:sz w:val="21"/>
                <w:szCs w:val="21"/>
                <w:highlight w:val="none"/>
                <w:lang w:eastAsia="zh-CN"/>
              </w:rPr>
            </w:pPr>
            <w:r>
              <w:rPr>
                <w:rFonts w:ascii="宋体" w:hAnsi="宋体" w:eastAsia="宋体" w:cs="宋体"/>
                <w:color w:val="000000"/>
                <w:sz w:val="21"/>
                <w:szCs w:val="21"/>
                <w:highlight w:val="none"/>
              </w:rPr>
              <w:t>3</w:t>
            </w:r>
            <w:r>
              <w:rPr>
                <w:rFonts w:hint="eastAsia" w:ascii="宋体" w:hAnsi="宋体" w:cs="宋体"/>
                <w:color w:val="000000"/>
                <w:sz w:val="21"/>
                <w:szCs w:val="21"/>
                <w:highlight w:val="none"/>
                <w:lang w:val="en-US" w:eastAsia="zh-CN"/>
              </w:rPr>
              <w:t>4</w:t>
            </w:r>
          </w:p>
        </w:tc>
        <w:tc>
          <w:tcPr>
            <w:tcW w:w="542" w:type="pct"/>
            <w:tcBorders>
              <w:tl2br w:val="nil"/>
              <w:tr2bl w:val="nil"/>
            </w:tcBorders>
            <w:noWrap/>
            <w:vAlign w:val="center"/>
          </w:tcPr>
          <w:p>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仓储机器人研发应用中心项目</w:t>
            </w:r>
          </w:p>
        </w:tc>
        <w:tc>
          <w:tcPr>
            <w:tcW w:w="348" w:type="pct"/>
            <w:tcBorders>
              <w:tl2br w:val="nil"/>
              <w:tr2bl w:val="nil"/>
            </w:tcBorders>
            <w:noWrap/>
            <w:vAlign w:val="center"/>
          </w:tcPr>
          <w:p>
            <w:pPr>
              <w:widowControl/>
              <w:jc w:val="center"/>
              <w:rPr>
                <w:rFonts w:hint="eastAsia" w:ascii="宋体" w:hAnsi="宋体" w:cs="宋体"/>
                <w:sz w:val="21"/>
                <w:szCs w:val="21"/>
              </w:rPr>
            </w:pPr>
            <w:r>
              <w:rPr>
                <w:rFonts w:hint="eastAsia" w:ascii="宋体" w:hAnsi="宋体" w:cs="宋体"/>
                <w:sz w:val="21"/>
                <w:szCs w:val="21"/>
              </w:rPr>
              <w:t>续建</w:t>
            </w:r>
          </w:p>
        </w:tc>
        <w:tc>
          <w:tcPr>
            <w:tcW w:w="348" w:type="pct"/>
            <w:tcBorders>
              <w:tl2br w:val="nil"/>
              <w:tr2bl w:val="nil"/>
            </w:tcBorders>
            <w:noWrap/>
            <w:vAlign w:val="center"/>
          </w:tcPr>
          <w:p>
            <w:pPr>
              <w:rPr>
                <w:rFonts w:ascii="宋体" w:hAnsi="宋体" w:eastAsia="宋体" w:cs="宋体"/>
                <w:sz w:val="21"/>
                <w:szCs w:val="21"/>
              </w:rPr>
            </w:pPr>
            <w:r>
              <w:rPr>
                <w:rFonts w:ascii="宋体" w:hAnsi="宋体" w:eastAsia="宋体" w:cs="宋体"/>
                <w:sz w:val="21"/>
                <w:szCs w:val="21"/>
              </w:rPr>
              <w:t>2019年—2021年</w:t>
            </w:r>
          </w:p>
        </w:tc>
        <w:tc>
          <w:tcPr>
            <w:tcW w:w="404" w:type="pct"/>
            <w:tcBorders>
              <w:tl2br w:val="nil"/>
              <w:tr2bl w:val="nil"/>
            </w:tcBorders>
            <w:noWrap/>
            <w:vAlign w:val="center"/>
          </w:tcPr>
          <w:p>
            <w:pPr>
              <w:jc w:val="center"/>
              <w:rPr>
                <w:rFonts w:hint="eastAsia" w:ascii="宋体" w:hAnsi="宋体" w:eastAsia="宋体" w:cs="宋体"/>
                <w:sz w:val="21"/>
                <w:szCs w:val="21"/>
              </w:rPr>
            </w:pPr>
            <w:r>
              <w:rPr>
                <w:rFonts w:hint="eastAsia" w:ascii="宋体" w:hAnsi="宋体" w:eastAsia="宋体" w:cs="宋体"/>
                <w:sz w:val="21"/>
                <w:szCs w:val="21"/>
              </w:rPr>
              <w:t>平阳县</w:t>
            </w:r>
          </w:p>
        </w:tc>
        <w:tc>
          <w:tcPr>
            <w:tcW w:w="1734"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总用地约133亩，总建筑面积约为26.6万平方米，包括建设具有智慧仓储、智能分拨等功能于一体的高标准现代物流供应链设施</w:t>
            </w:r>
          </w:p>
        </w:tc>
        <w:tc>
          <w:tcPr>
            <w:tcW w:w="398" w:type="pct"/>
            <w:tcBorders>
              <w:tl2br w:val="nil"/>
              <w:tr2bl w:val="nil"/>
            </w:tcBorders>
            <w:noWrap/>
            <w:vAlign w:val="center"/>
          </w:tcPr>
          <w:p>
            <w:pPr>
              <w:jc w:val="center"/>
              <w:rPr>
                <w:rFonts w:ascii="宋体" w:hAnsi="宋体" w:eastAsia="宋体" w:cs="宋体"/>
                <w:sz w:val="21"/>
                <w:szCs w:val="21"/>
              </w:rPr>
            </w:pPr>
            <w:r>
              <w:rPr>
                <w:rFonts w:ascii="宋体" w:hAnsi="宋体" w:eastAsia="宋体" w:cs="宋体"/>
                <w:sz w:val="21"/>
                <w:szCs w:val="21"/>
              </w:rPr>
              <w:t>110000</w:t>
            </w:r>
          </w:p>
        </w:tc>
        <w:tc>
          <w:tcPr>
            <w:tcW w:w="479" w:type="pct"/>
            <w:tcBorders>
              <w:tl2br w:val="nil"/>
              <w:tr2bl w:val="nil"/>
            </w:tcBorders>
            <w:noWrap/>
            <w:vAlign w:val="center"/>
          </w:tcPr>
          <w:p>
            <w:pPr>
              <w:jc w:val="center"/>
              <w:rPr>
                <w:rFonts w:ascii="宋体" w:hAnsi="宋体" w:eastAsia="宋体" w:cs="宋体"/>
                <w:sz w:val="21"/>
                <w:szCs w:val="21"/>
              </w:rPr>
            </w:pPr>
            <w:r>
              <w:rPr>
                <w:rFonts w:ascii="宋体" w:hAnsi="宋体" w:eastAsia="宋体" w:cs="宋体"/>
                <w:sz w:val="21"/>
                <w:szCs w:val="21"/>
              </w:rPr>
              <w:t>81000</w:t>
            </w:r>
          </w:p>
        </w:tc>
        <w:tc>
          <w:tcPr>
            <w:tcW w:w="516"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平阳县人民政府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225" w:type="pct"/>
            <w:tcBorders>
              <w:tl2br w:val="nil"/>
              <w:tr2bl w:val="nil"/>
            </w:tcBorders>
            <w:noWrap/>
            <w:vAlign w:val="center"/>
          </w:tcPr>
          <w:p>
            <w:pPr>
              <w:jc w:val="center"/>
              <w:rPr>
                <w:rFonts w:hint="eastAsia" w:ascii="宋体" w:hAnsi="宋体" w:eastAsia="宋体" w:cs="宋体"/>
                <w:color w:val="000000"/>
                <w:sz w:val="21"/>
                <w:szCs w:val="21"/>
                <w:lang w:eastAsia="zh-CN"/>
              </w:rPr>
            </w:pPr>
            <w:r>
              <w:rPr>
                <w:rFonts w:ascii="宋体" w:hAnsi="宋体" w:eastAsia="宋体" w:cs="宋体"/>
                <w:color w:val="000000"/>
                <w:sz w:val="21"/>
                <w:szCs w:val="21"/>
              </w:rPr>
              <w:t>3</w:t>
            </w:r>
            <w:r>
              <w:rPr>
                <w:rFonts w:hint="eastAsia" w:ascii="宋体" w:hAnsi="宋体" w:cs="宋体"/>
                <w:color w:val="000000"/>
                <w:sz w:val="21"/>
                <w:szCs w:val="21"/>
                <w:lang w:val="en-US" w:eastAsia="zh-CN"/>
              </w:rPr>
              <w:t>5</w:t>
            </w:r>
          </w:p>
        </w:tc>
        <w:tc>
          <w:tcPr>
            <w:tcW w:w="542"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大唐5G全球创新中心中国长三角区域中心项目</w:t>
            </w:r>
          </w:p>
        </w:tc>
        <w:tc>
          <w:tcPr>
            <w:tcW w:w="348" w:type="pct"/>
            <w:tcBorders>
              <w:tl2br w:val="nil"/>
              <w:tr2bl w:val="nil"/>
            </w:tcBorders>
            <w:noWrap/>
            <w:vAlign w:val="center"/>
          </w:tcPr>
          <w:p>
            <w:pPr>
              <w:widowControl/>
              <w:jc w:val="center"/>
              <w:rPr>
                <w:rFonts w:hint="eastAsia" w:ascii="宋体" w:hAnsi="宋体" w:cs="宋体"/>
                <w:sz w:val="21"/>
                <w:szCs w:val="21"/>
              </w:rPr>
            </w:pPr>
            <w:r>
              <w:rPr>
                <w:rFonts w:hint="eastAsia" w:ascii="宋体" w:hAnsi="宋体" w:cs="宋体"/>
                <w:sz w:val="21"/>
                <w:szCs w:val="21"/>
              </w:rPr>
              <w:t>续建</w:t>
            </w:r>
          </w:p>
        </w:tc>
        <w:tc>
          <w:tcPr>
            <w:tcW w:w="348" w:type="pct"/>
            <w:tcBorders>
              <w:tl2br w:val="nil"/>
              <w:tr2bl w:val="nil"/>
            </w:tcBorders>
            <w:noWrap/>
            <w:vAlign w:val="center"/>
          </w:tcPr>
          <w:p>
            <w:pPr>
              <w:rPr>
                <w:rFonts w:ascii="宋体" w:hAnsi="宋体" w:eastAsia="宋体" w:cs="宋体"/>
                <w:sz w:val="21"/>
                <w:szCs w:val="21"/>
              </w:rPr>
            </w:pPr>
            <w:r>
              <w:rPr>
                <w:rFonts w:ascii="宋体" w:hAnsi="宋体" w:eastAsia="宋体" w:cs="宋体"/>
                <w:sz w:val="21"/>
                <w:szCs w:val="21"/>
              </w:rPr>
              <w:t>2020年—</w:t>
            </w:r>
          </w:p>
          <w:p>
            <w:pPr>
              <w:rPr>
                <w:rFonts w:ascii="宋体" w:hAnsi="宋体" w:eastAsia="宋体" w:cs="宋体"/>
                <w:sz w:val="21"/>
                <w:szCs w:val="21"/>
              </w:rPr>
            </w:pPr>
            <w:r>
              <w:rPr>
                <w:rFonts w:ascii="宋体" w:hAnsi="宋体" w:eastAsia="宋体" w:cs="宋体"/>
                <w:sz w:val="21"/>
                <w:szCs w:val="21"/>
              </w:rPr>
              <w:t>2025年</w:t>
            </w:r>
          </w:p>
        </w:tc>
        <w:tc>
          <w:tcPr>
            <w:tcW w:w="404" w:type="pct"/>
            <w:tcBorders>
              <w:tl2br w:val="nil"/>
              <w:tr2bl w:val="nil"/>
            </w:tcBorders>
            <w:noWrap/>
            <w:vAlign w:val="center"/>
          </w:tcPr>
          <w:p>
            <w:pPr>
              <w:jc w:val="center"/>
              <w:rPr>
                <w:rFonts w:hint="eastAsia" w:ascii="宋体" w:hAnsi="宋体" w:eastAsia="宋体" w:cs="宋体"/>
                <w:sz w:val="21"/>
                <w:szCs w:val="21"/>
              </w:rPr>
            </w:pPr>
            <w:r>
              <w:rPr>
                <w:rFonts w:hint="eastAsia" w:ascii="宋体" w:hAnsi="宋体" w:eastAsia="宋体" w:cs="宋体"/>
                <w:sz w:val="21"/>
                <w:szCs w:val="21"/>
              </w:rPr>
              <w:t>浙南科技城</w:t>
            </w:r>
          </w:p>
        </w:tc>
        <w:tc>
          <w:tcPr>
            <w:tcW w:w="1734"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建设5G微基站长三角智能制造中心、5G云制造全国创新总部、5G微基站长三角运营总部、5G创新应用研究院等。</w:t>
            </w:r>
          </w:p>
        </w:tc>
        <w:tc>
          <w:tcPr>
            <w:tcW w:w="398" w:type="pct"/>
            <w:tcBorders>
              <w:tl2br w:val="nil"/>
              <w:tr2bl w:val="nil"/>
            </w:tcBorders>
            <w:noWrap/>
            <w:vAlign w:val="center"/>
          </w:tcPr>
          <w:p>
            <w:pPr>
              <w:jc w:val="center"/>
              <w:rPr>
                <w:rFonts w:ascii="宋体" w:hAnsi="宋体" w:eastAsia="宋体" w:cs="宋体"/>
                <w:sz w:val="21"/>
                <w:szCs w:val="21"/>
              </w:rPr>
            </w:pPr>
            <w:r>
              <w:rPr>
                <w:rFonts w:hint="eastAsia" w:ascii="宋体" w:hAnsi="宋体" w:cs="宋体"/>
                <w:sz w:val="21"/>
                <w:szCs w:val="21"/>
                <w:lang w:val="en-US" w:eastAsia="zh-CN"/>
              </w:rPr>
              <w:t>52</w:t>
            </w:r>
            <w:r>
              <w:rPr>
                <w:rFonts w:ascii="宋体" w:hAnsi="宋体" w:eastAsia="宋体" w:cs="宋体"/>
                <w:sz w:val="21"/>
                <w:szCs w:val="21"/>
              </w:rPr>
              <w:t>0000</w:t>
            </w:r>
          </w:p>
        </w:tc>
        <w:tc>
          <w:tcPr>
            <w:tcW w:w="479" w:type="pct"/>
            <w:tcBorders>
              <w:tl2br w:val="nil"/>
              <w:tr2bl w:val="nil"/>
            </w:tcBorders>
            <w:noWrap/>
            <w:vAlign w:val="center"/>
          </w:tcPr>
          <w:p>
            <w:pPr>
              <w:jc w:val="center"/>
              <w:rPr>
                <w:rFonts w:ascii="宋体" w:hAnsi="宋体" w:eastAsia="宋体" w:cs="宋体"/>
                <w:sz w:val="21"/>
                <w:szCs w:val="21"/>
              </w:rPr>
            </w:pPr>
            <w:r>
              <w:rPr>
                <w:rFonts w:hint="eastAsia" w:ascii="宋体" w:hAnsi="宋体" w:cs="宋体"/>
                <w:sz w:val="21"/>
                <w:szCs w:val="21"/>
                <w:lang w:val="en-US" w:eastAsia="zh-CN"/>
              </w:rPr>
              <w:t>49</w:t>
            </w:r>
            <w:r>
              <w:rPr>
                <w:rFonts w:ascii="宋体" w:hAnsi="宋体" w:eastAsia="宋体" w:cs="宋体"/>
                <w:sz w:val="21"/>
                <w:szCs w:val="21"/>
              </w:rPr>
              <w:t>0000</w:t>
            </w:r>
          </w:p>
        </w:tc>
        <w:tc>
          <w:tcPr>
            <w:tcW w:w="516"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温州高新区（浙南科技城）管委会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225" w:type="pct"/>
            <w:tcBorders>
              <w:tl2br w:val="nil"/>
              <w:tr2bl w:val="nil"/>
            </w:tcBorders>
            <w:noWrap/>
            <w:vAlign w:val="center"/>
          </w:tcPr>
          <w:p>
            <w:pPr>
              <w:jc w:val="center"/>
              <w:rPr>
                <w:rFonts w:hint="eastAsia" w:ascii="宋体" w:hAnsi="宋体" w:eastAsia="宋体" w:cs="宋体"/>
                <w:color w:val="000000"/>
                <w:sz w:val="21"/>
                <w:szCs w:val="21"/>
                <w:lang w:eastAsia="zh-CN"/>
              </w:rPr>
            </w:pPr>
            <w:r>
              <w:rPr>
                <w:rFonts w:ascii="宋体" w:hAnsi="宋体" w:eastAsia="宋体" w:cs="宋体"/>
                <w:color w:val="000000"/>
                <w:sz w:val="21"/>
                <w:szCs w:val="21"/>
              </w:rPr>
              <w:t>3</w:t>
            </w:r>
            <w:r>
              <w:rPr>
                <w:rFonts w:hint="eastAsia" w:ascii="宋体" w:hAnsi="宋体" w:cs="宋体"/>
                <w:color w:val="000000"/>
                <w:sz w:val="21"/>
                <w:szCs w:val="21"/>
                <w:lang w:val="en-US" w:eastAsia="zh-CN"/>
              </w:rPr>
              <w:t>6</w:t>
            </w:r>
          </w:p>
        </w:tc>
        <w:tc>
          <w:tcPr>
            <w:tcW w:w="542"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温州瓯江口机器人产业园项目</w:t>
            </w:r>
          </w:p>
        </w:tc>
        <w:tc>
          <w:tcPr>
            <w:tcW w:w="348" w:type="pct"/>
            <w:tcBorders>
              <w:tl2br w:val="nil"/>
              <w:tr2bl w:val="nil"/>
            </w:tcBorders>
            <w:noWrap/>
            <w:vAlign w:val="center"/>
          </w:tcPr>
          <w:p>
            <w:pPr>
              <w:widowControl/>
              <w:jc w:val="center"/>
              <w:rPr>
                <w:rFonts w:hint="eastAsia" w:ascii="宋体" w:hAnsi="宋体" w:cs="宋体"/>
                <w:sz w:val="21"/>
                <w:szCs w:val="21"/>
              </w:rPr>
            </w:pPr>
            <w:r>
              <w:rPr>
                <w:rFonts w:hint="eastAsia" w:ascii="宋体" w:hAnsi="宋体" w:cs="宋体"/>
                <w:sz w:val="21"/>
                <w:szCs w:val="21"/>
              </w:rPr>
              <w:t>续建</w:t>
            </w:r>
          </w:p>
        </w:tc>
        <w:tc>
          <w:tcPr>
            <w:tcW w:w="348" w:type="pct"/>
            <w:tcBorders>
              <w:tl2br w:val="nil"/>
              <w:tr2bl w:val="nil"/>
            </w:tcBorders>
            <w:noWrap/>
            <w:vAlign w:val="center"/>
          </w:tcPr>
          <w:p>
            <w:pPr>
              <w:rPr>
                <w:rFonts w:ascii="宋体" w:hAnsi="宋体" w:eastAsia="宋体" w:cs="宋体"/>
                <w:sz w:val="21"/>
                <w:szCs w:val="21"/>
              </w:rPr>
            </w:pPr>
            <w:r>
              <w:rPr>
                <w:rFonts w:ascii="宋体" w:hAnsi="宋体" w:eastAsia="宋体" w:cs="宋体"/>
                <w:sz w:val="21"/>
                <w:szCs w:val="21"/>
              </w:rPr>
              <w:t>2020</w:t>
            </w:r>
            <w:r>
              <w:rPr>
                <w:rFonts w:hint="eastAsia" w:ascii="宋体" w:hAnsi="宋体" w:eastAsia="宋体" w:cs="宋体"/>
                <w:sz w:val="21"/>
                <w:szCs w:val="21"/>
              </w:rPr>
              <w:t>年—</w:t>
            </w:r>
            <w:r>
              <w:rPr>
                <w:rFonts w:ascii="宋体" w:hAnsi="宋体" w:eastAsia="宋体" w:cs="宋体"/>
                <w:sz w:val="21"/>
                <w:szCs w:val="21"/>
              </w:rPr>
              <w:t>202</w:t>
            </w:r>
            <w:r>
              <w:rPr>
                <w:rFonts w:hint="eastAsia" w:ascii="宋体" w:hAnsi="宋体" w:cs="宋体"/>
                <w:sz w:val="21"/>
                <w:szCs w:val="21"/>
                <w:lang w:val="en-US" w:eastAsia="zh-CN"/>
              </w:rPr>
              <w:t>2</w:t>
            </w:r>
            <w:r>
              <w:rPr>
                <w:rFonts w:hint="eastAsia" w:ascii="宋体" w:hAnsi="宋体" w:eastAsia="宋体" w:cs="宋体"/>
                <w:sz w:val="21"/>
                <w:szCs w:val="21"/>
              </w:rPr>
              <w:t>年</w:t>
            </w:r>
          </w:p>
        </w:tc>
        <w:tc>
          <w:tcPr>
            <w:tcW w:w="404" w:type="pct"/>
            <w:tcBorders>
              <w:tl2br w:val="nil"/>
              <w:tr2bl w:val="nil"/>
            </w:tcBorders>
            <w:noWrap/>
            <w:vAlign w:val="center"/>
          </w:tcPr>
          <w:p>
            <w:pPr>
              <w:jc w:val="center"/>
              <w:rPr>
                <w:rFonts w:hint="eastAsia" w:ascii="宋体" w:hAnsi="宋体" w:eastAsia="宋体" w:cs="宋体"/>
                <w:sz w:val="21"/>
                <w:szCs w:val="21"/>
              </w:rPr>
            </w:pPr>
            <w:r>
              <w:rPr>
                <w:rFonts w:hint="eastAsia" w:ascii="宋体" w:hAnsi="宋体" w:eastAsia="宋体" w:cs="宋体"/>
                <w:sz w:val="21"/>
                <w:szCs w:val="21"/>
              </w:rPr>
              <w:t>瓯江口</w:t>
            </w:r>
          </w:p>
        </w:tc>
        <w:tc>
          <w:tcPr>
            <w:tcW w:w="1734"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建设机器人研发和生产基地、机器人应用示范区、机器人博物馆及等配套工程。</w:t>
            </w:r>
          </w:p>
        </w:tc>
        <w:tc>
          <w:tcPr>
            <w:tcW w:w="398" w:type="pct"/>
            <w:tcBorders>
              <w:tl2br w:val="nil"/>
              <w:tr2bl w:val="nil"/>
            </w:tcBorders>
            <w:noWrap/>
            <w:vAlign w:val="center"/>
          </w:tcPr>
          <w:p>
            <w:pPr>
              <w:jc w:val="center"/>
              <w:rPr>
                <w:rFonts w:ascii="宋体" w:hAnsi="宋体" w:eastAsia="宋体" w:cs="宋体"/>
                <w:sz w:val="21"/>
                <w:szCs w:val="21"/>
              </w:rPr>
            </w:pPr>
            <w:r>
              <w:rPr>
                <w:rFonts w:ascii="宋体" w:hAnsi="宋体" w:eastAsia="宋体" w:cs="宋体"/>
                <w:sz w:val="21"/>
                <w:szCs w:val="21"/>
              </w:rPr>
              <w:t>2</w:t>
            </w:r>
            <w:r>
              <w:rPr>
                <w:rFonts w:hint="eastAsia" w:ascii="宋体" w:hAnsi="宋体" w:cs="宋体"/>
                <w:sz w:val="21"/>
                <w:szCs w:val="21"/>
                <w:lang w:val="en-US" w:eastAsia="zh-CN"/>
              </w:rPr>
              <w:t>03</w:t>
            </w:r>
            <w:r>
              <w:rPr>
                <w:rFonts w:ascii="宋体" w:hAnsi="宋体" w:eastAsia="宋体" w:cs="宋体"/>
                <w:sz w:val="21"/>
                <w:szCs w:val="21"/>
              </w:rPr>
              <w:t>000</w:t>
            </w:r>
          </w:p>
        </w:tc>
        <w:tc>
          <w:tcPr>
            <w:tcW w:w="479" w:type="pct"/>
            <w:tcBorders>
              <w:tl2br w:val="nil"/>
              <w:tr2bl w:val="nil"/>
            </w:tcBorders>
            <w:noWrap/>
            <w:vAlign w:val="center"/>
          </w:tcPr>
          <w:p>
            <w:pPr>
              <w:jc w:val="center"/>
              <w:rPr>
                <w:rFonts w:ascii="宋体" w:hAnsi="宋体" w:eastAsia="宋体" w:cs="宋体"/>
                <w:sz w:val="21"/>
                <w:szCs w:val="21"/>
              </w:rPr>
            </w:pPr>
            <w:r>
              <w:rPr>
                <w:rFonts w:hint="eastAsia" w:ascii="宋体" w:hAnsi="宋体" w:cs="宋体"/>
                <w:sz w:val="21"/>
                <w:szCs w:val="21"/>
                <w:lang w:val="en-US" w:eastAsia="zh-CN"/>
              </w:rPr>
              <w:t>15</w:t>
            </w:r>
            <w:r>
              <w:rPr>
                <w:rFonts w:ascii="宋体" w:hAnsi="宋体" w:eastAsia="宋体" w:cs="宋体"/>
                <w:sz w:val="21"/>
                <w:szCs w:val="21"/>
              </w:rPr>
              <w:t>0000</w:t>
            </w:r>
          </w:p>
        </w:tc>
        <w:tc>
          <w:tcPr>
            <w:tcW w:w="516"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瓯江口产业集聚区管委会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225" w:type="pct"/>
            <w:tcBorders>
              <w:tl2br w:val="nil"/>
              <w:tr2bl w:val="nil"/>
            </w:tcBorders>
            <w:noWrap/>
            <w:vAlign w:val="center"/>
          </w:tcPr>
          <w:p>
            <w:pPr>
              <w:jc w:val="center"/>
              <w:rPr>
                <w:rFonts w:ascii="宋体" w:hAnsi="宋体" w:eastAsia="宋体" w:cs="宋体"/>
                <w:color w:val="000000"/>
                <w:sz w:val="21"/>
                <w:szCs w:val="21"/>
              </w:rPr>
            </w:pPr>
            <w:r>
              <w:rPr>
                <w:rFonts w:ascii="宋体" w:hAnsi="宋体" w:eastAsia="宋体" w:cs="宋体"/>
                <w:color w:val="000000"/>
                <w:sz w:val="21"/>
                <w:szCs w:val="21"/>
              </w:rPr>
              <w:t>37</w:t>
            </w:r>
          </w:p>
        </w:tc>
        <w:tc>
          <w:tcPr>
            <w:tcW w:w="542"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温州城市数字科创园</w:t>
            </w:r>
          </w:p>
        </w:tc>
        <w:tc>
          <w:tcPr>
            <w:tcW w:w="348" w:type="pct"/>
            <w:tcBorders>
              <w:tl2br w:val="nil"/>
              <w:tr2bl w:val="nil"/>
            </w:tcBorders>
            <w:noWrap/>
            <w:vAlign w:val="center"/>
          </w:tcPr>
          <w:p>
            <w:pPr>
              <w:widowControl/>
              <w:jc w:val="center"/>
              <w:rPr>
                <w:rFonts w:hint="eastAsia" w:ascii="宋体" w:hAnsi="宋体" w:cs="宋体"/>
                <w:sz w:val="21"/>
                <w:szCs w:val="21"/>
              </w:rPr>
            </w:pPr>
            <w:r>
              <w:rPr>
                <w:rFonts w:hint="eastAsia" w:ascii="宋体" w:hAnsi="宋体" w:cs="宋体"/>
                <w:sz w:val="21"/>
                <w:szCs w:val="21"/>
              </w:rPr>
              <w:t>续建</w:t>
            </w:r>
          </w:p>
        </w:tc>
        <w:tc>
          <w:tcPr>
            <w:tcW w:w="348" w:type="pct"/>
            <w:tcBorders>
              <w:tl2br w:val="nil"/>
              <w:tr2bl w:val="nil"/>
            </w:tcBorders>
            <w:noWrap/>
            <w:vAlign w:val="center"/>
          </w:tcPr>
          <w:p>
            <w:pPr>
              <w:rPr>
                <w:rFonts w:ascii="宋体" w:hAnsi="宋体" w:eastAsia="宋体" w:cs="宋体"/>
                <w:sz w:val="21"/>
                <w:szCs w:val="21"/>
              </w:rPr>
            </w:pPr>
            <w:r>
              <w:rPr>
                <w:rFonts w:ascii="宋体" w:hAnsi="宋体" w:eastAsia="宋体" w:cs="宋体"/>
                <w:sz w:val="21"/>
                <w:szCs w:val="21"/>
              </w:rPr>
              <w:t>2020年-</w:t>
            </w:r>
          </w:p>
          <w:p>
            <w:pPr>
              <w:rPr>
                <w:rFonts w:ascii="宋体" w:hAnsi="宋体" w:eastAsia="宋体" w:cs="宋体"/>
                <w:sz w:val="21"/>
                <w:szCs w:val="21"/>
              </w:rPr>
            </w:pPr>
            <w:r>
              <w:rPr>
                <w:rFonts w:ascii="宋体" w:hAnsi="宋体" w:eastAsia="宋体" w:cs="宋体"/>
                <w:sz w:val="21"/>
                <w:szCs w:val="21"/>
              </w:rPr>
              <w:t>2027年</w:t>
            </w:r>
          </w:p>
        </w:tc>
        <w:tc>
          <w:tcPr>
            <w:tcW w:w="404" w:type="pct"/>
            <w:tcBorders>
              <w:tl2br w:val="nil"/>
              <w:tr2bl w:val="nil"/>
            </w:tcBorders>
            <w:noWrap/>
            <w:vAlign w:val="center"/>
          </w:tcPr>
          <w:p>
            <w:pPr>
              <w:jc w:val="center"/>
              <w:rPr>
                <w:rFonts w:hint="eastAsia" w:ascii="宋体" w:hAnsi="宋体" w:eastAsia="宋体" w:cs="宋体"/>
                <w:sz w:val="21"/>
                <w:szCs w:val="21"/>
              </w:rPr>
            </w:pPr>
            <w:r>
              <w:rPr>
                <w:rFonts w:hint="eastAsia" w:ascii="宋体" w:hAnsi="宋体" w:eastAsia="宋体" w:cs="宋体"/>
                <w:sz w:val="21"/>
                <w:szCs w:val="21"/>
              </w:rPr>
              <w:t>鹿城区</w:t>
            </w:r>
          </w:p>
        </w:tc>
        <w:tc>
          <w:tcPr>
            <w:tcW w:w="1734"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建设温州数字经济和科技创新综合示范产业基地、创新中心、科技服务中心。</w:t>
            </w:r>
          </w:p>
        </w:tc>
        <w:tc>
          <w:tcPr>
            <w:tcW w:w="398" w:type="pct"/>
            <w:tcBorders>
              <w:tl2br w:val="nil"/>
              <w:tr2bl w:val="nil"/>
            </w:tcBorders>
            <w:noWrap/>
            <w:vAlign w:val="center"/>
          </w:tcPr>
          <w:p>
            <w:pPr>
              <w:jc w:val="center"/>
              <w:rPr>
                <w:rFonts w:ascii="宋体" w:hAnsi="宋体" w:eastAsia="宋体" w:cs="宋体"/>
                <w:sz w:val="21"/>
                <w:szCs w:val="21"/>
              </w:rPr>
            </w:pPr>
            <w:r>
              <w:rPr>
                <w:rFonts w:ascii="宋体" w:hAnsi="宋体" w:eastAsia="宋体" w:cs="宋体"/>
                <w:sz w:val="21"/>
                <w:szCs w:val="21"/>
              </w:rPr>
              <w:t>300000</w:t>
            </w:r>
          </w:p>
        </w:tc>
        <w:tc>
          <w:tcPr>
            <w:tcW w:w="479" w:type="pct"/>
            <w:tcBorders>
              <w:tl2br w:val="nil"/>
              <w:tr2bl w:val="nil"/>
            </w:tcBorders>
            <w:noWrap/>
            <w:vAlign w:val="center"/>
          </w:tcPr>
          <w:p>
            <w:pPr>
              <w:jc w:val="center"/>
              <w:rPr>
                <w:rFonts w:ascii="宋体" w:hAnsi="宋体" w:eastAsia="宋体" w:cs="宋体"/>
                <w:sz w:val="21"/>
                <w:szCs w:val="21"/>
              </w:rPr>
            </w:pPr>
            <w:r>
              <w:rPr>
                <w:rFonts w:hint="eastAsia" w:ascii="宋体" w:hAnsi="宋体" w:cs="宋体"/>
                <w:sz w:val="21"/>
                <w:szCs w:val="21"/>
                <w:lang w:val="en-US" w:eastAsia="zh-CN"/>
              </w:rPr>
              <w:t>2</w:t>
            </w:r>
            <w:r>
              <w:rPr>
                <w:rFonts w:ascii="宋体" w:hAnsi="宋体" w:eastAsia="宋体" w:cs="宋体"/>
                <w:sz w:val="21"/>
                <w:szCs w:val="21"/>
              </w:rPr>
              <w:t>00000</w:t>
            </w:r>
          </w:p>
        </w:tc>
        <w:tc>
          <w:tcPr>
            <w:tcW w:w="516" w:type="pct"/>
            <w:tcBorders>
              <w:tl2br w:val="nil"/>
              <w:tr2bl w:val="nil"/>
            </w:tcBorders>
            <w:noWrap/>
            <w:vAlign w:val="center"/>
          </w:tcPr>
          <w:p>
            <w:pPr>
              <w:jc w:val="left"/>
              <w:rPr>
                <w:rFonts w:hint="eastAsia" w:ascii="宋体" w:hAnsi="宋体" w:eastAsia="宋体" w:cs="宋体"/>
                <w:sz w:val="21"/>
                <w:szCs w:val="21"/>
              </w:rPr>
            </w:pPr>
            <w:r>
              <w:rPr>
                <w:rFonts w:hint="eastAsia" w:ascii="宋体" w:hAnsi="宋体" w:eastAsia="宋体" w:cs="宋体"/>
                <w:sz w:val="21"/>
                <w:szCs w:val="21"/>
              </w:rPr>
              <w:t>鹿城区政府</w:t>
            </w:r>
          </w:p>
        </w:tc>
      </w:tr>
    </w:tbl>
    <w:p/>
    <w:p>
      <w:pPr>
        <w:pStyle w:val="5"/>
        <w:spacing w:line="480" w:lineRule="exact"/>
        <w:ind w:firstLine="0" w:firstLineChars="0"/>
        <w:rPr>
          <w:rFonts w:hint="eastAsia"/>
        </w:rPr>
      </w:pPr>
    </w:p>
    <w:p>
      <w:pPr>
        <w:pStyle w:val="5"/>
        <w:spacing w:line="480" w:lineRule="exact"/>
        <w:ind w:firstLine="0" w:firstLineChars="0"/>
        <w:rPr>
          <w:rFonts w:hint="eastAsia"/>
        </w:rPr>
      </w:pPr>
    </w:p>
    <w:p>
      <w:pPr>
        <w:pStyle w:val="5"/>
        <w:spacing w:line="480" w:lineRule="exact"/>
        <w:ind w:firstLine="0" w:firstLineChars="0"/>
        <w:rPr>
          <w:rFonts w:hint="eastAsia"/>
        </w:rPr>
      </w:pPr>
    </w:p>
    <w:p>
      <w:pPr>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5"/>
        <w:spacing w:line="480" w:lineRule="exact"/>
        <w:ind w:firstLine="0" w:firstLineChars="0"/>
        <w:rPr>
          <w:rFonts w:hint="eastAsia"/>
        </w:rPr>
      </w:pPr>
    </w:p>
    <w:p>
      <w:pPr>
        <w:pStyle w:val="5"/>
        <w:spacing w:line="480" w:lineRule="exact"/>
        <w:ind w:firstLine="0" w:firstLineChars="0"/>
      </w:pPr>
      <w:r>
        <w:rPr>
          <w:rFonts w:hint="eastAsia"/>
        </w:rPr>
        <w:t>附件3</w:t>
      </w:r>
    </w:p>
    <w:p>
      <w:pPr>
        <w:pStyle w:val="5"/>
        <w:spacing w:line="480" w:lineRule="exact"/>
        <w:ind w:firstLine="0" w:firstLineChars="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重大政策</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2265"/>
        <w:gridCol w:w="7440"/>
        <w:gridCol w:w="3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804" w:type="dxa"/>
            <w:noWrap/>
            <w:vAlign w:val="center"/>
          </w:tcPr>
          <w:p>
            <w:pPr>
              <w:widowControl/>
              <w:jc w:val="center"/>
              <w:rPr>
                <w:rFonts w:ascii="黑体" w:hAnsi="黑体" w:eastAsia="黑体" w:cs="黑体"/>
                <w:sz w:val="21"/>
                <w:szCs w:val="21"/>
              </w:rPr>
            </w:pPr>
            <w:r>
              <w:rPr>
                <w:rFonts w:hint="eastAsia" w:ascii="黑体" w:hAnsi="黑体" w:eastAsia="黑体" w:cs="黑体"/>
                <w:sz w:val="21"/>
                <w:szCs w:val="21"/>
              </w:rPr>
              <w:t>序号</w:t>
            </w:r>
          </w:p>
        </w:tc>
        <w:tc>
          <w:tcPr>
            <w:tcW w:w="2265" w:type="dxa"/>
            <w:noWrap/>
            <w:vAlign w:val="center"/>
          </w:tcPr>
          <w:p>
            <w:pPr>
              <w:widowControl/>
              <w:jc w:val="center"/>
              <w:rPr>
                <w:rFonts w:ascii="黑体" w:hAnsi="黑体" w:eastAsia="黑体" w:cs="黑体"/>
                <w:sz w:val="21"/>
                <w:szCs w:val="21"/>
              </w:rPr>
            </w:pPr>
            <w:r>
              <w:rPr>
                <w:rFonts w:hint="eastAsia" w:ascii="黑体" w:hAnsi="黑体" w:eastAsia="黑体" w:cs="黑体"/>
                <w:sz w:val="21"/>
                <w:szCs w:val="21"/>
              </w:rPr>
              <w:t>政策名称</w:t>
            </w:r>
          </w:p>
        </w:tc>
        <w:tc>
          <w:tcPr>
            <w:tcW w:w="7440" w:type="dxa"/>
            <w:noWrap/>
            <w:vAlign w:val="center"/>
          </w:tcPr>
          <w:p>
            <w:pPr>
              <w:widowControl/>
              <w:jc w:val="center"/>
              <w:rPr>
                <w:rFonts w:ascii="黑体" w:hAnsi="黑体" w:eastAsia="黑体" w:cs="黑体"/>
                <w:sz w:val="21"/>
                <w:szCs w:val="21"/>
              </w:rPr>
            </w:pPr>
            <w:r>
              <w:rPr>
                <w:rFonts w:hint="eastAsia" w:ascii="黑体" w:hAnsi="黑体" w:eastAsia="黑体" w:cs="黑体"/>
                <w:sz w:val="21"/>
                <w:szCs w:val="21"/>
              </w:rPr>
              <w:t>“十四五”具体内容</w:t>
            </w:r>
          </w:p>
        </w:tc>
        <w:tc>
          <w:tcPr>
            <w:tcW w:w="3375" w:type="dxa"/>
            <w:noWrap/>
            <w:vAlign w:val="center"/>
          </w:tcPr>
          <w:p>
            <w:pPr>
              <w:widowControl/>
              <w:jc w:val="center"/>
              <w:rPr>
                <w:rFonts w:hint="eastAsia" w:ascii="黑体" w:hAnsi="黑体" w:eastAsia="黑体" w:cs="黑体"/>
                <w:sz w:val="21"/>
                <w:szCs w:val="21"/>
              </w:rPr>
            </w:pPr>
            <w:r>
              <w:rPr>
                <w:rFonts w:hint="eastAsia" w:ascii="黑体" w:hAnsi="黑体" w:eastAsia="黑体" w:cs="黑体"/>
                <w:color w:val="000000"/>
                <w:kern w:val="2"/>
                <w:sz w:val="21"/>
                <w:szCs w:val="21"/>
                <w:lang w:val="en-US" w:eastAsia="zh-CN" w:bidi="ar"/>
              </w:rPr>
              <w:t>预期目标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trPr>
        <w:tc>
          <w:tcPr>
            <w:tcW w:w="804" w:type="dxa"/>
            <w:noWrap/>
            <w:vAlign w:val="center"/>
          </w:tcPr>
          <w:p>
            <w:pPr>
              <w:jc w:val="center"/>
              <w:outlineLvl w:val="0"/>
              <w:rPr>
                <w:rFonts w:ascii="宋体" w:hAnsi="宋体" w:cs="宋体"/>
                <w:sz w:val="21"/>
                <w:szCs w:val="21"/>
              </w:rPr>
            </w:pPr>
            <w:r>
              <w:rPr>
                <w:rFonts w:ascii="宋体" w:hAnsi="宋体" w:cs="宋体"/>
                <w:sz w:val="21"/>
                <w:szCs w:val="21"/>
              </w:rPr>
              <w:t>1</w:t>
            </w:r>
          </w:p>
        </w:tc>
        <w:tc>
          <w:tcPr>
            <w:tcW w:w="2265" w:type="dxa"/>
            <w:noWrap/>
            <w:vAlign w:val="center"/>
          </w:tcPr>
          <w:p>
            <w:pPr>
              <w:widowControl/>
              <w:jc w:val="left"/>
              <w:rPr>
                <w:rFonts w:ascii="宋体" w:hAnsi="宋体" w:cs="宋体"/>
                <w:kern w:val="0"/>
                <w:sz w:val="21"/>
                <w:szCs w:val="21"/>
              </w:rPr>
            </w:pPr>
            <w:r>
              <w:rPr>
                <w:rFonts w:hint="eastAsia" w:ascii="宋体" w:hAnsi="宋体" w:cs="宋体"/>
                <w:kern w:val="0"/>
                <w:sz w:val="21"/>
                <w:szCs w:val="21"/>
              </w:rPr>
              <w:t>落实科技型企业税收优惠和财政支持政策</w:t>
            </w:r>
          </w:p>
        </w:tc>
        <w:tc>
          <w:tcPr>
            <w:tcW w:w="7440" w:type="dxa"/>
            <w:noWrap/>
            <w:vAlign w:val="center"/>
          </w:tcPr>
          <w:p>
            <w:pPr>
              <w:widowControl/>
              <w:jc w:val="left"/>
              <w:rPr>
                <w:rFonts w:ascii="宋体" w:hAnsi="宋体" w:cs="宋体"/>
                <w:kern w:val="0"/>
                <w:sz w:val="21"/>
                <w:szCs w:val="21"/>
              </w:rPr>
            </w:pPr>
            <w:r>
              <w:rPr>
                <w:rFonts w:hint="eastAsia" w:ascii="宋体" w:hAnsi="宋体" w:cs="宋体"/>
                <w:kern w:val="0"/>
                <w:sz w:val="21"/>
                <w:szCs w:val="21"/>
              </w:rPr>
              <w:t>落实好研发费用加计扣除、高新技术企业税收优惠等税收优惠政策。推进科技型企业认定奖励、科技企业孵化器奖励、众创空间（星创天地）奖励、市外引进高新技术企业奖励、创新型领军（瞪羚）企业培育奖励等政策刚性兑现。五年累计税收优惠减免税金额100亿元以上。</w:t>
            </w:r>
          </w:p>
        </w:tc>
        <w:tc>
          <w:tcPr>
            <w:tcW w:w="3375" w:type="dxa"/>
            <w:noWrap/>
            <w:vAlign w:val="center"/>
          </w:tcPr>
          <w:p>
            <w:pPr>
              <w:widowControl/>
              <w:jc w:val="left"/>
              <w:rPr>
                <w:rFonts w:hint="eastAsia" w:ascii="宋体" w:hAnsi="宋体" w:cs="宋体"/>
                <w:kern w:val="0"/>
                <w:sz w:val="21"/>
                <w:szCs w:val="21"/>
              </w:rPr>
            </w:pPr>
            <w:r>
              <w:rPr>
                <w:rFonts w:hint="eastAsia" w:ascii="宋体" w:hAnsi="宋体" w:cs="宋体"/>
                <w:kern w:val="0"/>
                <w:sz w:val="21"/>
                <w:szCs w:val="21"/>
              </w:rPr>
              <w:t>科技型中小企业创新动能显著增强。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804" w:type="dxa"/>
            <w:noWrap/>
            <w:vAlign w:val="center"/>
          </w:tcPr>
          <w:p>
            <w:pPr>
              <w:jc w:val="center"/>
              <w:outlineLvl w:val="0"/>
              <w:rPr>
                <w:rFonts w:ascii="宋体" w:hAnsi="宋体" w:cs="宋体"/>
                <w:sz w:val="21"/>
                <w:szCs w:val="21"/>
              </w:rPr>
            </w:pPr>
            <w:r>
              <w:rPr>
                <w:rFonts w:ascii="宋体" w:hAnsi="宋体" w:cs="宋体"/>
                <w:sz w:val="21"/>
                <w:szCs w:val="21"/>
              </w:rPr>
              <w:t>2</w:t>
            </w:r>
          </w:p>
        </w:tc>
        <w:tc>
          <w:tcPr>
            <w:tcW w:w="2265" w:type="dxa"/>
            <w:noWrap/>
            <w:vAlign w:val="center"/>
          </w:tcPr>
          <w:p>
            <w:pPr>
              <w:widowControl/>
              <w:jc w:val="left"/>
              <w:rPr>
                <w:rFonts w:ascii="宋体" w:hAnsi="宋体" w:cs="宋体"/>
                <w:kern w:val="0"/>
                <w:sz w:val="21"/>
                <w:szCs w:val="21"/>
              </w:rPr>
            </w:pPr>
            <w:r>
              <w:rPr>
                <w:rFonts w:hint="eastAsia" w:ascii="宋体" w:hAnsi="宋体" w:cs="宋体"/>
                <w:kern w:val="0"/>
                <w:sz w:val="21"/>
                <w:szCs w:val="21"/>
              </w:rPr>
              <w:t>加大科技成果转化激励</w:t>
            </w:r>
          </w:p>
        </w:tc>
        <w:tc>
          <w:tcPr>
            <w:tcW w:w="7440" w:type="dxa"/>
            <w:noWrap/>
            <w:vAlign w:val="center"/>
          </w:tcPr>
          <w:p>
            <w:pPr>
              <w:widowControl/>
              <w:jc w:val="left"/>
              <w:rPr>
                <w:rFonts w:ascii="宋体" w:hAnsi="宋体" w:cs="宋体"/>
                <w:kern w:val="0"/>
                <w:sz w:val="21"/>
                <w:szCs w:val="21"/>
              </w:rPr>
            </w:pPr>
            <w:r>
              <w:rPr>
                <w:rFonts w:hint="eastAsia" w:ascii="宋体" w:hAnsi="宋体" w:cs="宋体"/>
                <w:kern w:val="0"/>
                <w:sz w:val="21"/>
                <w:szCs w:val="21"/>
              </w:rPr>
              <w:t>完善科技成果转移转化渠道和利益分配机制。研究促进高校院所与企业产学研深度融合的政策。研究支持技术转移机构和技术经理人培育发展政策，形成“科技创新</w:t>
            </w:r>
            <w:r>
              <w:rPr>
                <w:rFonts w:ascii="宋体" w:hAnsi="宋体" w:cs="宋体"/>
                <w:kern w:val="0"/>
                <w:sz w:val="21"/>
                <w:szCs w:val="21"/>
              </w:rPr>
              <w:t>-成果转化-科技创新”的良性循环。</w:t>
            </w:r>
          </w:p>
        </w:tc>
        <w:tc>
          <w:tcPr>
            <w:tcW w:w="3375" w:type="dxa"/>
            <w:noWrap/>
            <w:vAlign w:val="center"/>
          </w:tcPr>
          <w:p>
            <w:pPr>
              <w:widowControl/>
              <w:jc w:val="left"/>
              <w:rPr>
                <w:rFonts w:hint="eastAsia" w:ascii="宋体" w:hAnsi="宋体" w:cs="宋体"/>
                <w:kern w:val="0"/>
                <w:sz w:val="21"/>
                <w:szCs w:val="21"/>
              </w:rPr>
            </w:pPr>
            <w:r>
              <w:rPr>
                <w:rFonts w:hint="eastAsia" w:ascii="宋体" w:hAnsi="宋体" w:eastAsia="宋体" w:cs="宋体"/>
                <w:color w:val="000000"/>
                <w:kern w:val="0"/>
                <w:sz w:val="21"/>
                <w:szCs w:val="21"/>
                <w:lang w:val="en-US" w:eastAsia="zh-CN" w:bidi="ar"/>
              </w:rPr>
              <w:t>科技成果转化 效率明显提高。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804" w:type="dxa"/>
            <w:noWrap/>
            <w:vAlign w:val="center"/>
          </w:tcPr>
          <w:p>
            <w:pPr>
              <w:widowControl/>
              <w:jc w:val="center"/>
              <w:rPr>
                <w:rFonts w:hint="eastAsia" w:ascii="宋体" w:hAnsi="宋体" w:eastAsia="宋体" w:cs="宋体"/>
                <w:kern w:val="0"/>
                <w:sz w:val="21"/>
                <w:szCs w:val="21"/>
                <w:lang w:eastAsia="zh-CN"/>
              </w:rPr>
            </w:pPr>
            <w:r>
              <w:rPr>
                <w:rFonts w:hint="eastAsia" w:ascii="宋体" w:hAnsi="宋体" w:cs="宋体"/>
                <w:kern w:val="0"/>
                <w:sz w:val="21"/>
                <w:szCs w:val="21"/>
                <w:lang w:val="en-US" w:eastAsia="zh-CN"/>
              </w:rPr>
              <w:t>3</w:t>
            </w:r>
          </w:p>
        </w:tc>
        <w:tc>
          <w:tcPr>
            <w:tcW w:w="2265" w:type="dxa"/>
            <w:noWrap/>
            <w:vAlign w:val="center"/>
          </w:tcPr>
          <w:p>
            <w:pPr>
              <w:widowControl/>
              <w:jc w:val="left"/>
              <w:rPr>
                <w:rFonts w:ascii="宋体" w:hAnsi="宋体" w:cs="宋体"/>
                <w:kern w:val="0"/>
                <w:sz w:val="21"/>
                <w:szCs w:val="21"/>
              </w:rPr>
            </w:pPr>
            <w:r>
              <w:rPr>
                <w:rFonts w:hint="eastAsia" w:ascii="宋体" w:hAnsi="宋体" w:cs="宋体"/>
                <w:kern w:val="0"/>
                <w:sz w:val="21"/>
                <w:szCs w:val="21"/>
              </w:rPr>
              <w:t>加强关键核心技术攻关</w:t>
            </w:r>
          </w:p>
        </w:tc>
        <w:tc>
          <w:tcPr>
            <w:tcW w:w="7440" w:type="dxa"/>
            <w:noWrap/>
            <w:vAlign w:val="center"/>
          </w:tcPr>
          <w:p>
            <w:pPr>
              <w:widowControl/>
              <w:jc w:val="left"/>
              <w:rPr>
                <w:rFonts w:ascii="宋体" w:hAnsi="宋体" w:cs="宋体"/>
                <w:kern w:val="0"/>
                <w:sz w:val="21"/>
                <w:szCs w:val="21"/>
              </w:rPr>
            </w:pPr>
            <w:r>
              <w:rPr>
                <w:rFonts w:hint="eastAsia" w:ascii="宋体" w:hAnsi="宋体" w:cs="宋体"/>
                <w:kern w:val="0"/>
                <w:sz w:val="21"/>
                <w:szCs w:val="21"/>
              </w:rPr>
              <w:t>围绕科研重点领域和产业链供应链关键环节，滚动编制关键核心技术攻关清单，采用定向研发、揭榜挂帅、竞争赛马等机制，迭代实施重大科技攻关专项，加大专项资金支持力度。五年全社会累计实现关键核心技术攻关专项投入达</w:t>
            </w:r>
            <w:r>
              <w:rPr>
                <w:rFonts w:ascii="宋体" w:hAnsi="宋体" w:cs="宋体"/>
                <w:kern w:val="0"/>
                <w:sz w:val="21"/>
                <w:szCs w:val="21"/>
              </w:rPr>
              <w:t>100亿元。</w:t>
            </w:r>
          </w:p>
        </w:tc>
        <w:tc>
          <w:tcPr>
            <w:tcW w:w="3375" w:type="dxa"/>
            <w:noWrap/>
            <w:vAlign w:val="center"/>
          </w:tcPr>
          <w:p>
            <w:pPr>
              <w:widowControl/>
              <w:jc w:val="left"/>
              <w:rPr>
                <w:rFonts w:hint="eastAsia" w:ascii="宋体" w:hAnsi="宋体" w:cs="宋体"/>
                <w:kern w:val="0"/>
                <w:sz w:val="21"/>
                <w:szCs w:val="21"/>
              </w:rPr>
            </w:pPr>
            <w:r>
              <w:rPr>
                <w:rFonts w:hint="eastAsia" w:ascii="宋体" w:hAnsi="宋体" w:cs="宋体"/>
                <w:kern w:val="0"/>
                <w:sz w:val="21"/>
                <w:szCs w:val="21"/>
              </w:rPr>
              <w:t>探索形成关键核心技术攻关新型举国体制的温州路径。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804" w:type="dxa"/>
            <w:noWrap/>
            <w:vAlign w:val="center"/>
          </w:tcPr>
          <w:p>
            <w:pPr>
              <w:jc w:val="center"/>
              <w:outlineLvl w:val="0"/>
              <w:rPr>
                <w:rFonts w:hint="eastAsia" w:ascii="宋体" w:hAnsi="宋体" w:eastAsia="宋体" w:cs="宋体"/>
                <w:sz w:val="21"/>
                <w:szCs w:val="21"/>
                <w:lang w:eastAsia="zh-CN"/>
              </w:rPr>
            </w:pPr>
            <w:r>
              <w:rPr>
                <w:rFonts w:hint="eastAsia" w:ascii="宋体" w:hAnsi="宋体" w:cs="宋体"/>
                <w:sz w:val="21"/>
                <w:szCs w:val="21"/>
                <w:lang w:val="en-US" w:eastAsia="zh-CN"/>
              </w:rPr>
              <w:t>4</w:t>
            </w:r>
          </w:p>
        </w:tc>
        <w:tc>
          <w:tcPr>
            <w:tcW w:w="2265" w:type="dxa"/>
            <w:noWrap/>
            <w:vAlign w:val="center"/>
          </w:tcPr>
          <w:p>
            <w:pPr>
              <w:widowControl/>
              <w:jc w:val="left"/>
              <w:rPr>
                <w:rFonts w:ascii="宋体" w:hAnsi="宋体" w:cs="宋体"/>
                <w:kern w:val="0"/>
                <w:sz w:val="21"/>
                <w:szCs w:val="21"/>
              </w:rPr>
            </w:pPr>
            <w:r>
              <w:rPr>
                <w:rFonts w:hint="eastAsia" w:ascii="宋体" w:hAnsi="宋体" w:cs="宋体"/>
                <w:kern w:val="0"/>
                <w:sz w:val="21"/>
                <w:szCs w:val="21"/>
              </w:rPr>
              <w:t>新型研发机构建设运营政策体系</w:t>
            </w:r>
          </w:p>
        </w:tc>
        <w:tc>
          <w:tcPr>
            <w:tcW w:w="7440" w:type="dxa"/>
            <w:noWrap/>
            <w:vAlign w:val="center"/>
          </w:tcPr>
          <w:p>
            <w:pPr>
              <w:widowControl/>
              <w:jc w:val="left"/>
              <w:rPr>
                <w:rFonts w:ascii="宋体" w:hAnsi="宋体" w:cs="宋体"/>
                <w:kern w:val="0"/>
                <w:sz w:val="21"/>
                <w:szCs w:val="21"/>
              </w:rPr>
            </w:pPr>
            <w:r>
              <w:rPr>
                <w:rFonts w:hint="eastAsia" w:ascii="宋体" w:hAnsi="宋体" w:cs="宋体"/>
                <w:kern w:val="0"/>
                <w:sz w:val="21"/>
                <w:szCs w:val="21"/>
              </w:rPr>
              <w:t>完善新型研发机构支持政策体系和绩效评价机制，引进共建一批、优化提升一批、整合组建一批、重点打造一批，持续推进已引进创新平台发挥实效，提升创新平台研发产出率、技术转化率、成果落地率。五年全社会累计实现重大科研平台设施投入达</w:t>
            </w:r>
            <w:r>
              <w:rPr>
                <w:rFonts w:ascii="宋体" w:hAnsi="宋体" w:cs="宋体"/>
                <w:kern w:val="0"/>
                <w:sz w:val="21"/>
                <w:szCs w:val="21"/>
              </w:rPr>
              <w:t>100亿元。</w:t>
            </w:r>
          </w:p>
        </w:tc>
        <w:tc>
          <w:tcPr>
            <w:tcW w:w="3375" w:type="dxa"/>
            <w:noWrap/>
            <w:vAlign w:val="center"/>
          </w:tcPr>
          <w:p>
            <w:pPr>
              <w:widowControl/>
              <w:jc w:val="left"/>
              <w:rPr>
                <w:rFonts w:hint="eastAsia" w:ascii="宋体" w:hAnsi="宋体" w:cs="宋体"/>
                <w:kern w:val="0"/>
                <w:sz w:val="21"/>
                <w:szCs w:val="21"/>
              </w:rPr>
            </w:pPr>
            <w:r>
              <w:rPr>
                <w:rFonts w:hint="eastAsia" w:ascii="宋体" w:hAnsi="宋体" w:cs="宋体"/>
                <w:kern w:val="0"/>
                <w:sz w:val="21"/>
                <w:szCs w:val="21"/>
              </w:rPr>
              <w:t>培育打造一批覆盖科技创新全周期、全链条、全过程的高水平创新平台。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804" w:type="dxa"/>
            <w:noWrap/>
            <w:vAlign w:val="center"/>
          </w:tcPr>
          <w:p>
            <w:pPr>
              <w:jc w:val="center"/>
              <w:outlineLvl w:val="0"/>
              <w:rPr>
                <w:rFonts w:hint="eastAsia" w:ascii="宋体" w:hAnsi="宋体" w:eastAsia="宋体" w:cs="宋体"/>
                <w:sz w:val="21"/>
                <w:szCs w:val="21"/>
                <w:lang w:eastAsia="zh-CN"/>
              </w:rPr>
            </w:pPr>
            <w:r>
              <w:rPr>
                <w:rFonts w:hint="eastAsia" w:ascii="宋体" w:hAnsi="宋体" w:cs="宋体"/>
                <w:sz w:val="21"/>
                <w:szCs w:val="21"/>
                <w:lang w:val="en-US" w:eastAsia="zh-CN"/>
              </w:rPr>
              <w:t>5</w:t>
            </w:r>
          </w:p>
        </w:tc>
        <w:tc>
          <w:tcPr>
            <w:tcW w:w="2265" w:type="dxa"/>
            <w:noWrap/>
            <w:vAlign w:val="center"/>
          </w:tcPr>
          <w:p>
            <w:pPr>
              <w:widowControl/>
              <w:jc w:val="left"/>
              <w:rPr>
                <w:rFonts w:ascii="宋体" w:hAnsi="宋体" w:cs="宋体"/>
                <w:kern w:val="0"/>
                <w:sz w:val="21"/>
                <w:szCs w:val="21"/>
              </w:rPr>
            </w:pPr>
            <w:r>
              <w:rPr>
                <w:rFonts w:hint="eastAsia" w:ascii="宋体" w:hAnsi="宋体" w:cs="宋体"/>
                <w:kern w:val="0"/>
                <w:sz w:val="21"/>
                <w:szCs w:val="21"/>
              </w:rPr>
              <w:t>生物医药专项扶持政策</w:t>
            </w:r>
          </w:p>
        </w:tc>
        <w:tc>
          <w:tcPr>
            <w:tcW w:w="7440" w:type="dxa"/>
            <w:noWrap/>
            <w:vAlign w:val="center"/>
          </w:tcPr>
          <w:p>
            <w:pPr>
              <w:widowControl/>
              <w:jc w:val="left"/>
              <w:rPr>
                <w:rFonts w:ascii="宋体" w:hAnsi="宋体" w:cs="宋体"/>
                <w:kern w:val="0"/>
                <w:sz w:val="21"/>
                <w:szCs w:val="21"/>
              </w:rPr>
            </w:pPr>
            <w:r>
              <w:rPr>
                <w:rFonts w:hint="eastAsia" w:ascii="宋体" w:hAnsi="宋体" w:cs="宋体"/>
                <w:kern w:val="0"/>
                <w:sz w:val="21"/>
                <w:szCs w:val="21"/>
              </w:rPr>
              <w:t>针对产业规模不够大、研发能力不够强、服务体系不够全等制约生物医药发展的瓶颈问题，从加强源头创新能力、提升产业发展能级、构建多元服务体系、支持产品市场开拓、优化产业发展机制等五个方面，对做大存量、做多增量、鼓励创新提供政策引导和支持。</w:t>
            </w:r>
          </w:p>
        </w:tc>
        <w:tc>
          <w:tcPr>
            <w:tcW w:w="3375" w:type="dxa"/>
            <w:noWrap/>
            <w:vAlign w:val="center"/>
          </w:tcPr>
          <w:p>
            <w:pPr>
              <w:widowControl/>
              <w:jc w:val="left"/>
              <w:rPr>
                <w:rFonts w:hint="eastAsia" w:ascii="宋体" w:hAnsi="宋体" w:cs="宋体"/>
                <w:kern w:val="0"/>
                <w:sz w:val="21"/>
                <w:szCs w:val="21"/>
              </w:rPr>
            </w:pPr>
            <w:r>
              <w:rPr>
                <w:rFonts w:hint="eastAsia" w:ascii="宋体" w:hAnsi="宋体" w:eastAsia="宋体" w:cs="宋体"/>
                <w:color w:val="000000"/>
                <w:kern w:val="0"/>
                <w:sz w:val="21"/>
                <w:szCs w:val="21"/>
                <w:lang w:val="en-US" w:eastAsia="zh-CN" w:bidi="ar"/>
              </w:rPr>
              <w:t>建成具有温州特色和全国影响力的生命健康产业高地。</w:t>
            </w:r>
          </w:p>
        </w:tc>
      </w:tr>
    </w:tbl>
    <w:p>
      <w:pPr>
        <w:pStyle w:val="5"/>
        <w:spacing w:line="480" w:lineRule="exact"/>
        <w:ind w:firstLine="0" w:firstLineChars="0"/>
        <w:rPr>
          <w:rFonts w:hint="eastAsia" w:eastAsia="黑体"/>
          <w:lang w:eastAsia="zh-CN"/>
        </w:rPr>
      </w:pPr>
      <w:r>
        <w:rPr>
          <w:rFonts w:hint="eastAsia"/>
        </w:rPr>
        <w:t>附件</w:t>
      </w:r>
      <w:r>
        <w:rPr>
          <w:rFonts w:hint="eastAsia"/>
          <w:lang w:val="en-US" w:eastAsia="zh-CN"/>
        </w:rPr>
        <w:t>4</w:t>
      </w:r>
    </w:p>
    <w:p>
      <w:pPr>
        <w:pStyle w:val="5"/>
        <w:spacing w:line="480" w:lineRule="exact"/>
        <w:ind w:firstLine="0" w:firstLineChars="0"/>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rPr>
        <w:t>重大</w:t>
      </w:r>
      <w:r>
        <w:rPr>
          <w:rFonts w:hint="eastAsia" w:ascii="方正小标宋简体" w:hAnsi="方正小标宋简体" w:eastAsia="方正小标宋简体" w:cs="方正小标宋简体"/>
          <w:sz w:val="44"/>
          <w:szCs w:val="44"/>
          <w:lang w:eastAsia="zh-CN"/>
        </w:rPr>
        <w:t>改革</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2506"/>
        <w:gridCol w:w="10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804" w:type="dxa"/>
            <w:noWrap/>
            <w:vAlign w:val="center"/>
          </w:tcPr>
          <w:p>
            <w:pPr>
              <w:spacing w:line="300" w:lineRule="exact"/>
              <w:jc w:val="center"/>
              <w:rPr>
                <w:rFonts w:ascii="黑体" w:hAnsi="黑体" w:eastAsia="黑体" w:cs="黑体"/>
                <w:sz w:val="21"/>
                <w:szCs w:val="21"/>
              </w:rPr>
            </w:pPr>
            <w:r>
              <w:rPr>
                <w:rFonts w:ascii="黑体" w:hAnsi="黑体" w:eastAsia="黑体" w:cs="黑体"/>
                <w:b w:val="0"/>
                <w:bCs w:val="0"/>
                <w:sz w:val="21"/>
                <w:szCs w:val="21"/>
              </w:rPr>
              <w:t>序号</w:t>
            </w:r>
          </w:p>
        </w:tc>
        <w:tc>
          <w:tcPr>
            <w:tcW w:w="2506" w:type="dxa"/>
            <w:noWrap/>
            <w:vAlign w:val="center"/>
          </w:tcPr>
          <w:p>
            <w:pPr>
              <w:spacing w:line="300" w:lineRule="exact"/>
              <w:jc w:val="center"/>
              <w:rPr>
                <w:rFonts w:ascii="黑体" w:hAnsi="黑体" w:eastAsia="黑体" w:cs="黑体"/>
                <w:sz w:val="21"/>
                <w:szCs w:val="21"/>
              </w:rPr>
            </w:pPr>
            <w:r>
              <w:rPr>
                <w:rFonts w:ascii="黑体" w:hAnsi="黑体" w:eastAsia="黑体" w:cs="黑体"/>
                <w:b w:val="0"/>
                <w:bCs w:val="0"/>
                <w:sz w:val="21"/>
                <w:szCs w:val="21"/>
              </w:rPr>
              <w:t>项目名称</w:t>
            </w:r>
          </w:p>
        </w:tc>
        <w:tc>
          <w:tcPr>
            <w:tcW w:w="10574" w:type="dxa"/>
            <w:noWrap/>
            <w:vAlign w:val="center"/>
          </w:tcPr>
          <w:p>
            <w:pPr>
              <w:spacing w:line="300" w:lineRule="exact"/>
              <w:jc w:val="center"/>
              <w:rPr>
                <w:rFonts w:hint="eastAsia" w:ascii="黑体" w:hAnsi="黑体" w:eastAsia="黑体" w:cs="黑体"/>
                <w:sz w:val="21"/>
                <w:szCs w:val="21"/>
              </w:rPr>
            </w:pPr>
            <w:r>
              <w:rPr>
                <w:rFonts w:ascii="黑体" w:hAnsi="黑体" w:eastAsia="黑体" w:cs="黑体"/>
                <w:b w:val="0"/>
                <w:bCs w:val="0"/>
                <w:sz w:val="21"/>
                <w:szCs w:val="21"/>
              </w:rPr>
              <w:t>主要任务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trPr>
        <w:tc>
          <w:tcPr>
            <w:tcW w:w="804" w:type="dxa"/>
            <w:noWrap/>
            <w:vAlign w:val="center"/>
          </w:tcPr>
          <w:p>
            <w:pPr>
              <w:widowControl/>
              <w:jc w:val="center"/>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rPr>
              <w:t>1</w:t>
            </w:r>
          </w:p>
        </w:tc>
        <w:tc>
          <w:tcPr>
            <w:tcW w:w="2506" w:type="dxa"/>
            <w:noWrap/>
            <w:vAlign w:val="center"/>
          </w:tcPr>
          <w:p>
            <w:pPr>
              <w:widowControl/>
              <w:jc w:val="left"/>
              <w:rPr>
                <w:rFonts w:hint="eastAsia" w:ascii="宋体" w:hAnsi="宋体" w:eastAsia="宋体" w:cs="宋体"/>
                <w:kern w:val="0"/>
                <w:sz w:val="21"/>
                <w:szCs w:val="21"/>
                <w:lang w:val="en-US" w:eastAsia="zh-CN" w:bidi="ar-SA"/>
              </w:rPr>
            </w:pPr>
            <w:r>
              <w:rPr>
                <w:rFonts w:hint="eastAsia" w:ascii="宋体" w:hAnsi="宋体" w:cs="宋体"/>
                <w:kern w:val="0"/>
                <w:sz w:val="21"/>
                <w:szCs w:val="21"/>
              </w:rPr>
              <w:t>建立提升创新首位度的体制机制</w:t>
            </w:r>
          </w:p>
        </w:tc>
        <w:tc>
          <w:tcPr>
            <w:tcW w:w="10574" w:type="dxa"/>
            <w:noWrap/>
            <w:vAlign w:val="center"/>
          </w:tcPr>
          <w:p>
            <w:pPr>
              <w:widowControl/>
              <w:numPr>
                <w:ilvl w:val="0"/>
                <w:numId w:val="1"/>
              </w:numPr>
              <w:jc w:val="left"/>
              <w:rPr>
                <w:rFonts w:hint="eastAsia" w:ascii="宋体" w:hAnsi="宋体" w:cs="宋体"/>
                <w:kern w:val="0"/>
                <w:sz w:val="21"/>
                <w:szCs w:val="21"/>
              </w:rPr>
            </w:pPr>
            <w:r>
              <w:rPr>
                <w:rFonts w:hint="eastAsia" w:ascii="宋体" w:hAnsi="宋体" w:cs="宋体"/>
                <w:kern w:val="0"/>
                <w:sz w:val="21"/>
                <w:szCs w:val="21"/>
              </w:rPr>
              <w:t>建立面向“5+5”产业的全产业链协同创新体系、以企业为主体的全要素协同创新体系、以关键核心技术为突破口的全程式协同创新体系、以人才为中心的全生态协同创新体系。</w:t>
            </w:r>
          </w:p>
          <w:p>
            <w:pPr>
              <w:widowControl/>
              <w:numPr>
                <w:ilvl w:val="0"/>
                <w:numId w:val="1"/>
              </w:numPr>
              <w:jc w:val="left"/>
              <w:rPr>
                <w:rFonts w:hint="eastAsia" w:ascii="宋体" w:hAnsi="宋体" w:cs="宋体"/>
                <w:kern w:val="0"/>
                <w:sz w:val="21"/>
                <w:szCs w:val="21"/>
              </w:rPr>
            </w:pPr>
            <w:r>
              <w:rPr>
                <w:rFonts w:hint="eastAsia" w:ascii="宋体" w:hAnsi="宋体" w:cs="宋体"/>
                <w:kern w:val="0"/>
                <w:sz w:val="21"/>
                <w:szCs w:val="21"/>
              </w:rPr>
              <w:t xml:space="preserve">加快构建“1+8”一体化科创服务体系。 </w:t>
            </w:r>
          </w:p>
          <w:p>
            <w:pPr>
              <w:widowControl/>
              <w:numPr>
                <w:ilvl w:val="0"/>
                <w:numId w:val="1"/>
              </w:numPr>
              <w:jc w:val="left"/>
              <w:rPr>
                <w:rFonts w:hint="eastAsia" w:ascii="宋体" w:hAnsi="宋体" w:cs="宋体"/>
                <w:kern w:val="0"/>
                <w:sz w:val="21"/>
                <w:szCs w:val="21"/>
              </w:rPr>
            </w:pPr>
            <w:r>
              <w:rPr>
                <w:rFonts w:hint="eastAsia" w:ascii="宋体" w:hAnsi="宋体" w:cs="宋体"/>
                <w:kern w:val="0"/>
                <w:sz w:val="21"/>
                <w:szCs w:val="21"/>
              </w:rPr>
              <w:t>积极构建“三界融合”创新发展联盟， 放大世界青年科学家峰会效应，打造 “科技创新策源地”。</w:t>
            </w:r>
          </w:p>
          <w:p>
            <w:pPr>
              <w:widowControl/>
              <w:numPr>
                <w:ilvl w:val="0"/>
                <w:numId w:val="1"/>
              </w:numPr>
              <w:jc w:val="left"/>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rPr>
              <w:t>进入全国创新型城市和人才强市行列。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804" w:type="dxa"/>
            <w:noWrap/>
            <w:vAlign w:val="center"/>
          </w:tcPr>
          <w:p>
            <w:pPr>
              <w:widowControl/>
              <w:jc w:val="center"/>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rPr>
              <w:t>2</w:t>
            </w:r>
          </w:p>
        </w:tc>
        <w:tc>
          <w:tcPr>
            <w:tcW w:w="2506" w:type="dxa"/>
            <w:noWrap/>
            <w:vAlign w:val="center"/>
          </w:tcPr>
          <w:p>
            <w:pPr>
              <w:widowControl/>
              <w:jc w:val="left"/>
              <w:rPr>
                <w:rFonts w:ascii="宋体" w:hAnsi="宋体" w:eastAsia="宋体" w:cs="宋体"/>
                <w:kern w:val="0"/>
                <w:sz w:val="21"/>
                <w:szCs w:val="21"/>
                <w:lang w:val="en-US" w:eastAsia="zh-CN" w:bidi="ar-SA"/>
              </w:rPr>
            </w:pPr>
            <w:r>
              <w:rPr>
                <w:rFonts w:hint="eastAsia" w:ascii="宋体" w:hAnsi="宋体" w:cs="宋体"/>
                <w:kern w:val="0"/>
                <w:sz w:val="21"/>
                <w:szCs w:val="21"/>
              </w:rPr>
              <w:t>完善人才激励机制</w:t>
            </w:r>
          </w:p>
        </w:tc>
        <w:tc>
          <w:tcPr>
            <w:tcW w:w="10574" w:type="dxa"/>
            <w:noWrap/>
            <w:vAlign w:val="center"/>
          </w:tcPr>
          <w:p>
            <w:pPr>
              <w:widowControl/>
              <w:jc w:val="left"/>
              <w:rPr>
                <w:rFonts w:hint="eastAsia" w:ascii="宋体" w:hAnsi="宋体" w:eastAsia="宋体" w:cs="宋体"/>
                <w:kern w:val="0"/>
                <w:sz w:val="21"/>
                <w:szCs w:val="21"/>
                <w:lang w:eastAsia="zh-CN"/>
              </w:rPr>
            </w:pPr>
            <w:r>
              <w:rPr>
                <w:rFonts w:hint="eastAsia" w:ascii="宋体" w:hAnsi="宋体" w:cs="宋体"/>
                <w:kern w:val="0"/>
                <w:sz w:val="21"/>
                <w:szCs w:val="21"/>
              </w:rPr>
              <w:t>（</w:t>
            </w:r>
            <w:r>
              <w:rPr>
                <w:rFonts w:ascii="宋体" w:hAnsi="宋体" w:cs="宋体"/>
                <w:kern w:val="0"/>
                <w:sz w:val="21"/>
                <w:szCs w:val="21"/>
              </w:rPr>
              <w:t>1）健全以创新能力、质量、实效、贡献为导向的科技人才评价体系，实行以增加知识价值为导向的人才激励机制</w:t>
            </w:r>
            <w:r>
              <w:rPr>
                <w:rFonts w:hint="eastAsia" w:ascii="宋体" w:hAnsi="宋体" w:cs="宋体"/>
                <w:kern w:val="0"/>
                <w:sz w:val="21"/>
                <w:szCs w:val="21"/>
                <w:lang w:eastAsia="zh-CN"/>
              </w:rPr>
              <w:t>。</w:t>
            </w:r>
          </w:p>
          <w:p>
            <w:pPr>
              <w:widowControl/>
              <w:jc w:val="left"/>
              <w:rPr>
                <w:rFonts w:hint="eastAsia" w:ascii="宋体" w:hAnsi="宋体" w:eastAsia="宋体" w:cs="宋体"/>
                <w:kern w:val="0"/>
                <w:sz w:val="21"/>
                <w:szCs w:val="21"/>
                <w:lang w:val="en-US" w:eastAsia="zh-CN" w:bidi="ar-SA"/>
              </w:rPr>
            </w:pPr>
            <w:r>
              <w:rPr>
                <w:rFonts w:hint="eastAsia" w:ascii="宋体" w:hAnsi="宋体" w:cs="宋体"/>
                <w:kern w:val="0"/>
                <w:sz w:val="21"/>
                <w:szCs w:val="21"/>
              </w:rPr>
              <w:t>（</w:t>
            </w:r>
            <w:r>
              <w:rPr>
                <w:rFonts w:ascii="宋体" w:hAnsi="宋体" w:cs="宋体"/>
                <w:kern w:val="0"/>
                <w:sz w:val="21"/>
                <w:szCs w:val="21"/>
              </w:rPr>
              <w:t>2）改进人才遴选方式，实行高校院所、领军型企业人才引进的推荐任聘制。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804" w:type="dxa"/>
            <w:noWrap/>
            <w:vAlign w:val="center"/>
          </w:tcPr>
          <w:p>
            <w:pPr>
              <w:widowControl/>
              <w:jc w:val="center"/>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rPr>
              <w:t>3</w:t>
            </w:r>
          </w:p>
        </w:tc>
        <w:tc>
          <w:tcPr>
            <w:tcW w:w="2506" w:type="dxa"/>
            <w:noWrap/>
            <w:vAlign w:val="center"/>
          </w:tcPr>
          <w:p>
            <w:pPr>
              <w:widowControl/>
              <w:jc w:val="left"/>
              <w:rPr>
                <w:rFonts w:hint="eastAsia" w:ascii="宋体" w:hAnsi="宋体" w:eastAsia="宋体" w:cs="宋体"/>
                <w:kern w:val="0"/>
                <w:sz w:val="21"/>
                <w:szCs w:val="21"/>
                <w:lang w:val="en-US" w:eastAsia="zh-CN" w:bidi="ar-SA"/>
              </w:rPr>
            </w:pPr>
            <w:r>
              <w:rPr>
                <w:rFonts w:hint="default" w:ascii="宋体" w:hAnsi="宋体" w:eastAsia="宋体" w:cs="宋体"/>
                <w:color w:val="000000"/>
                <w:kern w:val="0"/>
                <w:sz w:val="21"/>
                <w:szCs w:val="21"/>
                <w:lang w:val="en-US" w:eastAsia="zh-CN" w:bidi="ar"/>
              </w:rPr>
              <w:t xml:space="preserve">构建创新链与产业链融合发展体制机制 </w:t>
            </w:r>
          </w:p>
        </w:tc>
        <w:tc>
          <w:tcPr>
            <w:tcW w:w="10574" w:type="dxa"/>
            <w:noWrap/>
            <w:vAlign w:val="center"/>
          </w:tcPr>
          <w:p>
            <w:pPr>
              <w:widowControl/>
              <w:numPr>
                <w:ilvl w:val="0"/>
                <w:numId w:val="2"/>
              </w:numPr>
              <w:jc w:val="left"/>
              <w:rPr>
                <w:rFonts w:hint="default" w:ascii="宋体" w:hAnsi="宋体" w:eastAsia="宋体" w:cs="宋体"/>
                <w:kern w:val="0"/>
                <w:sz w:val="21"/>
                <w:szCs w:val="21"/>
                <w:lang w:val="en-US" w:eastAsia="zh-CN" w:bidi="ar"/>
              </w:rPr>
            </w:pPr>
            <w:r>
              <w:rPr>
                <w:rFonts w:hint="default" w:ascii="宋体" w:hAnsi="宋体" w:eastAsia="宋体" w:cs="宋体"/>
                <w:color w:val="000000"/>
                <w:kern w:val="0"/>
                <w:sz w:val="21"/>
                <w:szCs w:val="21"/>
                <w:lang w:val="en-US" w:eastAsia="zh-CN" w:bidi="ar"/>
              </w:rPr>
              <w:t>完善以企业为主体的技术创新体系，优化“产学研用金、才政介美云”十联动创新生态，实施一批产业链协同创新和急用先行项目，支持组建创新联合体“揭榜攻关”。</w:t>
            </w:r>
          </w:p>
          <w:p>
            <w:pPr>
              <w:widowControl/>
              <w:numPr>
                <w:ilvl w:val="0"/>
                <w:numId w:val="2"/>
              </w:numPr>
              <w:jc w:val="left"/>
              <w:rPr>
                <w:rFonts w:hint="eastAsia" w:ascii="宋体" w:hAnsi="宋体" w:cs="宋体"/>
                <w:kern w:val="0"/>
                <w:sz w:val="21"/>
                <w:szCs w:val="21"/>
              </w:rPr>
            </w:pPr>
            <w:r>
              <w:rPr>
                <w:rFonts w:hint="default" w:ascii="宋体" w:hAnsi="宋体" w:eastAsia="宋体" w:cs="宋体"/>
                <w:color w:val="000000"/>
                <w:kern w:val="0"/>
                <w:sz w:val="21"/>
                <w:szCs w:val="21"/>
                <w:lang w:val="en-US" w:eastAsia="zh-CN" w:bidi="ar"/>
              </w:rPr>
              <w:t>围绕产业链创新链搭建资金链、人才链、政策链、服务链、生态链，推动各链条、各环节深度融合、协同运转，提升产业链整体价值。</w:t>
            </w:r>
          </w:p>
          <w:p>
            <w:pPr>
              <w:widowControl/>
              <w:numPr>
                <w:ilvl w:val="0"/>
                <w:numId w:val="2"/>
              </w:numPr>
              <w:jc w:val="left"/>
              <w:rPr>
                <w:rFonts w:hint="eastAsia" w:ascii="宋体" w:hAnsi="宋体" w:eastAsia="宋体" w:cs="宋体"/>
                <w:kern w:val="0"/>
                <w:sz w:val="21"/>
                <w:szCs w:val="21"/>
                <w:lang w:val="en-US" w:eastAsia="zh-CN" w:bidi="ar-SA"/>
              </w:rPr>
            </w:pPr>
            <w:r>
              <w:rPr>
                <w:rFonts w:hint="eastAsia" w:ascii="宋体" w:hAnsi="宋体" w:cs="宋体"/>
                <w:color w:val="000000"/>
                <w:kern w:val="0"/>
                <w:sz w:val="21"/>
                <w:szCs w:val="21"/>
                <w:lang w:val="en-US" w:eastAsia="zh-CN" w:bidi="ar"/>
              </w:rPr>
              <w:t>逐步形成创新链与产业链双向深度融合的格局。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804" w:type="dxa"/>
            <w:noWrap/>
            <w:vAlign w:val="center"/>
          </w:tcPr>
          <w:p>
            <w:pPr>
              <w:widowControl/>
              <w:jc w:val="center"/>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rPr>
              <w:t>4</w:t>
            </w:r>
          </w:p>
        </w:tc>
        <w:tc>
          <w:tcPr>
            <w:tcW w:w="2506" w:type="dxa"/>
            <w:noWrap/>
            <w:vAlign w:val="center"/>
          </w:tcPr>
          <w:p>
            <w:pPr>
              <w:widowControl/>
              <w:jc w:val="left"/>
              <w:rPr>
                <w:rFonts w:ascii="宋体" w:hAnsi="宋体" w:eastAsia="宋体" w:cs="宋体"/>
                <w:kern w:val="0"/>
                <w:sz w:val="21"/>
                <w:szCs w:val="21"/>
                <w:lang w:val="en-US" w:eastAsia="zh-CN" w:bidi="ar-SA"/>
              </w:rPr>
            </w:pPr>
            <w:r>
              <w:rPr>
                <w:rFonts w:hint="eastAsia" w:ascii="宋体" w:hAnsi="宋体" w:cs="宋体"/>
                <w:kern w:val="0"/>
                <w:sz w:val="21"/>
                <w:szCs w:val="21"/>
              </w:rPr>
              <w:t>深化科技金融结合</w:t>
            </w:r>
          </w:p>
        </w:tc>
        <w:tc>
          <w:tcPr>
            <w:tcW w:w="10574" w:type="dxa"/>
            <w:noWrap/>
            <w:vAlign w:val="center"/>
          </w:tcPr>
          <w:p>
            <w:pPr>
              <w:widowControl/>
              <w:jc w:val="left"/>
              <w:rPr>
                <w:rFonts w:ascii="宋体" w:hAnsi="宋体" w:cs="宋体"/>
                <w:kern w:val="0"/>
                <w:sz w:val="21"/>
                <w:szCs w:val="21"/>
              </w:rPr>
            </w:pPr>
            <w:r>
              <w:rPr>
                <w:rFonts w:hint="eastAsia" w:ascii="宋体" w:hAnsi="宋体" w:cs="宋体"/>
                <w:kern w:val="0"/>
                <w:sz w:val="21"/>
                <w:szCs w:val="21"/>
              </w:rPr>
              <w:t>（</w:t>
            </w:r>
            <w:r>
              <w:rPr>
                <w:rFonts w:ascii="宋体" w:hAnsi="宋体" w:cs="宋体"/>
                <w:kern w:val="0"/>
                <w:sz w:val="21"/>
                <w:szCs w:val="21"/>
              </w:rPr>
              <w:t>1）加大技术产权资产证券化试点改革复制推广，发行技术产权资产证券化产品，探索以政策引导和市场机制发行技术产权资产支持专项计划。</w:t>
            </w:r>
          </w:p>
          <w:p>
            <w:pPr>
              <w:widowControl/>
              <w:jc w:val="left"/>
              <w:rPr>
                <w:rFonts w:hint="eastAsia" w:ascii="Times New Roman" w:hAnsi="Times New Roman" w:eastAsia="宋体" w:cs="Times New Roman"/>
                <w:kern w:val="2"/>
                <w:sz w:val="21"/>
                <w:szCs w:val="21"/>
                <w:lang w:val="en-US" w:eastAsia="zh-CN" w:bidi="ar-SA"/>
              </w:rPr>
            </w:pPr>
            <w:r>
              <w:rPr>
                <w:rFonts w:hint="eastAsia" w:ascii="宋体" w:hAnsi="宋体" w:cs="宋体"/>
                <w:kern w:val="0"/>
                <w:sz w:val="21"/>
                <w:szCs w:val="21"/>
              </w:rPr>
              <w:t>（</w:t>
            </w:r>
            <w:r>
              <w:rPr>
                <w:rFonts w:ascii="宋体" w:hAnsi="宋体" w:cs="宋体"/>
                <w:kern w:val="0"/>
                <w:sz w:val="21"/>
                <w:szCs w:val="21"/>
              </w:rPr>
              <w:t>2）创新财政科技资金分配机制，建立完善科技金融体系，做强做大百亿科创基金，推动在温商业银行设立科技支行，培育科技金融生态。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804" w:type="dxa"/>
            <w:noWrap/>
            <w:vAlign w:val="center"/>
          </w:tcPr>
          <w:p>
            <w:pPr>
              <w:widowControl/>
              <w:jc w:val="center"/>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rPr>
              <w:t>5</w:t>
            </w:r>
          </w:p>
        </w:tc>
        <w:tc>
          <w:tcPr>
            <w:tcW w:w="2506" w:type="dxa"/>
            <w:noWrap/>
            <w:vAlign w:val="center"/>
          </w:tcPr>
          <w:p>
            <w:pPr>
              <w:widowControl/>
              <w:jc w:val="left"/>
              <w:rPr>
                <w:rFonts w:ascii="宋体" w:hAnsi="宋体" w:eastAsia="宋体" w:cs="宋体"/>
                <w:kern w:val="0"/>
                <w:sz w:val="21"/>
                <w:szCs w:val="21"/>
                <w:lang w:val="en-US" w:eastAsia="zh-CN" w:bidi="ar-SA"/>
              </w:rPr>
            </w:pPr>
            <w:r>
              <w:rPr>
                <w:rFonts w:hint="eastAsia" w:ascii="宋体" w:hAnsi="宋体" w:cs="宋体"/>
                <w:kern w:val="0"/>
                <w:sz w:val="21"/>
                <w:szCs w:val="21"/>
              </w:rPr>
              <w:t>深化科研评价制度改革</w:t>
            </w:r>
          </w:p>
        </w:tc>
        <w:tc>
          <w:tcPr>
            <w:tcW w:w="10574" w:type="dxa"/>
            <w:noWrap/>
            <w:vAlign w:val="center"/>
          </w:tcPr>
          <w:p>
            <w:pPr>
              <w:widowControl/>
              <w:jc w:val="left"/>
              <w:rPr>
                <w:rFonts w:ascii="宋体" w:hAnsi="宋体" w:cs="宋体"/>
                <w:kern w:val="0"/>
                <w:sz w:val="21"/>
                <w:szCs w:val="21"/>
              </w:rPr>
            </w:pPr>
            <w:r>
              <w:rPr>
                <w:rFonts w:hint="eastAsia" w:ascii="宋体" w:hAnsi="宋体" w:cs="宋体"/>
                <w:kern w:val="0"/>
                <w:sz w:val="21"/>
                <w:szCs w:val="21"/>
              </w:rPr>
              <w:t>（</w:t>
            </w:r>
            <w:r>
              <w:rPr>
                <w:rFonts w:ascii="宋体" w:hAnsi="宋体" w:cs="宋体"/>
                <w:kern w:val="0"/>
                <w:sz w:val="21"/>
                <w:szCs w:val="21"/>
              </w:rPr>
              <w:t>1）全面落实项目评审、人才评价、机构评估“三评”改革精神，改变“重论文、轻转化”现象，建立以科技创新质量、贡献、绩效为导向的分类评价体系，形成以成果论英雄的鲜明导向。</w:t>
            </w:r>
          </w:p>
          <w:p>
            <w:pPr>
              <w:widowControl/>
              <w:jc w:val="left"/>
              <w:rPr>
                <w:rFonts w:hint="eastAsia" w:ascii="宋体" w:hAnsi="宋体" w:eastAsia="宋体" w:cs="宋体"/>
                <w:kern w:val="0"/>
                <w:sz w:val="21"/>
                <w:szCs w:val="21"/>
                <w:lang w:val="en-US" w:eastAsia="zh-CN" w:bidi="ar-SA"/>
              </w:rPr>
            </w:pPr>
            <w:r>
              <w:rPr>
                <w:rFonts w:hint="eastAsia" w:ascii="宋体" w:hAnsi="宋体" w:cs="宋体"/>
                <w:kern w:val="0"/>
                <w:sz w:val="21"/>
                <w:szCs w:val="21"/>
              </w:rPr>
              <w:t>（</w:t>
            </w:r>
            <w:r>
              <w:rPr>
                <w:rFonts w:ascii="宋体" w:hAnsi="宋体" w:cs="宋体"/>
                <w:kern w:val="0"/>
                <w:sz w:val="21"/>
                <w:szCs w:val="21"/>
              </w:rPr>
              <w:t>2）推进科研单位职称自主评聘改革。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804" w:type="dxa"/>
            <w:noWrap/>
            <w:vAlign w:val="center"/>
          </w:tcPr>
          <w:p>
            <w:pPr>
              <w:spacing w:line="300" w:lineRule="exact"/>
              <w:jc w:val="center"/>
              <w:rPr>
                <w:rFonts w:hint="eastAsia" w:ascii="Times New Roman" w:hAnsi="Times New Roman" w:eastAsia="宋体" w:cs="Times New Roman"/>
                <w:kern w:val="2"/>
                <w:sz w:val="21"/>
                <w:szCs w:val="21"/>
                <w:lang w:val="en-US" w:eastAsia="zh-CN" w:bidi="ar-SA"/>
              </w:rPr>
            </w:pPr>
            <w:r>
              <w:rPr>
                <w:rFonts w:hint="eastAsia" w:ascii="宋体" w:hAnsi="宋体" w:cs="宋体"/>
                <w:kern w:val="0"/>
                <w:sz w:val="21"/>
                <w:szCs w:val="21"/>
                <w:lang w:val="en-US" w:eastAsia="zh-CN"/>
              </w:rPr>
              <w:t>6</w:t>
            </w:r>
          </w:p>
        </w:tc>
        <w:tc>
          <w:tcPr>
            <w:tcW w:w="2506" w:type="dxa"/>
            <w:noWrap/>
            <w:vAlign w:val="center"/>
          </w:tcPr>
          <w:p>
            <w:pPr>
              <w:widowControl/>
              <w:jc w:val="left"/>
              <w:rPr>
                <w:rFonts w:ascii="宋体" w:hAnsi="宋体" w:eastAsia="宋体" w:cs="宋体"/>
                <w:kern w:val="0"/>
                <w:sz w:val="21"/>
                <w:szCs w:val="21"/>
                <w:lang w:val="en-US" w:eastAsia="zh-CN" w:bidi="ar-SA"/>
              </w:rPr>
            </w:pPr>
            <w:r>
              <w:rPr>
                <w:rFonts w:hint="eastAsia" w:ascii="宋体" w:hAnsi="宋体" w:cs="宋体"/>
                <w:kern w:val="0"/>
                <w:sz w:val="21"/>
                <w:szCs w:val="21"/>
              </w:rPr>
              <w:t>推进科技服务体系改革</w:t>
            </w:r>
          </w:p>
        </w:tc>
        <w:tc>
          <w:tcPr>
            <w:tcW w:w="10574" w:type="dxa"/>
            <w:noWrap/>
            <w:vAlign w:val="center"/>
          </w:tcPr>
          <w:p>
            <w:pPr>
              <w:widowControl/>
              <w:jc w:val="left"/>
              <w:rPr>
                <w:rFonts w:ascii="宋体" w:hAnsi="宋体" w:cs="宋体"/>
                <w:kern w:val="0"/>
                <w:sz w:val="21"/>
                <w:szCs w:val="21"/>
              </w:rPr>
            </w:pPr>
            <w:r>
              <w:rPr>
                <w:rFonts w:hint="eastAsia" w:ascii="宋体" w:hAnsi="宋体" w:cs="宋体"/>
                <w:kern w:val="0"/>
                <w:sz w:val="21"/>
                <w:szCs w:val="21"/>
              </w:rPr>
              <w:t>（</w:t>
            </w:r>
            <w:r>
              <w:rPr>
                <w:rFonts w:ascii="宋体" w:hAnsi="宋体" w:cs="宋体"/>
                <w:kern w:val="0"/>
                <w:sz w:val="21"/>
                <w:szCs w:val="21"/>
              </w:rPr>
              <w:t>1）探索技术经纪人职称改革，将技术经纪人纳入专业技术职业资格。</w:t>
            </w:r>
          </w:p>
          <w:p>
            <w:pPr>
              <w:widowControl/>
              <w:jc w:val="left"/>
              <w:rPr>
                <w:rFonts w:hint="eastAsia" w:ascii="Times New Roman" w:hAnsi="Times New Roman" w:eastAsia="宋体" w:cs="Times New Roman"/>
                <w:kern w:val="2"/>
                <w:sz w:val="21"/>
                <w:szCs w:val="21"/>
                <w:lang w:val="en-US" w:eastAsia="zh-CN" w:bidi="ar-SA"/>
              </w:rPr>
            </w:pPr>
            <w:r>
              <w:rPr>
                <w:rFonts w:hint="eastAsia" w:ascii="宋体" w:hAnsi="宋体" w:cs="宋体"/>
                <w:kern w:val="0"/>
                <w:sz w:val="21"/>
                <w:szCs w:val="21"/>
              </w:rPr>
              <w:t>（</w:t>
            </w:r>
            <w:r>
              <w:rPr>
                <w:rFonts w:ascii="宋体" w:hAnsi="宋体" w:cs="宋体"/>
                <w:kern w:val="0"/>
                <w:sz w:val="21"/>
                <w:szCs w:val="21"/>
              </w:rPr>
              <w:t>2）强化与G60科创走廊、杭州城西科创大走廊等的联合，推动跨区域共建“飞地园区”和跨区域实施科技创新。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804" w:type="dxa"/>
            <w:noWrap/>
            <w:vAlign w:val="center"/>
          </w:tcPr>
          <w:p>
            <w:pPr>
              <w:widowControl/>
              <w:jc w:val="center"/>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rPr>
              <w:t>7</w:t>
            </w:r>
          </w:p>
        </w:tc>
        <w:tc>
          <w:tcPr>
            <w:tcW w:w="2506" w:type="dxa"/>
            <w:noWrap/>
            <w:vAlign w:val="center"/>
          </w:tcPr>
          <w:p>
            <w:pPr>
              <w:widowControl/>
              <w:jc w:val="left"/>
              <w:rPr>
                <w:rFonts w:hint="eastAsia" w:ascii="宋体" w:hAnsi="宋体" w:eastAsia="宋体" w:cs="宋体"/>
                <w:kern w:val="0"/>
                <w:sz w:val="21"/>
                <w:szCs w:val="21"/>
                <w:lang w:val="en-US" w:eastAsia="zh-CN" w:bidi="ar-SA"/>
              </w:rPr>
            </w:pPr>
            <w:r>
              <w:rPr>
                <w:rFonts w:hint="eastAsia" w:ascii="宋体" w:hAnsi="宋体" w:cs="宋体"/>
                <w:kern w:val="0"/>
                <w:sz w:val="21"/>
                <w:szCs w:val="21"/>
              </w:rPr>
              <w:t>加快科技创新治理方式改革</w:t>
            </w:r>
          </w:p>
        </w:tc>
        <w:tc>
          <w:tcPr>
            <w:tcW w:w="10574" w:type="dxa"/>
            <w:noWrap/>
            <w:vAlign w:val="center"/>
          </w:tcPr>
          <w:p>
            <w:pPr>
              <w:widowControl/>
              <w:numPr>
                <w:ilvl w:val="0"/>
                <w:numId w:val="3"/>
              </w:numPr>
              <w:jc w:val="left"/>
              <w:rPr>
                <w:rFonts w:ascii="宋体" w:hAnsi="宋体" w:cs="宋体"/>
                <w:kern w:val="0"/>
                <w:sz w:val="21"/>
                <w:szCs w:val="21"/>
              </w:rPr>
            </w:pPr>
            <w:r>
              <w:rPr>
                <w:rFonts w:hint="eastAsia" w:ascii="宋体" w:hAnsi="宋体" w:cs="宋体"/>
                <w:kern w:val="0"/>
                <w:sz w:val="21"/>
                <w:szCs w:val="21"/>
              </w:rPr>
              <w:t>推进科研项目经费使用“包干制”改革，下放经费用途自主调剂权、经费使用自主支配权、项目实施自主调整权，充分激发科研人员创新创造活力。</w:t>
            </w:r>
          </w:p>
          <w:p>
            <w:pPr>
              <w:widowControl/>
              <w:numPr>
                <w:ilvl w:val="0"/>
                <w:numId w:val="3"/>
              </w:numPr>
              <w:jc w:val="left"/>
              <w:rPr>
                <w:rFonts w:hint="eastAsia" w:ascii="宋体" w:hAnsi="宋体" w:eastAsia="宋体" w:cs="宋体"/>
                <w:kern w:val="0"/>
                <w:sz w:val="21"/>
                <w:szCs w:val="21"/>
                <w:lang w:val="en-US" w:eastAsia="zh-CN" w:bidi="ar-SA"/>
              </w:rPr>
            </w:pPr>
            <w:r>
              <w:rPr>
                <w:rFonts w:hint="eastAsia" w:ascii="宋体" w:hAnsi="宋体" w:cs="宋体"/>
                <w:kern w:val="0"/>
                <w:sz w:val="21"/>
                <w:szCs w:val="21"/>
              </w:rPr>
              <w:t>全面落实“三评”改革精神，完善适应颠覆性创新的研发组织模式。深化科研放权赋能改革，对科研项目实行审计、监督、检查结果互认，一个项目周期实放“最多查一次”。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804" w:type="dxa"/>
            <w:noWrap/>
            <w:vAlign w:val="center"/>
          </w:tcPr>
          <w:p>
            <w:pPr>
              <w:widowControl/>
              <w:jc w:val="center"/>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rPr>
              <w:t>8</w:t>
            </w:r>
          </w:p>
        </w:tc>
        <w:tc>
          <w:tcPr>
            <w:tcW w:w="2506" w:type="dxa"/>
            <w:noWrap/>
            <w:vAlign w:val="center"/>
          </w:tcPr>
          <w:p>
            <w:pPr>
              <w:widowControl/>
              <w:jc w:val="left"/>
              <w:rPr>
                <w:rFonts w:hint="eastAsia" w:ascii="宋体" w:hAnsi="宋体" w:eastAsia="宋体" w:cs="宋体"/>
                <w:kern w:val="0"/>
                <w:sz w:val="21"/>
                <w:szCs w:val="21"/>
                <w:lang w:val="en-US" w:eastAsia="zh-CN" w:bidi="ar-SA"/>
              </w:rPr>
            </w:pPr>
            <w:r>
              <w:rPr>
                <w:rFonts w:hint="eastAsia" w:ascii="宋体" w:hAnsi="宋体" w:cs="宋体"/>
                <w:kern w:val="0"/>
                <w:sz w:val="21"/>
                <w:szCs w:val="21"/>
              </w:rPr>
              <w:t>推进科技行政管理服务手段改革</w:t>
            </w:r>
          </w:p>
        </w:tc>
        <w:tc>
          <w:tcPr>
            <w:tcW w:w="10574" w:type="dxa"/>
            <w:noWrap/>
            <w:vAlign w:val="center"/>
          </w:tcPr>
          <w:p>
            <w:pPr>
              <w:widowControl/>
              <w:jc w:val="left"/>
              <w:rPr>
                <w:rFonts w:ascii="宋体" w:hAnsi="宋体" w:cs="宋体"/>
                <w:kern w:val="0"/>
                <w:sz w:val="21"/>
                <w:szCs w:val="21"/>
              </w:rPr>
            </w:pPr>
            <w:r>
              <w:rPr>
                <w:rFonts w:hint="eastAsia" w:ascii="宋体" w:hAnsi="宋体" w:cs="宋体"/>
                <w:kern w:val="0"/>
                <w:sz w:val="21"/>
                <w:szCs w:val="21"/>
              </w:rPr>
              <w:t>（</w:t>
            </w:r>
            <w:r>
              <w:rPr>
                <w:rFonts w:ascii="宋体" w:hAnsi="宋体" w:cs="宋体"/>
                <w:kern w:val="0"/>
                <w:sz w:val="21"/>
                <w:szCs w:val="21"/>
              </w:rPr>
              <w:t>1）简化科研项目申报评审和实施管理流程，加强推进科技项目电子合同、电子档案等改革，进一步下放科技管理权限，再造办事服务流程。</w:t>
            </w:r>
          </w:p>
          <w:p>
            <w:pPr>
              <w:widowControl/>
              <w:jc w:val="left"/>
              <w:rPr>
                <w:rFonts w:ascii="宋体" w:hAnsi="宋体" w:cs="宋体"/>
                <w:kern w:val="0"/>
                <w:sz w:val="21"/>
                <w:szCs w:val="21"/>
              </w:rPr>
            </w:pPr>
            <w:r>
              <w:rPr>
                <w:rFonts w:hint="eastAsia" w:ascii="宋体" w:hAnsi="宋体" w:cs="宋体"/>
                <w:kern w:val="0"/>
                <w:sz w:val="21"/>
                <w:szCs w:val="21"/>
              </w:rPr>
              <w:t>（</w:t>
            </w:r>
            <w:r>
              <w:rPr>
                <w:rFonts w:ascii="宋体" w:hAnsi="宋体" w:cs="宋体"/>
                <w:kern w:val="0"/>
                <w:sz w:val="21"/>
                <w:szCs w:val="21"/>
              </w:rPr>
              <w:t>2）加强数字化技术支撑体系建设，深化科技领域“互联网+政务服务”“互联网+监管”，提升科技创新管理服务能力。</w:t>
            </w:r>
          </w:p>
          <w:p>
            <w:pPr>
              <w:widowControl/>
              <w:jc w:val="left"/>
              <w:rPr>
                <w:rFonts w:hint="eastAsia" w:ascii="宋体" w:hAnsi="宋体" w:eastAsia="宋体" w:cs="宋体"/>
                <w:kern w:val="0"/>
                <w:sz w:val="21"/>
                <w:szCs w:val="21"/>
                <w:lang w:val="en-US" w:eastAsia="zh-CN" w:bidi="ar-SA"/>
              </w:rPr>
            </w:pPr>
            <w:r>
              <w:rPr>
                <w:rFonts w:hint="eastAsia" w:ascii="宋体" w:hAnsi="宋体" w:cs="宋体"/>
                <w:kern w:val="0"/>
                <w:sz w:val="21"/>
                <w:szCs w:val="21"/>
              </w:rPr>
              <w:t>（</w:t>
            </w:r>
            <w:r>
              <w:rPr>
                <w:rFonts w:ascii="宋体" w:hAnsi="宋体" w:cs="宋体"/>
                <w:kern w:val="0"/>
                <w:sz w:val="21"/>
                <w:szCs w:val="21"/>
              </w:rPr>
              <w:t>3）依托5G网络，改革科技项目验收方式，研发线上视频验收系统，实现科研项目远程验收。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804" w:type="dxa"/>
            <w:noWrap/>
            <w:vAlign w:val="center"/>
          </w:tcPr>
          <w:p>
            <w:pPr>
              <w:widowControl/>
              <w:jc w:val="center"/>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rPr>
              <w:t>9</w:t>
            </w:r>
          </w:p>
        </w:tc>
        <w:tc>
          <w:tcPr>
            <w:tcW w:w="2506" w:type="dxa"/>
            <w:noWrap/>
            <w:vAlign w:val="center"/>
          </w:tcPr>
          <w:p>
            <w:pPr>
              <w:widowControl/>
              <w:jc w:val="left"/>
              <w:rPr>
                <w:rFonts w:hint="eastAsia" w:ascii="宋体" w:hAnsi="宋体" w:eastAsia="宋体" w:cs="宋体"/>
                <w:kern w:val="0"/>
                <w:sz w:val="21"/>
                <w:szCs w:val="21"/>
                <w:lang w:val="en-US" w:eastAsia="zh-CN" w:bidi="ar-SA"/>
              </w:rPr>
            </w:pPr>
            <w:r>
              <w:rPr>
                <w:rFonts w:hint="eastAsia" w:ascii="宋体" w:hAnsi="宋体" w:cs="宋体"/>
                <w:kern w:val="0"/>
                <w:sz w:val="21"/>
                <w:szCs w:val="21"/>
              </w:rPr>
              <w:t>加强科研诚信和监管体系建设</w:t>
            </w:r>
          </w:p>
        </w:tc>
        <w:tc>
          <w:tcPr>
            <w:tcW w:w="10574" w:type="dxa"/>
            <w:noWrap/>
            <w:vAlign w:val="center"/>
          </w:tcPr>
          <w:p>
            <w:pPr>
              <w:widowControl/>
              <w:jc w:val="left"/>
              <w:rPr>
                <w:rFonts w:ascii="宋体" w:hAnsi="宋体" w:cs="宋体"/>
                <w:kern w:val="0"/>
                <w:sz w:val="21"/>
                <w:szCs w:val="21"/>
              </w:rPr>
            </w:pPr>
            <w:r>
              <w:rPr>
                <w:rFonts w:hint="eastAsia" w:ascii="宋体" w:hAnsi="宋体" w:cs="宋体"/>
                <w:kern w:val="0"/>
                <w:sz w:val="21"/>
                <w:szCs w:val="21"/>
              </w:rPr>
              <w:t>（</w:t>
            </w:r>
            <w:r>
              <w:rPr>
                <w:rFonts w:ascii="宋体" w:hAnsi="宋体" w:cs="宋体"/>
                <w:kern w:val="0"/>
                <w:sz w:val="21"/>
                <w:szCs w:val="21"/>
              </w:rPr>
              <w:t>1）改进科研作风学风，建立健全职责明确、高效协同的科研诚信管理体系。健全评审监督机制，落实评审专家承诺制，开展评审行为记录。</w:t>
            </w:r>
          </w:p>
          <w:p>
            <w:pPr>
              <w:widowControl/>
              <w:jc w:val="left"/>
              <w:rPr>
                <w:rFonts w:ascii="宋体" w:hAnsi="宋体" w:cs="宋体"/>
                <w:kern w:val="0"/>
                <w:sz w:val="21"/>
                <w:szCs w:val="21"/>
              </w:rPr>
            </w:pPr>
            <w:r>
              <w:rPr>
                <w:rFonts w:hint="eastAsia" w:ascii="宋体" w:hAnsi="宋体" w:cs="宋体"/>
                <w:kern w:val="0"/>
                <w:sz w:val="21"/>
                <w:szCs w:val="21"/>
              </w:rPr>
              <w:t>（</w:t>
            </w:r>
            <w:r>
              <w:rPr>
                <w:rFonts w:ascii="宋体" w:hAnsi="宋体" w:cs="宋体"/>
                <w:kern w:val="0"/>
                <w:sz w:val="21"/>
                <w:szCs w:val="21"/>
              </w:rPr>
              <w:t>2）深化科技监督机制建设，建立完善全主体、全流程、全覆盖的科研诚信体系，推进省市统一的科研诚信与科技监督信息系统建设。</w:t>
            </w:r>
          </w:p>
          <w:p>
            <w:pPr>
              <w:widowControl/>
              <w:jc w:val="left"/>
              <w:rPr>
                <w:rFonts w:hint="eastAsia" w:ascii="宋体" w:hAnsi="宋体" w:eastAsia="宋体" w:cs="宋体"/>
                <w:kern w:val="0"/>
                <w:sz w:val="21"/>
                <w:szCs w:val="21"/>
                <w:lang w:val="en-US" w:eastAsia="zh-CN" w:bidi="ar-SA"/>
              </w:rPr>
            </w:pPr>
            <w:r>
              <w:rPr>
                <w:rFonts w:hint="eastAsia" w:ascii="宋体" w:hAnsi="宋体" w:cs="宋体"/>
                <w:kern w:val="0"/>
                <w:sz w:val="21"/>
                <w:szCs w:val="21"/>
              </w:rPr>
              <w:t>（</w:t>
            </w:r>
            <w:r>
              <w:rPr>
                <w:rFonts w:ascii="宋体" w:hAnsi="宋体" w:cs="宋体"/>
                <w:kern w:val="0"/>
                <w:sz w:val="21"/>
                <w:szCs w:val="21"/>
              </w:rPr>
              <w:t>3）健全科技伦理治理体系，加强新兴技术领域的风险管控。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804" w:type="dxa"/>
            <w:noWrap/>
            <w:vAlign w:val="center"/>
          </w:tcPr>
          <w:p>
            <w:pPr>
              <w:widowControl/>
              <w:jc w:val="center"/>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rPr>
              <w:t>10</w:t>
            </w:r>
          </w:p>
        </w:tc>
        <w:tc>
          <w:tcPr>
            <w:tcW w:w="2506" w:type="dxa"/>
            <w:noWrap/>
            <w:vAlign w:val="center"/>
          </w:tcPr>
          <w:p>
            <w:pPr>
              <w:widowControl/>
              <w:jc w:val="left"/>
              <w:rPr>
                <w:rFonts w:hint="eastAsia" w:ascii="宋体" w:hAnsi="宋体" w:eastAsia="宋体" w:cs="宋体"/>
                <w:kern w:val="0"/>
                <w:sz w:val="21"/>
                <w:szCs w:val="21"/>
                <w:lang w:val="en-US" w:eastAsia="zh-CN" w:bidi="ar-SA"/>
              </w:rPr>
            </w:pPr>
            <w:r>
              <w:rPr>
                <w:rFonts w:hint="eastAsia" w:ascii="宋体" w:hAnsi="宋体" w:cs="宋体"/>
                <w:kern w:val="0"/>
                <w:sz w:val="21"/>
                <w:szCs w:val="21"/>
              </w:rPr>
              <w:t>建立健全创新尽职免责机制</w:t>
            </w:r>
          </w:p>
        </w:tc>
        <w:tc>
          <w:tcPr>
            <w:tcW w:w="10574" w:type="dxa"/>
            <w:noWrap/>
            <w:vAlign w:val="center"/>
          </w:tcPr>
          <w:p>
            <w:pPr>
              <w:widowControl/>
              <w:jc w:val="left"/>
              <w:rPr>
                <w:rFonts w:hint="eastAsia" w:ascii="宋体" w:hAnsi="宋体" w:eastAsia="宋体" w:cs="宋体"/>
                <w:kern w:val="0"/>
                <w:sz w:val="21"/>
                <w:szCs w:val="21"/>
                <w:lang w:val="en-US" w:eastAsia="zh-CN" w:bidi="ar-SA"/>
              </w:rPr>
            </w:pPr>
            <w:r>
              <w:rPr>
                <w:rFonts w:hint="eastAsia" w:ascii="宋体" w:hAnsi="宋体" w:cs="宋体"/>
                <w:kern w:val="0"/>
                <w:sz w:val="21"/>
                <w:szCs w:val="21"/>
              </w:rPr>
              <w:t>（</w:t>
            </w:r>
            <w:r>
              <w:rPr>
                <w:rFonts w:ascii="宋体" w:hAnsi="宋体" w:cs="宋体"/>
                <w:kern w:val="0"/>
                <w:sz w:val="21"/>
                <w:szCs w:val="21"/>
              </w:rPr>
              <w:t>1）探索通过负面清单等方式，对已勤勉尽责、但因技术路线选择失误或其他不可预见原因，导致难以完成市级科研项目预定目标的单位和项目负责人予以免责。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804" w:type="dxa"/>
            <w:noWrap/>
            <w:vAlign w:val="center"/>
          </w:tcPr>
          <w:p>
            <w:pPr>
              <w:widowControl/>
              <w:jc w:val="center"/>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rPr>
              <w:t>11</w:t>
            </w:r>
          </w:p>
        </w:tc>
        <w:tc>
          <w:tcPr>
            <w:tcW w:w="2506" w:type="dxa"/>
            <w:noWrap/>
            <w:vAlign w:val="center"/>
          </w:tcPr>
          <w:p>
            <w:pPr>
              <w:widowControl/>
              <w:jc w:val="left"/>
              <w:rPr>
                <w:rFonts w:hint="eastAsia" w:ascii="宋体" w:hAnsi="宋体" w:eastAsia="宋体" w:cs="宋体"/>
                <w:kern w:val="0"/>
                <w:sz w:val="21"/>
                <w:szCs w:val="21"/>
                <w:lang w:val="en-US" w:eastAsia="zh-CN" w:bidi="ar-SA"/>
              </w:rPr>
            </w:pPr>
            <w:r>
              <w:rPr>
                <w:rFonts w:hint="eastAsia" w:ascii="宋体" w:hAnsi="宋体" w:cs="宋体"/>
                <w:kern w:val="0"/>
                <w:sz w:val="21"/>
                <w:szCs w:val="21"/>
              </w:rPr>
              <w:t>深化科技特派员制度</w:t>
            </w:r>
          </w:p>
        </w:tc>
        <w:tc>
          <w:tcPr>
            <w:tcW w:w="10574" w:type="dxa"/>
            <w:noWrap/>
            <w:vAlign w:val="center"/>
          </w:tcPr>
          <w:p>
            <w:pPr>
              <w:widowControl/>
              <w:jc w:val="left"/>
              <w:rPr>
                <w:rFonts w:ascii="宋体" w:hAnsi="宋体" w:cs="宋体"/>
                <w:kern w:val="0"/>
                <w:sz w:val="21"/>
                <w:szCs w:val="21"/>
              </w:rPr>
            </w:pPr>
            <w:r>
              <w:rPr>
                <w:rFonts w:hint="eastAsia" w:ascii="宋体" w:hAnsi="宋体" w:cs="宋体"/>
                <w:kern w:val="0"/>
                <w:sz w:val="21"/>
                <w:szCs w:val="21"/>
              </w:rPr>
              <w:t>（</w:t>
            </w:r>
            <w:r>
              <w:rPr>
                <w:rFonts w:ascii="宋体" w:hAnsi="宋体" w:cs="宋体"/>
                <w:kern w:val="0"/>
                <w:sz w:val="21"/>
                <w:szCs w:val="21"/>
              </w:rPr>
              <w:t>1）落实科技成果转化收益分配机制，拓展科技特派员服务模式和领域。</w:t>
            </w:r>
          </w:p>
          <w:p>
            <w:pPr>
              <w:widowControl/>
              <w:jc w:val="left"/>
              <w:rPr>
                <w:rFonts w:hint="eastAsia" w:ascii="宋体" w:hAnsi="宋体" w:eastAsia="宋体" w:cs="宋体"/>
                <w:kern w:val="0"/>
                <w:sz w:val="21"/>
                <w:szCs w:val="21"/>
                <w:lang w:val="en-US" w:eastAsia="zh-CN" w:bidi="ar-SA"/>
              </w:rPr>
            </w:pPr>
            <w:r>
              <w:rPr>
                <w:rFonts w:hint="eastAsia" w:ascii="宋体" w:hAnsi="宋体" w:cs="宋体"/>
                <w:kern w:val="0"/>
                <w:sz w:val="21"/>
                <w:szCs w:val="21"/>
              </w:rPr>
              <w:t>（</w:t>
            </w:r>
            <w:r>
              <w:rPr>
                <w:rFonts w:ascii="宋体" w:hAnsi="宋体" w:cs="宋体"/>
                <w:kern w:val="0"/>
                <w:sz w:val="21"/>
                <w:szCs w:val="21"/>
              </w:rPr>
              <w:t>2）支持科技特派员带着项目、资金、技术和成果扎根服务乡村和企业，开展科技成果转化、示范基地建设、科技帮扶等工作。</w:t>
            </w:r>
          </w:p>
        </w:tc>
      </w:tr>
    </w:tbl>
    <w:p>
      <w:pPr>
        <w:pStyle w:val="4"/>
        <w:spacing w:line="20" w:lineRule="exact"/>
        <w:ind w:firstLine="0"/>
        <w:rPr>
          <w:rFonts w:hint="eastAsia" w:eastAsia="宋体"/>
          <w:lang w:val="en-US" w:eastAsia="zh-CN"/>
        </w:rPr>
      </w:pPr>
    </w:p>
    <w:sectPr>
      <w:footerReference r:id="rId7"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3FA8EC9-EC57-43D2-BE73-D315EC416698}"/>
  </w:font>
  <w:font w:name="Arial">
    <w:panose1 w:val="020B0604020202020204"/>
    <w:charset w:val="01"/>
    <w:family w:val="swiss"/>
    <w:pitch w:val="default"/>
    <w:sig w:usb0="E0002EFF" w:usb1="C000785B" w:usb2="00000009" w:usb3="00000000" w:csb0="400001FF" w:csb1="FFFF0000"/>
    <w:embedRegular r:id="rId2" w:fontKey="{E0D63FAC-4791-4156-ABDD-4E7C317F52B0}"/>
  </w:font>
  <w:font w:name="黑体">
    <w:panose1 w:val="02010609060101010101"/>
    <w:charset w:val="86"/>
    <w:family w:val="auto"/>
    <w:pitch w:val="default"/>
    <w:sig w:usb0="800002BF" w:usb1="38CF7CFA" w:usb2="00000016" w:usb3="00000000" w:csb0="00040001" w:csb1="00000000"/>
    <w:embedRegular r:id="rId3" w:fontKey="{3F34B0E0-F676-42DB-AE54-9B7894F3DE96}"/>
  </w:font>
  <w:font w:name="Courier New">
    <w:panose1 w:val="02070309020205020404"/>
    <w:charset w:val="01"/>
    <w:family w:val="modern"/>
    <w:pitch w:val="default"/>
    <w:sig w:usb0="E0002EFF" w:usb1="C0007843" w:usb2="00000009" w:usb3="00000000" w:csb0="400001FF" w:csb1="FFFF0000"/>
    <w:embedRegular r:id="rId4" w:fontKey="{6A00013B-E9F5-4A56-98DC-94DBD003B713}"/>
  </w:font>
  <w:font w:name="Symbol">
    <w:panose1 w:val="05050102010706020507"/>
    <w:charset w:val="02"/>
    <w:family w:val="roman"/>
    <w:pitch w:val="default"/>
    <w:sig w:usb0="00000000" w:usb1="00000000" w:usb2="00000000" w:usb3="00000000" w:csb0="80000000" w:csb1="00000000"/>
    <w:embedRegular r:id="rId5" w:fontKey="{329999AD-B2FD-47B5-A7FB-6DCB625E223B}"/>
  </w:font>
  <w:font w:name="Calibri">
    <w:panose1 w:val="020F0502020204030204"/>
    <w:charset w:val="00"/>
    <w:family w:val="swiss"/>
    <w:pitch w:val="default"/>
    <w:sig w:usb0="E4002EFF" w:usb1="C000247B" w:usb2="00000009" w:usb3="00000000" w:csb0="200001FF" w:csb1="00000000"/>
    <w:embedRegular r:id="rId6" w:fontKey="{20874661-8E50-4480-BB3C-2B137E48F8D2}"/>
  </w:font>
  <w:font w:name="Calibri Light">
    <w:panose1 w:val="020F0302020204030204"/>
    <w:charset w:val="00"/>
    <w:family w:val="swiss"/>
    <w:pitch w:val="default"/>
    <w:sig w:usb0="E4002EFF" w:usb1="C000247B" w:usb2="00000009" w:usb3="00000000" w:csb0="200001FF" w:csb1="00000000"/>
    <w:embedRegular r:id="rId7" w:fontKey="{078268F8-4CC5-4FA6-9ABE-8F2ECF76510D}"/>
  </w:font>
  <w:font w:name="楷体_GB2312">
    <w:panose1 w:val="02010609030101010101"/>
    <w:charset w:val="86"/>
    <w:family w:val="modern"/>
    <w:pitch w:val="default"/>
    <w:sig w:usb0="00000001" w:usb1="080E0000" w:usb2="00000000" w:usb3="00000000" w:csb0="00040000" w:csb1="00000000"/>
    <w:embedRegular r:id="rId8" w:fontKey="{BF7BFA39-1AEA-4823-9233-19E1EB621A81}"/>
  </w:font>
  <w:font w:name="方正仿宋_GB2312">
    <w:altName w:val="仿宋"/>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embedRegular r:id="rId9" w:fontKey="{504D2C1E-5C99-40D8-AA05-350D3800AEFD}"/>
  </w:font>
  <w:font w:name="仿宋_GB2312">
    <w:panose1 w:val="02010609030101010101"/>
    <w:charset w:val="86"/>
    <w:family w:val="modern"/>
    <w:pitch w:val="default"/>
    <w:sig w:usb0="00000001" w:usb1="080E0000" w:usb2="00000000" w:usb3="00000000" w:csb0="00040000" w:csb1="00000000"/>
    <w:embedRegular r:id="rId10" w:fontKey="{A09921E7-AFB1-40B7-824E-DB1D5A203862}"/>
  </w:font>
  <w:font w:name="方正小标宋简体">
    <w:panose1 w:val="02010601030101010101"/>
    <w:charset w:val="86"/>
    <w:family w:val="script"/>
    <w:pitch w:val="default"/>
    <w:sig w:usb0="00000001" w:usb1="080E0000" w:usb2="00000000" w:usb3="00000000" w:csb0="00040000" w:csb1="00000000"/>
    <w:embedRegular r:id="rId11" w:fontKey="{57E38A26-ABB9-439C-824F-9AE680773CF7}"/>
  </w:font>
  <w:font w:name="方正楷体_GB2312">
    <w:panose1 w:val="02000000000000000000"/>
    <w:charset w:val="86"/>
    <w:family w:val="auto"/>
    <w:pitch w:val="default"/>
    <w:sig w:usb0="00000000" w:usb1="00000000" w:usb2="00000000" w:usb3="00000000" w:csb0="00000000" w:csb1="00000000"/>
    <w:embedRegular r:id="rId12" w:fontKey="{E2F2341C-48A4-4DB6-BB83-3B608F6CAF7E}"/>
  </w:font>
  <w:font w:name="华文仿宋">
    <w:panose1 w:val="02010600040101010101"/>
    <w:charset w:val="86"/>
    <w:family w:val="auto"/>
    <w:pitch w:val="default"/>
    <w:sig w:usb0="00000000" w:usb1="00000000" w:usb2="00000000" w:usb3="00000000" w:csb0="00000000" w:csb1="00000000"/>
    <w:embedRegular r:id="rId13" w:fontKey="{E633A6DF-5573-4462-8D27-69BD023777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jc w:val="center"/>
                          </w:pPr>
                          <w:r>
                            <w:fldChar w:fldCharType="begin"/>
                          </w:r>
                          <w:r>
                            <w:instrText xml:space="preserve">PAGE   \* MERGEFORMAT</w:instrText>
                          </w:r>
                          <w:r>
                            <w:fldChar w:fldCharType="separate"/>
                          </w:r>
                          <w:r>
                            <w:rPr>
                              <w:lang w:val="zh-CN"/>
                            </w:rPr>
                            <w:t>-</w:t>
                          </w:r>
                          <w:r>
                            <w:t xml:space="preserve"> 3 -</w:t>
                          </w:r>
                          <w:r>
                            <w:rPr>
                              <w:lang w:val="zh-CN"/>
                            </w:rPr>
                            <w:fldChar w:fldCharType="end"/>
                          </w:r>
                        </w:p>
                        <w:p>
                          <w:pPr>
                            <w:pStyle w:val="2"/>
                            <w:ind w:firstLine="320"/>
                          </w:pP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EOzyskBAACZAwAADgAAAGRycy9lMm9Eb2MueG1srVPNjtMwEL4j8Q6W&#10;79Rph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0BUljlsc+OX7t8uPX5efX8nr&#10;3J4+QI1ZDwHz0nDnB1ya2Q/ozKoHFW3+oh6CcWzu+dpcOSQi8qP1ar2uMCQwNl8Qnz0+DxHSW+kt&#10;yUZDI06vNJWf3kMaU+eUXM35e21MmaBxfzkQM3tY5j5yzFYa9sMkaO/bM+rpcfANdbjnlJh3Dvua&#10;d2Q24mzsZ+MYoj50SG1ZeEG4PSYkUbjlCiPsVBgnVtRN25VX4s97yXr8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MQ7PKyQEAAJkDAAAOAAAAAAAAAAEAIAAAAB4BAABkcnMvZTJvRG9j&#10;LnhtbFBLBQYAAAAABgAGAFkBAABZBQAAAAA=&#10;">
              <v:fill on="f" focussize="0,0"/>
              <v:stroke on="f"/>
              <v:imagedata o:title=""/>
              <o:lock v:ext="edit" aspectratio="f"/>
              <v:textbox inset="0mm,0mm,0mm,0mm" style="mso-fit-shape-to-text:t;">
                <w:txbxContent>
                  <w:p>
                    <w:pPr>
                      <w:pStyle w:val="10"/>
                      <w:jc w:val="center"/>
                    </w:pPr>
                    <w:r>
                      <w:fldChar w:fldCharType="begin"/>
                    </w:r>
                    <w:r>
                      <w:instrText xml:space="preserve">PAGE   \* MERGEFORMAT</w:instrText>
                    </w:r>
                    <w:r>
                      <w:fldChar w:fldCharType="separate"/>
                    </w:r>
                    <w:r>
                      <w:rPr>
                        <w:lang w:val="zh-CN"/>
                      </w:rPr>
                      <w:t>-</w:t>
                    </w:r>
                    <w:r>
                      <w:t xml:space="preserve"> 3 -</w:t>
                    </w:r>
                    <w:r>
                      <w:rPr>
                        <w:lang w:val="zh-CN"/>
                      </w:rPr>
                      <w:fldChar w:fldCharType="end"/>
                    </w:r>
                  </w:p>
                  <w:p>
                    <w:pPr>
                      <w:pStyle w:val="2"/>
                      <w:ind w:firstLine="320"/>
                    </w:pPr>
                  </w:p>
                </w:txbxContent>
              </v:textbox>
            </v:shape>
          </w:pict>
        </mc:Fallback>
      </mc:AlternateContent>
    </w:r>
  </w:p>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jc w:val="center"/>
                          </w:pPr>
                          <w:r>
                            <w:fldChar w:fldCharType="begin"/>
                          </w:r>
                          <w:r>
                            <w:instrText xml:space="preserve">PAGE   \* MERGEFORMAT</w:instrText>
                          </w:r>
                          <w:r>
                            <w:fldChar w:fldCharType="separate"/>
                          </w:r>
                          <w:r>
                            <w:rPr>
                              <w:lang w:val="zh-CN"/>
                            </w:rPr>
                            <w:t>-</w:t>
                          </w:r>
                          <w:r>
                            <w:t xml:space="preserve"> 7 -</w:t>
                          </w:r>
                          <w:r>
                            <w:rPr>
                              <w:lang w:val="zh-CN"/>
                            </w:rPr>
                            <w:fldChar w:fldCharType="end"/>
                          </w:r>
                        </w:p>
                        <w:p>
                          <w:pPr>
                            <w:pStyle w:val="2"/>
                            <w:ind w:firstLine="320"/>
                          </w:pPr>
                        </w:p>
                      </w:txbxContent>
                    </wps:txbx>
                    <wps:bodyPr wrap="none" lIns="0" tIns="0" rIns="0" bIns="0" upright="1">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GAbSVjLAQAAnAMAAA4AAAAAAAAAAQAgAAAAHgEAAGRycy9lMm9E&#10;b2MueG1sUEsFBgAAAAAGAAYAWQEAAFsFAAAAAA==&#10;">
              <v:fill on="f" focussize="0,0"/>
              <v:stroke on="f"/>
              <v:imagedata o:title=""/>
              <o:lock v:ext="edit" aspectratio="f"/>
              <v:textbox inset="0mm,0mm,0mm,0mm" style="mso-fit-shape-to-text:t;">
                <w:txbxContent>
                  <w:p>
                    <w:pPr>
                      <w:pStyle w:val="10"/>
                      <w:jc w:val="center"/>
                    </w:pPr>
                    <w:r>
                      <w:fldChar w:fldCharType="begin"/>
                    </w:r>
                    <w:r>
                      <w:instrText xml:space="preserve">PAGE   \* MERGEFORMAT</w:instrText>
                    </w:r>
                    <w:r>
                      <w:fldChar w:fldCharType="separate"/>
                    </w:r>
                    <w:r>
                      <w:rPr>
                        <w:lang w:val="zh-CN"/>
                      </w:rPr>
                      <w:t>-</w:t>
                    </w:r>
                    <w:r>
                      <w:t xml:space="preserve"> 7 -</w:t>
                    </w:r>
                    <w:r>
                      <w:rPr>
                        <w:lang w:val="zh-CN"/>
                      </w:rPr>
                      <w:fldChar w:fldCharType="end"/>
                    </w:r>
                  </w:p>
                  <w:p>
                    <w:pPr>
                      <w:pStyle w:val="2"/>
                      <w:ind w:firstLine="320"/>
                    </w:pPr>
                  </w:p>
                </w:txbxContent>
              </v:textbox>
            </v:shape>
          </w:pict>
        </mc:Fallback>
      </mc:AlternateContent>
    </w:r>
  </w:p>
  <w:p>
    <w:pPr>
      <w:pStyle w:val="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jc w:val="center"/>
                          </w:pPr>
                          <w:r>
                            <w:fldChar w:fldCharType="begin"/>
                          </w:r>
                          <w:r>
                            <w:instrText xml:space="preserve"> PAGE   \* MERGEFORMAT </w:instrText>
                          </w:r>
                          <w:r>
                            <w:fldChar w:fldCharType="separate"/>
                          </w:r>
                          <w:r>
                            <w:rPr>
                              <w:lang w:val="zh-CN"/>
                            </w:rPr>
                            <w:t>-</w:t>
                          </w:r>
                          <w:r>
                            <w:t xml:space="preserve"> 59 -</w:t>
                          </w:r>
                          <w:r>
                            <w:rPr>
                              <w:lang w:val="zh-CN"/>
                            </w:rP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bl05MgBAACZ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LK&#10;9vQBauy6D9iXhnd+yK1THjCZVQ8q2vxGPQTraO75aq4cEhH5o/Vqva6wJLA2HxCHPXweIqT30luS&#10;g4ZGvL1iKj99hDS2zi15mvN32hjM89q4fxKImTMscx855igN+2EivvftGfX0ePENdbjnlJgPDn3N&#10;OzIHcQ72c3AMUR86pLYsvCDcHhOSKNzyhBF2Gow3VtRN25VX4vG5dD38U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m5dOTIAQAAmQMAAA4AAAAAAAAAAQAgAAAAHgEAAGRycy9lMm9Eb2Mu&#10;eG1sUEsFBgAAAAAGAAYAWQEAAFgFAAAAAA==&#10;">
              <v:fill on="f" focussize="0,0"/>
              <v:stroke on="f"/>
              <v:imagedata o:title=""/>
              <o:lock v:ext="edit" aspectratio="f"/>
              <v:textbox inset="0mm,0mm,0mm,0mm" style="mso-fit-shape-to-text:t;">
                <w:txbxContent>
                  <w:p>
                    <w:pPr>
                      <w:pStyle w:val="10"/>
                      <w:jc w:val="center"/>
                    </w:pPr>
                    <w:r>
                      <w:fldChar w:fldCharType="begin"/>
                    </w:r>
                    <w:r>
                      <w:instrText xml:space="preserve"> PAGE   \* MERGEFORMAT </w:instrText>
                    </w:r>
                    <w:r>
                      <w:fldChar w:fldCharType="separate"/>
                    </w:r>
                    <w:r>
                      <w:rPr>
                        <w:lang w:val="zh-CN"/>
                      </w:rPr>
                      <w:t>-</w:t>
                    </w:r>
                    <w:r>
                      <w:t xml:space="preserve"> 59 -</w:t>
                    </w:r>
                    <w:r>
                      <w:rPr>
                        <w:lang w:val="zh-CN"/>
                      </w:rPr>
                      <w:fldChar w:fldCharType="end"/>
                    </w:r>
                  </w:p>
                </w:txbxContent>
              </v:textbox>
            </v:shape>
          </w:pict>
        </mc:Fallback>
      </mc:AlternateContent>
    </w:r>
  </w:p>
  <w:p>
    <w:pPr>
      <w:pStyle w:val="1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BE55FB"/>
    <w:multiLevelType w:val="singleLevel"/>
    <w:tmpl w:val="D2BE55FB"/>
    <w:lvl w:ilvl="0" w:tentative="0">
      <w:start w:val="1"/>
      <w:numFmt w:val="decimal"/>
      <w:suff w:val="nothing"/>
      <w:lvlText w:val="（%1）"/>
      <w:lvlJc w:val="left"/>
    </w:lvl>
  </w:abstractNum>
  <w:abstractNum w:abstractNumId="1">
    <w:nsid w:val="3E6BD140"/>
    <w:multiLevelType w:val="singleLevel"/>
    <w:tmpl w:val="3E6BD140"/>
    <w:lvl w:ilvl="0" w:tentative="0">
      <w:start w:val="1"/>
      <w:numFmt w:val="decimal"/>
      <w:suff w:val="nothing"/>
      <w:lvlText w:val="（%1）"/>
      <w:lvlJc w:val="left"/>
    </w:lvl>
  </w:abstractNum>
  <w:abstractNum w:abstractNumId="2">
    <w:nsid w:val="71D4A3A3"/>
    <w:multiLevelType w:val="singleLevel"/>
    <w:tmpl w:val="71D4A3A3"/>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86D6909"/>
    <w:rsid w:val="000020E0"/>
    <w:rsid w:val="00002F01"/>
    <w:rsid w:val="00007A3D"/>
    <w:rsid w:val="00011308"/>
    <w:rsid w:val="00020E4A"/>
    <w:rsid w:val="00023A99"/>
    <w:rsid w:val="00041A43"/>
    <w:rsid w:val="00050D1A"/>
    <w:rsid w:val="00057488"/>
    <w:rsid w:val="0006345D"/>
    <w:rsid w:val="000676C4"/>
    <w:rsid w:val="0007458C"/>
    <w:rsid w:val="0008300B"/>
    <w:rsid w:val="000861D8"/>
    <w:rsid w:val="00090199"/>
    <w:rsid w:val="000A4BCF"/>
    <w:rsid w:val="000B5FD6"/>
    <w:rsid w:val="000C2A77"/>
    <w:rsid w:val="000D1133"/>
    <w:rsid w:val="000D35E6"/>
    <w:rsid w:val="000E38BC"/>
    <w:rsid w:val="000E3987"/>
    <w:rsid w:val="000F3A86"/>
    <w:rsid w:val="000F546F"/>
    <w:rsid w:val="000F7F9B"/>
    <w:rsid w:val="00116530"/>
    <w:rsid w:val="00125D19"/>
    <w:rsid w:val="00127580"/>
    <w:rsid w:val="00134FED"/>
    <w:rsid w:val="00152B0D"/>
    <w:rsid w:val="001628E4"/>
    <w:rsid w:val="00167623"/>
    <w:rsid w:val="001700B7"/>
    <w:rsid w:val="001A0354"/>
    <w:rsid w:val="001D1A79"/>
    <w:rsid w:val="001D7E52"/>
    <w:rsid w:val="00211838"/>
    <w:rsid w:val="00224C91"/>
    <w:rsid w:val="002274E2"/>
    <w:rsid w:val="002426B6"/>
    <w:rsid w:val="0024465F"/>
    <w:rsid w:val="00252534"/>
    <w:rsid w:val="00253B01"/>
    <w:rsid w:val="00264905"/>
    <w:rsid w:val="002B1374"/>
    <w:rsid w:val="002D40C9"/>
    <w:rsid w:val="002F0C3A"/>
    <w:rsid w:val="003027B2"/>
    <w:rsid w:val="003122B5"/>
    <w:rsid w:val="003146C6"/>
    <w:rsid w:val="00320555"/>
    <w:rsid w:val="00334639"/>
    <w:rsid w:val="00335EC6"/>
    <w:rsid w:val="00336E6C"/>
    <w:rsid w:val="003542B7"/>
    <w:rsid w:val="00363607"/>
    <w:rsid w:val="003712A6"/>
    <w:rsid w:val="00384065"/>
    <w:rsid w:val="00390C61"/>
    <w:rsid w:val="00391677"/>
    <w:rsid w:val="003B7769"/>
    <w:rsid w:val="003D4F8D"/>
    <w:rsid w:val="003E1FA0"/>
    <w:rsid w:val="00417C0E"/>
    <w:rsid w:val="004228BB"/>
    <w:rsid w:val="00457010"/>
    <w:rsid w:val="00461B35"/>
    <w:rsid w:val="00463BFA"/>
    <w:rsid w:val="00484C72"/>
    <w:rsid w:val="004870FC"/>
    <w:rsid w:val="004C0479"/>
    <w:rsid w:val="004F3A4E"/>
    <w:rsid w:val="004F3E81"/>
    <w:rsid w:val="0051087F"/>
    <w:rsid w:val="0054377B"/>
    <w:rsid w:val="005473C8"/>
    <w:rsid w:val="005643D1"/>
    <w:rsid w:val="0057314B"/>
    <w:rsid w:val="00573C81"/>
    <w:rsid w:val="00583898"/>
    <w:rsid w:val="005A4E90"/>
    <w:rsid w:val="005C43BA"/>
    <w:rsid w:val="005D4E4F"/>
    <w:rsid w:val="00603E89"/>
    <w:rsid w:val="00642BAD"/>
    <w:rsid w:val="00672CDF"/>
    <w:rsid w:val="00687517"/>
    <w:rsid w:val="006A5B5A"/>
    <w:rsid w:val="006B4E01"/>
    <w:rsid w:val="006F15FB"/>
    <w:rsid w:val="006F67EB"/>
    <w:rsid w:val="00710F70"/>
    <w:rsid w:val="00711643"/>
    <w:rsid w:val="007369DA"/>
    <w:rsid w:val="007430E5"/>
    <w:rsid w:val="007527B9"/>
    <w:rsid w:val="00752C72"/>
    <w:rsid w:val="00767BA8"/>
    <w:rsid w:val="00767F73"/>
    <w:rsid w:val="0077324B"/>
    <w:rsid w:val="00782994"/>
    <w:rsid w:val="00792A4A"/>
    <w:rsid w:val="00794D4E"/>
    <w:rsid w:val="0079791C"/>
    <w:rsid w:val="007A0C9B"/>
    <w:rsid w:val="007D4B01"/>
    <w:rsid w:val="007D523A"/>
    <w:rsid w:val="007E5786"/>
    <w:rsid w:val="007F50CC"/>
    <w:rsid w:val="007F5BFD"/>
    <w:rsid w:val="00871A7B"/>
    <w:rsid w:val="00880A86"/>
    <w:rsid w:val="00886FFB"/>
    <w:rsid w:val="0089009E"/>
    <w:rsid w:val="00896FB8"/>
    <w:rsid w:val="008A5809"/>
    <w:rsid w:val="008A7C61"/>
    <w:rsid w:val="008B76BA"/>
    <w:rsid w:val="008C12D6"/>
    <w:rsid w:val="008C15F5"/>
    <w:rsid w:val="008F2480"/>
    <w:rsid w:val="00900F2D"/>
    <w:rsid w:val="00903963"/>
    <w:rsid w:val="009069EE"/>
    <w:rsid w:val="00912874"/>
    <w:rsid w:val="00912DD6"/>
    <w:rsid w:val="00953DF5"/>
    <w:rsid w:val="009556F2"/>
    <w:rsid w:val="00956A84"/>
    <w:rsid w:val="00960EAF"/>
    <w:rsid w:val="00967CE7"/>
    <w:rsid w:val="00971693"/>
    <w:rsid w:val="00972B6C"/>
    <w:rsid w:val="00975F2D"/>
    <w:rsid w:val="0099391C"/>
    <w:rsid w:val="009A6B08"/>
    <w:rsid w:val="009A717D"/>
    <w:rsid w:val="009B0DF8"/>
    <w:rsid w:val="009C48D5"/>
    <w:rsid w:val="009C4D28"/>
    <w:rsid w:val="009E6D2D"/>
    <w:rsid w:val="009E7690"/>
    <w:rsid w:val="009F0AF8"/>
    <w:rsid w:val="00A02576"/>
    <w:rsid w:val="00A04638"/>
    <w:rsid w:val="00A06A89"/>
    <w:rsid w:val="00A258B4"/>
    <w:rsid w:val="00A32B1A"/>
    <w:rsid w:val="00A6793C"/>
    <w:rsid w:val="00A83DB2"/>
    <w:rsid w:val="00AB2E91"/>
    <w:rsid w:val="00AB48E7"/>
    <w:rsid w:val="00AC2B11"/>
    <w:rsid w:val="00AE1D7E"/>
    <w:rsid w:val="00AF13D3"/>
    <w:rsid w:val="00B00542"/>
    <w:rsid w:val="00B06BCE"/>
    <w:rsid w:val="00B46DDF"/>
    <w:rsid w:val="00B54E22"/>
    <w:rsid w:val="00B56BDF"/>
    <w:rsid w:val="00B7074C"/>
    <w:rsid w:val="00B71F2E"/>
    <w:rsid w:val="00B75689"/>
    <w:rsid w:val="00B923ED"/>
    <w:rsid w:val="00BA00C0"/>
    <w:rsid w:val="00BA6135"/>
    <w:rsid w:val="00BB1258"/>
    <w:rsid w:val="00BC33E2"/>
    <w:rsid w:val="00BC718C"/>
    <w:rsid w:val="00BD34BB"/>
    <w:rsid w:val="00BD43CC"/>
    <w:rsid w:val="00BE348F"/>
    <w:rsid w:val="00BE3F4B"/>
    <w:rsid w:val="00C202FC"/>
    <w:rsid w:val="00C408C4"/>
    <w:rsid w:val="00C560A2"/>
    <w:rsid w:val="00C70CCF"/>
    <w:rsid w:val="00C76EB8"/>
    <w:rsid w:val="00C8675D"/>
    <w:rsid w:val="00C91884"/>
    <w:rsid w:val="00CA276E"/>
    <w:rsid w:val="00CB52B4"/>
    <w:rsid w:val="00CC5BDA"/>
    <w:rsid w:val="00CC6039"/>
    <w:rsid w:val="00CC76A7"/>
    <w:rsid w:val="00CE0741"/>
    <w:rsid w:val="00D30B12"/>
    <w:rsid w:val="00D34B63"/>
    <w:rsid w:val="00D4041F"/>
    <w:rsid w:val="00D40EF1"/>
    <w:rsid w:val="00D439D7"/>
    <w:rsid w:val="00D47F2E"/>
    <w:rsid w:val="00D7144E"/>
    <w:rsid w:val="00DA779B"/>
    <w:rsid w:val="00DC186C"/>
    <w:rsid w:val="00DC7E20"/>
    <w:rsid w:val="00DD1972"/>
    <w:rsid w:val="00DD48E5"/>
    <w:rsid w:val="00DD6CC5"/>
    <w:rsid w:val="00DD7817"/>
    <w:rsid w:val="00DF5116"/>
    <w:rsid w:val="00E05494"/>
    <w:rsid w:val="00E077F5"/>
    <w:rsid w:val="00E07937"/>
    <w:rsid w:val="00E30154"/>
    <w:rsid w:val="00E305C3"/>
    <w:rsid w:val="00E30FE6"/>
    <w:rsid w:val="00E3358C"/>
    <w:rsid w:val="00E4428C"/>
    <w:rsid w:val="00E67DCA"/>
    <w:rsid w:val="00E836EB"/>
    <w:rsid w:val="00E8475D"/>
    <w:rsid w:val="00E86A85"/>
    <w:rsid w:val="00EA5814"/>
    <w:rsid w:val="00EB0D31"/>
    <w:rsid w:val="00EC2283"/>
    <w:rsid w:val="00EC2C80"/>
    <w:rsid w:val="00EE1BF1"/>
    <w:rsid w:val="00EF11CD"/>
    <w:rsid w:val="00F05EC6"/>
    <w:rsid w:val="00F167CE"/>
    <w:rsid w:val="00F25BDA"/>
    <w:rsid w:val="00F34D03"/>
    <w:rsid w:val="00F518E0"/>
    <w:rsid w:val="00F53324"/>
    <w:rsid w:val="00FA2911"/>
    <w:rsid w:val="00FA2B26"/>
    <w:rsid w:val="00FB1C6C"/>
    <w:rsid w:val="00FC0C90"/>
    <w:rsid w:val="00FC5458"/>
    <w:rsid w:val="00FC60FB"/>
    <w:rsid w:val="00FC6BFE"/>
    <w:rsid w:val="00FD6CE5"/>
    <w:rsid w:val="00FF2450"/>
    <w:rsid w:val="011D735E"/>
    <w:rsid w:val="01207BB8"/>
    <w:rsid w:val="017A5724"/>
    <w:rsid w:val="018147B4"/>
    <w:rsid w:val="01821852"/>
    <w:rsid w:val="01B31FCB"/>
    <w:rsid w:val="01D11306"/>
    <w:rsid w:val="020849AE"/>
    <w:rsid w:val="021C0FF3"/>
    <w:rsid w:val="023C2245"/>
    <w:rsid w:val="02523B57"/>
    <w:rsid w:val="027B7273"/>
    <w:rsid w:val="029B7847"/>
    <w:rsid w:val="029D5822"/>
    <w:rsid w:val="02AF2469"/>
    <w:rsid w:val="02CA41E4"/>
    <w:rsid w:val="03242446"/>
    <w:rsid w:val="03625C6B"/>
    <w:rsid w:val="038C4880"/>
    <w:rsid w:val="03A86560"/>
    <w:rsid w:val="03FD21E1"/>
    <w:rsid w:val="04614503"/>
    <w:rsid w:val="047404B1"/>
    <w:rsid w:val="04774829"/>
    <w:rsid w:val="048378B7"/>
    <w:rsid w:val="04857D51"/>
    <w:rsid w:val="04C716B0"/>
    <w:rsid w:val="04D44FEB"/>
    <w:rsid w:val="04E05193"/>
    <w:rsid w:val="04ED5A75"/>
    <w:rsid w:val="04F661E0"/>
    <w:rsid w:val="04FA6E13"/>
    <w:rsid w:val="05573CD7"/>
    <w:rsid w:val="05A8527E"/>
    <w:rsid w:val="05C26332"/>
    <w:rsid w:val="05D50BC8"/>
    <w:rsid w:val="05E85980"/>
    <w:rsid w:val="06094231"/>
    <w:rsid w:val="062143CC"/>
    <w:rsid w:val="0622360E"/>
    <w:rsid w:val="06294A39"/>
    <w:rsid w:val="065D7EEC"/>
    <w:rsid w:val="067849AE"/>
    <w:rsid w:val="06806B78"/>
    <w:rsid w:val="068B2371"/>
    <w:rsid w:val="069E6233"/>
    <w:rsid w:val="06CC645C"/>
    <w:rsid w:val="06EF7D10"/>
    <w:rsid w:val="070901E5"/>
    <w:rsid w:val="07332FBE"/>
    <w:rsid w:val="0789407A"/>
    <w:rsid w:val="07911865"/>
    <w:rsid w:val="07A30434"/>
    <w:rsid w:val="07CD2944"/>
    <w:rsid w:val="07D33054"/>
    <w:rsid w:val="07E879CB"/>
    <w:rsid w:val="07EF618B"/>
    <w:rsid w:val="08256B5A"/>
    <w:rsid w:val="08402AEF"/>
    <w:rsid w:val="08876B41"/>
    <w:rsid w:val="08A69C7E"/>
    <w:rsid w:val="08C07636"/>
    <w:rsid w:val="08CD00C1"/>
    <w:rsid w:val="08F4248B"/>
    <w:rsid w:val="08F97238"/>
    <w:rsid w:val="09281698"/>
    <w:rsid w:val="093151D8"/>
    <w:rsid w:val="093820F5"/>
    <w:rsid w:val="09467FD7"/>
    <w:rsid w:val="094A1FC7"/>
    <w:rsid w:val="0963774A"/>
    <w:rsid w:val="098A66DC"/>
    <w:rsid w:val="09CE05DE"/>
    <w:rsid w:val="0A0D618F"/>
    <w:rsid w:val="0A3971AA"/>
    <w:rsid w:val="0A3C5F4A"/>
    <w:rsid w:val="0A833017"/>
    <w:rsid w:val="0AC71D1A"/>
    <w:rsid w:val="0B4F42A8"/>
    <w:rsid w:val="0B5A61C8"/>
    <w:rsid w:val="0B7C301E"/>
    <w:rsid w:val="0BBE10E9"/>
    <w:rsid w:val="0BD0057C"/>
    <w:rsid w:val="0BDA229A"/>
    <w:rsid w:val="0C147938"/>
    <w:rsid w:val="0C161441"/>
    <w:rsid w:val="0C26470B"/>
    <w:rsid w:val="0C305077"/>
    <w:rsid w:val="0C335BF3"/>
    <w:rsid w:val="0CAE3082"/>
    <w:rsid w:val="0CFD04E2"/>
    <w:rsid w:val="0D06740E"/>
    <w:rsid w:val="0D0716B8"/>
    <w:rsid w:val="0D0A3F29"/>
    <w:rsid w:val="0D203931"/>
    <w:rsid w:val="0D2935C5"/>
    <w:rsid w:val="0D297C9D"/>
    <w:rsid w:val="0D5B227A"/>
    <w:rsid w:val="0DE661EA"/>
    <w:rsid w:val="0DF333A3"/>
    <w:rsid w:val="0E2A2C4F"/>
    <w:rsid w:val="0E4D4B78"/>
    <w:rsid w:val="0E6E3B00"/>
    <w:rsid w:val="0E8E1E03"/>
    <w:rsid w:val="0E9C7B43"/>
    <w:rsid w:val="0EAB3207"/>
    <w:rsid w:val="0EC131FE"/>
    <w:rsid w:val="0EDE6D5A"/>
    <w:rsid w:val="0EE922D4"/>
    <w:rsid w:val="0F2B4DE6"/>
    <w:rsid w:val="0F49340B"/>
    <w:rsid w:val="0F7579CE"/>
    <w:rsid w:val="0F7F241E"/>
    <w:rsid w:val="0FCB0B23"/>
    <w:rsid w:val="0FF3663D"/>
    <w:rsid w:val="10122389"/>
    <w:rsid w:val="10421F46"/>
    <w:rsid w:val="10777EC6"/>
    <w:rsid w:val="10A778FE"/>
    <w:rsid w:val="10C2438A"/>
    <w:rsid w:val="10D4226F"/>
    <w:rsid w:val="10E24625"/>
    <w:rsid w:val="110C1CDB"/>
    <w:rsid w:val="11194406"/>
    <w:rsid w:val="113B7D4A"/>
    <w:rsid w:val="11446541"/>
    <w:rsid w:val="11451811"/>
    <w:rsid w:val="115D3535"/>
    <w:rsid w:val="115E5129"/>
    <w:rsid w:val="118F4413"/>
    <w:rsid w:val="11AB0F04"/>
    <w:rsid w:val="11F028F0"/>
    <w:rsid w:val="11F34368"/>
    <w:rsid w:val="12107494"/>
    <w:rsid w:val="121C5A0D"/>
    <w:rsid w:val="124C2C61"/>
    <w:rsid w:val="129A3E2F"/>
    <w:rsid w:val="12AB79BA"/>
    <w:rsid w:val="1338719B"/>
    <w:rsid w:val="13610736"/>
    <w:rsid w:val="138E3706"/>
    <w:rsid w:val="13B03304"/>
    <w:rsid w:val="13D4118B"/>
    <w:rsid w:val="141C7FF1"/>
    <w:rsid w:val="14240F07"/>
    <w:rsid w:val="1465577A"/>
    <w:rsid w:val="14DD0F54"/>
    <w:rsid w:val="151F25D3"/>
    <w:rsid w:val="15306907"/>
    <w:rsid w:val="153D4E9B"/>
    <w:rsid w:val="15461042"/>
    <w:rsid w:val="15545A49"/>
    <w:rsid w:val="156E639F"/>
    <w:rsid w:val="15AB15B9"/>
    <w:rsid w:val="15B0500D"/>
    <w:rsid w:val="15BB1153"/>
    <w:rsid w:val="15D14B0F"/>
    <w:rsid w:val="1600764B"/>
    <w:rsid w:val="16107E42"/>
    <w:rsid w:val="161E75EF"/>
    <w:rsid w:val="163162FC"/>
    <w:rsid w:val="16441403"/>
    <w:rsid w:val="16520797"/>
    <w:rsid w:val="165F64A9"/>
    <w:rsid w:val="16636672"/>
    <w:rsid w:val="16AC759A"/>
    <w:rsid w:val="16C85367"/>
    <w:rsid w:val="16E23032"/>
    <w:rsid w:val="16F8157C"/>
    <w:rsid w:val="17350F0E"/>
    <w:rsid w:val="17366EFA"/>
    <w:rsid w:val="17480333"/>
    <w:rsid w:val="175017F7"/>
    <w:rsid w:val="17942B84"/>
    <w:rsid w:val="179E5AA6"/>
    <w:rsid w:val="17B90F68"/>
    <w:rsid w:val="17BF7B5B"/>
    <w:rsid w:val="17CF3822"/>
    <w:rsid w:val="17D6033C"/>
    <w:rsid w:val="186552F1"/>
    <w:rsid w:val="186D6909"/>
    <w:rsid w:val="18D020F0"/>
    <w:rsid w:val="192404A4"/>
    <w:rsid w:val="192D3C3E"/>
    <w:rsid w:val="195E0821"/>
    <w:rsid w:val="19620937"/>
    <w:rsid w:val="198C599C"/>
    <w:rsid w:val="198F69BE"/>
    <w:rsid w:val="19A1555F"/>
    <w:rsid w:val="19A773E4"/>
    <w:rsid w:val="19AD78E2"/>
    <w:rsid w:val="19AF739A"/>
    <w:rsid w:val="19B16711"/>
    <w:rsid w:val="19EA4366"/>
    <w:rsid w:val="19FA0AA7"/>
    <w:rsid w:val="1A2706F3"/>
    <w:rsid w:val="1A4C521A"/>
    <w:rsid w:val="1ADA4B7C"/>
    <w:rsid w:val="1AFF570F"/>
    <w:rsid w:val="1B146797"/>
    <w:rsid w:val="1B19211E"/>
    <w:rsid w:val="1B2E1916"/>
    <w:rsid w:val="1B370F79"/>
    <w:rsid w:val="1B552468"/>
    <w:rsid w:val="1B63405C"/>
    <w:rsid w:val="1B735E85"/>
    <w:rsid w:val="1B8B2BD6"/>
    <w:rsid w:val="1BA4689F"/>
    <w:rsid w:val="1BC143CA"/>
    <w:rsid w:val="1BC9562A"/>
    <w:rsid w:val="1BE37E32"/>
    <w:rsid w:val="1C165BBE"/>
    <w:rsid w:val="1C87026D"/>
    <w:rsid w:val="1C8E2C50"/>
    <w:rsid w:val="1CD65A53"/>
    <w:rsid w:val="1CE14B7F"/>
    <w:rsid w:val="1D472B46"/>
    <w:rsid w:val="1D5F0E37"/>
    <w:rsid w:val="1D895917"/>
    <w:rsid w:val="1D9C6829"/>
    <w:rsid w:val="1D9E4A80"/>
    <w:rsid w:val="1DCA51AC"/>
    <w:rsid w:val="1E72308C"/>
    <w:rsid w:val="1E9D59B9"/>
    <w:rsid w:val="1EAC6284"/>
    <w:rsid w:val="1EC0304E"/>
    <w:rsid w:val="1ED1635A"/>
    <w:rsid w:val="1EF33EC0"/>
    <w:rsid w:val="1F0F3C96"/>
    <w:rsid w:val="1F262E60"/>
    <w:rsid w:val="1F350246"/>
    <w:rsid w:val="1F373023"/>
    <w:rsid w:val="1F435CCB"/>
    <w:rsid w:val="1F5B3248"/>
    <w:rsid w:val="1F6A448B"/>
    <w:rsid w:val="1FB2437E"/>
    <w:rsid w:val="1FBA00F8"/>
    <w:rsid w:val="1FC072CC"/>
    <w:rsid w:val="1FE25E70"/>
    <w:rsid w:val="1FEE180B"/>
    <w:rsid w:val="1FFA7B34"/>
    <w:rsid w:val="201440F1"/>
    <w:rsid w:val="20832F0E"/>
    <w:rsid w:val="20E95682"/>
    <w:rsid w:val="21046D54"/>
    <w:rsid w:val="213B3060"/>
    <w:rsid w:val="21426F56"/>
    <w:rsid w:val="214E47C1"/>
    <w:rsid w:val="21511ED8"/>
    <w:rsid w:val="215C53BC"/>
    <w:rsid w:val="21A1334B"/>
    <w:rsid w:val="21D9139B"/>
    <w:rsid w:val="21E53097"/>
    <w:rsid w:val="21EC057A"/>
    <w:rsid w:val="21F66379"/>
    <w:rsid w:val="2219125F"/>
    <w:rsid w:val="223266B1"/>
    <w:rsid w:val="229F0485"/>
    <w:rsid w:val="22D13B8C"/>
    <w:rsid w:val="22FB0BAE"/>
    <w:rsid w:val="230736B6"/>
    <w:rsid w:val="23455608"/>
    <w:rsid w:val="23556511"/>
    <w:rsid w:val="236B5FE5"/>
    <w:rsid w:val="23821B1F"/>
    <w:rsid w:val="23876850"/>
    <w:rsid w:val="23A765AA"/>
    <w:rsid w:val="23B04686"/>
    <w:rsid w:val="23BF3675"/>
    <w:rsid w:val="23CB4F87"/>
    <w:rsid w:val="241E1A6B"/>
    <w:rsid w:val="24306A7D"/>
    <w:rsid w:val="24946932"/>
    <w:rsid w:val="24C8117C"/>
    <w:rsid w:val="251E2101"/>
    <w:rsid w:val="256462E1"/>
    <w:rsid w:val="25AC486C"/>
    <w:rsid w:val="25E9202C"/>
    <w:rsid w:val="25ED7348"/>
    <w:rsid w:val="264C7F65"/>
    <w:rsid w:val="26FC4A0A"/>
    <w:rsid w:val="270E48DA"/>
    <w:rsid w:val="27412977"/>
    <w:rsid w:val="2783396D"/>
    <w:rsid w:val="27A362A7"/>
    <w:rsid w:val="27AA3077"/>
    <w:rsid w:val="27CD5EAE"/>
    <w:rsid w:val="27D51AF3"/>
    <w:rsid w:val="27DD45D3"/>
    <w:rsid w:val="27F73416"/>
    <w:rsid w:val="27FF7ECB"/>
    <w:rsid w:val="28330BD8"/>
    <w:rsid w:val="286931BF"/>
    <w:rsid w:val="286A13A8"/>
    <w:rsid w:val="286D5643"/>
    <w:rsid w:val="287D6D07"/>
    <w:rsid w:val="28940718"/>
    <w:rsid w:val="28D36D06"/>
    <w:rsid w:val="28F0395F"/>
    <w:rsid w:val="29007547"/>
    <w:rsid w:val="290A59AC"/>
    <w:rsid w:val="29195F7D"/>
    <w:rsid w:val="29290B3F"/>
    <w:rsid w:val="29340FEA"/>
    <w:rsid w:val="295904CC"/>
    <w:rsid w:val="2959445C"/>
    <w:rsid w:val="2960448E"/>
    <w:rsid w:val="296F6984"/>
    <w:rsid w:val="29774754"/>
    <w:rsid w:val="29AA6C76"/>
    <w:rsid w:val="29D37E4E"/>
    <w:rsid w:val="2A0052C8"/>
    <w:rsid w:val="2A394FE2"/>
    <w:rsid w:val="2A542D44"/>
    <w:rsid w:val="2AA26F50"/>
    <w:rsid w:val="2AA35B7B"/>
    <w:rsid w:val="2AE05323"/>
    <w:rsid w:val="2AE67654"/>
    <w:rsid w:val="2B250910"/>
    <w:rsid w:val="2B3372A5"/>
    <w:rsid w:val="2B647A67"/>
    <w:rsid w:val="2B68450C"/>
    <w:rsid w:val="2B8400B1"/>
    <w:rsid w:val="2B882C9F"/>
    <w:rsid w:val="2BF37198"/>
    <w:rsid w:val="2BFA50A5"/>
    <w:rsid w:val="2C674EBC"/>
    <w:rsid w:val="2C6852D3"/>
    <w:rsid w:val="2C6F7081"/>
    <w:rsid w:val="2C85114E"/>
    <w:rsid w:val="2CD8246D"/>
    <w:rsid w:val="2CE07667"/>
    <w:rsid w:val="2D063C61"/>
    <w:rsid w:val="2D352ECB"/>
    <w:rsid w:val="2D5C7DE9"/>
    <w:rsid w:val="2DAC624C"/>
    <w:rsid w:val="2DCF552C"/>
    <w:rsid w:val="2DE65194"/>
    <w:rsid w:val="2DF77C7F"/>
    <w:rsid w:val="2E211744"/>
    <w:rsid w:val="2E276D5F"/>
    <w:rsid w:val="2E6E6679"/>
    <w:rsid w:val="2E8458D2"/>
    <w:rsid w:val="2E946E95"/>
    <w:rsid w:val="2E9A7F73"/>
    <w:rsid w:val="2ED31905"/>
    <w:rsid w:val="2EE62AA8"/>
    <w:rsid w:val="2EF461A5"/>
    <w:rsid w:val="2EFA769F"/>
    <w:rsid w:val="2F0919AD"/>
    <w:rsid w:val="2F614500"/>
    <w:rsid w:val="2F8D7DCC"/>
    <w:rsid w:val="2FF06E53"/>
    <w:rsid w:val="306716AB"/>
    <w:rsid w:val="307100CB"/>
    <w:rsid w:val="30812C6D"/>
    <w:rsid w:val="30934E7E"/>
    <w:rsid w:val="30BF761B"/>
    <w:rsid w:val="30D2010E"/>
    <w:rsid w:val="30DE16B8"/>
    <w:rsid w:val="30E00AA6"/>
    <w:rsid w:val="30EA3ECC"/>
    <w:rsid w:val="31177E29"/>
    <w:rsid w:val="31254D56"/>
    <w:rsid w:val="313C2C54"/>
    <w:rsid w:val="31437321"/>
    <w:rsid w:val="316A6D91"/>
    <w:rsid w:val="31826B7F"/>
    <w:rsid w:val="31A14232"/>
    <w:rsid w:val="31C06ED7"/>
    <w:rsid w:val="31DA2207"/>
    <w:rsid w:val="31DF25D5"/>
    <w:rsid w:val="31E667E7"/>
    <w:rsid w:val="31FF4FB2"/>
    <w:rsid w:val="32041A79"/>
    <w:rsid w:val="324A6C2C"/>
    <w:rsid w:val="32817AEB"/>
    <w:rsid w:val="3296462F"/>
    <w:rsid w:val="32BE310D"/>
    <w:rsid w:val="32D0253B"/>
    <w:rsid w:val="32F42BAD"/>
    <w:rsid w:val="330D4E3C"/>
    <w:rsid w:val="3351354D"/>
    <w:rsid w:val="335F1220"/>
    <w:rsid w:val="337225DF"/>
    <w:rsid w:val="33B4498E"/>
    <w:rsid w:val="33B95D13"/>
    <w:rsid w:val="33C303A4"/>
    <w:rsid w:val="33F6172D"/>
    <w:rsid w:val="33F82456"/>
    <w:rsid w:val="340E686C"/>
    <w:rsid w:val="34245963"/>
    <w:rsid w:val="3461469B"/>
    <w:rsid w:val="34824422"/>
    <w:rsid w:val="34836CEA"/>
    <w:rsid w:val="34D611C9"/>
    <w:rsid w:val="351A7358"/>
    <w:rsid w:val="352136F5"/>
    <w:rsid w:val="35225081"/>
    <w:rsid w:val="35574B2E"/>
    <w:rsid w:val="3567326F"/>
    <w:rsid w:val="35CF281E"/>
    <w:rsid w:val="35E76CCB"/>
    <w:rsid w:val="35F40801"/>
    <w:rsid w:val="35FB0CE3"/>
    <w:rsid w:val="362F1A95"/>
    <w:rsid w:val="36CC442B"/>
    <w:rsid w:val="36F727B8"/>
    <w:rsid w:val="37703504"/>
    <w:rsid w:val="37710D0F"/>
    <w:rsid w:val="37773554"/>
    <w:rsid w:val="37883465"/>
    <w:rsid w:val="37A10234"/>
    <w:rsid w:val="37A575B6"/>
    <w:rsid w:val="37E95B97"/>
    <w:rsid w:val="37EF477B"/>
    <w:rsid w:val="38006818"/>
    <w:rsid w:val="38282DA6"/>
    <w:rsid w:val="3844742A"/>
    <w:rsid w:val="38850B6B"/>
    <w:rsid w:val="38B16821"/>
    <w:rsid w:val="39026679"/>
    <w:rsid w:val="390E32EB"/>
    <w:rsid w:val="392370C3"/>
    <w:rsid w:val="395D5848"/>
    <w:rsid w:val="396E583E"/>
    <w:rsid w:val="396F65BF"/>
    <w:rsid w:val="39861594"/>
    <w:rsid w:val="398D7776"/>
    <w:rsid w:val="39C3678C"/>
    <w:rsid w:val="39C4405D"/>
    <w:rsid w:val="39DC0AE4"/>
    <w:rsid w:val="3A063FF2"/>
    <w:rsid w:val="3A320E3A"/>
    <w:rsid w:val="3A35440B"/>
    <w:rsid w:val="3A3E62BB"/>
    <w:rsid w:val="3A571BEC"/>
    <w:rsid w:val="3A761D4B"/>
    <w:rsid w:val="3A897467"/>
    <w:rsid w:val="3B1C4E6F"/>
    <w:rsid w:val="3B2C7A62"/>
    <w:rsid w:val="3B310942"/>
    <w:rsid w:val="3B565679"/>
    <w:rsid w:val="3BA96072"/>
    <w:rsid w:val="3BCB38ED"/>
    <w:rsid w:val="3BEA3308"/>
    <w:rsid w:val="3C7166F3"/>
    <w:rsid w:val="3C7A187A"/>
    <w:rsid w:val="3C8238B7"/>
    <w:rsid w:val="3C88033B"/>
    <w:rsid w:val="3C8D07F9"/>
    <w:rsid w:val="3CA70E3C"/>
    <w:rsid w:val="3CB77679"/>
    <w:rsid w:val="3D327488"/>
    <w:rsid w:val="3D5A1BE8"/>
    <w:rsid w:val="3DB6282F"/>
    <w:rsid w:val="3DB64AA5"/>
    <w:rsid w:val="3DBD4341"/>
    <w:rsid w:val="3DE6279C"/>
    <w:rsid w:val="3DED376E"/>
    <w:rsid w:val="3E1449B2"/>
    <w:rsid w:val="3E797839"/>
    <w:rsid w:val="3E9639C8"/>
    <w:rsid w:val="3E966157"/>
    <w:rsid w:val="3EAC00B0"/>
    <w:rsid w:val="3ED251B5"/>
    <w:rsid w:val="3F552156"/>
    <w:rsid w:val="3F8910EC"/>
    <w:rsid w:val="3FE971D3"/>
    <w:rsid w:val="3FFA9E69"/>
    <w:rsid w:val="401811C1"/>
    <w:rsid w:val="402626AF"/>
    <w:rsid w:val="4045476A"/>
    <w:rsid w:val="4057043E"/>
    <w:rsid w:val="408B638B"/>
    <w:rsid w:val="41354D7F"/>
    <w:rsid w:val="413C3619"/>
    <w:rsid w:val="423D6634"/>
    <w:rsid w:val="424B0C81"/>
    <w:rsid w:val="424C6744"/>
    <w:rsid w:val="428A63C3"/>
    <w:rsid w:val="42A258B1"/>
    <w:rsid w:val="42AF1F13"/>
    <w:rsid w:val="42B8634B"/>
    <w:rsid w:val="42DA7E78"/>
    <w:rsid w:val="42DD5788"/>
    <w:rsid w:val="43184BD9"/>
    <w:rsid w:val="432A7719"/>
    <w:rsid w:val="433D7FFE"/>
    <w:rsid w:val="434B2004"/>
    <w:rsid w:val="43876568"/>
    <w:rsid w:val="43971AA4"/>
    <w:rsid w:val="43A34392"/>
    <w:rsid w:val="43E21A55"/>
    <w:rsid w:val="43E240CB"/>
    <w:rsid w:val="440C253B"/>
    <w:rsid w:val="44152F8F"/>
    <w:rsid w:val="441B3193"/>
    <w:rsid w:val="441D6F91"/>
    <w:rsid w:val="4423050B"/>
    <w:rsid w:val="442B35CD"/>
    <w:rsid w:val="443F561B"/>
    <w:rsid w:val="449C1FA2"/>
    <w:rsid w:val="44CE5AB6"/>
    <w:rsid w:val="44E27A5D"/>
    <w:rsid w:val="4556519B"/>
    <w:rsid w:val="455F4FDB"/>
    <w:rsid w:val="456D4260"/>
    <w:rsid w:val="457A1714"/>
    <w:rsid w:val="45BD7823"/>
    <w:rsid w:val="45C35555"/>
    <w:rsid w:val="461F2F3E"/>
    <w:rsid w:val="462B3764"/>
    <w:rsid w:val="4688003D"/>
    <w:rsid w:val="46966917"/>
    <w:rsid w:val="46B02511"/>
    <w:rsid w:val="46C00D64"/>
    <w:rsid w:val="473C250F"/>
    <w:rsid w:val="476F2B77"/>
    <w:rsid w:val="47A4593C"/>
    <w:rsid w:val="47B56EBA"/>
    <w:rsid w:val="47F97AF4"/>
    <w:rsid w:val="481F5893"/>
    <w:rsid w:val="4820549C"/>
    <w:rsid w:val="482C0D36"/>
    <w:rsid w:val="48932430"/>
    <w:rsid w:val="48EB561B"/>
    <w:rsid w:val="491538F8"/>
    <w:rsid w:val="491D28A8"/>
    <w:rsid w:val="492D64BC"/>
    <w:rsid w:val="493D5D0F"/>
    <w:rsid w:val="496E7412"/>
    <w:rsid w:val="499D4522"/>
    <w:rsid w:val="499D7108"/>
    <w:rsid w:val="49C846E3"/>
    <w:rsid w:val="49CD3504"/>
    <w:rsid w:val="49D17C36"/>
    <w:rsid w:val="4A2C0680"/>
    <w:rsid w:val="4A664A32"/>
    <w:rsid w:val="4A7A1ED9"/>
    <w:rsid w:val="4A7B7C10"/>
    <w:rsid w:val="4A8E75BC"/>
    <w:rsid w:val="4AA931D9"/>
    <w:rsid w:val="4ABB7353"/>
    <w:rsid w:val="4AD311CC"/>
    <w:rsid w:val="4AFB631E"/>
    <w:rsid w:val="4B0047FB"/>
    <w:rsid w:val="4B680FFF"/>
    <w:rsid w:val="4B6E04B7"/>
    <w:rsid w:val="4B9F3FC6"/>
    <w:rsid w:val="4BC53A5A"/>
    <w:rsid w:val="4BF30438"/>
    <w:rsid w:val="4C32361B"/>
    <w:rsid w:val="4C4752F4"/>
    <w:rsid w:val="4C4E3ECE"/>
    <w:rsid w:val="4C7560D3"/>
    <w:rsid w:val="4C9D69CD"/>
    <w:rsid w:val="4CC516D8"/>
    <w:rsid w:val="4CD97CC6"/>
    <w:rsid w:val="4D070F25"/>
    <w:rsid w:val="4D0C0B21"/>
    <w:rsid w:val="4D0D32E5"/>
    <w:rsid w:val="4D492DB0"/>
    <w:rsid w:val="4D5F5954"/>
    <w:rsid w:val="4D7D4B22"/>
    <w:rsid w:val="4D8D061F"/>
    <w:rsid w:val="4D9D7701"/>
    <w:rsid w:val="4DCF6016"/>
    <w:rsid w:val="4E135A64"/>
    <w:rsid w:val="4E2F6ABB"/>
    <w:rsid w:val="4E361A50"/>
    <w:rsid w:val="4E3664AA"/>
    <w:rsid w:val="4E475D1E"/>
    <w:rsid w:val="4E4E4A80"/>
    <w:rsid w:val="4E502DF2"/>
    <w:rsid w:val="4E647063"/>
    <w:rsid w:val="4E8B6E64"/>
    <w:rsid w:val="4E9C006E"/>
    <w:rsid w:val="4ED722ED"/>
    <w:rsid w:val="4EFF25A7"/>
    <w:rsid w:val="4F012ADE"/>
    <w:rsid w:val="4F13058F"/>
    <w:rsid w:val="4F224FAF"/>
    <w:rsid w:val="4F413FBE"/>
    <w:rsid w:val="4F4B590B"/>
    <w:rsid w:val="4F7B211E"/>
    <w:rsid w:val="4FD03CA8"/>
    <w:rsid w:val="4FED04CB"/>
    <w:rsid w:val="4FF20544"/>
    <w:rsid w:val="5023039B"/>
    <w:rsid w:val="507E3E5D"/>
    <w:rsid w:val="508F111C"/>
    <w:rsid w:val="50AF5736"/>
    <w:rsid w:val="50CA6061"/>
    <w:rsid w:val="51565015"/>
    <w:rsid w:val="516C6A77"/>
    <w:rsid w:val="517C79C4"/>
    <w:rsid w:val="51B766BA"/>
    <w:rsid w:val="51BF5623"/>
    <w:rsid w:val="51D4154C"/>
    <w:rsid w:val="51ED52E4"/>
    <w:rsid w:val="51F21016"/>
    <w:rsid w:val="51FD109A"/>
    <w:rsid w:val="524675DB"/>
    <w:rsid w:val="524A3B1B"/>
    <w:rsid w:val="52626E5E"/>
    <w:rsid w:val="527275BE"/>
    <w:rsid w:val="52C205C2"/>
    <w:rsid w:val="52EE27A4"/>
    <w:rsid w:val="531933ED"/>
    <w:rsid w:val="53257494"/>
    <w:rsid w:val="53465F0A"/>
    <w:rsid w:val="539D3CC5"/>
    <w:rsid w:val="53A964BE"/>
    <w:rsid w:val="53CE4C9B"/>
    <w:rsid w:val="540646DC"/>
    <w:rsid w:val="54322272"/>
    <w:rsid w:val="54364FA9"/>
    <w:rsid w:val="544D3CE4"/>
    <w:rsid w:val="546442E5"/>
    <w:rsid w:val="5476788C"/>
    <w:rsid w:val="54F3103D"/>
    <w:rsid w:val="55176CAF"/>
    <w:rsid w:val="5550235F"/>
    <w:rsid w:val="562E77A3"/>
    <w:rsid w:val="564420B9"/>
    <w:rsid w:val="56690C71"/>
    <w:rsid w:val="567335E3"/>
    <w:rsid w:val="56DD0173"/>
    <w:rsid w:val="570F5E01"/>
    <w:rsid w:val="573659F1"/>
    <w:rsid w:val="57387672"/>
    <w:rsid w:val="5770701C"/>
    <w:rsid w:val="57796BBE"/>
    <w:rsid w:val="577FF2A4"/>
    <w:rsid w:val="578A33A1"/>
    <w:rsid w:val="57A403DD"/>
    <w:rsid w:val="57F6320A"/>
    <w:rsid w:val="583163CD"/>
    <w:rsid w:val="58384A13"/>
    <w:rsid w:val="58406E62"/>
    <w:rsid w:val="584F028A"/>
    <w:rsid w:val="58541491"/>
    <w:rsid w:val="58597148"/>
    <w:rsid w:val="586C7B79"/>
    <w:rsid w:val="58D972B4"/>
    <w:rsid w:val="59434CFD"/>
    <w:rsid w:val="595867B6"/>
    <w:rsid w:val="59E4580B"/>
    <w:rsid w:val="5A067541"/>
    <w:rsid w:val="5A22511B"/>
    <w:rsid w:val="5A2F5949"/>
    <w:rsid w:val="5A31727E"/>
    <w:rsid w:val="5A554039"/>
    <w:rsid w:val="5A6C471B"/>
    <w:rsid w:val="5A820C6F"/>
    <w:rsid w:val="5A832999"/>
    <w:rsid w:val="5AA766E5"/>
    <w:rsid w:val="5AAB6883"/>
    <w:rsid w:val="5ABA0374"/>
    <w:rsid w:val="5AE62BF6"/>
    <w:rsid w:val="5B4A455A"/>
    <w:rsid w:val="5B551098"/>
    <w:rsid w:val="5B7A030B"/>
    <w:rsid w:val="5B807500"/>
    <w:rsid w:val="5B9502B1"/>
    <w:rsid w:val="5BCB4B27"/>
    <w:rsid w:val="5C045A30"/>
    <w:rsid w:val="5C0973B6"/>
    <w:rsid w:val="5C104551"/>
    <w:rsid w:val="5C652754"/>
    <w:rsid w:val="5C6927DC"/>
    <w:rsid w:val="5C6F2885"/>
    <w:rsid w:val="5C727442"/>
    <w:rsid w:val="5C7F7951"/>
    <w:rsid w:val="5D066592"/>
    <w:rsid w:val="5D3073B8"/>
    <w:rsid w:val="5D69054D"/>
    <w:rsid w:val="5DC63F7A"/>
    <w:rsid w:val="5DD3622B"/>
    <w:rsid w:val="5DFC178E"/>
    <w:rsid w:val="5E1A5E15"/>
    <w:rsid w:val="5E380B0C"/>
    <w:rsid w:val="5E432B6C"/>
    <w:rsid w:val="5E505EE2"/>
    <w:rsid w:val="5E554C0A"/>
    <w:rsid w:val="5E723571"/>
    <w:rsid w:val="5E893084"/>
    <w:rsid w:val="5E9556F6"/>
    <w:rsid w:val="5EAE72A9"/>
    <w:rsid w:val="5EB936B7"/>
    <w:rsid w:val="5EC230BD"/>
    <w:rsid w:val="5EDB47E4"/>
    <w:rsid w:val="5F3457A3"/>
    <w:rsid w:val="5F4768E8"/>
    <w:rsid w:val="5F8557E7"/>
    <w:rsid w:val="5F977B15"/>
    <w:rsid w:val="5FE45C13"/>
    <w:rsid w:val="600F46DE"/>
    <w:rsid w:val="6019553D"/>
    <w:rsid w:val="60594A6B"/>
    <w:rsid w:val="607E3903"/>
    <w:rsid w:val="6089116E"/>
    <w:rsid w:val="60AB3386"/>
    <w:rsid w:val="60B86ED8"/>
    <w:rsid w:val="60C576D7"/>
    <w:rsid w:val="60DF2488"/>
    <w:rsid w:val="60F51BD7"/>
    <w:rsid w:val="611423C0"/>
    <w:rsid w:val="61203EC9"/>
    <w:rsid w:val="613D20CD"/>
    <w:rsid w:val="61943592"/>
    <w:rsid w:val="61990AF7"/>
    <w:rsid w:val="61A1597D"/>
    <w:rsid w:val="61EA5E86"/>
    <w:rsid w:val="62113641"/>
    <w:rsid w:val="6216230D"/>
    <w:rsid w:val="62317C08"/>
    <w:rsid w:val="623207AB"/>
    <w:rsid w:val="623E615E"/>
    <w:rsid w:val="624A4A2F"/>
    <w:rsid w:val="62666BD9"/>
    <w:rsid w:val="627C7BB8"/>
    <w:rsid w:val="62CF3CB0"/>
    <w:rsid w:val="62D17DA2"/>
    <w:rsid w:val="62E268B5"/>
    <w:rsid w:val="63095E5C"/>
    <w:rsid w:val="632D0DA0"/>
    <w:rsid w:val="6330694C"/>
    <w:rsid w:val="63681671"/>
    <w:rsid w:val="6369048C"/>
    <w:rsid w:val="637B14FC"/>
    <w:rsid w:val="63886BC8"/>
    <w:rsid w:val="63EB20AE"/>
    <w:rsid w:val="64086CE2"/>
    <w:rsid w:val="64121097"/>
    <w:rsid w:val="64384291"/>
    <w:rsid w:val="645852FA"/>
    <w:rsid w:val="646530AE"/>
    <w:rsid w:val="64763187"/>
    <w:rsid w:val="649E7152"/>
    <w:rsid w:val="64CE7D9A"/>
    <w:rsid w:val="64EC4080"/>
    <w:rsid w:val="64FD6892"/>
    <w:rsid w:val="650B0090"/>
    <w:rsid w:val="655B6673"/>
    <w:rsid w:val="65625000"/>
    <w:rsid w:val="656F65EB"/>
    <w:rsid w:val="657D1BD3"/>
    <w:rsid w:val="65CD2002"/>
    <w:rsid w:val="65D32C84"/>
    <w:rsid w:val="65E51E0B"/>
    <w:rsid w:val="65FC3DE0"/>
    <w:rsid w:val="663B17EB"/>
    <w:rsid w:val="664D0C27"/>
    <w:rsid w:val="66602E83"/>
    <w:rsid w:val="668F158B"/>
    <w:rsid w:val="66B12AC9"/>
    <w:rsid w:val="66B41EF9"/>
    <w:rsid w:val="66F51803"/>
    <w:rsid w:val="671C6730"/>
    <w:rsid w:val="67255DB2"/>
    <w:rsid w:val="673C744E"/>
    <w:rsid w:val="675E7AF6"/>
    <w:rsid w:val="67680C60"/>
    <w:rsid w:val="6769216E"/>
    <w:rsid w:val="67C54FD1"/>
    <w:rsid w:val="67E247F0"/>
    <w:rsid w:val="67FB49F7"/>
    <w:rsid w:val="68263701"/>
    <w:rsid w:val="6844518B"/>
    <w:rsid w:val="686D2E61"/>
    <w:rsid w:val="68A123AF"/>
    <w:rsid w:val="68B03892"/>
    <w:rsid w:val="68BA6761"/>
    <w:rsid w:val="68CA3C97"/>
    <w:rsid w:val="69320B13"/>
    <w:rsid w:val="693C4EF9"/>
    <w:rsid w:val="69C46FE9"/>
    <w:rsid w:val="69C8052B"/>
    <w:rsid w:val="69D13A4F"/>
    <w:rsid w:val="69D95C8D"/>
    <w:rsid w:val="6A4C0410"/>
    <w:rsid w:val="6A554818"/>
    <w:rsid w:val="6ACF26CD"/>
    <w:rsid w:val="6AD20A68"/>
    <w:rsid w:val="6AEF6B60"/>
    <w:rsid w:val="6B6A5D57"/>
    <w:rsid w:val="6B6C060D"/>
    <w:rsid w:val="6BA6027E"/>
    <w:rsid w:val="6BD02EF1"/>
    <w:rsid w:val="6BE129A7"/>
    <w:rsid w:val="6BE8409F"/>
    <w:rsid w:val="6BFD1EB4"/>
    <w:rsid w:val="6C9D4CAD"/>
    <w:rsid w:val="6CA10DB1"/>
    <w:rsid w:val="6CA85353"/>
    <w:rsid w:val="6D157FE7"/>
    <w:rsid w:val="6D79CB79"/>
    <w:rsid w:val="6D7D6AA5"/>
    <w:rsid w:val="6DF356B2"/>
    <w:rsid w:val="6E032FBD"/>
    <w:rsid w:val="6E061F7C"/>
    <w:rsid w:val="6E7B2EB6"/>
    <w:rsid w:val="6E810041"/>
    <w:rsid w:val="6EAA13EF"/>
    <w:rsid w:val="6ED22269"/>
    <w:rsid w:val="6EF5243E"/>
    <w:rsid w:val="6F3D7AAF"/>
    <w:rsid w:val="6F6F1FB3"/>
    <w:rsid w:val="6FB86214"/>
    <w:rsid w:val="6FC27356"/>
    <w:rsid w:val="6FD5216E"/>
    <w:rsid w:val="70AE2889"/>
    <w:rsid w:val="70B46D55"/>
    <w:rsid w:val="7126239D"/>
    <w:rsid w:val="712D01B5"/>
    <w:rsid w:val="715351DB"/>
    <w:rsid w:val="715A192C"/>
    <w:rsid w:val="71644D2A"/>
    <w:rsid w:val="71D90E38"/>
    <w:rsid w:val="71D9169E"/>
    <w:rsid w:val="71E246A5"/>
    <w:rsid w:val="71E555DF"/>
    <w:rsid w:val="71F37C16"/>
    <w:rsid w:val="72167A84"/>
    <w:rsid w:val="72456C5E"/>
    <w:rsid w:val="72706695"/>
    <w:rsid w:val="72795CA6"/>
    <w:rsid w:val="728977FD"/>
    <w:rsid w:val="728E126E"/>
    <w:rsid w:val="729F7CE6"/>
    <w:rsid w:val="72AF36BC"/>
    <w:rsid w:val="72D34A6F"/>
    <w:rsid w:val="72F02773"/>
    <w:rsid w:val="72F84EA1"/>
    <w:rsid w:val="731630C1"/>
    <w:rsid w:val="735F2FFB"/>
    <w:rsid w:val="7362463F"/>
    <w:rsid w:val="7369332F"/>
    <w:rsid w:val="736B51FA"/>
    <w:rsid w:val="73915030"/>
    <w:rsid w:val="73917102"/>
    <w:rsid w:val="740C00D5"/>
    <w:rsid w:val="74904C36"/>
    <w:rsid w:val="74A414F3"/>
    <w:rsid w:val="74B87881"/>
    <w:rsid w:val="74BC1B4A"/>
    <w:rsid w:val="74BF23FC"/>
    <w:rsid w:val="74E324D1"/>
    <w:rsid w:val="74F81F24"/>
    <w:rsid w:val="75225CC5"/>
    <w:rsid w:val="75244EBA"/>
    <w:rsid w:val="753BE7C7"/>
    <w:rsid w:val="753C66CD"/>
    <w:rsid w:val="75491AFA"/>
    <w:rsid w:val="756325C2"/>
    <w:rsid w:val="756979CC"/>
    <w:rsid w:val="756E0501"/>
    <w:rsid w:val="7582525C"/>
    <w:rsid w:val="75D6450A"/>
    <w:rsid w:val="75E414B0"/>
    <w:rsid w:val="76001516"/>
    <w:rsid w:val="76365CDB"/>
    <w:rsid w:val="763824BE"/>
    <w:rsid w:val="766E74B0"/>
    <w:rsid w:val="76737BDD"/>
    <w:rsid w:val="76873FFD"/>
    <w:rsid w:val="76D364CA"/>
    <w:rsid w:val="7707201A"/>
    <w:rsid w:val="770F68B3"/>
    <w:rsid w:val="771320A5"/>
    <w:rsid w:val="771A7706"/>
    <w:rsid w:val="7745538C"/>
    <w:rsid w:val="77D93A02"/>
    <w:rsid w:val="77E67075"/>
    <w:rsid w:val="780C465F"/>
    <w:rsid w:val="781D0439"/>
    <w:rsid w:val="782C4A26"/>
    <w:rsid w:val="78AC6711"/>
    <w:rsid w:val="79335201"/>
    <w:rsid w:val="794377E2"/>
    <w:rsid w:val="794E46CD"/>
    <w:rsid w:val="795E4332"/>
    <w:rsid w:val="79A25FB2"/>
    <w:rsid w:val="79A31575"/>
    <w:rsid w:val="79CB266E"/>
    <w:rsid w:val="79CF23FC"/>
    <w:rsid w:val="79D910A5"/>
    <w:rsid w:val="79E06D0E"/>
    <w:rsid w:val="7A2B2F8A"/>
    <w:rsid w:val="7A5D71C4"/>
    <w:rsid w:val="7A715A53"/>
    <w:rsid w:val="7A7C774D"/>
    <w:rsid w:val="7AA72164"/>
    <w:rsid w:val="7AB76DC5"/>
    <w:rsid w:val="7AC81BC6"/>
    <w:rsid w:val="7AD66E34"/>
    <w:rsid w:val="7AF0254E"/>
    <w:rsid w:val="7AFFEA93"/>
    <w:rsid w:val="7B0F1793"/>
    <w:rsid w:val="7B130FB6"/>
    <w:rsid w:val="7B1B3BB1"/>
    <w:rsid w:val="7B20096B"/>
    <w:rsid w:val="7B3F4CA5"/>
    <w:rsid w:val="7B40443C"/>
    <w:rsid w:val="7B5D7213"/>
    <w:rsid w:val="7B64232A"/>
    <w:rsid w:val="7B6508F8"/>
    <w:rsid w:val="7B9002F1"/>
    <w:rsid w:val="7BA85A91"/>
    <w:rsid w:val="7BF97914"/>
    <w:rsid w:val="7C0B1334"/>
    <w:rsid w:val="7C1C3C48"/>
    <w:rsid w:val="7C583441"/>
    <w:rsid w:val="7C5F3FBF"/>
    <w:rsid w:val="7CBA4F2F"/>
    <w:rsid w:val="7CDA34C6"/>
    <w:rsid w:val="7CEC38DE"/>
    <w:rsid w:val="7D277E3D"/>
    <w:rsid w:val="7D2C742A"/>
    <w:rsid w:val="7D6E450B"/>
    <w:rsid w:val="7D8F03E0"/>
    <w:rsid w:val="7D967F7B"/>
    <w:rsid w:val="7DB84297"/>
    <w:rsid w:val="7DB86CAD"/>
    <w:rsid w:val="7DBD640B"/>
    <w:rsid w:val="7DD05681"/>
    <w:rsid w:val="7DD06DAB"/>
    <w:rsid w:val="7DDE4B51"/>
    <w:rsid w:val="7DE12AD5"/>
    <w:rsid w:val="7E08259C"/>
    <w:rsid w:val="7E1257BA"/>
    <w:rsid w:val="7E1859D8"/>
    <w:rsid w:val="7E7C585A"/>
    <w:rsid w:val="7EB103D2"/>
    <w:rsid w:val="7EC01A7B"/>
    <w:rsid w:val="7EE5506B"/>
    <w:rsid w:val="7F0120FD"/>
    <w:rsid w:val="7F313E4E"/>
    <w:rsid w:val="7F4057F3"/>
    <w:rsid w:val="7F521945"/>
    <w:rsid w:val="7F590141"/>
    <w:rsid w:val="7F5B1FB6"/>
    <w:rsid w:val="7F5FF782"/>
    <w:rsid w:val="7F613AD3"/>
    <w:rsid w:val="7F624B38"/>
    <w:rsid w:val="7F647F72"/>
    <w:rsid w:val="7FA07C38"/>
    <w:rsid w:val="7FA5456F"/>
    <w:rsid w:val="7FA61561"/>
    <w:rsid w:val="7FFA0DB6"/>
    <w:rsid w:val="7FFE4899"/>
    <w:rsid w:val="B67B44B0"/>
    <w:rsid w:val="BBFD470D"/>
    <w:rsid w:val="BD5F08EC"/>
    <w:rsid w:val="BDAF6051"/>
    <w:rsid w:val="BEFF71CC"/>
    <w:rsid w:val="C6F7D434"/>
    <w:rsid w:val="DF77D362"/>
    <w:rsid w:val="EADECE3A"/>
    <w:rsid w:val="ED7B05F2"/>
    <w:rsid w:val="EDDFED59"/>
    <w:rsid w:val="EF857295"/>
    <w:rsid w:val="F62F394A"/>
    <w:rsid w:val="F79FEFAC"/>
    <w:rsid w:val="FE75DB3A"/>
    <w:rsid w:val="FF7B5E6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5">
    <w:name w:val="heading 1"/>
    <w:basedOn w:val="1"/>
    <w:next w:val="1"/>
    <w:qFormat/>
    <w:uiPriority w:val="0"/>
    <w:pPr>
      <w:ind w:firstLine="640" w:firstLineChars="200"/>
      <w:outlineLvl w:val="0"/>
    </w:pPr>
    <w:rPr>
      <w:rFonts w:ascii="黑体" w:hAnsi="黑体" w:eastAsia="黑体" w:cs="黑体"/>
      <w:sz w:val="32"/>
      <w:szCs w:val="32"/>
    </w:rPr>
  </w:style>
  <w:style w:type="paragraph" w:styleId="6">
    <w:name w:val="heading 2"/>
    <w:basedOn w:val="1"/>
    <w:next w:val="1"/>
    <w:link w:val="25"/>
    <w:unhideWhenUsed/>
    <w:qFormat/>
    <w:uiPriority w:val="0"/>
    <w:pPr>
      <w:keepNext/>
      <w:keepLines/>
      <w:spacing w:before="260" w:after="260" w:line="416" w:lineRule="auto"/>
      <w:outlineLvl w:val="1"/>
    </w:pPr>
    <w:rPr>
      <w:rFonts w:ascii="Calibri Light" w:hAnsi="Calibri Light"/>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customStyle="1" w:styleId="2">
    <w:name w:val="Body Text First Indent1"/>
    <w:basedOn w:val="3"/>
    <w:qFormat/>
    <w:uiPriority w:val="0"/>
    <w:pPr>
      <w:ind w:firstLine="420" w:firstLineChars="100"/>
    </w:pPr>
    <w:rPr>
      <w:rFonts w:eastAsia="宋体"/>
      <w:szCs w:val="24"/>
    </w:rPr>
  </w:style>
  <w:style w:type="paragraph" w:styleId="3">
    <w:name w:val="Body Text"/>
    <w:basedOn w:val="1"/>
    <w:next w:val="4"/>
    <w:qFormat/>
    <w:uiPriority w:val="0"/>
    <w:pPr>
      <w:spacing w:line="560" w:lineRule="exact"/>
      <w:jc w:val="left"/>
    </w:pPr>
    <w:rPr>
      <w:rFonts w:eastAsia="楷体_GB2312"/>
      <w:sz w:val="32"/>
    </w:rPr>
  </w:style>
  <w:style w:type="paragraph" w:styleId="4">
    <w:name w:val="Body Text First Indent"/>
    <w:basedOn w:val="3"/>
    <w:qFormat/>
    <w:uiPriority w:val="0"/>
    <w:pPr>
      <w:spacing w:line="500" w:lineRule="exact"/>
      <w:ind w:firstLine="420"/>
    </w:pPr>
    <w:rPr>
      <w:rFonts w:eastAsia="宋体"/>
      <w:sz w:val="28"/>
      <w:szCs w:val="20"/>
    </w:rPr>
  </w:style>
  <w:style w:type="paragraph" w:styleId="7">
    <w:name w:val="Normal Indent"/>
    <w:basedOn w:val="1"/>
    <w:qFormat/>
    <w:uiPriority w:val="0"/>
    <w:pPr>
      <w:ind w:firstLine="420" w:firstLineChars="200"/>
    </w:pPr>
  </w:style>
  <w:style w:type="paragraph" w:styleId="8">
    <w:name w:val="annotation text"/>
    <w:basedOn w:val="1"/>
    <w:link w:val="26"/>
    <w:qFormat/>
    <w:uiPriority w:val="0"/>
    <w:pPr>
      <w:jc w:val="left"/>
    </w:pPr>
  </w:style>
  <w:style w:type="paragraph" w:styleId="9">
    <w:name w:val="Balloon Text"/>
    <w:basedOn w:val="1"/>
    <w:link w:val="27"/>
    <w:qFormat/>
    <w:uiPriority w:val="0"/>
    <w:rPr>
      <w:sz w:val="18"/>
      <w:szCs w:val="18"/>
    </w:rPr>
  </w:style>
  <w:style w:type="paragraph" w:styleId="10">
    <w:name w:val="footer"/>
    <w:basedOn w:val="1"/>
    <w:link w:val="28"/>
    <w:qFormat/>
    <w:uiPriority w:val="99"/>
    <w:pPr>
      <w:tabs>
        <w:tab w:val="center" w:pos="4153"/>
        <w:tab w:val="right" w:pos="8306"/>
      </w:tabs>
      <w:snapToGrid w:val="0"/>
      <w:jc w:val="left"/>
    </w:pPr>
    <w:rPr>
      <w:rFonts w:ascii="Calibri" w:hAnsi="Calibri"/>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qFormat/>
    <w:uiPriority w:val="39"/>
    <w:rPr>
      <w:rFonts w:eastAsia="方正仿宋_GB2312"/>
      <w:sz w:val="32"/>
    </w:rPr>
  </w:style>
  <w:style w:type="paragraph" w:styleId="13">
    <w:name w:val="toc 2"/>
    <w:basedOn w:val="1"/>
    <w:next w:val="1"/>
    <w:qFormat/>
    <w:uiPriority w:val="39"/>
    <w:pPr>
      <w:ind w:left="420" w:leftChars="200"/>
    </w:pPr>
    <w:rPr>
      <w:rFonts w:eastAsia="方正仿宋_GB2312"/>
      <w:sz w:val="32"/>
    </w:rPr>
  </w:style>
  <w:style w:type="paragraph" w:styleId="14">
    <w:name w:val="Normal (Web)"/>
    <w:basedOn w:val="1"/>
    <w:qFormat/>
    <w:uiPriority w:val="0"/>
    <w:pPr>
      <w:spacing w:before="100" w:beforeAutospacing="1" w:after="100" w:afterAutospacing="1"/>
      <w:jc w:val="left"/>
    </w:pPr>
    <w:rPr>
      <w:kern w:val="0"/>
      <w:sz w:val="24"/>
    </w:rPr>
  </w:style>
  <w:style w:type="paragraph" w:styleId="15">
    <w:name w:val="Title"/>
    <w:basedOn w:val="1"/>
    <w:next w:val="1"/>
    <w:qFormat/>
    <w:uiPriority w:val="0"/>
    <w:pPr>
      <w:jc w:val="center"/>
      <w:outlineLvl w:val="0"/>
    </w:pPr>
    <w:rPr>
      <w:rFonts w:ascii="Arial" w:hAnsi="Arial"/>
      <w:b/>
      <w:sz w:val="32"/>
    </w:rPr>
  </w:style>
  <w:style w:type="paragraph" w:styleId="16">
    <w:name w:val="annotation subject"/>
    <w:basedOn w:val="8"/>
    <w:next w:val="8"/>
    <w:link w:val="29"/>
    <w:unhideWhenUsed/>
    <w:qFormat/>
    <w:uiPriority w:val="0"/>
    <w:rPr>
      <w:b/>
      <w:bCs/>
    </w:rPr>
  </w:style>
  <w:style w:type="table" w:styleId="18">
    <w:name w:val="Table Grid"/>
    <w:basedOn w:val="1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page number"/>
    <w:basedOn w:val="19"/>
    <w:qFormat/>
    <w:uiPriority w:val="0"/>
  </w:style>
  <w:style w:type="character" w:styleId="21">
    <w:name w:val="FollowedHyperlink"/>
    <w:basedOn w:val="19"/>
    <w:qFormat/>
    <w:uiPriority w:val="0"/>
    <w:rPr>
      <w:color w:val="800080"/>
      <w:u w:val="none"/>
    </w:rPr>
  </w:style>
  <w:style w:type="character" w:styleId="22">
    <w:name w:val="Emphasis"/>
    <w:basedOn w:val="19"/>
    <w:qFormat/>
    <w:uiPriority w:val="0"/>
  </w:style>
  <w:style w:type="character" w:styleId="23">
    <w:name w:val="Hyperlink"/>
    <w:basedOn w:val="19"/>
    <w:qFormat/>
    <w:uiPriority w:val="99"/>
    <w:rPr>
      <w:color w:val="0000FF"/>
      <w:u w:val="none"/>
    </w:rPr>
  </w:style>
  <w:style w:type="character" w:styleId="24">
    <w:name w:val="annotation reference"/>
    <w:basedOn w:val="19"/>
    <w:unhideWhenUsed/>
    <w:qFormat/>
    <w:uiPriority w:val="0"/>
    <w:rPr>
      <w:sz w:val="21"/>
      <w:szCs w:val="21"/>
    </w:rPr>
  </w:style>
  <w:style w:type="character" w:customStyle="1" w:styleId="25">
    <w:name w:val="标题 2 Char"/>
    <w:basedOn w:val="19"/>
    <w:link w:val="6"/>
    <w:qFormat/>
    <w:uiPriority w:val="0"/>
    <w:rPr>
      <w:rFonts w:ascii="Calibri Light" w:hAnsi="Calibri Light" w:eastAsia="宋体" w:cs="Times New Roman"/>
      <w:b/>
      <w:bCs/>
      <w:kern w:val="2"/>
      <w:sz w:val="32"/>
      <w:szCs w:val="32"/>
    </w:rPr>
  </w:style>
  <w:style w:type="character" w:customStyle="1" w:styleId="26">
    <w:name w:val="批注文字 Char"/>
    <w:basedOn w:val="19"/>
    <w:link w:val="8"/>
    <w:qFormat/>
    <w:uiPriority w:val="0"/>
    <w:rPr>
      <w:kern w:val="2"/>
      <w:sz w:val="21"/>
      <w:szCs w:val="22"/>
    </w:rPr>
  </w:style>
  <w:style w:type="character" w:customStyle="1" w:styleId="27">
    <w:name w:val="批注框文本 Char"/>
    <w:basedOn w:val="19"/>
    <w:link w:val="9"/>
    <w:qFormat/>
    <w:uiPriority w:val="0"/>
    <w:rPr>
      <w:kern w:val="2"/>
      <w:sz w:val="18"/>
      <w:szCs w:val="18"/>
    </w:rPr>
  </w:style>
  <w:style w:type="character" w:customStyle="1" w:styleId="28">
    <w:name w:val="页脚 Char"/>
    <w:basedOn w:val="19"/>
    <w:link w:val="10"/>
    <w:qFormat/>
    <w:uiPriority w:val="99"/>
    <w:rPr>
      <w:rFonts w:ascii="Calibri" w:hAnsi="Calibri" w:eastAsia="宋体" w:cs="Times New Roman"/>
      <w:kern w:val="2"/>
      <w:sz w:val="18"/>
      <w:szCs w:val="18"/>
    </w:rPr>
  </w:style>
  <w:style w:type="character" w:customStyle="1" w:styleId="29">
    <w:name w:val="批注主题 Char"/>
    <w:basedOn w:val="26"/>
    <w:link w:val="16"/>
    <w:semiHidden/>
    <w:qFormat/>
    <w:uiPriority w:val="0"/>
    <w:rPr>
      <w:b/>
      <w:bCs/>
      <w:kern w:val="2"/>
      <w:sz w:val="21"/>
      <w:szCs w:val="22"/>
    </w:rPr>
  </w:style>
  <w:style w:type="paragraph" w:customStyle="1" w:styleId="30">
    <w:name w:val="Default"/>
    <w:qFormat/>
    <w:uiPriority w:val="99"/>
    <w:pPr>
      <w:widowControl w:val="0"/>
      <w:autoSpaceDE w:val="0"/>
      <w:autoSpaceDN w:val="0"/>
      <w:adjustRightInd w:val="0"/>
    </w:pPr>
    <w:rPr>
      <w:rFonts w:ascii="黑体" w:hAnsi="黑体" w:eastAsia="黑体" w:cs="黑体"/>
      <w:color w:val="000000"/>
      <w:sz w:val="24"/>
      <w:szCs w:val="24"/>
      <w:lang w:val="en-US" w:eastAsia="zh-CN" w:bidi="ar-SA"/>
    </w:rPr>
  </w:style>
  <w:style w:type="paragraph" w:customStyle="1" w:styleId="31">
    <w:name w:val="二级标题"/>
    <w:basedOn w:val="1"/>
    <w:link w:val="32"/>
    <w:qFormat/>
    <w:uiPriority w:val="0"/>
    <w:pPr>
      <w:outlineLvl w:val="0"/>
    </w:pPr>
    <w:rPr>
      <w:rFonts w:eastAsia="黑体"/>
      <w:szCs w:val="21"/>
    </w:rPr>
  </w:style>
  <w:style w:type="character" w:customStyle="1" w:styleId="32">
    <w:name w:val="二级标题 Char"/>
    <w:link w:val="31"/>
    <w:qFormat/>
    <w:uiPriority w:val="0"/>
    <w:rPr>
      <w:rFonts w:ascii="Times New Roman" w:hAnsi="Times New Roman" w:eastAsia="黑体" w:cs="Times New Roman"/>
      <w:sz w:val="21"/>
      <w:szCs w:val="21"/>
    </w:rPr>
  </w:style>
  <w:style w:type="paragraph" w:customStyle="1" w:styleId="33">
    <w:name w:val="正文首行缩进1"/>
    <w:basedOn w:val="3"/>
    <w:qFormat/>
    <w:uiPriority w:val="0"/>
    <w:pPr>
      <w:ind w:firstLine="200" w:firstLineChars="200"/>
      <w:jc w:val="both"/>
    </w:pPr>
    <w:rPr>
      <w:rFonts w:eastAsia="仿宋_GB2312"/>
    </w:rPr>
  </w:style>
  <w:style w:type="character" w:customStyle="1" w:styleId="34">
    <w:name w:val="fontstyle01"/>
    <w:basedOn w:val="19"/>
    <w:qFormat/>
    <w:uiPriority w:val="0"/>
    <w:rPr>
      <w:rFonts w:hint="eastAsia" w:ascii="仿宋_GB2312" w:eastAsia="仿宋_GB2312"/>
      <w:color w:val="000000"/>
      <w:sz w:val="32"/>
      <w:szCs w:val="32"/>
    </w:rPr>
  </w:style>
  <w:style w:type="paragraph" w:customStyle="1" w:styleId="35">
    <w:name w:val="列出段落1"/>
    <w:basedOn w:val="1"/>
    <w:qFormat/>
    <w:uiPriority w:val="34"/>
    <w:pPr>
      <w:ind w:firstLine="420" w:firstLineChars="200"/>
    </w:pPr>
  </w:style>
  <w:style w:type="paragraph" w:customStyle="1" w:styleId="36">
    <w:name w:val="WPSOffice手动目录 1"/>
    <w:qFormat/>
    <w:uiPriority w:val="0"/>
    <w:rPr>
      <w:rFonts w:ascii="Times New Roman" w:hAnsi="Times New Roman" w:eastAsia="宋体" w:cs="Times New Roman"/>
      <w:lang w:val="en-US" w:eastAsia="zh-CN" w:bidi="ar-SA"/>
    </w:rPr>
  </w:style>
  <w:style w:type="paragraph" w:customStyle="1" w:styleId="37">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8">
    <w:name w:val="列表段落1"/>
    <w:basedOn w:val="1"/>
    <w:qFormat/>
    <w:uiPriority w:val="34"/>
    <w:pPr>
      <w:ind w:firstLine="420" w:firstLineChars="200"/>
    </w:pPr>
  </w:style>
  <w:style w:type="character" w:customStyle="1" w:styleId="39">
    <w:name w:val="font122"/>
    <w:basedOn w:val="19"/>
    <w:qFormat/>
    <w:uiPriority w:val="0"/>
    <w:rPr>
      <w:rFonts w:hint="eastAsia" w:ascii="宋体" w:hAnsi="宋体" w:eastAsia="宋体" w:cs="宋体"/>
      <w:color w:val="000000"/>
      <w:sz w:val="20"/>
      <w:szCs w:val="20"/>
      <w:u w:val="none"/>
    </w:rPr>
  </w:style>
  <w:style w:type="character" w:customStyle="1" w:styleId="40">
    <w:name w:val="font81"/>
    <w:basedOn w:val="19"/>
    <w:qFormat/>
    <w:uiPriority w:val="0"/>
    <w:rPr>
      <w:rFonts w:hint="default" w:ascii="Calibri" w:hAnsi="Calibri" w:cs="Calibri"/>
      <w:color w:val="000000"/>
      <w:sz w:val="20"/>
      <w:szCs w:val="20"/>
      <w:u w:val="none"/>
    </w:rPr>
  </w:style>
  <w:style w:type="character" w:customStyle="1" w:styleId="41">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68</Pages>
  <Words>6322</Words>
  <Characters>36042</Characters>
  <Lines>300</Lines>
  <Paragraphs>84</Paragraphs>
  <TotalTime>35</TotalTime>
  <ScaleCrop>false</ScaleCrop>
  <LinksUpToDate>false</LinksUpToDate>
  <CharactersWithSpaces>42280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2021-04-21T17:31:00Z</dcterms:created>
  <dc:creator>晓飞</dc:creator>
  <cp:lastModifiedBy>BRR</cp:lastModifiedBy>
  <cp:lastPrinted>2021-06-03T17:20:00Z</cp:lastPrinted>
  <dcterms:modified xsi:type="dcterms:W3CDTF">2021-07-01T07:57:30Z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KSOSaveFontToCloudKey">
    <vt:lpwstr>276699784_btnclosed</vt:lpwstr>
  </property>
  <property fmtid="{D5CDD505-2E9C-101B-9397-08002B2CF9AE}" pid="4" name="ICV">
    <vt:lpwstr>4734BF932CA24D7CACF5B08A8E06354E</vt:lpwstr>
  </property>
</Properties>
</file>