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eastAsia="zh-CN"/>
        </w:rPr>
      </w:pPr>
      <w:r>
        <w:rPr>
          <w:rFonts w:hint="eastAsia" w:ascii="方正小标宋简体" w:eastAsia="方正小标宋简体"/>
          <w:sz w:val="44"/>
          <w:szCs w:val="44"/>
        </w:rPr>
        <w:t>《</w:t>
      </w:r>
      <w:r>
        <w:rPr>
          <w:rFonts w:ascii="Times New Roman" w:hAnsi="Times New Roman" w:eastAsia="华文中宋"/>
          <w:b/>
          <w:bCs/>
          <w:sz w:val="44"/>
          <w:szCs w:val="44"/>
        </w:rPr>
        <w:t>温州市突发地质灾害应急预案</w:t>
      </w:r>
      <w:r>
        <w:rPr>
          <w:rFonts w:hint="eastAsia" w:ascii="方正小标宋简体" w:eastAsia="方正小标宋简体"/>
          <w:sz w:val="44"/>
          <w:szCs w:val="44"/>
        </w:rPr>
        <w:t>》</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起草说明</w:t>
      </w:r>
    </w:p>
    <w:p>
      <w:pPr>
        <w:spacing w:line="600" w:lineRule="exact"/>
        <w:jc w:val="center"/>
        <w:rPr>
          <w:rFonts w:ascii="宋体"/>
          <w:sz w:val="32"/>
          <w:szCs w:val="32"/>
        </w:rPr>
      </w:pPr>
    </w:p>
    <w:p>
      <w:pPr>
        <w:pStyle w:val="15"/>
        <w:numPr>
          <w:ilvl w:val="0"/>
          <w:numId w:val="1"/>
        </w:numPr>
        <w:snapToGrid w:val="0"/>
        <w:spacing w:line="560" w:lineRule="exact"/>
        <w:ind w:left="0" w:firstLine="640" w:firstLineChars="200"/>
        <w:rPr>
          <w:rFonts w:ascii="黑体" w:hAnsi="黑体" w:eastAsia="黑体"/>
          <w:sz w:val="32"/>
          <w:szCs w:val="32"/>
        </w:rPr>
      </w:pPr>
      <w:r>
        <w:rPr>
          <w:rFonts w:hint="eastAsia" w:ascii="黑体" w:hAnsi="黑体" w:eastAsia="黑体"/>
          <w:sz w:val="32"/>
          <w:szCs w:val="32"/>
        </w:rPr>
        <w:t>起草背景</w:t>
      </w:r>
    </w:p>
    <w:p>
      <w:pPr>
        <w:pStyle w:val="8"/>
        <w:shd w:val="clear" w:color="auto" w:fill="FFFFFF"/>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_GB2312" w:eastAsia="仿宋_GB2312"/>
          <w:sz w:val="32"/>
          <w:szCs w:val="32"/>
        </w:rPr>
        <w:t>为</w:t>
      </w:r>
      <w:r>
        <w:rPr>
          <w:rFonts w:hint="eastAsia" w:ascii="仿宋_GB2312" w:eastAsia="仿宋_GB2312"/>
          <w:sz w:val="32"/>
          <w:szCs w:val="32"/>
          <w:lang w:eastAsia="zh-CN"/>
        </w:rPr>
        <w:t>切实</w:t>
      </w:r>
      <w:r>
        <w:rPr>
          <w:rFonts w:hint="eastAsia" w:ascii="Times New Roman" w:hAnsi="Times New Roman" w:eastAsia="仿宋_GB2312"/>
          <w:sz w:val="32"/>
          <w:szCs w:val="32"/>
        </w:rPr>
        <w:t>做好</w:t>
      </w:r>
      <w:r>
        <w:rPr>
          <w:rFonts w:ascii="Times New Roman" w:hAnsi="Times New Roman" w:eastAsia="仿宋_GB2312"/>
          <w:sz w:val="32"/>
          <w:szCs w:val="32"/>
        </w:rPr>
        <w:t>我市</w:t>
      </w:r>
      <w:r>
        <w:rPr>
          <w:rFonts w:hint="eastAsia" w:ascii="Times New Roman" w:hAnsi="Times New Roman" w:eastAsia="仿宋_GB2312"/>
          <w:sz w:val="32"/>
          <w:szCs w:val="32"/>
        </w:rPr>
        <w:t>突发地质灾害防范和处置工作，</w:t>
      </w:r>
      <w:r>
        <w:rPr>
          <w:rFonts w:hint="eastAsia" w:ascii="仿宋_GB2312" w:eastAsia="仿宋_GB2312"/>
          <w:sz w:val="32"/>
          <w:szCs w:val="32"/>
        </w:rPr>
        <w:t>指导</w:t>
      </w:r>
      <w:r>
        <w:rPr>
          <w:rFonts w:hint="eastAsia" w:ascii="仿宋_GB2312" w:eastAsia="仿宋_GB2312"/>
          <w:sz w:val="32"/>
          <w:szCs w:val="32"/>
          <w:lang w:eastAsia="zh-CN"/>
        </w:rPr>
        <w:t>地质灾害</w:t>
      </w:r>
      <w:r>
        <w:rPr>
          <w:rFonts w:hint="eastAsia" w:ascii="仿宋_GB2312" w:eastAsia="仿宋_GB2312"/>
          <w:sz w:val="32"/>
          <w:szCs w:val="32"/>
        </w:rPr>
        <w:t>应急抢险，及时、有序、高效、</w:t>
      </w:r>
      <w:r>
        <w:rPr>
          <w:rFonts w:hint="eastAsia" w:ascii="仿宋_GB2312" w:eastAsia="仿宋_GB2312"/>
          <w:sz w:val="32"/>
          <w:szCs w:val="32"/>
          <w:lang w:eastAsia="zh-CN"/>
        </w:rPr>
        <w:t>安全</w:t>
      </w:r>
      <w:r>
        <w:rPr>
          <w:rFonts w:hint="eastAsia" w:ascii="仿宋_GB2312" w:eastAsia="仿宋_GB2312"/>
          <w:sz w:val="32"/>
          <w:szCs w:val="32"/>
        </w:rPr>
        <w:t>处置</w:t>
      </w:r>
      <w:r>
        <w:rPr>
          <w:rFonts w:hint="eastAsia" w:ascii="仿宋_GB2312" w:eastAsia="仿宋_GB2312"/>
          <w:sz w:val="32"/>
          <w:szCs w:val="32"/>
          <w:lang w:eastAsia="zh-CN"/>
        </w:rPr>
        <w:t>地质灾害事件</w:t>
      </w:r>
      <w:r>
        <w:rPr>
          <w:rFonts w:hint="eastAsia" w:ascii="仿宋_GB2312" w:eastAsia="仿宋_GB2312"/>
          <w:sz w:val="32"/>
          <w:szCs w:val="32"/>
        </w:rPr>
        <w:t>、排除隐患，维护人民群众生命财产安全和社会稳定</w:t>
      </w:r>
      <w:r>
        <w:rPr>
          <w:rFonts w:ascii="仿宋_GB2312" w:eastAsia="仿宋_GB2312"/>
          <w:sz w:val="32"/>
          <w:szCs w:val="32"/>
        </w:rPr>
        <w:t>,</w:t>
      </w:r>
      <w:r>
        <w:rPr>
          <w:rFonts w:hint="eastAsia" w:ascii="Times New Roman" w:hAnsi="Times New Roman" w:eastAsia="仿宋_GB2312"/>
          <w:sz w:val="32"/>
          <w:szCs w:val="32"/>
        </w:rPr>
        <w:t>提高突发地质灾害应急能力，最大程度减少人员伤亡和财产损失。</w:t>
      </w:r>
      <w:bookmarkStart w:id="3" w:name="_GoBack"/>
      <w:r>
        <w:rPr>
          <w:rFonts w:hint="eastAsia" w:ascii="仿宋_GB2312" w:eastAsia="仿宋_GB2312"/>
          <w:sz w:val="32"/>
          <w:szCs w:val="32"/>
        </w:rPr>
        <w:t>按照《突发事件应对法》</w:t>
      </w:r>
      <w:r>
        <w:rPr>
          <w:rFonts w:hint="eastAsia" w:ascii="仿宋_GB2312" w:eastAsia="仿宋_GB2312"/>
          <w:sz w:val="32"/>
          <w:szCs w:val="32"/>
          <w:lang w:eastAsia="zh-CN"/>
        </w:rPr>
        <w:t>、</w:t>
      </w:r>
      <w:r>
        <w:rPr>
          <w:rFonts w:hint="eastAsia" w:ascii="仿宋_GB2312" w:eastAsia="仿宋_GB2312"/>
          <w:sz w:val="32"/>
          <w:szCs w:val="32"/>
        </w:rPr>
        <w:t>《安全生产法》</w:t>
      </w:r>
      <w:r>
        <w:rPr>
          <w:rFonts w:hint="eastAsia" w:ascii="仿宋_GB2312" w:eastAsia="仿宋_GB2312"/>
          <w:sz w:val="32"/>
          <w:szCs w:val="32"/>
          <w:lang w:eastAsia="zh-CN"/>
        </w:rPr>
        <w:t>和</w:t>
      </w:r>
      <w:r>
        <w:rPr>
          <w:rFonts w:hint="eastAsia" w:ascii="Times New Roman" w:hAnsi="Times New Roman" w:eastAsia="仿宋_GB2312"/>
          <w:sz w:val="32"/>
          <w:szCs w:val="32"/>
        </w:rPr>
        <w:t>《地质灾害防治条例》</w:t>
      </w:r>
      <w:bookmarkEnd w:id="3"/>
      <w:r>
        <w:rPr>
          <w:rFonts w:hint="eastAsia" w:ascii="仿宋_GB2312" w:eastAsia="仿宋_GB2312"/>
          <w:sz w:val="32"/>
          <w:szCs w:val="32"/>
        </w:rPr>
        <w:t>，我市</w:t>
      </w:r>
      <w:r>
        <w:rPr>
          <w:rFonts w:hint="eastAsia" w:ascii="仿宋_GB2312" w:eastAsia="仿宋_GB2312"/>
          <w:sz w:val="32"/>
          <w:szCs w:val="32"/>
          <w:lang w:eastAsia="zh-CN"/>
        </w:rPr>
        <w:t>拟修订</w:t>
      </w:r>
      <w:r>
        <w:rPr>
          <w:rFonts w:hint="eastAsia" w:ascii="仿宋" w:hAnsi="仿宋" w:eastAsia="仿宋" w:cs="仿宋"/>
          <w:sz w:val="32"/>
          <w:szCs w:val="32"/>
        </w:rPr>
        <w:t>出台《温州市突发地质灾害应急预案》。</w:t>
      </w:r>
    </w:p>
    <w:p>
      <w:pPr>
        <w:pStyle w:val="15"/>
        <w:numPr>
          <w:ilvl w:val="0"/>
          <w:numId w:val="1"/>
        </w:numPr>
        <w:snapToGrid w:val="0"/>
        <w:spacing w:line="560" w:lineRule="exact"/>
        <w:ind w:left="0" w:firstLine="640" w:firstLineChars="200"/>
        <w:rPr>
          <w:rFonts w:ascii="黑体" w:hAnsi="黑体" w:eastAsia="黑体"/>
          <w:sz w:val="32"/>
          <w:szCs w:val="32"/>
        </w:rPr>
      </w:pPr>
      <w:r>
        <w:rPr>
          <w:rFonts w:hint="eastAsia" w:ascii="黑体" w:hAnsi="黑体" w:eastAsia="黑体"/>
          <w:sz w:val="32"/>
          <w:szCs w:val="32"/>
        </w:rPr>
        <w:t>起草依据</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《中华人民共和国突发事件应对法》</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《中华人民共和国安全生产法》</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Times New Roman" w:hAnsi="Times New Roman" w:eastAsia="仿宋_GB2312"/>
          <w:sz w:val="32"/>
          <w:szCs w:val="32"/>
        </w:rPr>
        <w:t>《地质灾害防治条例》</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《生产安全事故报告和调查处理条例》</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《浙江省安全生产条例》</w:t>
      </w:r>
    </w:p>
    <w:p>
      <w:pPr>
        <w:pStyle w:val="8"/>
        <w:shd w:val="clear" w:color="auto" w:fill="FFFFFF"/>
        <w:spacing w:before="0" w:beforeAutospacing="0" w:after="0" w:afterAutospacing="0" w:line="560" w:lineRule="exact"/>
        <w:ind w:firstLine="640" w:firstLineChars="200"/>
        <w:rPr>
          <w:rFonts w:hint="eastAsia" w:ascii="Times New Roman" w:hAnsi="Times New Roman" w:eastAsia="仿宋_GB2312"/>
          <w:sz w:val="32"/>
          <w:szCs w:val="32"/>
        </w:rPr>
      </w:pPr>
      <w:r>
        <w:rPr>
          <w:rFonts w:ascii="仿宋_GB2312" w:hAnsi="仿宋" w:eastAsia="仿宋_GB2312"/>
          <w:sz w:val="32"/>
          <w:szCs w:val="32"/>
        </w:rPr>
        <w:t>6.</w:t>
      </w:r>
      <w:r>
        <w:rPr>
          <w:rFonts w:hint="eastAsia" w:ascii="Times New Roman" w:hAnsi="Times New Roman" w:eastAsia="仿宋_GB2312"/>
          <w:sz w:val="32"/>
          <w:szCs w:val="32"/>
        </w:rPr>
        <w:t>《浙江省地质灾害防治条例》</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Times New Roman" w:hAnsi="Times New Roman" w:eastAsia="仿宋_GB2312"/>
          <w:sz w:val="32"/>
          <w:szCs w:val="32"/>
        </w:rPr>
        <w:t>《国家突发地质灾害应急预案》</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《浙江省突发公共事件总体应急预案》</w:t>
      </w:r>
    </w:p>
    <w:p>
      <w:pPr>
        <w:pStyle w:val="8"/>
        <w:shd w:val="clear" w:color="auto" w:fill="FFFFFF"/>
        <w:spacing w:before="0" w:beforeAutospacing="0" w:after="0" w:afterAutospacing="0" w:line="560" w:lineRule="exact"/>
        <w:ind w:firstLine="640" w:firstLineChars="200"/>
        <w:rPr>
          <w:rFonts w:hint="eastAsia" w:ascii="Times New Roman" w:hAnsi="Times New Roman" w:eastAsia="仿宋_GB2312"/>
          <w:sz w:val="32"/>
          <w:szCs w:val="32"/>
        </w:rPr>
      </w:pPr>
      <w:r>
        <w:rPr>
          <w:rFonts w:ascii="仿宋_GB2312" w:hAnsi="仿宋" w:eastAsia="仿宋_GB2312"/>
          <w:sz w:val="32"/>
          <w:szCs w:val="32"/>
        </w:rPr>
        <w:t>9.</w:t>
      </w:r>
      <w:r>
        <w:rPr>
          <w:rFonts w:hint="eastAsia" w:ascii="Times New Roman" w:hAnsi="Times New Roman" w:eastAsia="仿宋_GB2312"/>
          <w:sz w:val="32"/>
          <w:szCs w:val="32"/>
        </w:rPr>
        <w:t>《浙江省突发事件应急预案管理实施办法》</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10.</w:t>
      </w:r>
      <w:r>
        <w:rPr>
          <w:rFonts w:ascii="Times New Roman" w:hAnsi="Times New Roman" w:eastAsia="仿宋_GB2312"/>
          <w:sz w:val="32"/>
          <w:szCs w:val="32"/>
        </w:rPr>
        <w:t>《浙江省突发地质灾害应急预案》</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ascii="仿宋_GB2312" w:hAnsi="仿宋" w:eastAsia="仿宋_GB2312"/>
          <w:sz w:val="32"/>
          <w:szCs w:val="32"/>
        </w:rPr>
        <w:t>11.</w:t>
      </w:r>
      <w:r>
        <w:rPr>
          <w:rFonts w:hint="eastAsia" w:ascii="仿宋_GB2312" w:hAnsi="仿宋" w:eastAsia="仿宋_GB2312"/>
          <w:sz w:val="32"/>
          <w:szCs w:val="32"/>
        </w:rPr>
        <w:t>《温州市突发公共事件总体应急预案》</w:t>
      </w:r>
    </w:p>
    <w:p>
      <w:pPr>
        <w:pStyle w:val="8"/>
        <w:shd w:val="clear" w:color="auto" w:fill="FFFFFF"/>
        <w:spacing w:before="0" w:beforeAutospacing="0" w:after="0" w:afterAutospacing="0" w:line="560" w:lineRule="exact"/>
        <w:ind w:firstLine="640" w:firstLineChars="200"/>
        <w:rPr>
          <w:rFonts w:ascii="仿宋_GB2312" w:hAnsi="仿宋" w:eastAsia="仿宋_GB2312"/>
          <w:sz w:val="32"/>
          <w:szCs w:val="32"/>
        </w:rPr>
      </w:pPr>
    </w:p>
    <w:p>
      <w:pPr>
        <w:pStyle w:val="8"/>
        <w:shd w:val="clear" w:color="auto" w:fill="FFFFFF"/>
        <w:spacing w:before="0" w:beforeAutospacing="0" w:after="0" w:afterAutospacing="0"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12.</w:t>
      </w:r>
      <w:r>
        <w:rPr>
          <w:rFonts w:hint="eastAsia" w:ascii="仿宋_GB2312" w:hAnsi="仿宋" w:eastAsia="仿宋_GB2312"/>
          <w:sz w:val="32"/>
          <w:szCs w:val="32"/>
        </w:rPr>
        <w:t>《温州市突发事件应急预案管理办法》</w:t>
      </w:r>
    </w:p>
    <w:p>
      <w:pPr>
        <w:pStyle w:val="15"/>
        <w:numPr>
          <w:ilvl w:val="0"/>
          <w:numId w:val="1"/>
        </w:numPr>
        <w:snapToGrid w:val="0"/>
        <w:spacing w:line="560" w:lineRule="exact"/>
        <w:ind w:left="0" w:firstLine="640" w:firstLineChars="200"/>
        <w:rPr>
          <w:rFonts w:ascii="黑体" w:hAnsi="黑体" w:eastAsia="黑体"/>
          <w:sz w:val="32"/>
          <w:szCs w:val="32"/>
        </w:rPr>
      </w:pPr>
      <w:r>
        <w:rPr>
          <w:rFonts w:hint="eastAsia" w:ascii="黑体" w:hAnsi="黑体" w:eastAsia="黑体"/>
          <w:sz w:val="32"/>
          <w:szCs w:val="32"/>
        </w:rPr>
        <w:t>起草过程</w:t>
      </w:r>
    </w:p>
    <w:p>
      <w:pPr>
        <w:pStyle w:val="8"/>
        <w:shd w:val="clear" w:color="auto" w:fill="FFFFFF"/>
        <w:spacing w:before="0" w:beforeAutospacing="0" w:after="0" w:afterAutospacing="0" w:line="560" w:lineRule="exact"/>
        <w:ind w:firstLine="640" w:firstLineChars="200"/>
        <w:rPr>
          <w:rFonts w:ascii="仿宋_GB2312" w:hAnsi="仿宋" w:eastAsia="仿宋_GB2312"/>
          <w:color w:val="000000" w:themeColor="text1"/>
          <w:sz w:val="32"/>
          <w:szCs w:val="32"/>
        </w:rPr>
      </w:pPr>
      <w:r>
        <w:rPr>
          <w:rFonts w:ascii="仿宋_GB2312" w:hAnsi="仿宋" w:eastAsia="仿宋_GB2312"/>
          <w:color w:val="000000" w:themeColor="text1"/>
          <w:sz w:val="32"/>
          <w:szCs w:val="32"/>
        </w:rPr>
        <w:t>2021</w:t>
      </w:r>
      <w:r>
        <w:rPr>
          <w:rFonts w:hint="eastAsia" w:ascii="仿宋_GB2312" w:hAnsi="仿宋" w:eastAsia="仿宋_GB2312"/>
          <w:color w:val="000000" w:themeColor="text1"/>
          <w:sz w:val="32"/>
          <w:szCs w:val="32"/>
        </w:rPr>
        <w:t>年</w:t>
      </w:r>
      <w:r>
        <w:rPr>
          <w:rFonts w:hint="eastAsia" w:ascii="仿宋_GB2312" w:hAnsi="仿宋" w:eastAsia="仿宋_GB2312"/>
          <w:color w:val="000000" w:themeColor="text1"/>
          <w:sz w:val="32"/>
          <w:szCs w:val="32"/>
          <w:lang w:val="en-US" w:eastAsia="zh-CN"/>
        </w:rPr>
        <w:t>6</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eastAsia="zh-CN"/>
        </w:rPr>
        <w:t>市应急管理</w:t>
      </w:r>
      <w:r>
        <w:rPr>
          <w:rFonts w:hint="eastAsia" w:ascii="仿宋_GB2312" w:hAnsi="仿宋" w:eastAsia="仿宋_GB2312"/>
          <w:color w:val="000000" w:themeColor="text1"/>
          <w:sz w:val="32"/>
          <w:szCs w:val="32"/>
        </w:rPr>
        <w:t>局成立预案</w:t>
      </w:r>
      <w:r>
        <w:rPr>
          <w:rFonts w:hint="eastAsia" w:ascii="仿宋_GB2312" w:hAnsi="仿宋" w:eastAsia="仿宋_GB2312"/>
          <w:color w:val="000000" w:themeColor="text1"/>
          <w:sz w:val="32"/>
          <w:szCs w:val="32"/>
          <w:lang w:eastAsia="zh-CN"/>
        </w:rPr>
        <w:t>修订</w:t>
      </w:r>
      <w:r>
        <w:rPr>
          <w:rFonts w:hint="eastAsia" w:ascii="仿宋_GB2312" w:hAnsi="仿宋" w:eastAsia="仿宋_GB2312"/>
          <w:color w:val="000000" w:themeColor="text1"/>
          <w:sz w:val="32"/>
          <w:szCs w:val="32"/>
        </w:rPr>
        <w:t>领导小组和</w:t>
      </w:r>
      <w:r>
        <w:rPr>
          <w:rFonts w:hint="eastAsia" w:ascii="仿宋_GB2312" w:hAnsi="仿宋" w:eastAsia="仿宋_GB2312"/>
          <w:color w:val="000000" w:themeColor="text1"/>
          <w:sz w:val="32"/>
          <w:szCs w:val="32"/>
          <w:lang w:eastAsia="zh-CN"/>
        </w:rPr>
        <w:t>修订</w:t>
      </w:r>
      <w:r>
        <w:rPr>
          <w:rFonts w:hint="eastAsia" w:ascii="仿宋_GB2312" w:hAnsi="仿宋" w:eastAsia="仿宋_GB2312"/>
          <w:color w:val="000000" w:themeColor="text1"/>
          <w:sz w:val="32"/>
          <w:szCs w:val="32"/>
        </w:rPr>
        <w:t>专班，开展预案</w:t>
      </w:r>
      <w:r>
        <w:rPr>
          <w:rFonts w:hint="eastAsia" w:ascii="仿宋_GB2312" w:hAnsi="仿宋" w:eastAsia="仿宋_GB2312"/>
          <w:color w:val="000000" w:themeColor="text1"/>
          <w:sz w:val="32"/>
          <w:szCs w:val="32"/>
          <w:lang w:eastAsia="zh-CN"/>
        </w:rPr>
        <w:t>修订</w:t>
      </w:r>
      <w:r>
        <w:rPr>
          <w:rFonts w:hint="eastAsia" w:ascii="仿宋_GB2312" w:hAnsi="仿宋" w:eastAsia="仿宋_GB2312"/>
          <w:color w:val="000000" w:themeColor="text1"/>
          <w:sz w:val="32"/>
          <w:szCs w:val="32"/>
        </w:rPr>
        <w:t>研究。</w:t>
      </w:r>
      <w:r>
        <w:rPr>
          <w:rFonts w:hint="eastAsia" w:ascii="仿宋_GB2312" w:hAnsi="仿宋" w:eastAsia="仿宋_GB2312"/>
          <w:color w:val="000000" w:themeColor="text1"/>
          <w:sz w:val="32"/>
          <w:szCs w:val="32"/>
          <w:lang w:eastAsia="zh-CN"/>
        </w:rPr>
        <w:t>同时</w:t>
      </w:r>
      <w:r>
        <w:rPr>
          <w:rFonts w:hint="eastAsia" w:ascii="仿宋_GB2312" w:hAnsi="仿宋" w:eastAsia="仿宋_GB2312"/>
          <w:color w:val="000000" w:themeColor="text1"/>
          <w:sz w:val="32"/>
          <w:szCs w:val="32"/>
        </w:rPr>
        <w:t>委托</w:t>
      </w:r>
      <w:r>
        <w:rPr>
          <w:rFonts w:hint="eastAsia" w:ascii="仿宋_GB2312" w:hAnsi="仿宋" w:eastAsia="仿宋_GB2312"/>
          <w:color w:val="000000" w:themeColor="text1"/>
          <w:sz w:val="32"/>
          <w:szCs w:val="32"/>
          <w:lang w:eastAsia="zh-CN"/>
        </w:rPr>
        <w:t>浙江省工程地震研究所</w:t>
      </w:r>
      <w:r>
        <w:rPr>
          <w:rFonts w:hint="eastAsia" w:ascii="仿宋_GB2312" w:hAnsi="仿宋" w:eastAsia="仿宋_GB2312"/>
          <w:color w:val="000000" w:themeColor="text1"/>
          <w:sz w:val="32"/>
          <w:szCs w:val="32"/>
        </w:rPr>
        <w:t>启动预案</w:t>
      </w:r>
      <w:r>
        <w:rPr>
          <w:rFonts w:hint="eastAsia" w:ascii="仿宋_GB2312" w:hAnsi="仿宋" w:eastAsia="仿宋_GB2312"/>
          <w:color w:val="000000" w:themeColor="text1"/>
          <w:sz w:val="32"/>
          <w:szCs w:val="32"/>
          <w:lang w:eastAsia="zh-CN"/>
        </w:rPr>
        <w:t>修订</w:t>
      </w:r>
      <w:r>
        <w:rPr>
          <w:rFonts w:hint="eastAsia" w:ascii="仿宋_GB2312" w:hAnsi="仿宋" w:eastAsia="仿宋_GB2312"/>
          <w:color w:val="000000" w:themeColor="text1"/>
          <w:sz w:val="32"/>
          <w:szCs w:val="32"/>
        </w:rPr>
        <w:t>，于</w:t>
      </w:r>
      <w:r>
        <w:rPr>
          <w:rFonts w:hint="eastAsia" w:ascii="仿宋_GB2312" w:hAnsi="仿宋" w:eastAsia="仿宋_GB2312"/>
          <w:color w:val="000000" w:themeColor="text1"/>
          <w:sz w:val="32"/>
          <w:szCs w:val="32"/>
          <w:lang w:val="en-US" w:eastAsia="zh-CN"/>
        </w:rPr>
        <w:t>11</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eastAsia="zh-CN"/>
        </w:rPr>
        <w:t>初</w:t>
      </w:r>
      <w:r>
        <w:rPr>
          <w:rFonts w:hint="eastAsia" w:ascii="仿宋_GB2312" w:hAnsi="仿宋" w:eastAsia="仿宋_GB2312"/>
          <w:color w:val="000000" w:themeColor="text1"/>
          <w:sz w:val="32"/>
          <w:szCs w:val="32"/>
        </w:rPr>
        <w:t>完成初稿，</w:t>
      </w:r>
      <w:r>
        <w:rPr>
          <w:rFonts w:hint="eastAsia" w:ascii="仿宋_GB2312" w:hAnsi="仿宋" w:eastAsia="仿宋_GB2312"/>
          <w:color w:val="000000" w:themeColor="text1"/>
          <w:sz w:val="32"/>
          <w:szCs w:val="32"/>
          <w:lang w:val="en-US" w:eastAsia="zh-CN"/>
        </w:rPr>
        <w:t>11</w:t>
      </w:r>
      <w:r>
        <w:rPr>
          <w:rFonts w:hint="eastAsia" w:ascii="仿宋_GB2312" w:hAnsi="仿宋" w:eastAsia="仿宋_GB2312"/>
          <w:color w:val="000000" w:themeColor="text1"/>
          <w:sz w:val="32"/>
          <w:szCs w:val="32"/>
        </w:rPr>
        <w:t>月</w:t>
      </w:r>
      <w:r>
        <w:rPr>
          <w:rFonts w:ascii="仿宋_GB2312" w:hAnsi="仿宋" w:eastAsia="仿宋_GB2312"/>
          <w:color w:val="000000" w:themeColor="text1"/>
          <w:sz w:val="32"/>
          <w:szCs w:val="32"/>
        </w:rPr>
        <w:t>15</w:t>
      </w:r>
      <w:r>
        <w:rPr>
          <w:rFonts w:hint="eastAsia" w:ascii="仿宋_GB2312" w:hAnsi="仿宋" w:eastAsia="仿宋_GB2312"/>
          <w:color w:val="000000" w:themeColor="text1"/>
          <w:sz w:val="32"/>
          <w:szCs w:val="32"/>
        </w:rPr>
        <w:t>日征求了市级各职能部门的意见，经充分采纳各单位意见完成初稿修改，于</w:t>
      </w:r>
      <w:r>
        <w:rPr>
          <w:rFonts w:ascii="仿宋_GB2312" w:hAnsi="仿宋" w:eastAsia="仿宋_GB2312"/>
          <w:color w:val="000000" w:themeColor="text1"/>
          <w:sz w:val="32"/>
          <w:szCs w:val="32"/>
        </w:rPr>
        <w:t>11</w:t>
      </w:r>
      <w:r>
        <w:rPr>
          <w:rFonts w:hint="eastAsia" w:ascii="仿宋_GB2312" w:hAnsi="仿宋" w:eastAsia="仿宋_GB2312"/>
          <w:color w:val="000000" w:themeColor="text1"/>
          <w:sz w:val="32"/>
          <w:szCs w:val="32"/>
        </w:rPr>
        <w:t>月</w:t>
      </w:r>
      <w:r>
        <w:rPr>
          <w:rFonts w:hint="eastAsia" w:ascii="仿宋_GB2312" w:hAnsi="仿宋" w:eastAsia="仿宋_GB2312"/>
          <w:color w:val="000000" w:themeColor="text1"/>
          <w:sz w:val="32"/>
          <w:szCs w:val="32"/>
          <w:lang w:eastAsia="zh-CN"/>
        </w:rPr>
        <w:t>下</w:t>
      </w:r>
      <w:r>
        <w:rPr>
          <w:rFonts w:hint="eastAsia" w:ascii="仿宋_GB2312" w:hAnsi="仿宋" w:eastAsia="仿宋_GB2312"/>
          <w:color w:val="000000" w:themeColor="text1"/>
          <w:sz w:val="32"/>
          <w:szCs w:val="32"/>
        </w:rPr>
        <w:t>旬向社会公开征求意见。</w:t>
      </w:r>
    </w:p>
    <w:p>
      <w:pPr>
        <w:pStyle w:val="15"/>
        <w:numPr>
          <w:ilvl w:val="0"/>
          <w:numId w:val="1"/>
        </w:numPr>
        <w:snapToGrid w:val="0"/>
        <w:spacing w:line="560" w:lineRule="exact"/>
        <w:ind w:left="0" w:firstLine="640" w:firstLineChars="200"/>
        <w:rPr>
          <w:rFonts w:ascii="黑体" w:hAnsi="黑体" w:eastAsia="黑体"/>
          <w:sz w:val="32"/>
          <w:szCs w:val="32"/>
        </w:rPr>
      </w:pPr>
      <w:r>
        <w:rPr>
          <w:rFonts w:hint="eastAsia" w:ascii="黑体" w:hAnsi="黑体" w:eastAsia="黑体"/>
          <w:sz w:val="32"/>
          <w:szCs w:val="32"/>
        </w:rPr>
        <w:t>主要内容</w:t>
      </w:r>
    </w:p>
    <w:p>
      <w:pPr>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《温州市突发地质灾害应急预案》共</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个章节，主要内容包括：总则、组织指挥体系和职责、预防预警机制、突发地质灾害分级、应急处置、后期处置、</w:t>
      </w:r>
      <w:r>
        <w:rPr>
          <w:rFonts w:hint="eastAsia" w:ascii="仿宋" w:hAnsi="仿宋" w:eastAsia="仿宋" w:cs="仿宋"/>
          <w:b w:val="0"/>
          <w:bCs w:val="0"/>
          <w:sz w:val="32"/>
          <w:szCs w:val="32"/>
          <w:lang w:eastAsia="zh-CN"/>
        </w:rPr>
        <w:t>应急</w:t>
      </w:r>
      <w:r>
        <w:rPr>
          <w:rFonts w:hint="eastAsia" w:ascii="仿宋" w:hAnsi="仿宋" w:eastAsia="仿宋" w:cs="仿宋"/>
          <w:b w:val="0"/>
          <w:bCs w:val="0"/>
          <w:sz w:val="32"/>
          <w:szCs w:val="32"/>
        </w:rPr>
        <w:t>保障、</w:t>
      </w:r>
      <w:r>
        <w:rPr>
          <w:rFonts w:hint="eastAsia" w:ascii="仿宋" w:hAnsi="仿宋" w:eastAsia="仿宋" w:cs="仿宋"/>
          <w:b w:val="0"/>
          <w:bCs w:val="0"/>
          <w:sz w:val="32"/>
          <w:szCs w:val="32"/>
          <w:lang w:eastAsia="zh-CN"/>
        </w:rPr>
        <w:t>预案</w:t>
      </w:r>
      <w:r>
        <w:rPr>
          <w:rFonts w:hint="eastAsia" w:ascii="仿宋" w:hAnsi="仿宋" w:eastAsia="仿宋" w:cs="仿宋"/>
          <w:b w:val="0"/>
          <w:bCs w:val="0"/>
          <w:sz w:val="32"/>
          <w:szCs w:val="32"/>
        </w:rPr>
        <w:t>管理。</w:t>
      </w:r>
    </w:p>
    <w:p>
      <w:pPr>
        <w:ind w:firstLine="640" w:firstLineChars="200"/>
        <w:rPr>
          <w:rFonts w:ascii="Times New Roman" w:hAnsi="Times New Roman" w:eastAsia="仿宋_GB2312"/>
          <w:sz w:val="32"/>
          <w:szCs w:val="32"/>
        </w:rPr>
      </w:pPr>
      <w:r>
        <w:rPr>
          <w:rFonts w:ascii="仿宋_GB2312" w:eastAsia="仿宋_GB2312"/>
          <w:sz w:val="32"/>
          <w:szCs w:val="32"/>
        </w:rPr>
        <w:t>1.</w:t>
      </w:r>
      <w:r>
        <w:rPr>
          <w:rFonts w:hint="eastAsia" w:ascii="仿宋_GB2312" w:eastAsia="仿宋_GB2312"/>
          <w:sz w:val="32"/>
          <w:szCs w:val="32"/>
        </w:rPr>
        <w:t>总则包括编制目的、编制依据、适用范围、工作原则</w:t>
      </w:r>
      <w:r>
        <w:rPr>
          <w:rFonts w:hint="eastAsia" w:ascii="仿宋_GB2312" w:eastAsia="仿宋_GB2312"/>
          <w:sz w:val="32"/>
          <w:szCs w:val="32"/>
          <w:lang w:eastAsia="zh-CN"/>
        </w:rPr>
        <w:t>。</w:t>
      </w:r>
      <w:r>
        <w:rPr>
          <w:rFonts w:hint="eastAsia" w:ascii="Times New Roman" w:hAnsi="Times New Roman" w:eastAsia="仿宋_GB2312"/>
          <w:sz w:val="32"/>
          <w:szCs w:val="32"/>
        </w:rPr>
        <w:t>本预案适用于本市行政区域内因自然因素或人为活动引发的危害人民群众生命和财产安全的山体崩塌、滑坡、泥石流、地面塌陷等与地质作用有关的突发地质灾害防范与应急处置。坚持人民至上、生命至上，实行各级政府行政首长负责制，坚持以人为本、预防为主、统一领导、协调联动、分级负责、属地为主的原则。</w:t>
      </w:r>
    </w:p>
    <w:p>
      <w:pPr>
        <w:pStyle w:val="17"/>
        <w:shd w:val="clear" w:color="auto" w:fill="FFFFFF"/>
        <w:spacing w:before="0" w:beforeAutospacing="0" w:after="0" w:afterAutospacing="0" w:line="480" w:lineRule="atLeast"/>
        <w:ind w:firstLine="480"/>
        <w:rPr>
          <w:rFonts w:hint="eastAsia" w:ascii="Times New Roman" w:hAnsi="Times New Roman" w:eastAsia="仿宋_GB2312"/>
          <w:color w:val="000000"/>
          <w:kern w:val="2"/>
          <w:sz w:val="32"/>
          <w:szCs w:val="32"/>
        </w:rPr>
      </w:pPr>
      <w:r>
        <w:rPr>
          <w:rFonts w:hint="eastAsia" w:ascii="仿宋" w:hAnsi="仿宋" w:eastAsia="仿宋" w:cs="仿宋"/>
          <w:sz w:val="32"/>
          <w:szCs w:val="32"/>
        </w:rPr>
        <w:t>2.</w:t>
      </w:r>
      <w:r>
        <w:rPr>
          <w:rFonts w:hint="eastAsia" w:ascii="仿宋" w:hAnsi="仿宋" w:eastAsia="仿宋" w:cs="仿宋"/>
          <w:b w:val="0"/>
          <w:bCs w:val="0"/>
          <w:sz w:val="32"/>
          <w:szCs w:val="32"/>
        </w:rPr>
        <w:t>组织指挥体系和职责</w:t>
      </w:r>
      <w:r>
        <w:rPr>
          <w:rFonts w:hint="eastAsia" w:ascii="仿宋" w:hAnsi="仿宋" w:eastAsia="仿宋" w:cs="仿宋"/>
          <w:b w:val="0"/>
          <w:bCs w:val="0"/>
          <w:sz w:val="32"/>
          <w:szCs w:val="32"/>
          <w:lang w:eastAsia="zh-CN"/>
        </w:rPr>
        <w:t>包括</w:t>
      </w:r>
      <w:r>
        <w:rPr>
          <w:rFonts w:hint="eastAsia" w:ascii="仿宋" w:hAnsi="仿宋" w:eastAsia="仿宋" w:cs="仿宋"/>
          <w:sz w:val="32"/>
          <w:szCs w:val="32"/>
        </w:rPr>
        <w:t>突发地质灾害应急指挥部</w:t>
      </w:r>
      <w:r>
        <w:rPr>
          <w:rFonts w:hint="eastAsia" w:ascii="仿宋" w:hAnsi="仿宋" w:eastAsia="仿宋" w:cs="仿宋"/>
          <w:sz w:val="32"/>
          <w:szCs w:val="32"/>
          <w:lang w:eastAsia="zh-CN"/>
        </w:rPr>
        <w:t>、</w:t>
      </w:r>
      <w:r>
        <w:rPr>
          <w:rFonts w:hint="eastAsia" w:ascii="仿宋" w:hAnsi="仿宋" w:eastAsia="仿宋" w:cs="仿宋"/>
          <w:sz w:val="32"/>
          <w:szCs w:val="32"/>
        </w:rPr>
        <w:t>市应急指挥部组成及主要职</w:t>
      </w:r>
      <w:r>
        <w:rPr>
          <w:rFonts w:hint="eastAsia" w:ascii="仿宋" w:hAnsi="仿宋" w:eastAsia="仿宋" w:cs="仿宋"/>
          <w:sz w:val="32"/>
          <w:szCs w:val="32"/>
          <w:lang w:eastAsia="zh-CN"/>
        </w:rPr>
        <w:t>责、</w:t>
      </w:r>
      <w:r>
        <w:rPr>
          <w:rFonts w:hint="eastAsia" w:ascii="仿宋" w:hAnsi="仿宋" w:eastAsia="仿宋" w:cs="仿宋"/>
          <w:sz w:val="32"/>
          <w:szCs w:val="32"/>
        </w:rPr>
        <w:t>现场指挥部</w:t>
      </w:r>
      <w:r>
        <w:rPr>
          <w:rFonts w:hint="eastAsia" w:ascii="仿宋" w:hAnsi="仿宋" w:eastAsia="仿宋" w:cs="仿宋"/>
          <w:sz w:val="32"/>
          <w:szCs w:val="32"/>
          <w:lang w:eastAsia="zh-CN"/>
        </w:rPr>
        <w:t>、</w:t>
      </w:r>
      <w:r>
        <w:rPr>
          <w:rFonts w:hint="eastAsia" w:ascii="仿宋" w:hAnsi="仿宋" w:eastAsia="仿宋" w:cs="仿宋"/>
          <w:sz w:val="32"/>
          <w:szCs w:val="32"/>
        </w:rPr>
        <w:t>县（市、区）</w:t>
      </w:r>
      <w:r>
        <w:rPr>
          <w:rFonts w:hint="eastAsia" w:ascii="仿宋" w:hAnsi="仿宋" w:eastAsia="仿宋" w:cs="仿宋"/>
          <w:sz w:val="32"/>
          <w:szCs w:val="32"/>
          <w:lang w:eastAsia="zh-CN"/>
        </w:rPr>
        <w:t>突发</w:t>
      </w:r>
      <w:r>
        <w:rPr>
          <w:rFonts w:hint="eastAsia" w:ascii="仿宋" w:hAnsi="仿宋" w:eastAsia="仿宋" w:cs="仿宋"/>
          <w:sz w:val="32"/>
          <w:szCs w:val="32"/>
        </w:rPr>
        <w:t>地质灾害应急指挥机构</w:t>
      </w:r>
      <w:r>
        <w:rPr>
          <w:rFonts w:hint="eastAsia" w:ascii="仿宋" w:hAnsi="仿宋" w:eastAsia="仿宋" w:cs="仿宋"/>
          <w:sz w:val="32"/>
          <w:szCs w:val="32"/>
          <w:lang w:eastAsia="zh-CN"/>
        </w:rPr>
        <w:t>。</w:t>
      </w:r>
      <w:r>
        <w:rPr>
          <w:rFonts w:hint="eastAsia" w:ascii="仿宋" w:hAnsi="仿宋" w:eastAsia="仿宋" w:cs="仿宋"/>
          <w:color w:val="000000"/>
          <w:kern w:val="2"/>
          <w:sz w:val="32"/>
          <w:szCs w:val="32"/>
        </w:rPr>
        <w:t>市应急指挥部指挥长由分管副市长担任，必要时，市委、市</w:t>
      </w:r>
      <w:r>
        <w:rPr>
          <w:rFonts w:hint="eastAsia" w:ascii="Times New Roman" w:hAnsi="Times New Roman" w:eastAsia="仿宋_GB2312" w:cs="Times New Roman"/>
          <w:color w:val="000000"/>
          <w:kern w:val="2"/>
          <w:sz w:val="32"/>
          <w:szCs w:val="32"/>
        </w:rPr>
        <w:t>政府主要领导担任指挥长，分管副市长任常务副指挥长。副指挥长由</w:t>
      </w:r>
      <w:r>
        <w:rPr>
          <w:rFonts w:hint="eastAsia" w:ascii="Times New Roman" w:hAnsi="Times New Roman" w:eastAsia="仿宋_GB2312"/>
          <w:color w:val="000000"/>
          <w:kern w:val="2"/>
          <w:sz w:val="32"/>
          <w:szCs w:val="32"/>
        </w:rPr>
        <w:t>市政府联系工作副秘书长、市应急管理局、</w:t>
      </w:r>
      <w:r>
        <w:rPr>
          <w:rFonts w:hint="eastAsia" w:ascii="Times New Roman" w:hAnsi="Times New Roman" w:eastAsia="仿宋_GB2312"/>
          <w:color w:val="000000"/>
          <w:kern w:val="2"/>
          <w:sz w:val="32"/>
          <w:szCs w:val="32"/>
          <w:lang w:eastAsia="zh-CN"/>
        </w:rPr>
        <w:t>市自然资源和规划局</w:t>
      </w:r>
      <w:r>
        <w:rPr>
          <w:rFonts w:hint="eastAsia" w:ascii="Times New Roman" w:hAnsi="Times New Roman" w:eastAsia="仿宋_GB2312"/>
          <w:color w:val="000000"/>
          <w:kern w:val="2"/>
          <w:sz w:val="32"/>
          <w:szCs w:val="32"/>
        </w:rPr>
        <w:t>负责人担任。</w:t>
      </w:r>
      <w:r>
        <w:rPr>
          <w:rFonts w:hint="eastAsia" w:ascii="Times New Roman" w:hAnsi="Times New Roman" w:eastAsia="仿宋_GB2312" w:cs="Times New Roman"/>
          <w:color w:val="000000"/>
          <w:kern w:val="2"/>
          <w:sz w:val="32"/>
          <w:szCs w:val="32"/>
        </w:rPr>
        <w:t>成员由市委宣传部（市新闻办）、</w:t>
      </w:r>
      <w:r>
        <w:rPr>
          <w:rFonts w:hint="eastAsia" w:ascii="Times New Roman" w:hAnsi="Times New Roman" w:eastAsia="仿宋_GB2312" w:cs="Times New Roman"/>
          <w:color w:val="000000"/>
          <w:kern w:val="2"/>
          <w:sz w:val="32"/>
          <w:szCs w:val="32"/>
          <w:lang w:val="en"/>
        </w:rPr>
        <w:t>市经济和信息化局、</w:t>
      </w:r>
      <w:r>
        <w:rPr>
          <w:rFonts w:hint="eastAsia" w:ascii="Times New Roman" w:hAnsi="Times New Roman" w:eastAsia="仿宋_GB2312" w:cs="Times New Roman"/>
          <w:color w:val="000000"/>
          <w:kern w:val="2"/>
          <w:sz w:val="32"/>
          <w:szCs w:val="32"/>
        </w:rPr>
        <w:t>市教育局、市公安局、市民政局、市财政局、市自然资源</w:t>
      </w:r>
      <w:r>
        <w:rPr>
          <w:rFonts w:hint="eastAsia" w:ascii="Times New Roman" w:hAnsi="Times New Roman" w:eastAsia="仿宋_GB2312" w:cs="Times New Roman"/>
          <w:color w:val="000000"/>
          <w:kern w:val="2"/>
          <w:sz w:val="32"/>
          <w:szCs w:val="32"/>
          <w:lang w:eastAsia="zh-CN"/>
        </w:rPr>
        <w:t>和规划</w:t>
      </w:r>
      <w:r>
        <w:rPr>
          <w:rFonts w:hint="eastAsia" w:ascii="Times New Roman" w:hAnsi="Times New Roman" w:eastAsia="仿宋_GB2312" w:cs="Times New Roman"/>
          <w:color w:val="000000"/>
          <w:kern w:val="2"/>
          <w:sz w:val="32"/>
          <w:szCs w:val="32"/>
        </w:rPr>
        <w:t>局、市</w:t>
      </w:r>
      <w:r>
        <w:rPr>
          <w:rFonts w:hint="eastAsia" w:ascii="Times New Roman" w:hAnsi="Times New Roman" w:eastAsia="仿宋_GB2312" w:cs="Times New Roman"/>
          <w:color w:val="000000"/>
          <w:kern w:val="2"/>
          <w:sz w:val="32"/>
          <w:szCs w:val="32"/>
          <w:lang w:eastAsia="zh-CN"/>
        </w:rPr>
        <w:t>住建</w:t>
      </w:r>
      <w:r>
        <w:rPr>
          <w:rFonts w:hint="eastAsia" w:ascii="Times New Roman" w:hAnsi="Times New Roman" w:eastAsia="仿宋_GB2312" w:cs="Times New Roman"/>
          <w:color w:val="000000"/>
          <w:kern w:val="2"/>
          <w:sz w:val="32"/>
          <w:szCs w:val="32"/>
        </w:rPr>
        <w:t>局、市交通运输局、市水利局、市农业农村局、市文化</w:t>
      </w:r>
      <w:r>
        <w:rPr>
          <w:rFonts w:hint="eastAsia" w:ascii="Times New Roman" w:hAnsi="Times New Roman" w:eastAsia="仿宋_GB2312" w:cs="Times New Roman"/>
          <w:color w:val="000000"/>
          <w:kern w:val="2"/>
          <w:sz w:val="32"/>
          <w:szCs w:val="32"/>
          <w:lang w:eastAsia="zh-CN"/>
        </w:rPr>
        <w:t>广电</w:t>
      </w:r>
      <w:r>
        <w:rPr>
          <w:rFonts w:hint="eastAsia" w:ascii="Times New Roman" w:hAnsi="Times New Roman" w:eastAsia="仿宋_GB2312" w:cs="Times New Roman"/>
          <w:color w:val="000000"/>
          <w:kern w:val="2"/>
          <w:sz w:val="32"/>
          <w:szCs w:val="32"/>
        </w:rPr>
        <w:t>旅游局、市卫生健康委、市应急管理局、市消防救援支队、武警温州支队、温州军分区、市气象局、市电力</w:t>
      </w:r>
      <w:r>
        <w:rPr>
          <w:rFonts w:hint="eastAsia" w:ascii="Times New Roman" w:hAnsi="Times New Roman" w:eastAsia="仿宋_GB2312" w:cs="Times New Roman"/>
          <w:color w:val="000000"/>
          <w:kern w:val="2"/>
          <w:sz w:val="32"/>
          <w:szCs w:val="32"/>
          <w:lang w:eastAsia="zh-CN"/>
        </w:rPr>
        <w:t>局</w:t>
      </w:r>
      <w:r>
        <w:rPr>
          <w:rFonts w:hint="eastAsia" w:ascii="Times New Roman" w:hAnsi="Times New Roman" w:eastAsia="仿宋_GB2312" w:cs="Times New Roman"/>
          <w:color w:val="000000"/>
          <w:kern w:val="2"/>
          <w:sz w:val="32"/>
          <w:szCs w:val="32"/>
        </w:rPr>
        <w:t>、省第十一地质大队等相关负责人组成。可根据应急处置的需要，增加其他市级相关单位为成员单位。市应急指挥部办公室设在市应急管理局，办公室主任由市应急管理局分管负责人担任。</w:t>
      </w:r>
      <w:r>
        <w:rPr>
          <w:rFonts w:hint="eastAsia" w:ascii="Times New Roman" w:hAnsi="Times New Roman" w:eastAsia="仿宋_GB2312"/>
          <w:color w:val="000000"/>
          <w:kern w:val="2"/>
          <w:sz w:val="32"/>
          <w:szCs w:val="32"/>
        </w:rPr>
        <w:t>县（市、区）政府可参照市应急指挥机构的组成和职责，根据实际情况成立相应的应急指挥机构，负责领导、指挥和协调本行政区域内的突发地质灾害应对工作。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预防预警机制包括预防</w:t>
      </w:r>
      <w:r>
        <w:rPr>
          <w:rFonts w:hint="eastAsia" w:ascii="仿宋" w:hAnsi="仿宋" w:eastAsia="仿宋" w:cs="仿宋"/>
          <w:sz w:val="32"/>
          <w:szCs w:val="32"/>
          <w:lang w:eastAsia="zh-CN"/>
        </w:rPr>
        <w:t>和</w:t>
      </w:r>
      <w:r>
        <w:rPr>
          <w:rFonts w:hint="eastAsia" w:ascii="仿宋" w:hAnsi="仿宋" w:eastAsia="仿宋" w:cs="仿宋"/>
          <w:sz w:val="32"/>
          <w:szCs w:val="32"/>
        </w:rPr>
        <w:t>监测、等级预报预警及响应措施</w:t>
      </w:r>
      <w:r>
        <w:rPr>
          <w:rFonts w:hint="eastAsia" w:ascii="仿宋" w:hAnsi="仿宋" w:eastAsia="仿宋" w:cs="仿宋"/>
          <w:sz w:val="32"/>
          <w:szCs w:val="32"/>
          <w:lang w:eastAsia="zh-CN"/>
        </w:rPr>
        <w:t>、</w:t>
      </w:r>
      <w:r>
        <w:rPr>
          <w:rFonts w:hint="eastAsia" w:ascii="仿宋" w:hAnsi="仿宋" w:eastAsia="仿宋" w:cs="仿宋"/>
          <w:sz w:val="32"/>
          <w:szCs w:val="32"/>
        </w:rPr>
        <w:t>等级预报预警响应</w:t>
      </w:r>
      <w:r>
        <w:rPr>
          <w:rFonts w:hint="eastAsia" w:ascii="仿宋" w:hAnsi="仿宋" w:eastAsia="仿宋" w:cs="仿宋"/>
          <w:sz w:val="32"/>
          <w:szCs w:val="32"/>
          <w:lang w:eastAsia="zh-CN"/>
        </w:rPr>
        <w:t>、</w:t>
      </w:r>
      <w:r>
        <w:rPr>
          <w:rFonts w:hint="eastAsia" w:ascii="仿宋" w:hAnsi="仿宋" w:eastAsia="仿宋" w:cs="仿宋"/>
          <w:sz w:val="32"/>
          <w:szCs w:val="32"/>
        </w:rPr>
        <w:t>风险识别管控</w:t>
      </w:r>
      <w:r>
        <w:rPr>
          <w:rFonts w:hint="eastAsia" w:ascii="仿宋" w:hAnsi="仿宋" w:eastAsia="仿宋" w:cs="仿宋"/>
          <w:sz w:val="32"/>
          <w:szCs w:val="32"/>
          <w:lang w:eastAsia="zh-CN"/>
        </w:rPr>
        <w:t>。</w:t>
      </w:r>
      <w:r>
        <w:rPr>
          <w:rFonts w:hint="eastAsia" w:ascii="Times New Roman" w:hAnsi="Times New Roman" w:eastAsia="仿宋_GB2312"/>
          <w:color w:val="000000"/>
          <w:kern w:val="2"/>
          <w:sz w:val="32"/>
          <w:szCs w:val="32"/>
        </w:rPr>
        <w:t>地质灾害易发区内的县（市、区）政府、乡镇政府（街道办事处）要组织开展地质灾害隐患点、风险防范区定期专业调查与日常排查、巡查工作，及时更新风险调查成果，摸清地质灾害风险隐患，加强对地质灾害重点地区风险监测和防范，划定地质灾害危险区，设置危险区警示标志，确定预警信号和撤离路线。</w:t>
      </w:r>
      <w:r>
        <w:rPr>
          <w:rFonts w:hint="eastAsia" w:ascii="Times New Roman" w:hAnsi="Times New Roman" w:eastAsia="仿宋_GB2312"/>
          <w:color w:val="000000"/>
          <w:sz w:val="32"/>
          <w:szCs w:val="32"/>
        </w:rPr>
        <w:t>各级政府及相关部门要加强地质灾害群测群防和专业监测网络建设，研发和推广普适型专业监测设备，加强地质灾害群测群防员队伍建设，</w:t>
      </w:r>
      <w:r>
        <w:rPr>
          <w:rFonts w:hint="eastAsia" w:ascii="Times New Roman" w:hAnsi="Times New Roman" w:eastAsia="仿宋_GB2312"/>
          <w:color w:val="auto"/>
          <w:sz w:val="32"/>
          <w:szCs w:val="32"/>
        </w:rPr>
        <w:t>建立健全地质灾害基础信息数据库，加大数据共享力度</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000000"/>
          <w:sz w:val="32"/>
          <w:szCs w:val="32"/>
        </w:rPr>
        <w:t>提升地质灾害早期识别和预报预警能力，及时发布区域突发地质灾害气象风险等级“五色图”。自然资源、交通运输、水利、气象等部门要在受地质灾害威胁严重的人口密集区、公路铁路航道干线及矿山、化工园区等重点工程地段，建立气象、水文和地质灾害专业监测点。</w:t>
      </w:r>
      <w:r>
        <w:rPr>
          <w:rFonts w:hint="eastAsia" w:ascii="Times New Roman" w:hAnsi="Times New Roman" w:eastAsia="仿宋_GB2312"/>
          <w:color w:val="000000"/>
          <w:kern w:val="2"/>
          <w:sz w:val="32"/>
          <w:szCs w:val="32"/>
        </w:rPr>
        <w:t>各级自然资源、气象部门要科学设定地质灾害预报预警指标，研判突发地质灾害发生的可能性高低，对可能发生突发地质灾害相关区域及时进行预报预警。预报预警级别从低到高分为蓝色预警（灾害发生的可能性一般）、黄色预警（灾害发生的可能性较高）、橙色预警（灾害发生的可能性高）、红色预警（灾害发生的可能性很高）。应急管理部门根据各灾种风</w:t>
      </w:r>
      <w:r>
        <w:rPr>
          <w:rFonts w:hint="eastAsia" w:ascii="仿宋" w:hAnsi="仿宋" w:eastAsia="仿宋" w:cs="仿宋"/>
          <w:sz w:val="32"/>
          <w:szCs w:val="32"/>
        </w:rPr>
        <w:t>险预报预警情况发布综合预警。</w:t>
      </w:r>
    </w:p>
    <w:p>
      <w:pPr>
        <w:pStyle w:val="6"/>
        <w:ind w:firstLine="645"/>
        <w:rPr>
          <w:rFonts w:hint="eastAsia" w:ascii="仿宋_GB2312" w:eastAsia="宋体"/>
          <w:sz w:val="32"/>
          <w:szCs w:val="32"/>
          <w:lang w:val="en-US" w:eastAsia="zh-CN"/>
        </w:rPr>
      </w:pPr>
      <w:r>
        <w:rPr>
          <w:rFonts w:hint="eastAsia" w:ascii="仿宋" w:hAnsi="仿宋" w:eastAsia="仿宋" w:cs="仿宋"/>
          <w:sz w:val="32"/>
          <w:szCs w:val="32"/>
        </w:rPr>
        <w:t>4.突发地质灾害分级</w:t>
      </w:r>
      <w:r>
        <w:rPr>
          <w:rFonts w:hint="eastAsia" w:ascii="仿宋" w:hAnsi="仿宋" w:eastAsia="仿宋" w:cs="仿宋"/>
          <w:sz w:val="32"/>
          <w:szCs w:val="32"/>
          <w:lang w:val="en-US" w:eastAsia="zh-CN"/>
        </w:rPr>
        <w:t>.</w:t>
      </w:r>
      <w:r>
        <w:rPr>
          <w:rFonts w:hint="eastAsia" w:ascii="仿宋" w:hAnsi="仿宋" w:eastAsia="仿宋" w:cs="仿宋"/>
          <w:sz w:val="32"/>
          <w:szCs w:val="32"/>
        </w:rPr>
        <w:t>按照人员伤亡、经济损失程度分为一般、较大、重大和特别重大四个级别。</w:t>
      </w:r>
    </w:p>
    <w:p>
      <w:pPr>
        <w:ind w:firstLine="640" w:firstLineChars="200"/>
        <w:rPr>
          <w:rFonts w:ascii="Times New Roman" w:hAnsi="Times New Roman" w:eastAsia="仿宋_GB2312"/>
          <w:sz w:val="32"/>
          <w:szCs w:val="32"/>
        </w:rPr>
      </w:pPr>
      <w:r>
        <w:rPr>
          <w:rFonts w:hint="eastAsia" w:ascii="仿宋" w:hAnsi="仿宋" w:eastAsia="仿宋" w:cs="仿宋"/>
          <w:b w:val="0"/>
          <w:bCs w:val="0"/>
          <w:sz w:val="32"/>
          <w:szCs w:val="32"/>
        </w:rPr>
        <w:t>5.应急处置</w:t>
      </w:r>
      <w:r>
        <w:rPr>
          <w:rFonts w:hint="eastAsia" w:ascii="仿宋" w:hAnsi="仿宋" w:eastAsia="仿宋" w:cs="仿宋"/>
          <w:b w:val="0"/>
          <w:bCs w:val="0"/>
          <w:sz w:val="32"/>
          <w:szCs w:val="32"/>
          <w:lang w:eastAsia="zh-CN"/>
        </w:rPr>
        <w:t>包括</w:t>
      </w:r>
      <w:r>
        <w:rPr>
          <w:rFonts w:hint="eastAsia" w:ascii="仿宋" w:hAnsi="仿宋" w:eastAsia="仿宋" w:cs="仿宋"/>
          <w:sz w:val="32"/>
          <w:szCs w:val="32"/>
        </w:rPr>
        <w:t>信息报告</w:t>
      </w:r>
      <w:r>
        <w:rPr>
          <w:rFonts w:hint="eastAsia" w:ascii="仿宋" w:hAnsi="仿宋" w:eastAsia="仿宋" w:cs="仿宋"/>
          <w:sz w:val="32"/>
          <w:szCs w:val="32"/>
          <w:lang w:eastAsia="zh-CN"/>
        </w:rPr>
        <w:t>、</w:t>
      </w:r>
      <w:r>
        <w:rPr>
          <w:rFonts w:hint="eastAsia" w:ascii="仿宋" w:hAnsi="仿宋" w:eastAsia="仿宋" w:cs="仿宋"/>
          <w:sz w:val="32"/>
          <w:szCs w:val="32"/>
        </w:rPr>
        <w:t>先期处置</w:t>
      </w:r>
      <w:r>
        <w:rPr>
          <w:rFonts w:hint="eastAsia" w:ascii="仿宋" w:hAnsi="仿宋" w:eastAsia="仿宋" w:cs="仿宋"/>
          <w:sz w:val="32"/>
          <w:szCs w:val="32"/>
          <w:lang w:eastAsia="zh-CN"/>
        </w:rPr>
        <w:t>、</w:t>
      </w:r>
      <w:r>
        <w:rPr>
          <w:rFonts w:hint="eastAsia" w:ascii="仿宋" w:hAnsi="仿宋" w:eastAsia="仿宋" w:cs="仿宋"/>
          <w:sz w:val="32"/>
          <w:szCs w:val="32"/>
        </w:rPr>
        <w:t>应急响应</w:t>
      </w:r>
      <w:r>
        <w:rPr>
          <w:rFonts w:hint="eastAsia" w:ascii="仿宋" w:hAnsi="仿宋" w:eastAsia="仿宋" w:cs="仿宋"/>
          <w:sz w:val="32"/>
          <w:szCs w:val="32"/>
          <w:lang w:eastAsia="zh-CN"/>
        </w:rPr>
        <w:t>、</w:t>
      </w:r>
      <w:r>
        <w:rPr>
          <w:rFonts w:hint="eastAsia" w:ascii="仿宋" w:hAnsi="仿宋" w:eastAsia="仿宋" w:cs="仿宋"/>
          <w:sz w:val="32"/>
          <w:szCs w:val="32"/>
        </w:rPr>
        <w:t xml:space="preserve"> 响应变更和结束</w:t>
      </w:r>
      <w:r>
        <w:rPr>
          <w:rFonts w:hint="eastAsia" w:ascii="仿宋" w:hAnsi="仿宋" w:eastAsia="仿宋" w:cs="仿宋"/>
          <w:sz w:val="32"/>
          <w:szCs w:val="32"/>
          <w:lang w:eastAsia="zh-CN"/>
        </w:rPr>
        <w:t>、</w:t>
      </w:r>
      <w:r>
        <w:rPr>
          <w:rFonts w:hint="eastAsia" w:ascii="仿宋" w:hAnsi="仿宋" w:eastAsia="仿宋" w:cs="仿宋"/>
          <w:sz w:val="32"/>
          <w:szCs w:val="32"/>
        </w:rPr>
        <w:t>应急信息发布</w:t>
      </w:r>
      <w:r>
        <w:rPr>
          <w:rFonts w:hint="eastAsia" w:ascii="仿宋" w:hAnsi="仿宋" w:eastAsia="仿宋" w:cs="仿宋"/>
          <w:sz w:val="32"/>
          <w:szCs w:val="32"/>
          <w:lang w:eastAsia="zh-CN"/>
        </w:rPr>
        <w:t>。</w:t>
      </w:r>
      <w:r>
        <w:rPr>
          <w:rFonts w:hint="eastAsia" w:ascii="Times New Roman" w:hAnsi="Times New Roman" w:eastAsia="仿宋_GB2312"/>
          <w:sz w:val="32"/>
          <w:szCs w:val="32"/>
        </w:rPr>
        <w:t>突发地质灾害所在地乡镇政府（街道办事处）、村（社区）及有关责任单位发现或接报突发地质灾害事件后，应当根据实际情况，采取必要的先期救援和抢险处置措施，防止灾害进一步扩大，及时组织受灾害威胁区域的人员转移，情况紧急时，应强行组织避险转移。突发地质灾害所在地县级政府在接到突发事件报告后，应当发挥110社会应急联动工作机制作用，各有关部门和单位按照应急联动指令，迅速采取排险措施，划定地质灾害危险区，设置明显警示标志，组织受灾害威胁区域的人员转移避让，开展抢险救援。当发生一般、较大、重大、特别重大突发地质灾害时，分别启动Ⅳ级、Ⅲ级、Ⅱ级、I级应急响应。按照预防为主的原则，根据地质灾害风险程度视情启动应急响应，加强地质灾害防御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后期处置包括调查评估、恢复重建、奖励与责任追究。灾区所在地县（市、区）应制定恢复重建工作方案；落实救助、补偿、抚慰、抚恤、安置工作和恢复重建、地质灾害点工程治理措施，帮助灾区修缮、重建或迁建因灾倒塌和损坏的住房、校舍、医院等；修复因灾损毁的道路，水利、通信设施，供水、供电、供气等公共设施和农田等；做好受灾人员的安置，帮助恢复生产生活秩序；市级相关单位按照各自职责给予指导和帮助。对于重大、特别重大突发地质灾害，积极申请省发展改革委、省财政厅、省自然资源厅、省应急管理厅等部门</w:t>
      </w:r>
      <w:r>
        <w:rPr>
          <w:rFonts w:hint="eastAsia" w:ascii="仿宋" w:hAnsi="仿宋" w:eastAsia="仿宋" w:cs="仿宋"/>
          <w:sz w:val="32"/>
          <w:szCs w:val="32"/>
          <w:lang w:eastAsia="zh-CN"/>
        </w:rPr>
        <w:t>的</w:t>
      </w:r>
      <w:r>
        <w:rPr>
          <w:rFonts w:hint="eastAsia" w:ascii="仿宋" w:hAnsi="仿宋" w:eastAsia="仿宋" w:cs="仿宋"/>
          <w:sz w:val="32"/>
          <w:szCs w:val="32"/>
        </w:rPr>
        <w:t>指导和支持。</w:t>
      </w:r>
    </w:p>
    <w:p>
      <w:pPr>
        <w:ind w:firstLine="640" w:firstLineChars="200"/>
        <w:rPr>
          <w:rFonts w:hint="eastAsia"/>
          <w:lang w:eastAsia="zh-CN"/>
        </w:rPr>
      </w:pPr>
      <w:r>
        <w:rPr>
          <w:rFonts w:hint="eastAsia" w:ascii="仿宋" w:hAnsi="仿宋" w:eastAsia="仿宋" w:cs="仿宋"/>
          <w:sz w:val="32"/>
          <w:szCs w:val="32"/>
        </w:rPr>
        <w:t>7.应急保障包括队伍及装备保障、资金保障、物资保障和避灾场所、技术保障、通信与信息保障</w:t>
      </w:r>
      <w:r>
        <w:rPr>
          <w:rFonts w:hint="eastAsia" w:ascii="仿宋" w:hAnsi="仿宋" w:eastAsia="仿宋" w:cs="仿宋"/>
          <w:sz w:val="32"/>
          <w:szCs w:val="32"/>
          <w:lang w:eastAsia="zh-CN"/>
        </w:rPr>
        <w:t>。</w:t>
      </w:r>
      <w:r>
        <w:rPr>
          <w:rFonts w:hint="eastAsia" w:ascii="仿宋" w:hAnsi="仿宋" w:eastAsia="仿宋" w:cs="仿宋"/>
          <w:sz w:val="32"/>
          <w:szCs w:val="32"/>
        </w:rPr>
        <w:t>各级政府及有关部门要建立健全应急物资保障体系，制定应急物资储备目录清单，建立应急物资储备数据库。完善重要应急物资的生产、储备、调拨、更新、登记、监管和紧急配送机制；建立健全社会化应急物资保障体系，采取实物储备、商业储备、产能储备等方式，确保应急所需物资的及时供应。紧急情况下可依法征用、征集。建设完善应急避灾场所，储备用于灾民安置、医疗卫生保障、生活必需等必要的专用物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8.</w:t>
      </w:r>
      <w:bookmarkStart w:id="0" w:name="_Toc452954201"/>
      <w:bookmarkStart w:id="1" w:name="_Toc87002262"/>
      <w:bookmarkStart w:id="2" w:name="_Toc1229111260"/>
      <w:r>
        <w:rPr>
          <w:rFonts w:hint="eastAsia" w:ascii="仿宋" w:hAnsi="仿宋" w:eastAsia="仿宋" w:cs="仿宋"/>
          <w:sz w:val="32"/>
          <w:szCs w:val="32"/>
        </w:rPr>
        <w:t>预案管理包括预案编制与实施管理</w:t>
      </w:r>
      <w:r>
        <w:rPr>
          <w:rFonts w:hint="eastAsia" w:ascii="仿宋" w:hAnsi="仿宋" w:eastAsia="仿宋" w:cs="仿宋"/>
          <w:sz w:val="32"/>
          <w:szCs w:val="32"/>
          <w:lang w:eastAsia="zh-CN"/>
        </w:rPr>
        <w:t>、</w:t>
      </w:r>
      <w:r>
        <w:rPr>
          <w:rFonts w:hint="eastAsia" w:ascii="仿宋" w:hAnsi="仿宋" w:eastAsia="仿宋" w:cs="仿宋"/>
          <w:sz w:val="32"/>
          <w:szCs w:val="32"/>
        </w:rPr>
        <w:t>预案宣传、培训与演练</w:t>
      </w:r>
      <w:r>
        <w:rPr>
          <w:rFonts w:hint="eastAsia" w:ascii="仿宋" w:hAnsi="仿宋" w:eastAsia="仿宋" w:cs="仿宋"/>
          <w:sz w:val="32"/>
          <w:szCs w:val="32"/>
          <w:lang w:eastAsia="zh-CN"/>
        </w:rPr>
        <w:t>、</w:t>
      </w:r>
      <w:r>
        <w:rPr>
          <w:rFonts w:hint="eastAsia" w:ascii="仿宋" w:hAnsi="仿宋" w:eastAsia="仿宋" w:cs="仿宋"/>
          <w:sz w:val="32"/>
          <w:szCs w:val="32"/>
        </w:rPr>
        <w:t>预案实施</w:t>
      </w:r>
      <w:r>
        <w:rPr>
          <w:rFonts w:hint="eastAsia" w:ascii="仿宋" w:hAnsi="仿宋" w:eastAsia="仿宋" w:cs="仿宋"/>
          <w:sz w:val="32"/>
          <w:szCs w:val="32"/>
          <w:lang w:eastAsia="zh-CN"/>
        </w:rPr>
        <w:t>。</w:t>
      </w:r>
      <w:bookmarkEnd w:id="0"/>
      <w:bookmarkEnd w:id="1"/>
      <w:bookmarkEnd w:id="2"/>
      <w:r>
        <w:rPr>
          <w:rFonts w:hint="eastAsia" w:ascii="仿宋" w:hAnsi="仿宋" w:eastAsia="仿宋" w:cs="仿宋"/>
          <w:sz w:val="32"/>
          <w:szCs w:val="32"/>
        </w:rPr>
        <w:t>本预案将根据法律法规修改、部门职责或应急资源变化、实际应用中出现新问题等情况进行修订。县（市、区）应急管理部门根据本预案，结合当地实际，制定本辖区的突发地质灾害应急预案，报本级政府批准后实施，并根据实际制定配套操作手册，开展预案电子化、智能化工作。各县（市、区）突发地质灾害应急预案自印发之日起20个工作日内报送市应急管理局备案。市应急管理局适时对各地编制、修订和预案演练等情况进行监督检查。</w:t>
      </w:r>
      <w:r>
        <w:rPr>
          <w:rFonts w:hint="eastAsia" w:ascii="仿宋" w:hAnsi="仿宋" w:eastAsia="仿宋" w:cs="仿宋"/>
          <w:sz w:val="32"/>
          <w:szCs w:val="32"/>
          <w:lang w:eastAsia="zh-CN"/>
        </w:rPr>
        <w:t>每三年修订一次，如遇重大法律法规和国家政策调整，及时予以重新修订。</w:t>
      </w:r>
    </w:p>
    <w:p>
      <w:pPr>
        <w:pStyle w:val="9"/>
        <w:ind w:firstLine="640"/>
        <w:rPr>
          <w:rFonts w:ascii="仿宋_GB2312" w:hAnsi="仿宋" w:eastAsia="仿宋_GB2312" w:cs="仿宋"/>
          <w:sz w:val="32"/>
          <w:szCs w:val="32"/>
        </w:rPr>
      </w:pPr>
    </w:p>
    <w:p>
      <w:pPr>
        <w:pStyle w:val="8"/>
        <w:shd w:val="clear" w:color="auto" w:fill="FFFFFF"/>
        <w:spacing w:before="0" w:beforeAutospacing="0" w:after="0" w:afterAutospacing="0" w:line="560" w:lineRule="exact"/>
        <w:ind w:firstLine="640" w:firstLineChars="200"/>
        <w:rPr>
          <w:rFonts w:ascii="仿宋_GB2312" w:hAnsi="仿宋" w:eastAsia="仿宋_GB2312" w:cs="仿宋"/>
          <w:sz w:val="32"/>
          <w:szCs w:val="32"/>
        </w:rPr>
      </w:pPr>
    </w:p>
    <w:p>
      <w:pPr>
        <w:pStyle w:val="8"/>
        <w:shd w:val="clear" w:color="auto" w:fill="FFFFFF"/>
        <w:spacing w:before="0" w:beforeAutospacing="0" w:after="0" w:afterAutospacing="0" w:line="560" w:lineRule="exact"/>
        <w:ind w:firstLine="640" w:firstLineChars="200"/>
        <w:rPr>
          <w:rFonts w:ascii="仿宋_GB2312" w:hAnsi="仿宋" w:eastAsia="仿宋_GB2312" w:cs="仿宋"/>
          <w:sz w:val="32"/>
          <w:szCs w:val="32"/>
        </w:rPr>
      </w:pPr>
    </w:p>
    <w:p>
      <w:pPr>
        <w:pStyle w:val="8"/>
        <w:shd w:val="clear" w:color="auto" w:fill="FFFFFF"/>
        <w:spacing w:before="0" w:beforeAutospacing="0" w:after="0" w:afterAutospacing="0" w:line="560" w:lineRule="exact"/>
        <w:ind w:firstLine="4278" w:firstLineChars="1337"/>
        <w:rPr>
          <w:rFonts w:ascii="仿宋_GB2312" w:hAnsi="仿宋" w:eastAsia="仿宋_GB2312" w:cs="仿宋"/>
          <w:sz w:val="32"/>
          <w:szCs w:val="32"/>
        </w:rPr>
      </w:pPr>
      <w:r>
        <w:rPr>
          <w:rFonts w:hint="eastAsia" w:ascii="仿宋_GB2312" w:hAnsi="仿宋" w:eastAsia="仿宋_GB2312" w:cs="仿宋"/>
          <w:sz w:val="32"/>
          <w:szCs w:val="32"/>
        </w:rPr>
        <w:t>温州市</w:t>
      </w:r>
      <w:r>
        <w:rPr>
          <w:rFonts w:hint="eastAsia" w:ascii="仿宋_GB2312" w:hAnsi="仿宋" w:eastAsia="仿宋_GB2312" w:cs="仿宋"/>
          <w:sz w:val="32"/>
          <w:szCs w:val="32"/>
          <w:lang w:eastAsia="zh-CN"/>
        </w:rPr>
        <w:t>应急管理</w:t>
      </w:r>
      <w:r>
        <w:rPr>
          <w:rFonts w:hint="eastAsia" w:ascii="仿宋_GB2312" w:hAnsi="仿宋" w:eastAsia="仿宋_GB2312" w:cs="仿宋"/>
          <w:sz w:val="32"/>
          <w:szCs w:val="32"/>
        </w:rPr>
        <w:t>局</w:t>
      </w:r>
    </w:p>
    <w:p>
      <w:pPr>
        <w:pStyle w:val="8"/>
        <w:shd w:val="clear" w:color="auto" w:fill="FFFFFF"/>
        <w:spacing w:before="0" w:beforeAutospacing="0" w:after="0" w:afterAutospacing="0" w:line="560" w:lineRule="exact"/>
        <w:ind w:firstLine="4272" w:firstLineChars="1335"/>
        <w:rPr>
          <w:rFonts w:ascii="仿宋_GB2312" w:hAnsi="仿宋" w:eastAsia="仿宋_GB2312" w:cs="仿宋"/>
          <w:sz w:val="32"/>
          <w:szCs w:val="32"/>
        </w:rPr>
      </w:pPr>
      <w:r>
        <w:rPr>
          <w:rFonts w:ascii="仿宋_GB2312" w:hAnsi="仿宋" w:eastAsia="仿宋_GB2312" w:cs="仿宋"/>
          <w:sz w:val="32"/>
          <w:szCs w:val="32"/>
        </w:rPr>
        <w:t>2021</w:t>
      </w:r>
      <w:r>
        <w:rPr>
          <w:rFonts w:hint="eastAsia" w:ascii="仿宋_GB2312" w:hAnsi="仿宋" w:eastAsia="仿宋_GB2312" w:cs="仿宋"/>
          <w:sz w:val="32"/>
          <w:szCs w:val="32"/>
        </w:rPr>
        <w:t>年</w:t>
      </w:r>
      <w:r>
        <w:rPr>
          <w:rFonts w:ascii="仿宋_GB2312" w:hAnsi="仿宋" w:eastAsia="仿宋_GB2312" w:cs="仿宋"/>
          <w:sz w:val="32"/>
          <w:szCs w:val="32"/>
        </w:rPr>
        <w:t>11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19</w:t>
      </w:r>
      <w:r>
        <w:rPr>
          <w:rFonts w:hint="eastAsia" w:ascii="仿宋_GB2312" w:hAnsi="仿宋" w:eastAsia="仿宋_GB2312"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à">
    <w:altName w:val="Times New Roman"/>
    <w:panose1 w:val="00000000000000000000"/>
    <w:charset w:val="00"/>
    <w:family w:val="auto"/>
    <w:pitch w:val="default"/>
    <w:sig w:usb0="00000000" w:usb1="00000000" w:usb2="00000000" w:usb3="00000000" w:csb0="00000001" w:csb1="00000000"/>
  </w:font>
  <w:font w:name="华文宋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C2175"/>
    <w:multiLevelType w:val="multilevel"/>
    <w:tmpl w:val="1CAC2175"/>
    <w:lvl w:ilvl="0" w:tentative="0">
      <w:start w:val="1"/>
      <w:numFmt w:val="chineseCounting"/>
      <w:suff w:val="nothing"/>
      <w:lvlText w:val="%1、"/>
      <w:lvlJc w:val="left"/>
      <w:pPr>
        <w:ind w:left="776"/>
      </w:pPr>
      <w:rPr>
        <w:rFonts w:hint="eastAsia" w:ascii="宋体" w:hAnsi="宋体" w:eastAsia="宋体"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45B1"/>
    <w:rsid w:val="00077A54"/>
    <w:rsid w:val="000B3791"/>
    <w:rsid w:val="00186960"/>
    <w:rsid w:val="002E051D"/>
    <w:rsid w:val="002E45B1"/>
    <w:rsid w:val="00415F08"/>
    <w:rsid w:val="007D54D5"/>
    <w:rsid w:val="00894F2D"/>
    <w:rsid w:val="008D58B1"/>
    <w:rsid w:val="00962C55"/>
    <w:rsid w:val="00987D5C"/>
    <w:rsid w:val="00B70D22"/>
    <w:rsid w:val="00C24A25"/>
    <w:rsid w:val="00FC7FFD"/>
    <w:rsid w:val="4BBFD35E"/>
    <w:rsid w:val="62154666"/>
    <w:rsid w:val="77F58CAF"/>
    <w:rsid w:val="7FE7FECF"/>
    <w:rsid w:val="7FF986ED"/>
    <w:rsid w:val="7FFFFB56"/>
    <w:rsid w:val="825F3731"/>
    <w:rsid w:val="A7FFD3E0"/>
    <w:rsid w:val="BFFE6D87"/>
    <w:rsid w:val="BFFF8964"/>
    <w:rsid w:val="D7194E39"/>
    <w:rsid w:val="DBFF12F4"/>
    <w:rsid w:val="EDBF1B02"/>
    <w:rsid w:val="FFBB5D91"/>
    <w:rsid w:val="FFBF13F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ocked="1"/>
    <w:lsdException w:qFormat="1" w:unhideWhenUsed="0" w:uiPriority="99"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qFormat/>
    <w:locked/>
    <w:uiPriority w:val="9"/>
    <w:pPr>
      <w:keepNext/>
      <w:keepLines/>
      <w:spacing w:line="360" w:lineRule="auto"/>
      <w:ind w:firstLine="200" w:firstLineChars="200"/>
      <w:jc w:val="left"/>
      <w:outlineLvl w:val="0"/>
    </w:pPr>
    <w:rPr>
      <w:rFonts w:ascii="Times New Roman" w:hAnsi="Times New Roman" w:eastAsia="黑体"/>
      <w:b/>
      <w:bCs/>
      <w:kern w:val="44"/>
      <w:sz w:val="32"/>
      <w:szCs w:val="44"/>
    </w:rPr>
  </w:style>
  <w:style w:type="paragraph" w:styleId="3">
    <w:name w:val="heading 2"/>
    <w:basedOn w:val="1"/>
    <w:next w:val="1"/>
    <w:link w:val="13"/>
    <w:qFormat/>
    <w:locked/>
    <w:uiPriority w:val="99"/>
    <w:pPr>
      <w:keepNext/>
      <w:keepLines/>
      <w:spacing w:before="120" w:after="120"/>
      <w:outlineLvl w:val="1"/>
    </w:pPr>
    <w:rPr>
      <w:rFonts w:ascii="Arial" w:hAnsi="Arial" w:eastAsia="黑体" w:cs="Times New Roman"/>
      <w:b/>
      <w:bCs/>
      <w:sz w:val="36"/>
      <w:szCs w:val="32"/>
    </w:rPr>
  </w:style>
  <w:style w:type="paragraph" w:styleId="4">
    <w:name w:val="heading 3"/>
    <w:basedOn w:val="1"/>
    <w:next w:val="1"/>
    <w:link w:val="14"/>
    <w:qFormat/>
    <w:locked/>
    <w:uiPriority w:val="99"/>
    <w:pPr>
      <w:keepNext/>
      <w:keepLines/>
      <w:spacing w:before="100" w:after="100"/>
      <w:outlineLvl w:val="2"/>
    </w:pPr>
    <w:rPr>
      <w:rFonts w:ascii="Times New Roman" w:hAnsi="Times New Roman" w:eastAsia="黑体" w:cs="Times New Roman"/>
      <w:b/>
      <w:bCs/>
      <w:sz w:val="30"/>
      <w:szCs w:val="30"/>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qFormat/>
    <w:locked/>
    <w:uiPriority w:val="99"/>
    <w:pPr>
      <w:widowControl/>
      <w:spacing w:after="100" w:line="276" w:lineRule="auto"/>
      <w:ind w:left="440"/>
      <w:jc w:val="left"/>
    </w:pPr>
    <w:rPr>
      <w:rFonts w:cs="Times New Roman"/>
      <w:kern w:val="0"/>
      <w:sz w:val="22"/>
      <w:szCs w:val="22"/>
    </w:rPr>
  </w:style>
  <w:style w:type="paragraph" w:styleId="6">
    <w:name w:val="Plain Text"/>
    <w:basedOn w:val="1"/>
    <w:unhideWhenUsed/>
    <w:qFormat/>
    <w:uiPriority w:val="99"/>
    <w:rPr>
      <w:rFonts w:ascii="宋体" w:hAnsi="Courier New" w:cs="Courier New"/>
      <w:szCs w:val="21"/>
    </w:rPr>
  </w:style>
  <w:style w:type="paragraph" w:styleId="7">
    <w:name w:val="toc 2"/>
    <w:basedOn w:val="1"/>
    <w:next w:val="1"/>
    <w:qFormat/>
    <w:locked/>
    <w:uiPriority w:val="99"/>
    <w:pPr>
      <w:widowControl/>
      <w:spacing w:after="100" w:line="276" w:lineRule="auto"/>
      <w:ind w:left="220"/>
      <w:jc w:val="left"/>
    </w:pPr>
    <w:rPr>
      <w:rFonts w:cs="Times New Roman"/>
      <w:kern w:val="0"/>
      <w:sz w:val="22"/>
      <w:szCs w:val="22"/>
    </w:rPr>
  </w:style>
  <w:style w:type="paragraph" w:styleId="8">
    <w:name w:val="Normal (Web)"/>
    <w:basedOn w:val="1"/>
    <w:semiHidden/>
    <w:qFormat/>
    <w:uiPriority w:val="99"/>
    <w:pPr>
      <w:widowControl/>
      <w:spacing w:before="100" w:beforeAutospacing="1" w:after="100" w:afterAutospacing="1"/>
      <w:jc w:val="left"/>
    </w:pPr>
    <w:rPr>
      <w:rFonts w:ascii="宋体" w:hAnsi="宋体"/>
      <w:kern w:val="0"/>
      <w:sz w:val="24"/>
      <w:szCs w:val="24"/>
    </w:rPr>
  </w:style>
  <w:style w:type="paragraph" w:styleId="9">
    <w:name w:val="Title"/>
    <w:basedOn w:val="1"/>
    <w:next w:val="1"/>
    <w:qFormat/>
    <w:locked/>
    <w:uiPriority w:val="10"/>
    <w:pPr>
      <w:spacing w:line="360" w:lineRule="auto"/>
      <w:ind w:firstLine="200" w:firstLineChars="200"/>
      <w:jc w:val="left"/>
      <w:outlineLvl w:val="0"/>
    </w:pPr>
    <w:rPr>
      <w:rFonts w:ascii="Times New Roman" w:hAnsi="Times New Roman" w:eastAsia="楷体" w:cs="Times New Roman"/>
      <w:bCs/>
      <w:sz w:val="32"/>
      <w:szCs w:val="32"/>
    </w:rPr>
  </w:style>
  <w:style w:type="character" w:styleId="12">
    <w:name w:val="Hyperlink"/>
    <w:basedOn w:val="11"/>
    <w:qFormat/>
    <w:uiPriority w:val="99"/>
    <w:rPr>
      <w:rFonts w:cs="Times New Roman"/>
      <w:color w:val="0000FF"/>
      <w:u w:val="single"/>
    </w:rPr>
  </w:style>
  <w:style w:type="character" w:customStyle="1" w:styleId="13">
    <w:name w:val="Heading 2 Char"/>
    <w:basedOn w:val="11"/>
    <w:link w:val="3"/>
    <w:semiHidden/>
    <w:qFormat/>
    <w:uiPriority w:val="9"/>
    <w:rPr>
      <w:rFonts w:asciiTheme="majorHAnsi" w:hAnsiTheme="majorHAnsi" w:eastAsiaTheme="majorEastAsia" w:cstheme="majorBidi"/>
      <w:b/>
      <w:bCs/>
      <w:sz w:val="32"/>
      <w:szCs w:val="32"/>
    </w:rPr>
  </w:style>
  <w:style w:type="character" w:customStyle="1" w:styleId="14">
    <w:name w:val="Heading 3 Char"/>
    <w:basedOn w:val="11"/>
    <w:link w:val="4"/>
    <w:semiHidden/>
    <w:qFormat/>
    <w:uiPriority w:val="9"/>
    <w:rPr>
      <w:rFonts w:cs="宋体"/>
      <w:b/>
      <w:bCs/>
      <w:sz w:val="32"/>
      <w:szCs w:val="32"/>
    </w:rPr>
  </w:style>
  <w:style w:type="paragraph" w:customStyle="1" w:styleId="15">
    <w:name w:val="Default"/>
    <w:basedOn w:val="1"/>
    <w:qFormat/>
    <w:uiPriority w:val="99"/>
    <w:pPr>
      <w:autoSpaceDE w:val="0"/>
      <w:autoSpaceDN w:val="0"/>
      <w:adjustRightInd w:val="0"/>
      <w:jc w:val="left"/>
    </w:pPr>
    <w:rPr>
      <w:rFonts w:ascii="?????à" w:hAnsi="Times New Roman"/>
      <w:color w:val="000000"/>
      <w:kern w:val="0"/>
      <w:sz w:val="24"/>
      <w:szCs w:val="24"/>
    </w:rPr>
  </w:style>
  <w:style w:type="paragraph" w:customStyle="1" w:styleId="16">
    <w:name w:val="标题3"/>
    <w:basedOn w:val="4"/>
    <w:qFormat/>
    <w:uiPriority w:val="99"/>
    <w:pPr>
      <w:adjustRightInd w:val="0"/>
      <w:snapToGrid w:val="0"/>
      <w:spacing w:before="200" w:after="200"/>
    </w:pPr>
    <w:rPr>
      <w:rFonts w:ascii="华文宋体" w:hAnsi="华文宋体"/>
      <w:sz w:val="32"/>
      <w:szCs w:val="28"/>
    </w:rPr>
  </w:style>
  <w:style w:type="paragraph" w:customStyle="1" w:styleId="17">
    <w:name w:val="text-tag"/>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254</Words>
  <Characters>1451</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2021-11-09T14:25:00Z</dcterms:created>
  <dc:creator>余湘君</dc:creator>
  <cp:lastModifiedBy>greatwall</cp:lastModifiedBy>
  <dcterms:modified xsi:type="dcterms:W3CDTF">2021-11-19T14:29:40Z</dcterms:modified>
  <dc:title>《温州市城市供水突发事件应急预案》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