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816" w:hanging="816" w:hangingChars="200"/>
        <w:jc w:val="both"/>
        <w:rPr>
          <w:rFonts w:hint="eastAsia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-16"/>
          <w:sz w:val="44"/>
          <w:szCs w:val="44"/>
        </w:rPr>
        <w:t>金东区工业园区“二次开发”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16"/>
          <w:sz w:val="44"/>
          <w:szCs w:val="44"/>
          <w:lang w:eastAsia="zh-CN"/>
        </w:rPr>
        <w:t>新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16"/>
          <w:sz w:val="44"/>
          <w:szCs w:val="44"/>
        </w:rPr>
        <w:t>三年行动计划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16"/>
          <w:sz w:val="44"/>
          <w:szCs w:val="44"/>
          <w:lang w:val="en-US" w:eastAsia="zh-CN"/>
        </w:rPr>
        <w:t>2.0版</w:t>
      </w:r>
      <w:r>
        <w:rPr>
          <w:rFonts w:hint="eastAsia" w:ascii="Times New Roman" w:hAnsi="Times New Roman" w:eastAsia="方正大标宋简体"/>
          <w:color w:val="000000"/>
          <w:spacing w:val="-16"/>
          <w:sz w:val="44"/>
          <w:szCs w:val="44"/>
        </w:rPr>
        <w:t>（</w:t>
      </w:r>
      <w:r>
        <w:rPr>
          <w:rFonts w:ascii="Times New Roman" w:hAnsi="Times New Roman" w:eastAsia="方正大标宋简体"/>
          <w:color w:val="000000"/>
          <w:spacing w:val="-16"/>
          <w:sz w:val="44"/>
          <w:szCs w:val="44"/>
        </w:rPr>
        <w:t>2021-2023</w:t>
      </w:r>
      <w:r>
        <w:rPr>
          <w:rFonts w:hint="eastAsia" w:ascii="Times New Roman" w:hAnsi="Times New Roman" w:eastAsia="方正大标宋简体"/>
          <w:color w:val="000000"/>
          <w:spacing w:val="-16"/>
          <w:sz w:val="44"/>
          <w:szCs w:val="44"/>
        </w:rPr>
        <w:t>年）</w:t>
      </w:r>
      <w:r>
        <w:rPr>
          <w:rFonts w:hint="eastAsia" w:ascii="Times New Roman" w:hAnsi="Times New Roman" w:eastAsia="仿宋_GB2312"/>
          <w:b/>
          <w:bCs/>
          <w:color w:val="000000"/>
          <w:sz w:val="36"/>
          <w:szCs w:val="36"/>
          <w:lang w:eastAsia="zh-CN"/>
        </w:rPr>
        <w:t>（征求意见稿）</w:t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/>
        <w:ind w:firstLine="616" w:firstLineChars="200"/>
        <w:rPr>
          <w:rFonts w:hint="eastAsia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根据</w:t>
      </w:r>
      <w:r>
        <w:rPr>
          <w:rFonts w:ascii="Times New Roman" w:hAnsi="Times New Roman" w:eastAsia="仿宋_GB2312"/>
          <w:kern w:val="2"/>
          <w:sz w:val="32"/>
          <w:szCs w:val="32"/>
        </w:rPr>
        <w:t>《浙江省人民政府关于推进低效利用建设用地二次开发的若干意见》（浙政发〔2012〕35号）、《浙江省人民政府关于深化“亩均论英雄”改革的指导意见》（浙政发〔2018〕5号）、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《金华市金东区人民政府关于推进工业用地节约集约利用的实施意见》（金区政〔</w:t>
      </w:r>
      <w:r>
        <w:rPr>
          <w:rFonts w:ascii="Times New Roman" w:hAnsi="Times New Roman" w:eastAsia="仿宋_GB2312"/>
          <w:kern w:val="2"/>
          <w:sz w:val="32"/>
          <w:szCs w:val="32"/>
        </w:rPr>
        <w:t>2014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〕</w:t>
      </w:r>
      <w:r>
        <w:rPr>
          <w:rFonts w:ascii="Times New Roman" w:hAnsi="Times New Roman" w:eastAsia="仿宋_GB2312"/>
          <w:kern w:val="2"/>
          <w:sz w:val="32"/>
          <w:szCs w:val="32"/>
        </w:rPr>
        <w:t>56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号）</w:t>
      </w:r>
      <w:r>
        <w:rPr>
          <w:rFonts w:ascii="Times New Roman" w:hAnsi="Times New Roman" w:eastAsia="仿宋_GB2312"/>
          <w:kern w:val="2"/>
          <w:sz w:val="32"/>
          <w:szCs w:val="32"/>
        </w:rPr>
        <w:t>等法律法规及文件精神</w:t>
      </w: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，深入推进全区工业园区二次开发，进一步促进工业用地空间布局优化，增强园区承载力和竞争力，提升园区整体形象，形成功能布局合理、主导产业明晰、资源集约高效、产城深度融合的工业园区体系，实现企业、园区和工业健康可持续发展，结合本区实际，制定本实施意见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一、总体目标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坚持“高起点规划、高标准改造、高水平管理、高质量发展”原则，围绕“用好总量，盘活存量，优化增量，提高质量”这一主线，全力打好“退散进园”“退污进绿”“退低进高”“退劣进优”等“四退四进”攻坚战，加快推进生产力重新布局，全力推进工业园区规模化、绿色化、现代化，计划经过三年（2021年—2023年）努力，全区各工业园区二次开发区域实现主导产业突出、基础设施完善、创新要素集聚、形象明显提升、体制机制灵活的主体功能区。</w:t>
      </w:r>
    </w:p>
    <w:p>
      <w:pPr>
        <w:widowControl/>
        <w:shd w:val="clear" w:color="auto" w:fill="FFFFFF"/>
        <w:spacing w:line="408" w:lineRule="atLeast"/>
        <w:ind w:firstLine="480"/>
        <w:jc w:val="left"/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  <w:t>——退散进园。通过生产力重新规划布局，推进工业园区深度整合、企业高度集聚。到2023年，工业企业入园率达到70%以上，其中规上工业企业入园率达到80%以上。</w:t>
      </w:r>
    </w:p>
    <w:p>
      <w:pPr>
        <w:widowControl/>
        <w:shd w:val="clear" w:color="auto" w:fill="FFFFFF"/>
        <w:spacing w:line="408" w:lineRule="atLeast"/>
        <w:ind w:firstLine="480"/>
        <w:jc w:val="left"/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  <w:t>——退污进绿。2022年底，除完成就地整治、符合环保要求的规上企业外，全区退出区域涉污企业基本关停或改造入园；2023年底，全面完成工业园区循环化改造，规上涉污企业全面推行清洁化生产；万元工业增加值能耗年均下降5%，构建形成以绿色园区、绿色企业、绿色供应链为支撑的绿色制造体系。</w:t>
      </w:r>
    </w:p>
    <w:p>
      <w:pPr>
        <w:widowControl/>
        <w:shd w:val="clear" w:color="auto" w:fill="FFFFFF"/>
        <w:spacing w:line="408" w:lineRule="atLeast"/>
        <w:ind w:firstLine="480"/>
        <w:jc w:val="left"/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  <w:t>——退低进高。坚持创新驱动、龙头引领、协同发展，推动产业从中低端向高端化发展。2021年，全面实施“脏乱差”“低小散”企业整治提升，基本完成“僵尸企业”市场出清。2023年，新兴产业增加值和高新技术产业增加值占工业的比重分别达到40%、50%以上；每个工业园区培育形成1—2个细分主导产业，成功打造若干条领跑产业链。</w:t>
      </w:r>
    </w:p>
    <w:p>
      <w:pPr>
        <w:widowControl/>
        <w:shd w:val="clear" w:color="auto" w:fill="FFFFFF"/>
        <w:spacing w:line="408" w:lineRule="atLeast"/>
        <w:ind w:firstLine="480"/>
        <w:jc w:val="left"/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  <w:t>——退劣进优。通过推动质量变革、效率变革、动力变革，促进园区提质增效。到2023年，工业园区产值年均增长10%以上，R&amp;D支出占主营业务收入的比重达到3%，培育认定“隐形冠军”企业8家以上，加快培育形成质量效益好、创新能力强、体制机制活、国际化程度高的现代化经济体系。</w:t>
      </w:r>
    </w:p>
    <w:p>
      <w:pPr>
        <w:widowControl/>
        <w:shd w:val="clear" w:color="auto" w:fill="FFFFFF"/>
        <w:spacing w:line="408" w:lineRule="atLeast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二、重点工作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（一）推动空间提升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（1）坚持规划引领。明确园区二次开发目标定位，优化完善现有规划，着力实现提高土地节约集约利用水平、优化园区生产生活生态空间格局、提升园区整体环境等目标，以吸引更多的大企业、好项目。创新园区发展理念，补齐老旧园区规划缺失短板，新供地工业项目容积率应大于等于1.5。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（2）推进低效用地盘活。力争完成6000亩以上闲置低效工业用地盘活，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年均盘活</w:t>
      </w:r>
      <w:r>
        <w:rPr>
          <w:rFonts w:hint="eastAsia" w:eastAsia="仿宋_GB2312" w:cs="仿宋_GB2312"/>
          <w:spacing w:val="-6"/>
          <w:sz w:val="32"/>
          <w:szCs w:val="32"/>
        </w:rPr>
        <w:t>2000亩以上。新建标准厂房150万平方米以上，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年均新建</w:t>
      </w: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50</w:t>
      </w:r>
      <w:r>
        <w:rPr>
          <w:rFonts w:hint="eastAsia" w:eastAsia="仿宋_GB2312" w:cs="仿宋_GB2312"/>
          <w:spacing w:val="-6"/>
          <w:sz w:val="32"/>
          <w:szCs w:val="32"/>
        </w:rPr>
        <w:t>万平方米以上。改造旧厂房150万平方米以上，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年均改造</w:t>
      </w: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50</w:t>
      </w:r>
      <w:r>
        <w:rPr>
          <w:rFonts w:hint="eastAsia" w:eastAsia="仿宋_GB2312" w:cs="仿宋_GB2312"/>
          <w:spacing w:val="-6"/>
          <w:sz w:val="32"/>
          <w:szCs w:val="32"/>
        </w:rPr>
        <w:t>万平方米以上。结合工业企业亩均效益综合评价，对亩均税收</w:t>
      </w: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spacing w:val="-6"/>
          <w:sz w:val="32"/>
          <w:szCs w:val="32"/>
        </w:rPr>
        <w:t>万元以下企业，制定具体改造提升方案和措施，推动收回一批，改造一批和转让一批。同时，加大连片开发和政策倒逼力度，提高土地产出效益。</w:t>
      </w:r>
    </w:p>
    <w:p>
      <w:pPr>
        <w:pStyle w:val="7"/>
        <w:shd w:val="clear" w:color="auto" w:fill="FFFFFF"/>
        <w:spacing w:before="0" w:beforeAutospacing="0" w:after="0" w:afterAutospacing="0"/>
        <w:ind w:firstLine="616" w:firstLineChars="200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收回一批。建立科学的工业用地收回机制，成立收回基金，合理设定工业用地补偿价格，运用法律手段依法收回和协商收回，对进入市场交易、司法拍卖的土地，所在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乡镇（街道）</w:t>
      </w:r>
      <w:r>
        <w:rPr>
          <w:rFonts w:hint="eastAsia" w:eastAsia="仿宋_GB2312" w:cs="仿宋_GB2312"/>
          <w:spacing w:val="-6"/>
          <w:sz w:val="32"/>
          <w:szCs w:val="32"/>
        </w:rPr>
        <w:t>及时掌握工业用地交易情况并提交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spacing w:val="-6"/>
          <w:sz w:val="32"/>
          <w:szCs w:val="32"/>
        </w:rPr>
        <w:t>政府决策，且由国资主体优先收购。改造一批。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重点是支持企业在符合产业政策，以及满足技术规范和标准的前提下节地挖潜，鼓励企业对原厂区进行全面改造，新建、改扩建多层厂房，扩大生产性用房，提高土地利用效率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spacing w:val="-6"/>
          <w:sz w:val="32"/>
          <w:szCs w:val="32"/>
        </w:rPr>
        <w:t>转让一批。推进低效用地整治，通过合理流转进行重新开发利用。经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spacing w:val="-6"/>
          <w:sz w:val="32"/>
          <w:szCs w:val="32"/>
        </w:rPr>
        <w:t>政府同意，允许市场主体以转让方式取得相邻多宗地块集中开发；涉及多个土地权属人的改造项目，允许协商确定一个改造主体开展归宗改造。对土地年限不一致的，可经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spacing w:val="-6"/>
          <w:sz w:val="32"/>
          <w:szCs w:val="32"/>
        </w:rPr>
        <w:t>政府集体研究，补缴土地出让金办理。连片开发。通过原址整治提升、依法收回改变用途后重新出让、依法收回进行复垦等多种方式稳步推进整治步伐，确保取得预期成效。政策倒逼。加大倒逼转型力度，综合运用差别化电价、水价等措施，倒逼企业整改提升或出清，对工业园区内低效用地企业，税务部门加强稽查，供电部门配合做好差别化电价的执行工作，金融办提醒、引导银行关注企业经营状况。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（3）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加快</w:t>
      </w:r>
      <w:r>
        <w:rPr>
          <w:rFonts w:hint="eastAsia" w:eastAsia="仿宋_GB2312" w:cs="仿宋_GB2312"/>
          <w:spacing w:val="-6"/>
          <w:sz w:val="32"/>
          <w:szCs w:val="32"/>
        </w:rPr>
        <w:t>小微园创建。以“打造小微企业创业园升级版，助推小微企业集聚转型发展”为目标，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力争</w:t>
      </w:r>
      <w:r>
        <w:rPr>
          <w:rFonts w:hint="eastAsia" w:eastAsia="仿宋_GB2312" w:cs="仿宋_GB2312"/>
          <w:spacing w:val="-6"/>
          <w:sz w:val="32"/>
          <w:szCs w:val="32"/>
        </w:rPr>
        <w:t>完成小微企业园建设</w:t>
      </w:r>
      <w:r>
        <w:rPr>
          <w:rFonts w:eastAsia="仿宋_GB2312" w:cs="仿宋_GB2312"/>
          <w:spacing w:val="-6"/>
          <w:sz w:val="32"/>
          <w:szCs w:val="32"/>
        </w:rPr>
        <w:t>30</w:t>
      </w:r>
      <w:r>
        <w:rPr>
          <w:rFonts w:hint="eastAsia" w:eastAsia="仿宋_GB2312" w:cs="仿宋_GB2312"/>
          <w:spacing w:val="-6"/>
          <w:sz w:val="32"/>
          <w:szCs w:val="32"/>
        </w:rPr>
        <w:t>家以上，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年均完成建设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家以上。</w:t>
      </w:r>
      <w:r>
        <w:rPr>
          <w:rFonts w:hint="eastAsia" w:eastAsia="仿宋_GB2312" w:cs="仿宋_GB2312"/>
          <w:spacing w:val="-6"/>
          <w:sz w:val="32"/>
          <w:szCs w:val="32"/>
        </w:rPr>
        <w:t>坚持“一园一业”、“一园一品”原则，通过政府主导，市场化运作方式，发展“小而专”、“小而精”、“小而特”、“小而新”的特色小微企业园。鼓励乡镇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pacing w:val="-6"/>
          <w:sz w:val="32"/>
          <w:szCs w:val="32"/>
        </w:rPr>
        <w:t>街道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）</w:t>
      </w:r>
      <w:r>
        <w:rPr>
          <w:rFonts w:hint="eastAsia" w:eastAsia="仿宋_GB2312" w:cs="仿宋_GB2312"/>
          <w:spacing w:val="-6"/>
          <w:sz w:val="32"/>
          <w:szCs w:val="32"/>
        </w:rPr>
        <w:t>收回低效用地建设小微园区，引导园区外符合条件的小微企业应进尽进。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（4）加强规范管理。强化全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spacing w:val="-6"/>
          <w:sz w:val="32"/>
          <w:szCs w:val="32"/>
        </w:rPr>
        <w:t>一盘棋理念，对土地、能耗、资金、排污权等要素资源实行统一配置；提高准入门槛，落实产业目录和负面清单，坚决杜绝落后产能和“四无”企业入园；加强土地管理，严格控制低效工业用地转让，对未经批准转让的不予办理土地变更；加强司法拍卖企业的管理，凡参与司法拍卖的企业主体需经过项目预审，未经预审拍得的土地办理预登记；对工业园区内高税无地（少地）企业，每年择优选取若干家企业予以优先供地；对非工业用地项目逐宗梳理调查，符合改建工业用地条件的原则上要求改为工业用地项目，不符合工业用地条件的应调整用地性质。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（二）推动产业提升</w:t>
      </w:r>
    </w:p>
    <w:p>
      <w:pPr>
        <w:spacing w:line="560" w:lineRule="exact"/>
        <w:ind w:firstLine="636"/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pacing w:val="-6"/>
          <w:kern w:val="0"/>
          <w:sz w:val="32"/>
          <w:szCs w:val="32"/>
          <w:lang w:val="en-US" w:eastAsia="zh-CN" w:bidi="ar-SA"/>
        </w:rPr>
        <w:t>立足各工业园区实际情况及后续规划设计发展方向，围绕五金工量具、塑棉制品、建筑建材和食品加工等四大传统制造业，推动传统制造业产业集聚、区域链融合，实现规模和效益双提升。到2023年，力争四大重点传统产业规上企业达到300家以上，产值达到240亿元。其中五金工量具行业规上企业80家、产值75亿元，塑棉制品行业规上企业150家、产值100亿元，建筑建材行业规上企业50家、产值55亿元，食品加工行业规上企业20家、产值10亿元。年均整治提升“低散乱”企业（作坊）100家以上，年均淘汰落后和过剩产能企业8家以上。精准实施“招、改、组”，着力提质增效，产业优化，吸引优质项目落地，推动工业园区产业转型升级。</w:t>
      </w:r>
    </w:p>
    <w:p>
      <w:pPr>
        <w:numPr>
          <w:ilvl w:val="0"/>
          <w:numId w:val="1"/>
        </w:numPr>
        <w:snapToGrid w:val="0"/>
        <w:spacing w:line="600" w:lineRule="exact"/>
        <w:ind w:firstLine="645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精准谋划招商引资。基于各工业园区产业特色和功能定位，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大力引进培育重点细分新兴产业，形成</w:t>
      </w:r>
      <w:r>
        <w:rPr>
          <w:rFonts w:ascii="Times New Roman" w:hAnsi="Times New Roman" w:eastAsia="仿宋_GB2312"/>
          <w:color w:val="000000"/>
          <w:sz w:val="32"/>
          <w:szCs w:val="32"/>
        </w:rPr>
        <w:t>3+N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个具有金东特色的主导产业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pacing w:val="-6"/>
          <w:sz w:val="32"/>
          <w:szCs w:val="32"/>
        </w:rPr>
        <w:t>精准、全力开展招商引资，通过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全员招商、</w:t>
      </w:r>
      <w:r>
        <w:rPr>
          <w:rFonts w:hint="eastAsia" w:eastAsia="仿宋_GB2312" w:cs="仿宋_GB2312"/>
          <w:spacing w:val="-6"/>
          <w:sz w:val="32"/>
          <w:szCs w:val="32"/>
        </w:rPr>
        <w:t>专业招商、产业招商、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乡贤招商、</w:t>
      </w:r>
      <w:r>
        <w:rPr>
          <w:rFonts w:hint="eastAsia" w:eastAsia="仿宋_GB2312" w:cs="仿宋_GB2312"/>
          <w:spacing w:val="-6"/>
          <w:sz w:val="32"/>
          <w:szCs w:val="32"/>
        </w:rPr>
        <w:t>以商招商等形式积极招引一批高端优质项目落地，重点瞄准高端制造、新能源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汽车</w:t>
      </w:r>
      <w:r>
        <w:rPr>
          <w:rFonts w:hint="eastAsia" w:eastAsia="仿宋_GB2312" w:cs="仿宋_GB2312"/>
          <w:spacing w:val="-6"/>
          <w:sz w:val="32"/>
          <w:szCs w:val="32"/>
        </w:rPr>
        <w:t>、节能环保、新一代信息技术等新兴产业，并大力吸引工业园区产业上下游优质企业，延伸产业链条，增强园区产业核心竞争力，形成园区特色产业。统筹考虑土地等资源要素配置，为“大好高”项目预留空间，优先保证落地。</w:t>
      </w:r>
    </w:p>
    <w:p>
      <w:pPr>
        <w:numPr>
          <w:ilvl w:val="0"/>
          <w:numId w:val="0"/>
        </w:numPr>
        <w:snapToGrid w:val="0"/>
        <w:spacing w:line="600" w:lineRule="exact"/>
        <w:ind w:firstLine="592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江岭高新智造区全力发展新能源汽车及相关配套产业，培育发展先进装备制造业，力争成为全市的重要新能源汽车产业基地。多湖中央未来区着力发展面向制造业的工业设计、技术创新等生产性服务业，加快推动传统工业向都市型工业转型。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东孝、孝顺、傅村、</w:t>
      </w:r>
      <w:r>
        <w:rPr>
          <w:rFonts w:hint="eastAsia" w:eastAsia="仿宋_GB2312" w:cs="仿宋_GB2312"/>
          <w:spacing w:val="-6"/>
          <w:sz w:val="32"/>
          <w:szCs w:val="32"/>
        </w:rPr>
        <w:t>曹宅、塘雅等工业园区依托区位交通优势以及浙中公铁水联运港等平台，积极培育做大现有优势产业，形成自身产业特色。</w:t>
      </w:r>
    </w:p>
    <w:p>
      <w:pPr>
        <w:numPr>
          <w:ilvl w:val="0"/>
          <w:numId w:val="0"/>
        </w:numPr>
        <w:snapToGrid w:val="0"/>
        <w:spacing w:line="600" w:lineRule="exact"/>
        <w:ind w:firstLine="592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（2）加大改造升级力度。通过支持产能倍增、开展招商引资项目“回头看”、实施数字化赋能等方式，鼓励企业加大技改投入，促进企业转型升级和工业园区结构优化。</w:t>
      </w:r>
    </w:p>
    <w:p>
      <w:pPr>
        <w:numPr>
          <w:ilvl w:val="0"/>
          <w:numId w:val="0"/>
        </w:numPr>
        <w:snapToGrid w:val="0"/>
        <w:spacing w:line="600" w:lineRule="exact"/>
        <w:ind w:firstLine="592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支持产能倍增。对上年度企业销售达到1亿元以上或年税收达到300万元以上，现有土地、产能、核定能耗、核定排放等指标利用率80%以上的B类以上企业，鼓励其通过零地技改、提高容积率等方式实现产能倍增。利用原有厂房改建扩建新增项目的，优先保障用地、能耗、排放指标及资金筹措。</w:t>
      </w:r>
    </w:p>
    <w:p>
      <w:pPr>
        <w:numPr>
          <w:ilvl w:val="0"/>
          <w:numId w:val="0"/>
        </w:numPr>
        <w:snapToGrid w:val="0"/>
        <w:spacing w:line="600" w:lineRule="exact"/>
        <w:ind w:firstLine="592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开展招商引资项目“回头看”。全面梳理近三年内新招引项目的落地、投产及效益情况，重点对签约未开工、开工未竣工、竣工未投产、投产未上规、上规未达产等“五未”项目进行“回头看”。同时，核查项目协议履约情况，包括投资强度、亩均税收等，督促项目按协议要求开展建设，确保项目有推进、见成效。</w:t>
      </w:r>
    </w:p>
    <w:p>
      <w:pPr>
        <w:numPr>
          <w:ilvl w:val="0"/>
          <w:numId w:val="0"/>
        </w:numPr>
        <w:snapToGrid w:val="0"/>
        <w:spacing w:line="600" w:lineRule="exact"/>
        <w:ind w:firstLine="592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实施数字化赋能。推动园区内传统行业开展数字化转型，利用推广物联网、工业互联网等技术，打造数字化设计、智能化生产、智慧化管理、协同化制造、绿色化制造、安全化管控和效益大幅提升的现代化工厂。</w:t>
      </w:r>
    </w:p>
    <w:p>
      <w:pPr>
        <w:numPr>
          <w:ilvl w:val="0"/>
          <w:numId w:val="0"/>
        </w:numPr>
        <w:snapToGrid w:val="0"/>
        <w:spacing w:line="600" w:lineRule="exact"/>
        <w:ind w:firstLine="592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开展电商销售。鼓励企业借助各类线上平台、特色电商、企业自营平台等拓宽线上销售渠道，逐步扩大内循环范围。</w:t>
      </w:r>
    </w:p>
    <w:p>
      <w:pPr>
        <w:numPr>
          <w:ilvl w:val="0"/>
          <w:numId w:val="0"/>
        </w:numPr>
        <w:snapToGrid w:val="0"/>
        <w:spacing w:line="600" w:lineRule="exact"/>
        <w:ind w:firstLine="592"/>
        <w:rPr>
          <w:rFonts w:hint="eastAsia" w:eastAsia="仿宋_GB2312" w:cs="仿宋_GB2312"/>
          <w:spacing w:val="-6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（3）支持兼并重组，加强主体培育。鼓励国家级领航企业、单项冠军企业、专精特新“小巨人”企业、行业龙头企业等优质企业并购我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spacing w:val="-6"/>
          <w:sz w:val="32"/>
          <w:szCs w:val="32"/>
        </w:rPr>
        <w:t>重点培育制造业企业。选择一批核心竞争力强、带动效应明显、企业规模及亩均效益处于行业前列的骨干企业，加大“隐形冠军、专精特新、雏鹰行动”培育力度，使其成为“品牌型、上市型、高新型、智能型、产业联盟主导型”的“五型企业”。积极创造条件，利用剩余土地资源和闲置低效用地，重点帮助现有园区传统优势企业和产业做强做大，推动低效向高效转变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（三）推动形象提升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把美丽园区打造成营商环境最优区的重要窗口，继续巩固扩大园区“四化”改造提升、围墙通透化改造、美丽厂区创建成效，为新区企业打造宜业、兴业的发展环境。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16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spacing w:val="-6"/>
          <w:sz w:val="32"/>
          <w:szCs w:val="32"/>
          <w:lang w:eastAsia="zh-CN"/>
        </w:rPr>
        <w:t>）实施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“四化”改造提升</w:t>
      </w:r>
      <w:r>
        <w:rPr>
          <w:rFonts w:hint="eastAsia" w:eastAsia="仿宋_GB2312" w:cs="仿宋_GB2312"/>
          <w:spacing w:val="-6"/>
          <w:sz w:val="32"/>
          <w:szCs w:val="32"/>
        </w:rPr>
        <w:t>。不断加强、完善园区交通运输、供水、供电、排污、绿化等市政基础设施，实现园区内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主干路平整无破损、道路两旁路灯和绿化全覆盖、园区标识清晰明了。此外，结合园区实际情况，突出抓好四个一的标配，即一个特色路口、一条示范线路、一套标识系统、一批服务配套。在2020年岭下镇、江东镇、塘雅镇美丽园区创建成果的基础上，2021年以孝顺低田工业功能区、曹宅镇工业功能区为重点，大力实施杜宅工业区主要道路两侧人行道硬化、弱电下地等工程，低田工业功能区主要道路系统优化、标线施划等工程，争取2021年底前完成园区绿化、美化、亮化、洁化提档改造，使园区面貌焕然一新。同时继续深化傅村、塘雅、江东、鞋塘“四化”改造提升项目，争取到2021年底我区工业园区“四化”改造提升全覆盖。围墙通透化改造方面，以2020年改造企业为样板，加快实施企业围墙通透化改造，力争2021年底前园区主干道两侧企业围墙全部实现通透化。到2023年，全区域工业功能区完成美丽园区创建，全面打造成园区环境优美、功能配套齐全、生产生活便利的金东特色营商环境。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320" w:firstLineChars="1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2）实施环境综合整治。围绕“干净、整洁、有序”的目标，完善工作机制，充分发动企业力量，重点治理厂区和工业园区内乱堆乱放、标识不清、杂草丛生、泥土裸露等现象。落实园区内企业“门前三包”责任制，“三废”处置及垃圾分类按标准执行。着力改善厂容厂貌，做到外立面无破损、无脱落，并统一粉刷亮化，创建一批美丽厂区，以全区规上工业企业为重点实施“五美”创建，力争2023年底前规上工业企业创建率50%以上。坚持“保基本、保重点、保民生”的原则，因地制宜，量力而行，积极开展园区和厂区环境综合整治，有序推进基础配套和公共服务设施提升，逐步改善园区整体形象和功能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（四）推动效益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eastAsia="zh-CN"/>
        </w:rPr>
        <w:t>、服务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提升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1）建立健全考评机制。统筹考虑基数与增速，对各工业园区规上工业总产值和工业用地亩均税收进行排名，并对空间提升、产业提升、形象提升、效益和服务提升情况进行全面评价，确保真实客观反映“二次开发”成效。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2）建立亩均效益模型。结合亩均效益评价体系，建立各种要素投入和产出的经济效益之间的亩均效益比例模型，借助模型精准分析园区内企业运行实际情况，引导企业向好、向优发展。年均整治低效工业企业315家以上、面积4000亩以上，推动自有用地20亩以上三年未上规企业上规，推动工业亩均税收年均增长2%以上，规上工业亩均税收年均增长10%以上。</w:t>
      </w:r>
    </w:p>
    <w:p>
      <w:pPr>
        <w:pStyle w:val="7"/>
        <w:shd w:val="clear" w:color="auto" w:fill="FFFFFF"/>
        <w:spacing w:before="0" w:beforeAutospacing="0" w:after="0" w:afterAutospacing="0"/>
        <w:ind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3）推进智慧园区建设。加大园区信息基础设施建设，提升光纤宽带网、公共移动通信网、无线局域网等基础设施水平，不断满足企业经营、产业发展以及园区管理数字化、信息化、网络化、智能化需求。利用大数据、云计算、物联网、移动互联等手段，以工业园区为单元，打造智慧、数字化园区。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4）提升服务配套水平。纵深推进“最多跑一次”改革，落实全程代理服务，协调解决企业土地厂房、奖励补助、改造提升、员工招引等事项，让“政府跑”代替“企业跑”，打造一流营商环境。加强公共配套设施建设，引导和鼓励社会资金和有关企业在园区完善餐饮、住宿、休闲等配套服务，提升园区综合承载力。结合实际情况，配套建设安居房，解决部分外来职工住房问题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三、工作要求</w:t>
      </w:r>
    </w:p>
    <w:p>
      <w:pPr>
        <w:widowControl/>
        <w:snapToGrid w:val="0"/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（一）加强组织领导。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成立区工业园区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二次开发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工作领导小组，由区长任组长，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分管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副区长任副组长。领导小组下设办公室，吴谊林兼任办公室主任，徐朝阳兼任办公室副主任，负责统筹推进全区工业园区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二次开发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工作。成立由相关部门负责人组成的专项服务小组，及时协调解决问题，全力支持配合乡镇做好联合执法、空间盘活等工作。各乡镇（街道）要落实主体责任，完善工作机制，全力抓好推进落实。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（二）加强政策保障。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全面梳理汇总工业园区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二次开发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相关政策，研究制定必要的实施细则，保障工作推进。全面推行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标准地</w:t>
      </w:r>
      <w:r>
        <w:rPr>
          <w:rFonts w:ascii="Times New Roman" w:hAnsi="Times New Roman" w:eastAsia="仿宋_GB2312"/>
          <w:color w:val="000000"/>
          <w:sz w:val="32"/>
          <w:szCs w:val="32"/>
        </w:rPr>
        <w:t>+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承诺制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改革，严格项目用地准入和土地出让合同管理，加快新项目落地推进。加大政策投入，重点用于土地盘活收回以及基础设施和公共服务配套提升。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（三）加强宣传引导。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通过电视、报刊、微信等传统和新型媒体，加强对工业园区二次开发的政策宣传，及时报道园区二次开发最新动向，营造良好的氛围。加强对试点园区和改造后成效显著企业的宣传力度，培育树立和宣传典型，引导全区各工业园区全力推进二次开发工作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）加强督查考核。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区委区政府督查室对各乡镇（街道）、相关部门工作开展情况进行不定期的督查考核，结果列入年度乡镇（街道）、部门党政目标责任制考核，对工作成效突出的给予一定奖励，对思想重视不够、措施不力、工作不实的予以通报批评。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 w:cs="Times New Roman"/>
          <w:kern w:val="0"/>
          <w:sz w:val="31"/>
          <w:szCs w:val="31"/>
        </w:rPr>
      </w:pPr>
      <w:r>
        <w:rPr>
          <w:rFonts w:hint="eastAsia" w:ascii="Times New Roman" w:hAnsi="Times New Roman" w:eastAsia="仿宋_GB2312" w:cs="Times New Roman"/>
          <w:kern w:val="0"/>
          <w:sz w:val="31"/>
          <w:szCs w:val="31"/>
        </w:rPr>
        <w:t>本意见自</w:t>
      </w:r>
      <w:r>
        <w:rPr>
          <w:rFonts w:ascii="Times New Roman" w:hAnsi="Times New Roman" w:eastAsia="仿宋_GB2312" w:cs="Times New Roman"/>
          <w:kern w:val="0"/>
          <w:sz w:val="31"/>
          <w:szCs w:val="31"/>
        </w:rPr>
        <w:t>2021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</w:rPr>
        <w:t>日起实施。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pacing w:val="-17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pacing w:val="-17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pacing w:val="-17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pacing w:val="-17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pacing w:val="-17"/>
          <w:sz w:val="44"/>
          <w:szCs w:val="44"/>
        </w:rPr>
      </w:pPr>
    </w:p>
    <w:p>
      <w:pPr>
        <w:snapToGrid w:val="0"/>
        <w:spacing w:line="20" w:lineRule="exact"/>
        <w:rPr>
          <w:rFonts w:ascii="Times New Roman" w:hAnsi="Times New Roman"/>
          <w:color w:val="00000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1 -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FA532"/>
    <w:multiLevelType w:val="singleLevel"/>
    <w:tmpl w:val="9ACFA53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5"/>
    <w:rsid w:val="00001425"/>
    <w:rsid w:val="00004159"/>
    <w:rsid w:val="00007C07"/>
    <w:rsid w:val="00023016"/>
    <w:rsid w:val="00023874"/>
    <w:rsid w:val="00030957"/>
    <w:rsid w:val="00043F09"/>
    <w:rsid w:val="000500CF"/>
    <w:rsid w:val="000506F3"/>
    <w:rsid w:val="00050780"/>
    <w:rsid w:val="00053577"/>
    <w:rsid w:val="00060CA2"/>
    <w:rsid w:val="00066C6A"/>
    <w:rsid w:val="0008239F"/>
    <w:rsid w:val="0008444C"/>
    <w:rsid w:val="00086F5A"/>
    <w:rsid w:val="00093E70"/>
    <w:rsid w:val="000A19D0"/>
    <w:rsid w:val="000A74D6"/>
    <w:rsid w:val="000B01D2"/>
    <w:rsid w:val="000B7542"/>
    <w:rsid w:val="000D6D10"/>
    <w:rsid w:val="000E305B"/>
    <w:rsid w:val="000F6A05"/>
    <w:rsid w:val="00103828"/>
    <w:rsid w:val="0010699E"/>
    <w:rsid w:val="00107F85"/>
    <w:rsid w:val="00121C11"/>
    <w:rsid w:val="00125625"/>
    <w:rsid w:val="00131191"/>
    <w:rsid w:val="001420C2"/>
    <w:rsid w:val="00157E11"/>
    <w:rsid w:val="001632B2"/>
    <w:rsid w:val="00163821"/>
    <w:rsid w:val="001709C0"/>
    <w:rsid w:val="00196378"/>
    <w:rsid w:val="001A1A0B"/>
    <w:rsid w:val="001A7BCF"/>
    <w:rsid w:val="001B4A0E"/>
    <w:rsid w:val="001C62C1"/>
    <w:rsid w:val="001D084C"/>
    <w:rsid w:val="001D2375"/>
    <w:rsid w:val="001E74EB"/>
    <w:rsid w:val="001F1EE9"/>
    <w:rsid w:val="00200239"/>
    <w:rsid w:val="00200363"/>
    <w:rsid w:val="00201BEA"/>
    <w:rsid w:val="0020282F"/>
    <w:rsid w:val="0021158D"/>
    <w:rsid w:val="00224EF9"/>
    <w:rsid w:val="00232284"/>
    <w:rsid w:val="00237D4C"/>
    <w:rsid w:val="00243CBD"/>
    <w:rsid w:val="00253180"/>
    <w:rsid w:val="00254895"/>
    <w:rsid w:val="0025797F"/>
    <w:rsid w:val="00292FBB"/>
    <w:rsid w:val="002A465E"/>
    <w:rsid w:val="002A553D"/>
    <w:rsid w:val="002C1D8C"/>
    <w:rsid w:val="002E294F"/>
    <w:rsid w:val="002E5C77"/>
    <w:rsid w:val="002F48B1"/>
    <w:rsid w:val="00302F0F"/>
    <w:rsid w:val="003042A9"/>
    <w:rsid w:val="00316B62"/>
    <w:rsid w:val="00322683"/>
    <w:rsid w:val="0033602D"/>
    <w:rsid w:val="003378E5"/>
    <w:rsid w:val="00340C76"/>
    <w:rsid w:val="00350BB2"/>
    <w:rsid w:val="00352638"/>
    <w:rsid w:val="00370381"/>
    <w:rsid w:val="0037245C"/>
    <w:rsid w:val="003727A2"/>
    <w:rsid w:val="00387395"/>
    <w:rsid w:val="00397534"/>
    <w:rsid w:val="003A4C55"/>
    <w:rsid w:val="003B0D30"/>
    <w:rsid w:val="003C53A1"/>
    <w:rsid w:val="003D068D"/>
    <w:rsid w:val="003D6E3E"/>
    <w:rsid w:val="003E72C7"/>
    <w:rsid w:val="004054A3"/>
    <w:rsid w:val="004123EA"/>
    <w:rsid w:val="004151FB"/>
    <w:rsid w:val="004241D2"/>
    <w:rsid w:val="00431254"/>
    <w:rsid w:val="00435E8A"/>
    <w:rsid w:val="00443376"/>
    <w:rsid w:val="004553F3"/>
    <w:rsid w:val="0046204A"/>
    <w:rsid w:val="00466C0E"/>
    <w:rsid w:val="004708F1"/>
    <w:rsid w:val="0047656C"/>
    <w:rsid w:val="00487A4B"/>
    <w:rsid w:val="004A1BE9"/>
    <w:rsid w:val="004A35A9"/>
    <w:rsid w:val="004B324A"/>
    <w:rsid w:val="004B4C36"/>
    <w:rsid w:val="004C07DD"/>
    <w:rsid w:val="004D19EC"/>
    <w:rsid w:val="004D41E5"/>
    <w:rsid w:val="004E4C62"/>
    <w:rsid w:val="004E5D3A"/>
    <w:rsid w:val="004E70AF"/>
    <w:rsid w:val="004F54FF"/>
    <w:rsid w:val="00507093"/>
    <w:rsid w:val="005070DE"/>
    <w:rsid w:val="00543597"/>
    <w:rsid w:val="005567C5"/>
    <w:rsid w:val="005567E9"/>
    <w:rsid w:val="005570AF"/>
    <w:rsid w:val="005640FA"/>
    <w:rsid w:val="00565FD7"/>
    <w:rsid w:val="00570C48"/>
    <w:rsid w:val="00575C57"/>
    <w:rsid w:val="005925FA"/>
    <w:rsid w:val="0059453D"/>
    <w:rsid w:val="00594A2C"/>
    <w:rsid w:val="005B363E"/>
    <w:rsid w:val="005B42FB"/>
    <w:rsid w:val="005D2DA1"/>
    <w:rsid w:val="005D4B2F"/>
    <w:rsid w:val="0061035D"/>
    <w:rsid w:val="00625564"/>
    <w:rsid w:val="00637BC9"/>
    <w:rsid w:val="00640793"/>
    <w:rsid w:val="00641A0B"/>
    <w:rsid w:val="006566E3"/>
    <w:rsid w:val="00680425"/>
    <w:rsid w:val="00697133"/>
    <w:rsid w:val="006B0FA2"/>
    <w:rsid w:val="006B71A4"/>
    <w:rsid w:val="006C50BF"/>
    <w:rsid w:val="006F7CD5"/>
    <w:rsid w:val="00730AE4"/>
    <w:rsid w:val="007312D1"/>
    <w:rsid w:val="00741DAC"/>
    <w:rsid w:val="00745C2B"/>
    <w:rsid w:val="0075292D"/>
    <w:rsid w:val="00761670"/>
    <w:rsid w:val="007633F3"/>
    <w:rsid w:val="00777289"/>
    <w:rsid w:val="00785B9E"/>
    <w:rsid w:val="00790F92"/>
    <w:rsid w:val="00793598"/>
    <w:rsid w:val="007A5C4F"/>
    <w:rsid w:val="007B7F66"/>
    <w:rsid w:val="007C4CE6"/>
    <w:rsid w:val="007C7D93"/>
    <w:rsid w:val="007D07A6"/>
    <w:rsid w:val="007F556B"/>
    <w:rsid w:val="00811281"/>
    <w:rsid w:val="00814F5B"/>
    <w:rsid w:val="0082225E"/>
    <w:rsid w:val="00830166"/>
    <w:rsid w:val="008473C3"/>
    <w:rsid w:val="0085058F"/>
    <w:rsid w:val="008541B5"/>
    <w:rsid w:val="0085437A"/>
    <w:rsid w:val="008606FA"/>
    <w:rsid w:val="00860D67"/>
    <w:rsid w:val="00865AAC"/>
    <w:rsid w:val="0088324C"/>
    <w:rsid w:val="008846A5"/>
    <w:rsid w:val="00886266"/>
    <w:rsid w:val="00891931"/>
    <w:rsid w:val="00896A95"/>
    <w:rsid w:val="008A26D6"/>
    <w:rsid w:val="008B2124"/>
    <w:rsid w:val="008B515A"/>
    <w:rsid w:val="008B71A4"/>
    <w:rsid w:val="008D61DE"/>
    <w:rsid w:val="008E72D9"/>
    <w:rsid w:val="008F09C5"/>
    <w:rsid w:val="008F374E"/>
    <w:rsid w:val="009079B7"/>
    <w:rsid w:val="00922C0E"/>
    <w:rsid w:val="0092549E"/>
    <w:rsid w:val="009311DA"/>
    <w:rsid w:val="009317EF"/>
    <w:rsid w:val="00934168"/>
    <w:rsid w:val="00935198"/>
    <w:rsid w:val="00944B36"/>
    <w:rsid w:val="00965301"/>
    <w:rsid w:val="009859E2"/>
    <w:rsid w:val="00994D22"/>
    <w:rsid w:val="009A405F"/>
    <w:rsid w:val="009B00AB"/>
    <w:rsid w:val="009B7AC8"/>
    <w:rsid w:val="009C5F79"/>
    <w:rsid w:val="009D544B"/>
    <w:rsid w:val="009E6526"/>
    <w:rsid w:val="009E65C4"/>
    <w:rsid w:val="009F09AA"/>
    <w:rsid w:val="009F3283"/>
    <w:rsid w:val="009F5AB4"/>
    <w:rsid w:val="00A120F5"/>
    <w:rsid w:val="00A1652D"/>
    <w:rsid w:val="00A463B7"/>
    <w:rsid w:val="00A52873"/>
    <w:rsid w:val="00A5783B"/>
    <w:rsid w:val="00A8057F"/>
    <w:rsid w:val="00A80F10"/>
    <w:rsid w:val="00A92643"/>
    <w:rsid w:val="00AA3AF1"/>
    <w:rsid w:val="00AA4958"/>
    <w:rsid w:val="00AB55F5"/>
    <w:rsid w:val="00AB7304"/>
    <w:rsid w:val="00AC18A8"/>
    <w:rsid w:val="00AD7458"/>
    <w:rsid w:val="00AE072C"/>
    <w:rsid w:val="00AE4234"/>
    <w:rsid w:val="00AE4DB3"/>
    <w:rsid w:val="00AE5772"/>
    <w:rsid w:val="00AF7BDF"/>
    <w:rsid w:val="00B100D9"/>
    <w:rsid w:val="00B12B43"/>
    <w:rsid w:val="00B3469B"/>
    <w:rsid w:val="00B349F2"/>
    <w:rsid w:val="00B37CE4"/>
    <w:rsid w:val="00B42271"/>
    <w:rsid w:val="00B560E1"/>
    <w:rsid w:val="00B635B5"/>
    <w:rsid w:val="00B672E9"/>
    <w:rsid w:val="00B676C4"/>
    <w:rsid w:val="00B678F2"/>
    <w:rsid w:val="00B72AD0"/>
    <w:rsid w:val="00B82658"/>
    <w:rsid w:val="00B90A80"/>
    <w:rsid w:val="00BA3C0D"/>
    <w:rsid w:val="00BB7EFE"/>
    <w:rsid w:val="00BC478F"/>
    <w:rsid w:val="00BC7926"/>
    <w:rsid w:val="00BD2B6B"/>
    <w:rsid w:val="00BD6980"/>
    <w:rsid w:val="00BE21D6"/>
    <w:rsid w:val="00C15550"/>
    <w:rsid w:val="00C176BE"/>
    <w:rsid w:val="00C3396D"/>
    <w:rsid w:val="00C468CF"/>
    <w:rsid w:val="00C511C2"/>
    <w:rsid w:val="00C532A7"/>
    <w:rsid w:val="00C5349F"/>
    <w:rsid w:val="00C61A89"/>
    <w:rsid w:val="00C928C5"/>
    <w:rsid w:val="00C935E8"/>
    <w:rsid w:val="00C963E2"/>
    <w:rsid w:val="00CA7012"/>
    <w:rsid w:val="00CB06FD"/>
    <w:rsid w:val="00CB2FA0"/>
    <w:rsid w:val="00CC7A09"/>
    <w:rsid w:val="00CC7B5E"/>
    <w:rsid w:val="00CD446B"/>
    <w:rsid w:val="00CF293C"/>
    <w:rsid w:val="00D06C86"/>
    <w:rsid w:val="00D174ED"/>
    <w:rsid w:val="00D21B9D"/>
    <w:rsid w:val="00D26243"/>
    <w:rsid w:val="00D4183C"/>
    <w:rsid w:val="00D423FC"/>
    <w:rsid w:val="00D47178"/>
    <w:rsid w:val="00D53974"/>
    <w:rsid w:val="00D6219F"/>
    <w:rsid w:val="00D854DB"/>
    <w:rsid w:val="00D93004"/>
    <w:rsid w:val="00DA10DE"/>
    <w:rsid w:val="00DA6BD2"/>
    <w:rsid w:val="00DE077A"/>
    <w:rsid w:val="00DE27D3"/>
    <w:rsid w:val="00DE4BA4"/>
    <w:rsid w:val="00DF3DEC"/>
    <w:rsid w:val="00E00583"/>
    <w:rsid w:val="00E1376E"/>
    <w:rsid w:val="00E23E5D"/>
    <w:rsid w:val="00E559BC"/>
    <w:rsid w:val="00E7188C"/>
    <w:rsid w:val="00E73981"/>
    <w:rsid w:val="00EC3D3B"/>
    <w:rsid w:val="00ED1DEF"/>
    <w:rsid w:val="00ED2559"/>
    <w:rsid w:val="00ED2858"/>
    <w:rsid w:val="00EE0E0F"/>
    <w:rsid w:val="00F21BAC"/>
    <w:rsid w:val="00F22A96"/>
    <w:rsid w:val="00F24854"/>
    <w:rsid w:val="00F36E35"/>
    <w:rsid w:val="00F4063E"/>
    <w:rsid w:val="00F40A8B"/>
    <w:rsid w:val="00F65D81"/>
    <w:rsid w:val="00F75169"/>
    <w:rsid w:val="00F80CA3"/>
    <w:rsid w:val="00F839CF"/>
    <w:rsid w:val="00F84FF3"/>
    <w:rsid w:val="00F94DF0"/>
    <w:rsid w:val="00FA21C2"/>
    <w:rsid w:val="00FA35AB"/>
    <w:rsid w:val="00FC0F69"/>
    <w:rsid w:val="00FC2349"/>
    <w:rsid w:val="00FC494D"/>
    <w:rsid w:val="00FC7F9A"/>
    <w:rsid w:val="00FD2798"/>
    <w:rsid w:val="00FD7FC0"/>
    <w:rsid w:val="00FE19CD"/>
    <w:rsid w:val="00FE2C90"/>
    <w:rsid w:val="00FF45AE"/>
    <w:rsid w:val="04EE0385"/>
    <w:rsid w:val="05836480"/>
    <w:rsid w:val="0A5A4749"/>
    <w:rsid w:val="10067902"/>
    <w:rsid w:val="142B3A75"/>
    <w:rsid w:val="150051CB"/>
    <w:rsid w:val="15FC5AB0"/>
    <w:rsid w:val="16962376"/>
    <w:rsid w:val="1A2D177F"/>
    <w:rsid w:val="1D8D332A"/>
    <w:rsid w:val="1F2C407B"/>
    <w:rsid w:val="1FB92647"/>
    <w:rsid w:val="270B0009"/>
    <w:rsid w:val="27695DD3"/>
    <w:rsid w:val="28946C74"/>
    <w:rsid w:val="2E656980"/>
    <w:rsid w:val="2F755B9A"/>
    <w:rsid w:val="3002144C"/>
    <w:rsid w:val="30EF6C08"/>
    <w:rsid w:val="33DE1A60"/>
    <w:rsid w:val="35867E03"/>
    <w:rsid w:val="3DF0307D"/>
    <w:rsid w:val="3F504314"/>
    <w:rsid w:val="43F43D0C"/>
    <w:rsid w:val="46A15EE8"/>
    <w:rsid w:val="46D53074"/>
    <w:rsid w:val="47BB4B49"/>
    <w:rsid w:val="4AFC1993"/>
    <w:rsid w:val="4B344596"/>
    <w:rsid w:val="4B5E7271"/>
    <w:rsid w:val="4C760B03"/>
    <w:rsid w:val="4DE96B4A"/>
    <w:rsid w:val="4E084707"/>
    <w:rsid w:val="4EA46F36"/>
    <w:rsid w:val="52E70291"/>
    <w:rsid w:val="538A255B"/>
    <w:rsid w:val="57287E49"/>
    <w:rsid w:val="57AC1867"/>
    <w:rsid w:val="5D2704D1"/>
    <w:rsid w:val="5E3B58F0"/>
    <w:rsid w:val="640C4EDD"/>
    <w:rsid w:val="65D431B5"/>
    <w:rsid w:val="6696636B"/>
    <w:rsid w:val="6A957EA0"/>
    <w:rsid w:val="6B8F0539"/>
    <w:rsid w:val="6BE2267E"/>
    <w:rsid w:val="6C7937AE"/>
    <w:rsid w:val="6E4E6442"/>
    <w:rsid w:val="715F59C2"/>
    <w:rsid w:val="736F068E"/>
    <w:rsid w:val="737D7241"/>
    <w:rsid w:val="7C472F1C"/>
    <w:rsid w:val="7DA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ody Text Indent Char"/>
    <w:basedOn w:val="10"/>
    <w:link w:val="2"/>
    <w:qFormat/>
    <w:locked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12">
    <w:name w:val="Date Char"/>
    <w:basedOn w:val="10"/>
    <w:link w:val="3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3">
    <w:name w:val="Balloon Text Char"/>
    <w:basedOn w:val="10"/>
    <w:link w:val="4"/>
    <w:semiHidden/>
    <w:qFormat/>
    <w:locked/>
    <w:uiPriority w:val="99"/>
    <w:rPr>
      <w:sz w:val="18"/>
    </w:rPr>
  </w:style>
  <w:style w:type="character" w:customStyle="1" w:styleId="14">
    <w:name w:val="Footer Char"/>
    <w:basedOn w:val="10"/>
    <w:link w:val="5"/>
    <w:qFormat/>
    <w:locked/>
    <w:uiPriority w:val="99"/>
    <w:rPr>
      <w:sz w:val="18"/>
    </w:rPr>
  </w:style>
  <w:style w:type="character" w:customStyle="1" w:styleId="15">
    <w:name w:val="Header Char"/>
    <w:basedOn w:val="10"/>
    <w:link w:val="6"/>
    <w:qFormat/>
    <w:locked/>
    <w:uiPriority w:val="99"/>
    <w:rPr>
      <w:sz w:val="18"/>
    </w:rPr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830</Words>
  <Characters>4731</Characters>
  <Lines>0</Lines>
  <Paragraphs>0</Paragraphs>
  <TotalTime>82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2021-02-03T12:06:00Z</dcterms:created>
  <dc:creator>吴谊林</dc:creator>
  <cp:lastModifiedBy>方方方、</cp:lastModifiedBy>
  <cp:lastPrinted>2018-03-12T03:58:00Z</cp:lastPrinted>
  <dcterms:modified xsi:type="dcterms:W3CDTF">2021-04-21T07:37:41Z</dcterms:modified>
  <dc:title>金区政办〔2020〕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0_btnclosed</vt:lpwstr>
  </property>
  <property fmtid="{D5CDD505-2E9C-101B-9397-08002B2CF9AE}" pid="4" name="ICV">
    <vt:lpwstr>EE6957F1533746C8B97AB48E17CB3BCC</vt:lpwstr>
  </property>
</Properties>
</file>