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eastAsia" w:ascii="Times New Roman" w:hAnsi="Times New Roman" w:eastAsia="文星简小标宋"/>
          <w:sz w:val="44"/>
          <w:szCs w:val="44"/>
        </w:rPr>
      </w:pPr>
      <w:r>
        <w:rPr>
          <w:rFonts w:hint="eastAsia" w:ascii="Times New Roman" w:hAnsi="Times New Roman" w:eastAsia="文星简小标宋"/>
          <w:sz w:val="44"/>
          <w:szCs w:val="44"/>
        </w:rPr>
        <w:t>《温州市商务发展“十四五”规划》</w:t>
      </w:r>
    </w:p>
    <w:p>
      <w:pPr>
        <w:spacing w:line="580" w:lineRule="exact"/>
        <w:jc w:val="center"/>
        <w:rPr>
          <w:rFonts w:hint="eastAsia" w:ascii="Times New Roman" w:hAnsi="Times New Roman" w:eastAsia="文星简小标宋"/>
          <w:sz w:val="44"/>
          <w:szCs w:val="44"/>
        </w:rPr>
      </w:pPr>
      <w:r>
        <w:rPr>
          <w:rFonts w:hint="eastAsia" w:ascii="Times New Roman" w:hAnsi="Times New Roman" w:eastAsia="文星简小标宋"/>
          <w:sz w:val="44"/>
          <w:szCs w:val="44"/>
        </w:rPr>
        <w:t>编制说明</w:t>
      </w:r>
    </w:p>
    <w:p>
      <w:pPr>
        <w:adjustRightInd w:val="0"/>
        <w:snapToGrid w:val="0"/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温州市商务局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本规划编制工作于2020年8月启动，历时1年时间，经多次修改，最终形成本稿。主要编制情况说明如下：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规划编制过程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制定规划方案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市商务局成立了主要领导带队的项目编制工作小组，并与浙江工商大学组建了项目编制团队，制定了规划编制的具体化实施方案，确保项目保质保量进行。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做好前期调研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项目编制团队组共进行了三轮系统调研工作。调研对象包括了市级重要商务平台、开放平台，重点商务企业座谈会，以及鹿城、瓯海等区县市。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广泛征求意见及完善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从2020年11月开始，编制工作小组多次以召开会议、书面意见征求等形式进行意见征集，征集意见近200条，完成十轮较为正式的文本修改。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规划编制思路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“五城五高地”建设，以做大消费空间为核心打造高品质新消费高地，以畅通流通链条为纽带打造双向循环新兴通道，以做实重大平台为抓手打造对外开放强大枢纽，以改革创新突破为切入点打造商务发展温州制度，在新征程上奋力续写好新时代温州商务发展史，推动温州成为具备强大辐射力的东南沿海区域商贸中心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/>
          <w:sz w:val="32"/>
          <w:szCs w:val="32"/>
        </w:rPr>
        <w:t>规划主要内容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现有基础与存在问题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 w:color="auto"/>
          <w:lang w:val="en-US" w:eastAsia="zh-CN" w:bidi="ar-SA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现有基础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是商业网点不断完善，有4万平米以上商业综合体21个，商品市场436家。二是社会消费品零售总额五年年均增长5.5%，高品质步行街等消费促进平台建设取得明显成效。三是网络零售额五年年均增长19.3%，省跨境电商产业集群试点行业总量、项目总量均居全省首位。四是全市货物进出口总额五年年均增长达12.6%。五是对外投资与国际合作影响持续扩大，是全国拥有国家级境外园区最多的地级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 w:color="auto"/>
          <w:lang w:val="en-US" w:eastAsia="zh-CN" w:bidi="ar-SA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一是消费发展动能有待提升；二是现代商贸流通发展不足；三是商务重大产业平台、开放平台尚待做实做强；四是商务发展设施老化缺位现象明显；五是要素资源配置不足。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指导思想、发展原则与发展目标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“五城五高地”建设，聚焦新消费高地与改革开放标杆城市打造，高水平建设商务“六大任务”，高质量推进商务“六项工程”。到“十四五”末，预期实现四方面目标：一是新型消费能级明显提升，实现社会消费品零售总额5000亿元。二是现代流通体系构建完善，高水平建成商贸服务型国家物流枢纽。三是开放型经济水平显著提升，货物贸易实现进出口总额3000亿元。四是国内国际双循环体系有效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0" w:name="_Toc64628887"/>
      <w:r>
        <w:rPr>
          <w:rFonts w:hint="eastAsia" w:ascii="Times New Roman" w:hAnsi="Times New Roman" w:eastAsia="仿宋_GB2312"/>
          <w:sz w:val="32"/>
          <w:szCs w:val="32"/>
        </w:rPr>
        <w:t>1</w:t>
      </w:r>
      <w:bookmarkEnd w:id="0"/>
      <w:bookmarkStart w:id="1" w:name="_Toc74756865"/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 w:color="auto"/>
          <w:lang w:val="en-US" w:eastAsia="zh-CN" w:bidi="ar-SA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高水平建设新消费高地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2" w:name="_Toc74756866"/>
      <w:r>
        <w:rPr>
          <w:rFonts w:hint="eastAsia" w:ascii="Times New Roman" w:hAnsi="Times New Roman" w:eastAsia="仿宋_GB2312"/>
          <w:sz w:val="32"/>
          <w:szCs w:val="32"/>
        </w:rPr>
        <w:t>一是优化城市商业新布局</w:t>
      </w:r>
      <w:bookmarkEnd w:id="2"/>
      <w:r>
        <w:rPr>
          <w:rFonts w:hint="eastAsia" w:ascii="Times New Roman" w:hAnsi="Times New Roman" w:eastAsia="仿宋_GB2312"/>
          <w:sz w:val="32"/>
          <w:szCs w:val="32"/>
        </w:rPr>
        <w:t>，构建“地标商业+区域商业+社区商业”为内涵的商业网点体系；</w:t>
      </w:r>
      <w:bookmarkStart w:id="3" w:name="_Toc74756867"/>
      <w:r>
        <w:rPr>
          <w:rFonts w:hint="eastAsia" w:ascii="Times New Roman" w:hAnsi="Times New Roman" w:eastAsia="仿宋_GB2312"/>
          <w:sz w:val="32"/>
          <w:szCs w:val="32"/>
        </w:rPr>
        <w:t>二是发展品质消费新载体</w:t>
      </w:r>
      <w:bookmarkEnd w:id="3"/>
      <w:r>
        <w:rPr>
          <w:rFonts w:hint="eastAsia" w:ascii="Times New Roman" w:hAnsi="Times New Roman" w:eastAsia="仿宋_GB2312"/>
          <w:sz w:val="32"/>
          <w:szCs w:val="32"/>
        </w:rPr>
        <w:t>，高水平建设若干旗舰型商业项目；</w:t>
      </w:r>
      <w:bookmarkStart w:id="4" w:name="_Toc74756868"/>
      <w:r>
        <w:rPr>
          <w:rFonts w:hint="eastAsia" w:ascii="Times New Roman" w:hAnsi="Times New Roman" w:eastAsia="仿宋_GB2312"/>
          <w:sz w:val="32"/>
          <w:szCs w:val="32"/>
        </w:rPr>
        <w:t>三是做大特色消费新业态</w:t>
      </w:r>
      <w:bookmarkEnd w:id="4"/>
      <w:r>
        <w:rPr>
          <w:rFonts w:hint="eastAsia" w:ascii="Times New Roman" w:hAnsi="Times New Roman" w:eastAsia="仿宋_GB2312"/>
          <w:sz w:val="32"/>
          <w:szCs w:val="32"/>
        </w:rPr>
        <w:t>；</w:t>
      </w:r>
      <w:bookmarkStart w:id="5" w:name="_Toc74756869"/>
      <w:r>
        <w:rPr>
          <w:rFonts w:hint="eastAsia" w:ascii="Times New Roman" w:hAnsi="Times New Roman" w:eastAsia="仿宋_GB2312"/>
          <w:sz w:val="32"/>
          <w:szCs w:val="32"/>
        </w:rPr>
        <w:t>四是发展商贸服务新模式</w:t>
      </w:r>
      <w:bookmarkEnd w:id="5"/>
      <w:r>
        <w:rPr>
          <w:rFonts w:hint="eastAsia" w:ascii="Times New Roman" w:hAnsi="Times New Roman" w:eastAsia="仿宋_GB2312"/>
          <w:sz w:val="32"/>
          <w:szCs w:val="32"/>
        </w:rPr>
        <w:t>，创新发展知识密集型、平台辐射型商贸服务业态；</w:t>
      </w:r>
      <w:bookmarkStart w:id="6" w:name="_Toc74756870"/>
      <w:r>
        <w:rPr>
          <w:rFonts w:hint="eastAsia" w:ascii="Times New Roman" w:hAnsi="Times New Roman" w:eastAsia="仿宋_GB2312"/>
          <w:sz w:val="32"/>
          <w:szCs w:val="32"/>
        </w:rPr>
        <w:t>五是</w:t>
      </w:r>
      <w:bookmarkEnd w:id="6"/>
      <w:r>
        <w:rPr>
          <w:rFonts w:hint="eastAsia" w:ascii="Times New Roman" w:hAnsi="Times New Roman" w:eastAsia="仿宋_GB2312"/>
          <w:sz w:val="32"/>
          <w:szCs w:val="32"/>
        </w:rPr>
        <w:t>全面做强温州菜影响力；</w:t>
      </w:r>
      <w:bookmarkStart w:id="7" w:name="_Toc74756871"/>
      <w:r>
        <w:rPr>
          <w:rFonts w:hint="eastAsia" w:ascii="Times New Roman" w:hAnsi="Times New Roman" w:eastAsia="仿宋_GB2312"/>
          <w:sz w:val="32"/>
          <w:szCs w:val="32"/>
        </w:rPr>
        <w:t>六是推动商文旅农新融合；七是营造舒心消费新环境</w:t>
      </w:r>
      <w:bookmarkEnd w:id="7"/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8" w:name="_Toc74756872"/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 w:color="auto"/>
          <w:lang w:val="en-US" w:eastAsia="zh-CN" w:bidi="ar-SA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高水平打造开放型经济发展标杆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9" w:name="_Toc74756873"/>
      <w:r>
        <w:rPr>
          <w:rFonts w:hint="eastAsia" w:ascii="Times New Roman" w:hAnsi="Times New Roman" w:eastAsia="仿宋_GB2312"/>
          <w:sz w:val="32"/>
          <w:szCs w:val="32"/>
        </w:rPr>
        <w:t>一是推动外贸提质增效</w:t>
      </w:r>
      <w:bookmarkEnd w:id="9"/>
      <w:r>
        <w:rPr>
          <w:rFonts w:hint="eastAsia" w:ascii="Times New Roman" w:hAnsi="Times New Roman" w:eastAsia="仿宋_GB2312"/>
          <w:sz w:val="32"/>
          <w:szCs w:val="32"/>
        </w:rPr>
        <w:t>，着力增强以质量、品牌、供应链为核心的国际竞争力；</w:t>
      </w:r>
      <w:bookmarkStart w:id="10" w:name="_Toc74756874"/>
      <w:r>
        <w:rPr>
          <w:rFonts w:hint="eastAsia" w:ascii="Times New Roman" w:hAnsi="Times New Roman" w:eastAsia="仿宋_GB2312"/>
          <w:sz w:val="32"/>
          <w:szCs w:val="32"/>
        </w:rPr>
        <w:t>二是创新拓展服务贸易</w:t>
      </w:r>
      <w:bookmarkEnd w:id="10"/>
      <w:r>
        <w:rPr>
          <w:rFonts w:hint="eastAsia" w:ascii="Times New Roman" w:hAnsi="Times New Roman" w:eastAsia="仿宋_GB2312"/>
          <w:sz w:val="32"/>
          <w:szCs w:val="32"/>
        </w:rPr>
        <w:t>，争取省级服务贸易试点；</w:t>
      </w:r>
      <w:bookmarkStart w:id="11" w:name="_Toc74756875"/>
      <w:r>
        <w:rPr>
          <w:rFonts w:hint="eastAsia" w:ascii="Times New Roman" w:hAnsi="Times New Roman" w:eastAsia="仿宋_GB2312"/>
          <w:sz w:val="32"/>
          <w:szCs w:val="32"/>
        </w:rPr>
        <w:t>三是优化外资实际使用，实施精准化靶向外资招引；四是提升对外开放水平</w:t>
      </w:r>
      <w:bookmarkEnd w:id="11"/>
      <w:r>
        <w:rPr>
          <w:rFonts w:hint="eastAsia" w:ascii="Times New Roman" w:hAnsi="Times New Roman" w:eastAsia="仿宋_GB2312"/>
          <w:sz w:val="32"/>
          <w:szCs w:val="32"/>
        </w:rPr>
        <w:t>，构建对外开放新平台、新通道</w:t>
      </w:r>
      <w:bookmarkStart w:id="12" w:name="_Toc74756876"/>
      <w:r>
        <w:rPr>
          <w:rFonts w:hint="eastAsia" w:ascii="Times New Roman" w:hAnsi="Times New Roman" w:eastAsia="仿宋_GB2312"/>
          <w:sz w:val="32"/>
          <w:szCs w:val="32"/>
        </w:rPr>
        <w:t>；五是加强对外投资合作</w:t>
      </w:r>
      <w:bookmarkEnd w:id="12"/>
      <w:r>
        <w:rPr>
          <w:rFonts w:hint="eastAsia" w:ascii="Times New Roman" w:hAnsi="Times New Roman" w:eastAsia="仿宋_GB2312"/>
          <w:sz w:val="32"/>
          <w:szCs w:val="32"/>
        </w:rPr>
        <w:t>，推进境外经贸合作区高质量发展；</w:t>
      </w:r>
      <w:bookmarkStart w:id="13" w:name="_Toc74756877"/>
      <w:r>
        <w:rPr>
          <w:rFonts w:hint="eastAsia" w:ascii="Times New Roman" w:hAnsi="Times New Roman" w:eastAsia="仿宋_GB2312"/>
          <w:sz w:val="32"/>
          <w:szCs w:val="32"/>
        </w:rPr>
        <w:t>六是推动开发区改革突破</w:t>
      </w:r>
      <w:bookmarkEnd w:id="13"/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14" w:name="_Toc74756878"/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 w:color="auto"/>
          <w:lang w:val="en-US" w:eastAsia="zh-CN" w:bidi="ar-SA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高水平建设区域国际会展城市</w:t>
      </w:r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15" w:name="_Toc74756879"/>
      <w:r>
        <w:rPr>
          <w:rFonts w:hint="eastAsia" w:ascii="Times New Roman" w:hAnsi="Times New Roman" w:eastAsia="仿宋_GB2312"/>
          <w:sz w:val="32"/>
          <w:szCs w:val="32"/>
        </w:rPr>
        <w:t>一是</w:t>
      </w:r>
      <w:bookmarkEnd w:id="15"/>
      <w:r>
        <w:rPr>
          <w:rFonts w:hint="eastAsia" w:ascii="Times New Roman" w:hAnsi="Times New Roman" w:eastAsia="仿宋_GB2312"/>
          <w:sz w:val="32"/>
          <w:szCs w:val="32"/>
        </w:rPr>
        <w:t>高水平推进温州国际博览中心等大型专业会展场馆建设；</w:t>
      </w:r>
      <w:bookmarkStart w:id="16" w:name="_Toc74756880"/>
      <w:r>
        <w:rPr>
          <w:rFonts w:hint="eastAsia" w:ascii="Times New Roman" w:hAnsi="Times New Roman" w:eastAsia="仿宋_GB2312"/>
          <w:sz w:val="32"/>
          <w:szCs w:val="32"/>
        </w:rPr>
        <w:t>二是</w:t>
      </w:r>
      <w:bookmarkEnd w:id="16"/>
      <w:r>
        <w:rPr>
          <w:rFonts w:hint="eastAsia" w:ascii="Times New Roman" w:hAnsi="Times New Roman" w:eastAsia="仿宋_GB2312"/>
          <w:sz w:val="32"/>
          <w:szCs w:val="32"/>
        </w:rPr>
        <w:t>构建形成以专业展为核心，以消费展、高端会议为辅助的三位一体展会发展格局；</w:t>
      </w:r>
      <w:bookmarkStart w:id="17" w:name="_Toc74756881"/>
      <w:r>
        <w:rPr>
          <w:rFonts w:hint="eastAsia" w:ascii="Times New Roman" w:hAnsi="Times New Roman" w:eastAsia="仿宋_GB2312"/>
          <w:sz w:val="32"/>
          <w:szCs w:val="32"/>
        </w:rPr>
        <w:t>三是推动市场力量办展</w:t>
      </w:r>
      <w:bookmarkEnd w:id="17"/>
      <w:r>
        <w:rPr>
          <w:rFonts w:hint="eastAsia" w:ascii="Times New Roman" w:hAnsi="Times New Roman" w:eastAsia="仿宋_GB2312"/>
          <w:sz w:val="32"/>
          <w:szCs w:val="32"/>
        </w:rPr>
        <w:t>；</w:t>
      </w:r>
      <w:bookmarkStart w:id="18" w:name="_Toc74756882"/>
      <w:r>
        <w:rPr>
          <w:rFonts w:hint="eastAsia" w:ascii="Times New Roman" w:hAnsi="Times New Roman" w:eastAsia="仿宋_GB2312"/>
          <w:sz w:val="32"/>
          <w:szCs w:val="32"/>
        </w:rPr>
        <w:t>四是推动会展融合创新</w:t>
      </w:r>
      <w:bookmarkEnd w:id="18"/>
      <w:r>
        <w:rPr>
          <w:rFonts w:hint="eastAsia" w:ascii="Times New Roman" w:hAnsi="Times New Roman" w:eastAsia="仿宋_GB2312"/>
          <w:sz w:val="32"/>
          <w:szCs w:val="32"/>
        </w:rPr>
        <w:t>，构建“会展+N”的服务生态体系；</w:t>
      </w:r>
      <w:bookmarkStart w:id="19" w:name="_Toc74756883"/>
      <w:r>
        <w:rPr>
          <w:rFonts w:hint="eastAsia" w:ascii="Times New Roman" w:hAnsi="Times New Roman" w:eastAsia="仿宋_GB2312"/>
          <w:sz w:val="32"/>
          <w:szCs w:val="32"/>
        </w:rPr>
        <w:t>五是打造会议新目的地</w:t>
      </w:r>
      <w:bookmarkEnd w:id="19"/>
      <w:r>
        <w:rPr>
          <w:rFonts w:hint="eastAsia" w:ascii="Times New Roman" w:hAnsi="Times New Roman" w:eastAsia="仿宋_GB2312"/>
          <w:sz w:val="32"/>
          <w:szCs w:val="32"/>
        </w:rPr>
        <w:t>，争取引入顶级会议、高端会议资源。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20" w:name="_Toc74756884"/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 w:color="auto"/>
          <w:lang w:val="en-US" w:eastAsia="zh-CN" w:bidi="ar-SA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高水平推进数字商务全面创新</w:t>
      </w:r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21" w:name="_Toc74756885"/>
      <w:r>
        <w:rPr>
          <w:rFonts w:hint="eastAsia" w:ascii="Times New Roman" w:hAnsi="Times New Roman" w:eastAsia="仿宋_GB2312"/>
          <w:sz w:val="32"/>
          <w:szCs w:val="32"/>
        </w:rPr>
        <w:t>一是深化电子商务发展</w:t>
      </w:r>
      <w:bookmarkEnd w:id="21"/>
      <w:r>
        <w:rPr>
          <w:rFonts w:hint="eastAsia" w:ascii="Times New Roman" w:hAnsi="Times New Roman" w:eastAsia="仿宋_GB2312"/>
          <w:sz w:val="32"/>
          <w:szCs w:val="32"/>
        </w:rPr>
        <w:t>，推动本土电商平台打造，推动社交电商、直播电商等高质量发展；</w:t>
      </w:r>
      <w:bookmarkStart w:id="22" w:name="_Toc74756886"/>
      <w:r>
        <w:rPr>
          <w:rFonts w:hint="eastAsia" w:ascii="Times New Roman" w:hAnsi="Times New Roman" w:eastAsia="仿宋_GB2312"/>
          <w:sz w:val="32"/>
          <w:szCs w:val="32"/>
        </w:rPr>
        <w:t>二是发展数字生活新服务</w:t>
      </w:r>
      <w:bookmarkEnd w:id="22"/>
      <w:r>
        <w:rPr>
          <w:rFonts w:hint="eastAsia" w:ascii="Times New Roman" w:hAnsi="Times New Roman" w:eastAsia="仿宋_GB2312"/>
          <w:sz w:val="32"/>
          <w:szCs w:val="32"/>
        </w:rPr>
        <w:t>，全方位推动商家数字化门店打造；</w:t>
      </w:r>
      <w:bookmarkStart w:id="23" w:name="_Toc74756887"/>
      <w:r>
        <w:rPr>
          <w:rFonts w:hint="eastAsia" w:ascii="Times New Roman" w:hAnsi="Times New Roman" w:eastAsia="仿宋_GB2312"/>
          <w:sz w:val="32"/>
          <w:szCs w:val="32"/>
        </w:rPr>
        <w:t>三是推动商务数字化转型</w:t>
      </w:r>
      <w:bookmarkEnd w:id="23"/>
      <w:r>
        <w:rPr>
          <w:rFonts w:hint="eastAsia" w:ascii="Times New Roman" w:hAnsi="Times New Roman" w:eastAsia="仿宋_GB2312"/>
          <w:sz w:val="32"/>
          <w:szCs w:val="32"/>
        </w:rPr>
        <w:t>，开展数字商务企业创建，发展数字商务赋能服务。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24" w:name="_Toc74756888"/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 w:color="auto"/>
          <w:lang w:val="en-US" w:eastAsia="zh-CN" w:bidi="ar-SA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高水平建设现代流通体系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25" w:name="_Toc74756889"/>
      <w:r>
        <w:rPr>
          <w:rFonts w:hint="eastAsia" w:ascii="Times New Roman" w:hAnsi="Times New Roman" w:eastAsia="仿宋_GB2312"/>
          <w:sz w:val="32"/>
          <w:szCs w:val="32"/>
        </w:rPr>
        <w:t>一是发展现代商品市场</w:t>
      </w:r>
      <w:bookmarkEnd w:id="25"/>
      <w:r>
        <w:rPr>
          <w:rFonts w:hint="eastAsia" w:ascii="Times New Roman" w:hAnsi="Times New Roman" w:eastAsia="仿宋_GB2312"/>
          <w:sz w:val="32"/>
          <w:szCs w:val="32"/>
        </w:rPr>
        <w:t>，构建专业市场牵引拉动式温州制造升级模式；</w:t>
      </w:r>
      <w:bookmarkStart w:id="26" w:name="_Toc74756890"/>
      <w:r>
        <w:rPr>
          <w:rFonts w:hint="eastAsia" w:ascii="Times New Roman" w:hAnsi="Times New Roman" w:eastAsia="仿宋_GB2312"/>
          <w:sz w:val="32"/>
          <w:szCs w:val="32"/>
        </w:rPr>
        <w:t>二是</w:t>
      </w:r>
      <w:bookmarkEnd w:id="26"/>
      <w:r>
        <w:rPr>
          <w:rFonts w:hint="eastAsia" w:ascii="Times New Roman" w:hAnsi="Times New Roman" w:eastAsia="仿宋_GB2312"/>
          <w:sz w:val="32"/>
          <w:szCs w:val="32"/>
        </w:rPr>
        <w:t>高水平推进七大物流集聚区建设；</w:t>
      </w:r>
      <w:bookmarkStart w:id="27" w:name="_Toc74756891"/>
      <w:r>
        <w:rPr>
          <w:rFonts w:hint="eastAsia" w:ascii="Times New Roman" w:hAnsi="Times New Roman" w:eastAsia="仿宋_GB2312"/>
          <w:sz w:val="32"/>
          <w:szCs w:val="32"/>
        </w:rPr>
        <w:t>三是</w:t>
      </w:r>
      <w:bookmarkEnd w:id="27"/>
      <w:r>
        <w:rPr>
          <w:rFonts w:hint="eastAsia" w:ascii="Times New Roman" w:hAnsi="Times New Roman" w:eastAsia="仿宋_GB2312"/>
          <w:sz w:val="32"/>
          <w:szCs w:val="32"/>
        </w:rPr>
        <w:t>大力发展平台型物流企业，推动城乡高效配送体系建设；</w:t>
      </w:r>
      <w:bookmarkStart w:id="28" w:name="_Toc74756892"/>
      <w:r>
        <w:rPr>
          <w:rFonts w:hint="eastAsia" w:ascii="Times New Roman" w:hAnsi="Times New Roman" w:eastAsia="仿宋_GB2312"/>
          <w:sz w:val="32"/>
          <w:szCs w:val="32"/>
        </w:rPr>
        <w:t>四是做强供应链服务</w:t>
      </w:r>
      <w:bookmarkEnd w:id="28"/>
      <w:r>
        <w:rPr>
          <w:rFonts w:hint="eastAsia" w:ascii="Times New Roman" w:hAnsi="Times New Roman" w:eastAsia="仿宋_GB2312"/>
          <w:sz w:val="32"/>
          <w:szCs w:val="32"/>
        </w:rPr>
        <w:t>，强化平台型供应链服务企业培育；</w:t>
      </w:r>
      <w:bookmarkStart w:id="29" w:name="_Toc74756893"/>
      <w:r>
        <w:rPr>
          <w:rFonts w:hint="eastAsia" w:ascii="Times New Roman" w:hAnsi="Times New Roman" w:eastAsia="仿宋_GB2312"/>
          <w:sz w:val="32"/>
          <w:szCs w:val="32"/>
        </w:rPr>
        <w:t>五是推动流通业态创新</w:t>
      </w:r>
      <w:bookmarkEnd w:id="29"/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30" w:name="_Toc74756894"/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u w:val="none" w:color="auto"/>
          <w:lang w:val="en-US" w:eastAsia="zh-CN" w:bidi="ar-SA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高水平构建一流商务营商环境</w:t>
      </w:r>
      <w:bookmarkEnd w:id="3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31" w:name="_Toc74756895"/>
      <w:r>
        <w:rPr>
          <w:rFonts w:hint="eastAsia" w:ascii="Times New Roman" w:hAnsi="Times New Roman" w:eastAsia="仿宋_GB2312"/>
          <w:sz w:val="32"/>
          <w:szCs w:val="32"/>
        </w:rPr>
        <w:t>主要围绕市场化改革</w:t>
      </w:r>
      <w:bookmarkEnd w:id="31"/>
      <w:bookmarkStart w:id="32" w:name="_Toc74756896"/>
      <w:r>
        <w:rPr>
          <w:rFonts w:hint="eastAsia" w:ascii="Times New Roman" w:hAnsi="Times New Roman" w:eastAsia="仿宋_GB2312"/>
          <w:sz w:val="32"/>
          <w:szCs w:val="32"/>
        </w:rPr>
        <w:t>、便利化举措</w:t>
      </w:r>
      <w:bookmarkEnd w:id="32"/>
      <w:bookmarkStart w:id="33" w:name="_Toc74756897"/>
      <w:r>
        <w:rPr>
          <w:rFonts w:hint="eastAsia" w:ascii="Times New Roman" w:hAnsi="Times New Roman" w:eastAsia="仿宋_GB2312"/>
          <w:sz w:val="32"/>
          <w:szCs w:val="32"/>
        </w:rPr>
        <w:t>、国际化规则</w:t>
      </w:r>
      <w:bookmarkEnd w:id="33"/>
      <w:bookmarkStart w:id="34" w:name="_Toc74756898"/>
      <w:r>
        <w:rPr>
          <w:rFonts w:hint="eastAsia" w:ascii="Times New Roman" w:hAnsi="Times New Roman" w:eastAsia="仿宋_GB2312"/>
          <w:sz w:val="32"/>
          <w:szCs w:val="32"/>
        </w:rPr>
        <w:t>、法治化体系</w:t>
      </w:r>
      <w:bookmarkEnd w:id="34"/>
      <w:r>
        <w:rPr>
          <w:rFonts w:hint="eastAsia" w:ascii="Times New Roman" w:hAnsi="Times New Roman" w:eastAsia="仿宋_GB2312"/>
          <w:sz w:val="32"/>
          <w:szCs w:val="32"/>
        </w:rPr>
        <w:t>四个方面进行展开。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重点工程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重点谋划了六大重点工程</w:t>
      </w:r>
      <w:bookmarkStart w:id="35" w:name="_Toc74756900"/>
      <w:r>
        <w:rPr>
          <w:rFonts w:hint="eastAsia" w:ascii="Times New Roman" w:hAnsi="Times New Roman" w:eastAsia="仿宋_GB2312"/>
          <w:sz w:val="32"/>
          <w:szCs w:val="32"/>
        </w:rPr>
        <w:t>，包括重大开放平台建设工程</w:t>
      </w:r>
      <w:bookmarkEnd w:id="35"/>
      <w:bookmarkStart w:id="36" w:name="_Toc74756905"/>
      <w:r>
        <w:rPr>
          <w:rFonts w:hint="eastAsia" w:ascii="Times New Roman" w:hAnsi="Times New Roman" w:eastAsia="仿宋_GB2312"/>
          <w:sz w:val="32"/>
          <w:szCs w:val="32"/>
        </w:rPr>
        <w:t>、强大国内市场开发工程</w:t>
      </w:r>
      <w:bookmarkEnd w:id="36"/>
      <w:bookmarkStart w:id="37" w:name="_Toc74756909"/>
      <w:r>
        <w:rPr>
          <w:rFonts w:hint="eastAsia" w:ascii="Times New Roman" w:hAnsi="Times New Roman" w:eastAsia="仿宋_GB2312"/>
          <w:sz w:val="32"/>
          <w:szCs w:val="32"/>
        </w:rPr>
        <w:t>、国内国际双循环工程</w:t>
      </w:r>
      <w:bookmarkEnd w:id="37"/>
      <w:bookmarkStart w:id="38" w:name="_Toc74756912"/>
      <w:r>
        <w:rPr>
          <w:rFonts w:hint="eastAsia" w:ascii="Times New Roman" w:hAnsi="Times New Roman" w:eastAsia="仿宋_GB2312"/>
          <w:sz w:val="32"/>
          <w:szCs w:val="32"/>
        </w:rPr>
        <w:t>、国际化商业街区建设工程</w:t>
      </w:r>
      <w:bookmarkEnd w:id="38"/>
      <w:bookmarkStart w:id="39" w:name="_Toc74756917"/>
      <w:r>
        <w:rPr>
          <w:rFonts w:hint="eastAsia" w:ascii="Times New Roman" w:hAnsi="Times New Roman" w:eastAsia="仿宋_GB2312"/>
          <w:sz w:val="32"/>
          <w:szCs w:val="32"/>
        </w:rPr>
        <w:t>、商务活力激发工程</w:t>
      </w:r>
      <w:bookmarkEnd w:id="39"/>
      <w:bookmarkStart w:id="40" w:name="_Toc74756921"/>
      <w:r>
        <w:rPr>
          <w:rFonts w:hint="eastAsia" w:ascii="Times New Roman" w:hAnsi="Times New Roman" w:eastAsia="仿宋_GB2312"/>
          <w:sz w:val="32"/>
          <w:szCs w:val="32"/>
        </w:rPr>
        <w:t>、商贸新基建工程</w:t>
      </w:r>
      <w:bookmarkEnd w:id="40"/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sz w:val="32"/>
          <w:szCs w:val="32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包括了加强组织保障，加强财税保障，加强空间保障，加强政策保障四个方面。</w:t>
      </w:r>
      <w:bookmarkStart w:id="41" w:name="_GoBack"/>
      <w:bookmarkEnd w:id="41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7D25DC"/>
    <w:rsid w:val="00007F7B"/>
    <w:rsid w:val="0001244F"/>
    <w:rsid w:val="00044D1D"/>
    <w:rsid w:val="000E5EA9"/>
    <w:rsid w:val="001476F5"/>
    <w:rsid w:val="001754B4"/>
    <w:rsid w:val="001B73C0"/>
    <w:rsid w:val="001C13B3"/>
    <w:rsid w:val="001E7355"/>
    <w:rsid w:val="001F1A01"/>
    <w:rsid w:val="00216CBE"/>
    <w:rsid w:val="00247AFF"/>
    <w:rsid w:val="00253EBF"/>
    <w:rsid w:val="00280E9C"/>
    <w:rsid w:val="002B3E71"/>
    <w:rsid w:val="002F6E63"/>
    <w:rsid w:val="00344959"/>
    <w:rsid w:val="00381BAB"/>
    <w:rsid w:val="003963B7"/>
    <w:rsid w:val="003E35A2"/>
    <w:rsid w:val="003F12A1"/>
    <w:rsid w:val="00401A22"/>
    <w:rsid w:val="00411237"/>
    <w:rsid w:val="004279A6"/>
    <w:rsid w:val="004B48AE"/>
    <w:rsid w:val="004D2D4E"/>
    <w:rsid w:val="004F4524"/>
    <w:rsid w:val="00544561"/>
    <w:rsid w:val="00567969"/>
    <w:rsid w:val="005C5F1C"/>
    <w:rsid w:val="005D709A"/>
    <w:rsid w:val="00612FBC"/>
    <w:rsid w:val="00616C81"/>
    <w:rsid w:val="006A372C"/>
    <w:rsid w:val="006A7238"/>
    <w:rsid w:val="006D509B"/>
    <w:rsid w:val="00701B96"/>
    <w:rsid w:val="0072718B"/>
    <w:rsid w:val="007307FA"/>
    <w:rsid w:val="00785B15"/>
    <w:rsid w:val="007C7468"/>
    <w:rsid w:val="007F529E"/>
    <w:rsid w:val="00864732"/>
    <w:rsid w:val="008D4000"/>
    <w:rsid w:val="008D4C07"/>
    <w:rsid w:val="008F4FB8"/>
    <w:rsid w:val="00902FD9"/>
    <w:rsid w:val="009252DE"/>
    <w:rsid w:val="00977FB1"/>
    <w:rsid w:val="0099080A"/>
    <w:rsid w:val="00995E41"/>
    <w:rsid w:val="009E6601"/>
    <w:rsid w:val="00A50177"/>
    <w:rsid w:val="00AE3DAC"/>
    <w:rsid w:val="00B362EA"/>
    <w:rsid w:val="00B810D4"/>
    <w:rsid w:val="00B96189"/>
    <w:rsid w:val="00BC067A"/>
    <w:rsid w:val="00BD7DD8"/>
    <w:rsid w:val="00BE2C65"/>
    <w:rsid w:val="00C060B4"/>
    <w:rsid w:val="00C14322"/>
    <w:rsid w:val="00C80F0D"/>
    <w:rsid w:val="00C85AD8"/>
    <w:rsid w:val="00CA78BA"/>
    <w:rsid w:val="00CF4A60"/>
    <w:rsid w:val="00CF761F"/>
    <w:rsid w:val="00D573F5"/>
    <w:rsid w:val="00D61065"/>
    <w:rsid w:val="00D62B82"/>
    <w:rsid w:val="00D708F4"/>
    <w:rsid w:val="00D73FA7"/>
    <w:rsid w:val="00D928A4"/>
    <w:rsid w:val="00E13384"/>
    <w:rsid w:val="00E661CC"/>
    <w:rsid w:val="00E96974"/>
    <w:rsid w:val="00EE3698"/>
    <w:rsid w:val="00F16671"/>
    <w:rsid w:val="00F72EB5"/>
    <w:rsid w:val="00FF222F"/>
    <w:rsid w:val="02D83974"/>
    <w:rsid w:val="1D854097"/>
    <w:rsid w:val="1ECB5A33"/>
    <w:rsid w:val="377D25DC"/>
    <w:rsid w:val="3C96200B"/>
    <w:rsid w:val="42F92AED"/>
    <w:rsid w:val="4D2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p1481"/>
    <w:qFormat/>
    <w:uiPriority w:val="0"/>
    <w:rPr>
      <w:color w:val="515151"/>
      <w:sz w:val="22"/>
      <w:szCs w:val="22"/>
    </w:rPr>
  </w:style>
  <w:style w:type="paragraph" w:customStyle="1" w:styleId="9">
    <w:name w:val="标题2"/>
    <w:basedOn w:val="2"/>
    <w:qFormat/>
    <w:uiPriority w:val="0"/>
    <w:pPr>
      <w:spacing w:before="0" w:after="0" w:line="360" w:lineRule="auto"/>
    </w:pPr>
    <w:rPr>
      <w:rFonts w:eastAsia="宋体"/>
      <w:sz w:val="30"/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277</Words>
  <Characters>1580</Characters>
  <Lines>13</Lines>
  <Paragraphs>3</Paragraphs>
  <TotalTime>1</TotalTime>
  <ScaleCrop>false</ScaleCrop>
  <LinksUpToDate>false</LinksUpToDate>
  <CharactersWithSpaces>1854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2021-09-01T09:40:00Z</dcterms:created>
  <dc:creator>Administrator</dc:creator>
  <cp:lastModifiedBy>Administrator</cp:lastModifiedBy>
  <dcterms:modified xsi:type="dcterms:W3CDTF">2021-09-01T13:27:42Z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