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ascii="方正小标宋简体" w:hAnsi="方正小标宋简体" w:eastAsia="方正小标宋简体" w:cs="方正小标宋简体"/>
          <w:sz w:val="44"/>
          <w:szCs w:val="44"/>
        </w:rPr>
      </w:pPr>
    </w:p>
    <w:p>
      <w:pPr>
        <w:widowControl/>
        <w:numPr>
          <w:ilvl w:val="0"/>
          <w:numId w:val="0"/>
        </w:num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shd w:val="clear"/>
          <w:lang w:val="en-US" w:eastAsia="zh-CN"/>
        </w:rPr>
        <w:t xml:space="preserve"> </w:t>
      </w:r>
      <w:r>
        <w:rPr>
          <w:rFonts w:hint="eastAsia" w:ascii="方正小标宋简体" w:hAnsi="方正小标宋简体" w:eastAsia="方正小标宋简体" w:cs="方正小标宋简体"/>
          <w:sz w:val="44"/>
          <w:szCs w:val="44"/>
          <w:lang w:eastAsia="zh-CN"/>
        </w:rPr>
        <w:t>关于贯彻落实《浙江省医疗保障局等7部门关于印发浙江省巩固拓展医疗保障脱贫攻坚成果促进共同富裕有效衔接乡村振兴战略实施意见》的通知</w:t>
      </w:r>
    </w:p>
    <w:p>
      <w:pPr>
        <w:spacing w:line="600" w:lineRule="exact"/>
        <w:ind w:left="0" w:leftChars="0"/>
        <w:jc w:val="center"/>
        <w:rPr>
          <w:rFonts w:ascii="楷体_GB2312" w:hAnsi="仿宋_GB2312" w:eastAsia="楷体_GB2312" w:cs="仿宋_GB2312"/>
          <w:sz w:val="32"/>
          <w:szCs w:val="32"/>
        </w:rPr>
      </w:pPr>
      <w:r>
        <w:rPr>
          <w:rFonts w:hint="eastAsia" w:ascii="方正小标宋简体" w:hAnsi="方正小标宋简体" w:eastAsia="方正小标宋简体" w:cs="方正小标宋简体"/>
          <w:sz w:val="32"/>
          <w:szCs w:val="32"/>
          <w:lang w:val="en-US" w:eastAsia="zh-CN"/>
        </w:rPr>
        <w:t>(征求意见稿）</w:t>
      </w:r>
    </w:p>
    <w:p>
      <w:pPr>
        <w:widowControl/>
        <w:spacing w:line="600" w:lineRule="exact"/>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各县（市、区）医保局、民政局、财政局、乡村振兴局、卫生健康局、税务局、监管组：</w:t>
      </w:r>
    </w:p>
    <w:p>
      <w:pPr>
        <w:widowControl/>
        <w:spacing w:line="600" w:lineRule="exact"/>
        <w:ind w:left="105" w:leftChars="5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浙江省医疗保障局等7部门关于</w:t>
      </w:r>
      <w:r>
        <w:rPr>
          <w:rFonts w:hint="eastAsia" w:ascii="仿宋_GB2312" w:hAnsi="仿宋_GB2312" w:eastAsia="仿宋_GB2312" w:cs="仿宋_GB2312"/>
          <w:sz w:val="32"/>
          <w:szCs w:val="32"/>
        </w:rPr>
        <w:t>浙江省巩固拓展医疗保障脱贫攻坚成果有效衔接乡村振兴战略实施方案</w:t>
      </w:r>
      <w:r>
        <w:rPr>
          <w:rFonts w:hint="eastAsia" w:ascii="仿宋_GB2312" w:hAnsi="仿宋_GB2312" w:eastAsia="仿宋_GB2312" w:cs="仿宋_GB2312"/>
          <w:sz w:val="32"/>
          <w:szCs w:val="32"/>
          <w:lang w:val="en-US" w:eastAsia="zh-CN"/>
        </w:rPr>
        <w:t>》（浙医保联发〔2021〕25号）文件精神，</w:t>
      </w:r>
      <w:r>
        <w:rPr>
          <w:rFonts w:hint="eastAsia" w:ascii="仿宋_GB2312" w:hAnsi="仿宋_GB2312" w:eastAsia="仿宋_GB2312" w:cs="仿宋_GB2312"/>
          <w:sz w:val="32"/>
          <w:szCs w:val="32"/>
          <w:lang w:eastAsia="zh-CN"/>
        </w:rPr>
        <w:t>结合我市实际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提出如下贯彻意见。</w:t>
      </w:r>
    </w:p>
    <w:p>
      <w:pPr>
        <w:widowControl/>
        <w:spacing w:line="600" w:lineRule="exact"/>
        <w:ind w:left="105" w:leftChars="50" w:firstLine="964" w:firstLineChars="3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一、主要措施</w:t>
      </w:r>
    </w:p>
    <w:p>
      <w:pPr>
        <w:widowControl/>
        <w:numPr>
          <w:ilvl w:val="0"/>
          <w:numId w:val="0"/>
        </w:numPr>
        <w:spacing w:line="600" w:lineRule="exact"/>
        <w:ind w:left="0" w:leftChars="0" w:firstLine="640" w:firstLineChars="200"/>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（一）调整完善</w:t>
      </w:r>
      <w:r>
        <w:rPr>
          <w:rFonts w:hint="eastAsia" w:ascii="楷体" w:hAnsi="楷体" w:eastAsia="楷体" w:cs="楷体"/>
          <w:b w:val="0"/>
          <w:bCs w:val="0"/>
          <w:sz w:val="32"/>
          <w:szCs w:val="32"/>
        </w:rPr>
        <w:t>医疗救助</w:t>
      </w:r>
      <w:r>
        <w:rPr>
          <w:rFonts w:hint="eastAsia" w:ascii="楷体" w:hAnsi="楷体" w:eastAsia="楷体" w:cs="楷体"/>
          <w:b w:val="0"/>
          <w:bCs w:val="0"/>
          <w:sz w:val="32"/>
          <w:szCs w:val="32"/>
          <w:lang w:eastAsia="zh-CN"/>
        </w:rPr>
        <w:t>政策。</w:t>
      </w:r>
      <w:r>
        <w:rPr>
          <w:rFonts w:hint="eastAsia" w:ascii="仿宋_GB2312" w:hAnsi="仿宋_GB2312" w:eastAsia="仿宋_GB2312" w:cs="仿宋_GB2312"/>
          <w:color w:val="000000"/>
          <w:kern w:val="0"/>
          <w:sz w:val="32"/>
          <w:szCs w:val="32"/>
        </w:rPr>
        <w:t>医疗</w:t>
      </w:r>
      <w:r>
        <w:rPr>
          <w:rFonts w:hint="eastAsia" w:ascii="仿宋_GB2312" w:hAnsi="仿宋_GB2312" w:eastAsia="仿宋_GB2312" w:cs="仿宋_GB2312"/>
          <w:sz w:val="32"/>
          <w:szCs w:val="32"/>
        </w:rPr>
        <w:t>救助对象主要包括：</w:t>
      </w:r>
      <w:r>
        <w:rPr>
          <w:rFonts w:hint="eastAsia" w:ascii="仿宋_GB2312" w:hAnsi="仿宋_GB2312" w:eastAsia="仿宋_GB2312" w:cs="仿宋_GB2312"/>
          <w:sz w:val="32"/>
          <w:szCs w:val="32"/>
          <w:lang w:eastAsia="zh-CN"/>
        </w:rPr>
        <w:t>经民政部门认定的</w:t>
      </w:r>
      <w:r>
        <w:rPr>
          <w:rFonts w:hint="eastAsia" w:ascii="仿宋_GB2312" w:hAnsi="仿宋_GB2312" w:eastAsia="仿宋_GB2312" w:cs="仿宋_GB2312"/>
          <w:sz w:val="32"/>
          <w:szCs w:val="32"/>
        </w:rPr>
        <w:t>特困供养人员（以下简称第一类）；最低生活保障</w:t>
      </w:r>
      <w:r>
        <w:rPr>
          <w:rFonts w:hint="eastAsia" w:ascii="仿宋_GB2312" w:hAnsi="仿宋_GB2312" w:eastAsia="仿宋_GB2312" w:cs="仿宋_GB2312"/>
          <w:sz w:val="32"/>
          <w:szCs w:val="32"/>
          <w:lang w:eastAsia="zh-CN"/>
        </w:rPr>
        <w:t>家庭成员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含因病纳入低保的支出型困难人员，</w:t>
      </w:r>
      <w:r>
        <w:rPr>
          <w:rFonts w:hint="eastAsia" w:ascii="仿宋_GB2312" w:hAnsi="仿宋_GB2312" w:eastAsia="仿宋_GB2312" w:cs="仿宋_GB2312"/>
          <w:sz w:val="32"/>
          <w:szCs w:val="32"/>
        </w:rPr>
        <w:t>以下简称第二类）；最低生活保障边缘</w:t>
      </w:r>
      <w:r>
        <w:rPr>
          <w:rFonts w:hint="eastAsia" w:ascii="仿宋_GB2312" w:hAnsi="仿宋_GB2312" w:eastAsia="仿宋_GB2312" w:cs="仿宋_GB2312"/>
          <w:sz w:val="32"/>
          <w:szCs w:val="32"/>
          <w:lang w:eastAsia="zh-CN"/>
        </w:rPr>
        <w:t>家庭成员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含因病纳入低边的支出型困难人员，</w:t>
      </w:r>
      <w:r>
        <w:rPr>
          <w:rFonts w:hint="eastAsia" w:ascii="仿宋_GB2312" w:hAnsi="仿宋_GB2312" w:eastAsia="仿宋_GB2312" w:cs="仿宋_GB2312"/>
          <w:sz w:val="32"/>
          <w:szCs w:val="32"/>
        </w:rPr>
        <w:t>以下简称第三类）；</w:t>
      </w:r>
      <w:r>
        <w:rPr>
          <w:rFonts w:hint="eastAsia" w:ascii="仿宋_GB2312" w:hAnsi="仿宋_GB2312" w:eastAsia="仿宋_GB2312" w:cs="仿宋_GB2312"/>
          <w:sz w:val="32"/>
          <w:szCs w:val="32"/>
          <w:lang w:eastAsia="zh-CN"/>
        </w:rPr>
        <w:t>县以上</w:t>
      </w:r>
      <w:r>
        <w:rPr>
          <w:rFonts w:hint="eastAsia" w:ascii="仿宋_GB2312" w:hAnsi="仿宋_GB2312" w:eastAsia="仿宋_GB2312" w:cs="仿宋_GB2312"/>
          <w:sz w:val="32"/>
          <w:szCs w:val="32"/>
        </w:rPr>
        <w:t>人民政府规定的特殊困难人员（以下简称第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类）。</w:t>
      </w:r>
    </w:p>
    <w:p>
      <w:pPr>
        <w:keepNext w:val="0"/>
        <w:keepLines w:val="0"/>
        <w:widowControl/>
        <w:suppressLineNumbers w:val="0"/>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color w:val="333333"/>
          <w:kern w:val="2"/>
          <w:sz w:val="32"/>
          <w:szCs w:val="32"/>
          <w:shd w:val="clear" w:fill="FFFFFF"/>
          <w:lang w:val="en-US" w:eastAsia="zh-CN"/>
        </w:rPr>
        <w:t>1.</w:t>
      </w:r>
      <w:r>
        <w:rPr>
          <w:rFonts w:hint="eastAsia" w:ascii="仿宋_GB2312" w:hAnsi="仿宋_GB2312" w:eastAsia="仿宋_GB2312" w:cs="仿宋_GB2312"/>
          <w:color w:val="333333"/>
          <w:kern w:val="2"/>
          <w:sz w:val="32"/>
          <w:szCs w:val="32"/>
          <w:shd w:val="clear" w:fill="FFFFFF"/>
        </w:rPr>
        <w:t>资助参保</w:t>
      </w:r>
      <w:r>
        <w:rPr>
          <w:rFonts w:hint="eastAsia" w:ascii="仿宋_GB2312" w:hAnsi="仿宋_GB2312" w:eastAsia="仿宋_GB2312" w:cs="仿宋_GB2312"/>
          <w:color w:val="333333"/>
          <w:kern w:val="2"/>
          <w:sz w:val="32"/>
          <w:szCs w:val="32"/>
          <w:shd w:val="clear" w:fill="FFFFFF"/>
          <w:lang w:eastAsia="zh-CN"/>
        </w:rPr>
        <w:t>。</w:t>
      </w:r>
      <w:r>
        <w:rPr>
          <w:rFonts w:ascii="仿宋_GB2312" w:hAnsi="仿宋_GB2312" w:eastAsia="仿宋_GB2312" w:cs="仿宋_GB2312"/>
          <w:color w:val="000000"/>
          <w:kern w:val="0"/>
          <w:sz w:val="32"/>
          <w:szCs w:val="32"/>
          <w:lang w:val="en-US" w:eastAsia="zh-CN" w:bidi="ar"/>
        </w:rPr>
        <w:t>按照医疗救助属地管理的原则，由户籍地统一</w:t>
      </w:r>
      <w:r>
        <w:rPr>
          <w:rFonts w:hint="eastAsia" w:ascii="仿宋_GB2312" w:hAnsi="仿宋_GB2312" w:eastAsia="仿宋_GB2312" w:cs="仿宋_GB2312"/>
          <w:color w:val="000000"/>
          <w:kern w:val="0"/>
          <w:sz w:val="32"/>
          <w:szCs w:val="32"/>
          <w:lang w:val="en-US" w:eastAsia="zh-CN" w:bidi="ar"/>
        </w:rPr>
        <w:t>全额</w:t>
      </w:r>
      <w:r>
        <w:rPr>
          <w:rFonts w:ascii="仿宋_GB2312" w:hAnsi="仿宋_GB2312" w:eastAsia="仿宋_GB2312" w:cs="仿宋_GB2312"/>
          <w:color w:val="000000"/>
          <w:kern w:val="0"/>
          <w:sz w:val="32"/>
          <w:szCs w:val="32"/>
          <w:lang w:val="en-US" w:eastAsia="zh-CN" w:bidi="ar"/>
        </w:rPr>
        <w:t>资助参加城乡居民基本医疗保险</w:t>
      </w:r>
      <w:r>
        <w:rPr>
          <w:rFonts w:hint="eastAsia" w:ascii="仿宋_GB2312" w:hAnsi="仿宋_GB2312" w:eastAsia="仿宋_GB2312" w:cs="仿宋_GB2312"/>
          <w:color w:val="000000"/>
          <w:kern w:val="0"/>
          <w:sz w:val="32"/>
          <w:szCs w:val="32"/>
          <w:lang w:val="en-US" w:eastAsia="zh-CN" w:bidi="ar"/>
        </w:rPr>
        <w:t>（二档）</w:t>
      </w:r>
      <w:r>
        <w:rPr>
          <w:rFonts w:ascii="仿宋_GB2312" w:hAnsi="仿宋_GB2312" w:eastAsia="仿宋_GB2312" w:cs="仿宋_GB2312"/>
          <w:color w:val="000000"/>
          <w:kern w:val="0"/>
          <w:sz w:val="32"/>
          <w:szCs w:val="32"/>
          <w:lang w:val="en-US" w:eastAsia="zh-CN" w:bidi="ar"/>
        </w:rPr>
        <w:t>并实施医疗救助。</w:t>
      </w:r>
    </w:p>
    <w:p>
      <w:pPr>
        <w:widowControl/>
        <w:spacing w:line="600" w:lineRule="exact"/>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lang w:val="en-US" w:eastAsia="zh-CN"/>
        </w:rPr>
        <w:t>其中第一至第三类补助三份大病选缴保费，第四类至少补助1份，具体份数由各县（市、区）人民政府确定。</w:t>
      </w:r>
      <w:r>
        <w:rPr>
          <w:rFonts w:hint="eastAsia" w:ascii="仿宋_GB2312" w:hAnsi="仿宋_GB2312" w:eastAsia="仿宋_GB2312" w:cs="仿宋_GB2312"/>
          <w:sz w:val="32"/>
          <w:szCs w:val="32"/>
        </w:rPr>
        <w:t>新增资助参保对象，经审批通过后当月资助参保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spacing w:val="0"/>
          <w:sz w:val="32"/>
          <w:szCs w:val="32"/>
          <w:shd w:val="clear"/>
        </w:rPr>
        <w:t>个人当年已参保的，不退保费，次年资助参保。</w:t>
      </w:r>
      <w:r>
        <w:rPr>
          <w:rFonts w:hint="eastAsia" w:ascii="仿宋_GB2312" w:hAnsi="仿宋_GB2312" w:eastAsia="仿宋_GB2312" w:cs="仿宋_GB2312"/>
          <w:sz w:val="32"/>
          <w:szCs w:val="32"/>
          <w:lang w:eastAsia="zh-CN"/>
        </w:rPr>
        <w:t>个人已缴纳当年基本医疗保险的，由各地政府按</w:t>
      </w:r>
      <w:r>
        <w:rPr>
          <w:rFonts w:hint="eastAsia" w:ascii="仿宋_GB2312" w:hAnsi="仿宋_GB2312" w:eastAsia="仿宋_GB2312" w:cs="仿宋_GB2312"/>
          <w:sz w:val="32"/>
          <w:szCs w:val="32"/>
          <w:lang w:eastAsia="zh-CN"/>
        </w:rPr>
        <w:t>规定资助</w:t>
      </w:r>
      <w:r>
        <w:rPr>
          <w:rFonts w:hint="eastAsia" w:ascii="仿宋_GB2312" w:hAnsi="仿宋_GB2312" w:eastAsia="仿宋_GB2312" w:cs="仿宋_GB2312"/>
          <w:sz w:val="32"/>
          <w:szCs w:val="32"/>
          <w:lang w:eastAsia="zh-CN"/>
        </w:rPr>
        <w:t>标准补足，相应的基本医保和医疗救助待遇</w:t>
      </w:r>
      <w:r>
        <w:rPr>
          <w:rFonts w:hint="eastAsia" w:ascii="仿宋_GB2312" w:hAnsi="仿宋_GB2312" w:eastAsia="仿宋_GB2312" w:cs="仿宋_GB2312"/>
          <w:sz w:val="32"/>
          <w:szCs w:val="32"/>
        </w:rPr>
        <w:t>次月</w:t>
      </w:r>
      <w:r>
        <w:rPr>
          <w:rFonts w:hint="eastAsia" w:ascii="仿宋_GB2312" w:hAnsi="仿宋_GB2312" w:eastAsia="仿宋_GB2312" w:cs="仿宋_GB2312"/>
          <w:sz w:val="32"/>
          <w:szCs w:val="32"/>
          <w:lang w:eastAsia="zh-CN"/>
        </w:rPr>
        <w:t>生效。</w:t>
      </w:r>
      <w:r>
        <w:rPr>
          <w:rFonts w:hint="eastAsia" w:ascii="仿宋_GB2312" w:hAnsi="仿宋_GB2312" w:eastAsia="仿宋_GB2312" w:cs="仿宋_GB2312"/>
          <w:sz w:val="32"/>
          <w:szCs w:val="32"/>
          <w:lang w:val="en-US" w:eastAsia="zh"/>
        </w:rPr>
        <w:t>医疗救助</w:t>
      </w:r>
      <w:r>
        <w:rPr>
          <w:rFonts w:hint="eastAsia" w:ascii="仿宋_GB2312" w:hAnsi="仿宋_GB2312" w:eastAsia="仿宋_GB2312" w:cs="仿宋_GB2312"/>
          <w:sz w:val="32"/>
          <w:szCs w:val="32"/>
          <w:lang w:val="en-US" w:eastAsia="zh-CN"/>
        </w:rPr>
        <w:t>退出对象，当年参保继续有效，次年不再资助</w:t>
      </w:r>
      <w:r>
        <w:rPr>
          <w:rFonts w:hint="eastAsia" w:ascii="仿宋_GB2312" w:hAnsi="仿宋_GB2312" w:eastAsia="仿宋_GB2312" w:cs="仿宋_GB2312"/>
          <w:sz w:val="32"/>
          <w:szCs w:val="32"/>
          <w:lang w:val="en-US" w:eastAsia="zh"/>
        </w:rPr>
        <w:t>参保；</w:t>
      </w:r>
      <w:r>
        <w:rPr>
          <w:rFonts w:ascii="仿宋_GB2312" w:hAnsi="仿宋_GB2312" w:eastAsia="仿宋_GB2312" w:cs="仿宋_GB2312"/>
          <w:color w:val="000000"/>
          <w:kern w:val="0"/>
          <w:sz w:val="32"/>
          <w:szCs w:val="32"/>
          <w:lang w:val="en-US" w:eastAsia="zh-CN" w:bidi="ar"/>
        </w:rPr>
        <w:t>对民政部门认定的过渡期内（渐退期）的医疗救助对象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继续资助参保并实施医疗</w:t>
      </w:r>
      <w:r>
        <w:rPr>
          <w:rFonts w:hint="eastAsia" w:ascii="仿宋_GB2312" w:hAnsi="仿宋_GB2312" w:eastAsia="仿宋_GB2312" w:cs="仿宋_GB2312"/>
          <w:color w:val="000000"/>
          <w:kern w:val="0"/>
          <w:sz w:val="32"/>
          <w:szCs w:val="32"/>
          <w:lang w:val="en-US" w:eastAsia="zh-CN" w:bidi="ar"/>
        </w:rPr>
        <w:t>救助。</w:t>
      </w:r>
    </w:p>
    <w:p>
      <w:pPr>
        <w:widowControl/>
        <w:numPr>
          <w:ilvl w:val="-1"/>
          <w:numId w:val="0"/>
        </w:numPr>
        <w:spacing w:line="60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color w:val="333333"/>
          <w:kern w:val="2"/>
          <w:sz w:val="32"/>
          <w:szCs w:val="32"/>
          <w:shd w:val="clear" w:fill="FFFFFF"/>
          <w:lang w:val="en-US" w:eastAsia="zh-CN"/>
        </w:rPr>
        <w:t>2.</w:t>
      </w:r>
      <w:r>
        <w:rPr>
          <w:rFonts w:hint="eastAsia" w:ascii="仿宋_GB2312" w:hAnsi="仿宋_GB2312" w:eastAsia="仿宋_GB2312" w:cs="仿宋_GB2312"/>
          <w:color w:val="333333"/>
          <w:kern w:val="2"/>
          <w:sz w:val="32"/>
          <w:szCs w:val="32"/>
          <w:shd w:val="clear" w:fill="FFFFFF"/>
        </w:rPr>
        <w:t>医疗费用救助</w:t>
      </w:r>
      <w:r>
        <w:rPr>
          <w:rFonts w:hint="eastAsia" w:ascii="仿宋_GB2312" w:hAnsi="仿宋_GB2312" w:eastAsia="仿宋_GB2312" w:cs="仿宋_GB2312"/>
          <w:color w:val="333333"/>
          <w:kern w:val="2"/>
          <w:sz w:val="32"/>
          <w:szCs w:val="32"/>
          <w:shd w:val="clear" w:fill="FFFFFF"/>
          <w:lang w:eastAsia="zh-CN"/>
        </w:rPr>
        <w:t>。</w:t>
      </w:r>
      <w:r>
        <w:rPr>
          <w:rFonts w:hint="eastAsia" w:ascii="仿宋_GB2312" w:hAnsi="仿宋_GB2312" w:eastAsia="仿宋_GB2312" w:cs="仿宋_GB2312"/>
          <w:kern w:val="2"/>
          <w:sz w:val="32"/>
          <w:szCs w:val="32"/>
        </w:rPr>
        <w:t>医疗救助对象在定点医疗机构发生的规定范围内的医疗费用，扣除基本医保、大病保险和其他补充医疗保险补偿后的个人负担部分</w:t>
      </w:r>
      <w:r>
        <w:rPr>
          <w:rFonts w:hint="eastAsia" w:ascii="仿宋_GB2312" w:hAnsi="仿宋_GB2312" w:eastAsia="仿宋_GB2312" w:cs="仿宋_GB2312"/>
          <w:i w:val="0"/>
          <w:iCs w:val="0"/>
          <w:caps w:val="0"/>
          <w:spacing w:val="0"/>
          <w:sz w:val="32"/>
          <w:szCs w:val="32"/>
          <w:shd w:val="clear"/>
        </w:rPr>
        <w:t>按规定</w:t>
      </w:r>
      <w:r>
        <w:rPr>
          <w:rFonts w:hint="eastAsia" w:ascii="仿宋_GB2312" w:hAnsi="仿宋_GB2312" w:eastAsia="仿宋_GB2312" w:cs="仿宋_GB2312"/>
          <w:kern w:val="2"/>
          <w:sz w:val="32"/>
          <w:szCs w:val="32"/>
        </w:rPr>
        <w:t>纳入医疗救助范围。</w:t>
      </w:r>
    </w:p>
    <w:p>
      <w:pPr>
        <w:widowControl/>
        <w:ind w:firstLine="640" w:firstLineChars="200"/>
        <w:jc w:val="left"/>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加强住院医疗救助。</w:t>
      </w:r>
      <w:r>
        <w:rPr>
          <w:rFonts w:ascii="仿宋_GB2312" w:hAnsi="仿宋_GB2312" w:eastAsia="仿宋_GB2312" w:cs="仿宋_GB2312"/>
          <w:color w:val="000000"/>
          <w:kern w:val="0"/>
          <w:sz w:val="32"/>
          <w:szCs w:val="32"/>
          <w:lang w:val="en-US" w:eastAsia="zh-CN" w:bidi="ar"/>
        </w:rPr>
        <w:t>特困供养人员给予全额救助；低保家庭成员住院救助比例</w:t>
      </w:r>
      <w:r>
        <w:rPr>
          <w:rFonts w:hint="eastAsia" w:ascii="仿宋_GB2312" w:hAnsi="仿宋_GB2312" w:eastAsia="仿宋_GB2312" w:cs="仿宋_GB2312"/>
          <w:color w:val="000000"/>
          <w:kern w:val="0"/>
          <w:sz w:val="32"/>
          <w:szCs w:val="32"/>
          <w:lang w:val="en-US" w:eastAsia="zh-CN" w:bidi="ar"/>
        </w:rPr>
        <w:t>原则上为</w:t>
      </w:r>
      <w:r>
        <w:rPr>
          <w:rFonts w:hint="eastAsia" w:ascii="仿宋_GB2312" w:hAnsi="仿宋_GB2312" w:eastAsia="仿宋_GB2312" w:cs="仿宋_GB2312"/>
          <w:color w:val="000000"/>
          <w:kern w:val="0"/>
          <w:sz w:val="32"/>
          <w:szCs w:val="32"/>
          <w:lang w:val="en-US" w:eastAsia="zh-CN" w:bidi="ar"/>
        </w:rPr>
        <w:t>80%</w:t>
      </w:r>
      <w:r>
        <w:rPr>
          <w:rFonts w:ascii="仿宋_GB2312" w:hAnsi="仿宋_GB2312" w:eastAsia="仿宋_GB2312" w:cs="仿宋_GB2312"/>
          <w:color w:val="000000"/>
          <w:kern w:val="0"/>
          <w:sz w:val="32"/>
          <w:szCs w:val="32"/>
          <w:lang w:val="en-US" w:eastAsia="zh-CN" w:bidi="ar"/>
        </w:rPr>
        <w:t>；低保边缘家庭成员住院救助比</w:t>
      </w:r>
      <w:r>
        <w:rPr>
          <w:rFonts w:hint="eastAsia" w:ascii="仿宋_GB2312" w:hAnsi="仿宋_GB2312" w:eastAsia="仿宋_GB2312" w:cs="仿宋_GB2312"/>
          <w:color w:val="000000"/>
          <w:kern w:val="0"/>
          <w:sz w:val="32"/>
          <w:szCs w:val="32"/>
          <w:lang w:val="en-US" w:eastAsia="zh-CN" w:bidi="ar"/>
        </w:rPr>
        <w:t>例原则上为70%；支出型贫困对象纳入低保或低边的也按相应比例救助。</w:t>
      </w:r>
      <w:r>
        <w:rPr>
          <w:rFonts w:hint="eastAsia" w:ascii="仿宋_GB2312" w:hAnsi="仿宋_GB2312" w:eastAsia="仿宋_GB2312" w:cs="仿宋_GB2312"/>
          <w:kern w:val="2"/>
          <w:sz w:val="32"/>
          <w:szCs w:val="32"/>
          <w:lang w:eastAsia="zh-CN"/>
        </w:rPr>
        <w:t>县以上人民政府规定的特殊困难人员住院救助比例原则上为50%。</w:t>
      </w:r>
      <w:r>
        <w:rPr>
          <w:rFonts w:hint="eastAsia" w:ascii="仿宋_GB2312" w:hAnsi="仿宋_GB2312" w:eastAsia="仿宋_GB2312" w:cs="仿宋_GB2312"/>
          <w:b/>
          <w:bCs/>
          <w:kern w:val="2"/>
          <w:sz w:val="32"/>
          <w:szCs w:val="32"/>
          <w:u w:val="none"/>
          <w:lang w:val="en-US" w:eastAsia="zh-CN" w:bidi="ar-SA"/>
        </w:rPr>
        <w:t>救助比例高于本通知规定的县市，可继续按原规定执行，但不得再提高。</w:t>
      </w:r>
      <w:r>
        <w:rPr>
          <w:rFonts w:hint="eastAsia" w:ascii="仿宋_GB2312" w:hAnsi="仿宋_GB2312" w:eastAsia="仿宋_GB2312" w:cs="仿宋_GB2312"/>
          <w:kern w:val="2"/>
          <w:sz w:val="32"/>
          <w:szCs w:val="32"/>
          <w:lang w:eastAsia="zh-CN"/>
        </w:rPr>
        <w:t>特困、低保、低边对象不设医疗救助起付线；县以上人民政府规定的其他特殊困难人员医疗救助起付线</w:t>
      </w:r>
      <w:r>
        <w:rPr>
          <w:rFonts w:hint="eastAsia" w:ascii="仿宋_GB2312" w:hAnsi="仿宋_GB2312" w:eastAsia="仿宋_GB2312" w:cs="仿宋_GB2312"/>
          <w:kern w:val="2"/>
          <w:sz w:val="32"/>
          <w:szCs w:val="32"/>
          <w:lang w:val="en-US" w:eastAsia="zh-CN"/>
        </w:rPr>
        <w:t>5000元</w:t>
      </w:r>
      <w:r>
        <w:rPr>
          <w:rFonts w:hint="eastAsia" w:ascii="仿宋_GB2312" w:hAnsi="仿宋_GB2312" w:eastAsia="仿宋_GB2312" w:cs="仿宋_GB2312"/>
          <w:kern w:val="2"/>
          <w:sz w:val="32"/>
          <w:szCs w:val="32"/>
          <w:lang w:eastAsia="zh-CN"/>
        </w:rPr>
        <w:t>。</w:t>
      </w:r>
    </w:p>
    <w:p>
      <w:pPr>
        <w:widowControl/>
        <w:numPr>
          <w:ilvl w:val="-1"/>
          <w:numId w:val="0"/>
        </w:numPr>
        <w:spacing w:line="600" w:lineRule="exact"/>
        <w:ind w:left="0" w:leftChars="0"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lang w:eastAsia="zh-CN"/>
        </w:rPr>
        <w:t>完善门诊医疗救助。医疗救助对象</w:t>
      </w:r>
      <w:r>
        <w:rPr>
          <w:rFonts w:hint="eastAsia" w:ascii="仿宋_GB2312" w:hAnsi="仿宋_GB2312" w:eastAsia="仿宋_GB2312" w:cs="仿宋_GB2312"/>
          <w:b w:val="0"/>
          <w:bCs w:val="0"/>
          <w:sz w:val="32"/>
          <w:szCs w:val="32"/>
          <w:u w:val="none"/>
          <w:lang w:val="en-US" w:eastAsia="zh-CN"/>
        </w:rPr>
        <w:t>门诊目录范围内医疗费用与住院医疗费用同比例救助，年度救助限额为每人每年10万元，其中门诊为2万元，住院为8万元。</w:t>
      </w:r>
    </w:p>
    <w:p>
      <w:pPr>
        <w:pStyle w:val="3"/>
        <w:spacing w:before="44" w:line="369" w:lineRule="auto"/>
        <w:ind w:left="0" w:right="73" w:firstLine="640" w:firstLineChars="200"/>
        <w:rPr>
          <w:rFonts w:hint="eastAsia" w:ascii="仿宋" w:hAnsi="仿宋" w:eastAsia="仿宋" w:cs="仿宋"/>
          <w:b w:val="0"/>
          <w:bCs w:val="0"/>
          <w:kern w:val="2"/>
          <w:sz w:val="32"/>
          <w:szCs w:val="32"/>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新认定的纳入低保、低边的支出型困难人员，认定前6个月政策范围内医疗费用纳入医疗救助范围。出院时间在认定前6个月内的，本次住院期间的政策范围内按上述规定进行救助。</w:t>
      </w:r>
    </w:p>
    <w:p>
      <w:pPr>
        <w:pStyle w:val="3"/>
        <w:numPr>
          <w:ilvl w:val="-1"/>
          <w:numId w:val="0"/>
        </w:numPr>
        <w:spacing w:before="44" w:line="369" w:lineRule="auto"/>
        <w:ind w:left="0" w:right="73" w:firstLine="640" w:firstLineChars="200"/>
        <w:rPr>
          <w:rFonts w:hint="eastAsia" w:ascii="仿宋_GB2312" w:hAnsi="仿宋_GB2312" w:eastAsia="仿宋_GB2312" w:cs="仿宋_GB2312"/>
          <w:b w:val="0"/>
          <w:bCs w:val="0"/>
          <w:kern w:val="2"/>
          <w:sz w:val="32"/>
          <w:szCs w:val="32"/>
          <w:u w:val="none"/>
          <w:lang w:val="en-US" w:eastAsia="zh-CN" w:bidi="ar-SA"/>
        </w:rPr>
      </w:pPr>
      <w:r>
        <w:rPr>
          <w:rFonts w:hint="eastAsia" w:ascii="楷体" w:hAnsi="楷体" w:eastAsia="楷体" w:cs="楷体"/>
          <w:b w:val="0"/>
          <w:bCs w:val="0"/>
          <w:kern w:val="2"/>
          <w:sz w:val="32"/>
          <w:szCs w:val="32"/>
          <w:u w:val="none"/>
          <w:lang w:val="en-US" w:eastAsia="zh-CN" w:bidi="ar-SA"/>
        </w:rPr>
        <w:t>（二）鼓励家庭签约服务。</w:t>
      </w:r>
      <w:r>
        <w:rPr>
          <w:rFonts w:hint="eastAsia" w:ascii="仿宋_GB2312" w:hAnsi="仿宋_GB2312" w:eastAsia="仿宋_GB2312" w:cs="仿宋_GB2312"/>
          <w:b w:val="0"/>
          <w:bCs w:val="0"/>
          <w:kern w:val="2"/>
          <w:sz w:val="32"/>
          <w:szCs w:val="32"/>
          <w:u w:val="none"/>
          <w:lang w:val="en-US" w:eastAsia="zh-CN" w:bidi="ar-SA"/>
        </w:rPr>
        <w:t>向医疗救助对象提供优质、高效、便捷的基本医疗和基本公共服务，充分发挥基层医疗机构家庭医生健康守门人的作用。鼓励医疗救助对象与家庭医生开展签约服务，</w:t>
      </w:r>
      <w:r>
        <w:rPr>
          <w:rFonts w:hint="eastAsia" w:ascii="仿宋_GB2312" w:hAnsi="仿宋_GB2312" w:eastAsia="仿宋_GB2312" w:cs="仿宋_GB2312"/>
          <w:b w:val="0"/>
          <w:bCs w:val="0"/>
          <w:kern w:val="2"/>
          <w:sz w:val="32"/>
          <w:szCs w:val="32"/>
          <w:u w:val="none"/>
          <w:lang w:val="en-US" w:eastAsia="zh-CN" w:bidi="ar-SA"/>
        </w:rPr>
        <w:t>对医疗救助对象个人负担的签约服务费部分按规定实施救助。</w:t>
      </w:r>
    </w:p>
    <w:p>
      <w:pPr>
        <w:numPr>
          <w:ilvl w:val="-1"/>
          <w:numId w:val="0"/>
        </w:numPr>
        <w:spacing w:line="600" w:lineRule="exact"/>
        <w:ind w:left="0" w:firstLine="640" w:firstLineChars="200"/>
        <w:rPr>
          <w:rFonts w:hint="eastAsia" w:ascii="仿宋" w:hAnsi="仿宋" w:eastAsia="仿宋_GB2312" w:cs="仿宋"/>
          <w:color w:val="000000" w:themeColor="text1"/>
          <w:kern w:val="0"/>
          <w:sz w:val="32"/>
          <w:szCs w:val="32"/>
          <w:lang w:eastAsia="zh-CN" w:bidi="ar"/>
          <w14:textFill>
            <w14:solidFill>
              <w14:schemeClr w14:val="tx1"/>
            </w14:solidFill>
          </w14:textFill>
        </w:rPr>
      </w:pPr>
      <w:r>
        <w:rPr>
          <w:rFonts w:hint="eastAsia" w:ascii="楷体" w:hAnsi="楷体" w:eastAsia="楷体" w:cs="楷体"/>
          <w:b w:val="0"/>
          <w:bCs w:val="0"/>
          <w:kern w:val="2"/>
          <w:sz w:val="32"/>
          <w:szCs w:val="32"/>
          <w:u w:val="none"/>
          <w:lang w:val="en-US" w:eastAsia="zh-CN" w:bidi="ar-SA"/>
        </w:rPr>
        <w:t>（三）健全防范化解因病致贫返贫长效机制。</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建立</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监测预警及推送机制</w:t>
      </w:r>
      <w:r>
        <w:rPr>
          <w:rFonts w:hint="eastAsia" w:ascii="仿宋_GB2312" w:hAnsi="仿宋_GB2312" w:eastAsia="仿宋_GB2312" w:cs="仿宋_GB2312"/>
          <w:b w:val="0"/>
          <w:bCs w:val="0"/>
          <w:color w:val="000000" w:themeColor="text1"/>
          <w:kern w:val="0"/>
          <w:sz w:val="32"/>
          <w:szCs w:val="32"/>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打通数据壁垒</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完善困难群众信息共享机制。民政部门将认定后的特困、低保、低边</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对象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的信息实时推送至省大救助信息系统；医保部门</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每月</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向省大救助信息系统推送</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自负医疗费用超过</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5万元的人员</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信息，协助民政部门主动发现医疗费用支出过大的人员。各地医保部门要协同民政、乡村振兴、残联、红会、慈善组织等有关部门（机构）和社会组织，继续推动做好医疗救助对象高额医疗费用化解工作，防止因病致贫返贫。</w:t>
      </w:r>
    </w:p>
    <w:p>
      <w:pPr>
        <w:numPr>
          <w:ilvl w:val="-1"/>
          <w:numId w:val="0"/>
        </w:numPr>
        <w:spacing w:line="600" w:lineRule="exact"/>
        <w:ind w:left="0" w:firstLine="640" w:firstLineChars="200"/>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pPr>
      <w:r>
        <w:rPr>
          <w:rFonts w:hint="eastAsia" w:ascii="楷体" w:hAnsi="楷体" w:eastAsia="楷体" w:cs="楷体"/>
          <w:b w:val="0"/>
          <w:bCs w:val="0"/>
          <w:color w:val="000000" w:themeColor="text1"/>
          <w:kern w:val="0"/>
          <w:sz w:val="32"/>
          <w:szCs w:val="32"/>
          <w:lang w:eastAsia="zh-CN" w:bidi="ar"/>
          <w14:textFill>
            <w14:solidFill>
              <w14:schemeClr w14:val="tx1"/>
            </w14:solidFill>
          </w14:textFill>
        </w:rPr>
        <w:t>（四）完善医疗救助对象转诊待遇。</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医疗救助对象在省域内符合我市基本医疗保险政策规定转诊并在定点医疗机构就医的</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住院起付线连续计算，按较高等级医疗机构标准确定，并执行参保地同等待遇政策。</w:t>
      </w:r>
    </w:p>
    <w:p>
      <w:pPr>
        <w:widowControl/>
        <w:numPr>
          <w:ilvl w:val="0"/>
          <w:numId w:val="0"/>
        </w:numPr>
        <w:spacing w:line="600" w:lineRule="exact"/>
        <w:ind w:firstLine="643" w:firstLineChars="200"/>
        <w:rPr>
          <w:rFonts w:hint="eastAsia" w:ascii="楷体_GB2312" w:hAnsi="宋体" w:eastAsia="楷体_GB2312" w:cs="仿宋_GB2312"/>
          <w:color w:val="000000"/>
          <w:kern w:val="0"/>
          <w:sz w:val="32"/>
          <w:szCs w:val="32"/>
        </w:rPr>
      </w:pPr>
      <w:r>
        <w:rPr>
          <w:rFonts w:hint="eastAsia" w:ascii="黑体" w:hAnsi="黑体" w:eastAsia="黑体" w:cs="黑体"/>
          <w:b/>
          <w:bCs/>
          <w:color w:val="000000" w:themeColor="text1"/>
          <w:kern w:val="0"/>
          <w:sz w:val="32"/>
          <w:szCs w:val="32"/>
          <w:lang w:eastAsia="zh-CN" w:bidi="ar"/>
          <w14:textFill>
            <w14:solidFill>
              <w14:schemeClr w14:val="tx1"/>
            </w14:solidFill>
          </w14:textFill>
        </w:rPr>
        <w:t>二、工作要求</w:t>
      </w:r>
    </w:p>
    <w:p>
      <w:pPr>
        <w:widowControl/>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eastAsia="zh-CN"/>
        </w:rPr>
        <w:t>各地要根据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浙江省医疗保障局等7部门关于</w:t>
      </w:r>
      <w:r>
        <w:rPr>
          <w:rFonts w:hint="eastAsia" w:ascii="仿宋_GB2312" w:hAnsi="仿宋_GB2312" w:eastAsia="仿宋_GB2312" w:cs="仿宋_GB2312"/>
          <w:sz w:val="32"/>
          <w:szCs w:val="32"/>
        </w:rPr>
        <w:t>浙江省巩固拓展医疗保障脱贫攻坚成果有效衔接乡村振兴战略实施方案</w:t>
      </w:r>
      <w:r>
        <w:rPr>
          <w:rFonts w:hint="eastAsia" w:ascii="仿宋_GB2312" w:hAnsi="仿宋_GB2312" w:eastAsia="仿宋_GB2312" w:cs="仿宋_GB2312"/>
          <w:sz w:val="32"/>
          <w:szCs w:val="32"/>
          <w:lang w:val="en-US" w:eastAsia="zh-CN"/>
        </w:rPr>
        <w:t>》（浙医保联发〔2021〕25号）文件要求，加强组织领导、部门协同、运行监测及政策宣传，及时回应社会关切问题，贯彻落实中遇到问题要及时向市级相关部门报告。</w:t>
      </w:r>
    </w:p>
    <w:p>
      <w:pPr>
        <w:widowControl/>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三、实施时间</w:t>
      </w:r>
    </w:p>
    <w:p>
      <w:pPr>
        <w:widowControl/>
        <w:numPr>
          <w:ilvl w:val="0"/>
          <w:numId w:val="0"/>
        </w:numPr>
        <w:spacing w:line="6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w:t>
      </w:r>
      <w:r>
        <w:rPr>
          <w:rFonts w:hint="eastAsia" w:ascii="仿宋_GB2312" w:hAnsi="仿宋_GB2312" w:eastAsia="仿宋_GB2312" w:cs="仿宋_GB2312"/>
          <w:kern w:val="2"/>
          <w:sz w:val="32"/>
          <w:szCs w:val="32"/>
          <w:lang w:eastAsia="zh-CN"/>
        </w:rPr>
        <w:t>通知</w:t>
      </w:r>
      <w:r>
        <w:rPr>
          <w:rFonts w:hint="eastAsia" w:ascii="仿宋_GB2312" w:hAnsi="仿宋_GB2312" w:eastAsia="仿宋_GB2312" w:cs="仿宋_GB2312"/>
          <w:kern w:val="2"/>
          <w:sz w:val="32"/>
          <w:szCs w:val="32"/>
        </w:rPr>
        <w:t>自2022年1月1日起实施。之前与本</w:t>
      </w:r>
      <w:r>
        <w:rPr>
          <w:rFonts w:hint="eastAsia" w:ascii="仿宋_GB2312" w:hAnsi="仿宋_GB2312" w:eastAsia="仿宋_GB2312" w:cs="仿宋_GB2312"/>
          <w:kern w:val="2"/>
          <w:sz w:val="32"/>
          <w:szCs w:val="32"/>
          <w:lang w:eastAsia="zh-CN"/>
        </w:rPr>
        <w:t>通知</w:t>
      </w:r>
      <w:r>
        <w:rPr>
          <w:rFonts w:hint="eastAsia" w:ascii="仿宋_GB2312" w:hAnsi="仿宋_GB2312" w:eastAsia="仿宋_GB2312" w:cs="仿宋_GB2312"/>
          <w:kern w:val="2"/>
          <w:sz w:val="32"/>
          <w:szCs w:val="32"/>
        </w:rPr>
        <w:t>规定不一致的，</w:t>
      </w:r>
      <w:r>
        <w:rPr>
          <w:rFonts w:hint="eastAsia" w:ascii="仿宋_GB2312" w:hAnsi="仿宋_GB2312" w:eastAsia="仿宋_GB2312" w:cs="仿宋_GB2312"/>
          <w:kern w:val="2"/>
          <w:sz w:val="32"/>
          <w:szCs w:val="32"/>
          <w:lang w:eastAsia="zh-CN"/>
        </w:rPr>
        <w:t>按本通知规定执行，</w:t>
      </w:r>
      <w:r>
        <w:rPr>
          <w:rFonts w:hint="eastAsia" w:ascii="仿宋_GB2312" w:hAnsi="仿宋_GB2312" w:eastAsia="仿宋_GB2312" w:cs="仿宋_GB2312"/>
          <w:kern w:val="2"/>
          <w:sz w:val="32"/>
          <w:szCs w:val="32"/>
        </w:rPr>
        <w:t>之后上级有新的规定，从其规定。</w:t>
      </w:r>
    </w:p>
    <w:p>
      <w:pPr>
        <w:adjustRightInd w:val="0"/>
        <w:spacing w:line="600" w:lineRule="exact"/>
        <w:ind w:left="3785" w:leftChars="50" w:hanging="3680" w:hangingChars="115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p>
    <w:p>
      <w:pPr>
        <w:widowControl/>
        <w:numPr>
          <w:ilvl w:val="0"/>
          <w:numId w:val="0"/>
        </w:numPr>
        <w:adjustRightInd/>
        <w:spacing w:line="600" w:lineRule="exact"/>
        <w:ind w:left="0" w:leftChars="0" w:firstLine="640" w:firstLineChars="200"/>
        <w:rPr>
          <w:rFonts w:hint="eastAsia" w:ascii="仿宋_GB2312" w:hAnsi="仿宋_GB2312" w:eastAsia="仿宋_GB2312" w:cs="仿宋_GB2312"/>
          <w:sz w:val="32"/>
          <w:szCs w:val="32"/>
          <w:shd w:val="clear"/>
          <w:lang w:val="en-US" w:eastAsia="zh-CN"/>
        </w:rPr>
      </w:pPr>
      <w:r>
        <w:rPr>
          <w:rFonts w:hint="eastAsia" w:ascii="仿宋_GB2312" w:hAnsi="仿宋_GB2312" w:eastAsia="仿宋_GB2312" w:cs="仿宋_GB2312"/>
          <w:sz w:val="32"/>
          <w:szCs w:val="32"/>
          <w:shd w:val="clear"/>
          <w:lang w:eastAsia="zh-CN"/>
        </w:rPr>
        <w:t>金华市医疗保障局</w:t>
      </w:r>
      <w:r>
        <w:rPr>
          <w:rFonts w:hint="eastAsia" w:ascii="仿宋_GB2312" w:hAnsi="仿宋_GB2312" w:eastAsia="仿宋_GB2312" w:cs="仿宋_GB2312"/>
          <w:sz w:val="32"/>
          <w:szCs w:val="32"/>
          <w:shd w:val="clear"/>
          <w:lang w:val="en-US" w:eastAsia="zh-CN"/>
        </w:rPr>
        <w:t xml:space="preserve">     金华市民政局  金华市财政局   金华市乡村振兴局   金华市卫生健康委员会</w:t>
      </w:r>
      <w:r>
        <w:rPr>
          <w:rFonts w:hint="eastAsia" w:ascii="仿宋_GB2312" w:hAnsi="仿宋_GB2312" w:eastAsia="仿宋_GB2312" w:cs="仿宋_GB2312"/>
          <w:sz w:val="32"/>
          <w:szCs w:val="32"/>
          <w:shd w:val="clear"/>
        </w:rPr>
        <w:t xml:space="preserve"> </w:t>
      </w:r>
      <w:r>
        <w:rPr>
          <w:rFonts w:hint="eastAsia" w:ascii="仿宋_GB2312" w:hAnsi="仿宋_GB2312" w:eastAsia="仿宋_GB2312" w:cs="仿宋_GB2312"/>
          <w:sz w:val="32"/>
          <w:szCs w:val="32"/>
          <w:shd w:val="clear"/>
          <w:lang w:val="en-US" w:eastAsia="zh-CN"/>
        </w:rPr>
        <w:t xml:space="preserve"> 国家税务总局金华市税务局  中国银保监</w:t>
      </w:r>
      <w:bookmarkStart w:id="0" w:name="_GoBack"/>
      <w:bookmarkEnd w:id="0"/>
      <w:r>
        <w:rPr>
          <w:rFonts w:hint="eastAsia" w:ascii="仿宋_GB2312" w:hAnsi="仿宋_GB2312" w:eastAsia="仿宋_GB2312" w:cs="仿宋_GB2312"/>
          <w:sz w:val="32"/>
          <w:szCs w:val="32"/>
          <w:shd w:val="clear"/>
          <w:lang w:val="en-US" w:eastAsia="zh-CN"/>
        </w:rPr>
        <w:t xml:space="preserve">会金华监管分局       </w:t>
      </w:r>
    </w:p>
    <w:p>
      <w:pPr>
        <w:widowControl/>
        <w:numPr>
          <w:ilvl w:val="0"/>
          <w:numId w:val="0"/>
        </w:numPr>
        <w:adjustRightInd/>
        <w:spacing w:line="600" w:lineRule="exact"/>
        <w:ind w:left="0" w:leftChars="0" w:firstLine="2560" w:firstLineChars="800"/>
        <w:rPr>
          <w:rFonts w:hint="eastAsia" w:ascii="仿宋_GB2312" w:hAnsi="仿宋_GB2312" w:eastAsia="仿宋_GB2312" w:cs="仿宋_GB2312"/>
          <w:kern w:val="2"/>
          <w:sz w:val="32"/>
          <w:szCs w:val="32"/>
        </w:rPr>
      </w:pPr>
    </w:p>
    <w:p>
      <w:pPr>
        <w:widowControl/>
        <w:numPr>
          <w:ilvl w:val="0"/>
          <w:numId w:val="0"/>
        </w:numPr>
        <w:adjustRightInd/>
        <w:spacing w:line="600" w:lineRule="exact"/>
        <w:ind w:left="0" w:leftChars="0" w:firstLine="2560" w:firstLineChars="800"/>
        <w:rPr>
          <w:rFonts w:hint="eastAsia" w:ascii="仿宋" w:hAnsi="仿宋" w:eastAsia="仿宋" w:cs="仿宋"/>
          <w:sz w:val="32"/>
          <w:szCs w:val="32"/>
          <w:lang w:val="en-US" w:eastAsia="zh-CN"/>
        </w:rPr>
      </w:pPr>
      <w:r>
        <w:rPr>
          <w:rFonts w:hint="eastAsia" w:ascii="仿宋" w:hAnsi="仿宋" w:eastAsia="仿宋" w:cs="仿宋"/>
          <w:kern w:val="2"/>
          <w:sz w:val="32"/>
          <w:szCs w:val="32"/>
        </w:rPr>
        <w:t>2021年</w:t>
      </w:r>
      <w:r>
        <w:rPr>
          <w:rFonts w:hint="eastAsia" w:ascii="仿宋" w:hAnsi="仿宋" w:eastAsia="仿宋" w:cs="仿宋"/>
          <w:kern w:val="2"/>
          <w:sz w:val="32"/>
          <w:szCs w:val="32"/>
          <w:lang w:val="en-US" w:eastAsia="zh-CN"/>
        </w:rPr>
        <w:t>12</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32"/>
          <w:szCs w:val="32"/>
        </w:rPr>
        <w:t>日</w:t>
      </w:r>
      <w:r>
        <w:rPr>
          <w:rFonts w:hint="eastAsia" w:ascii="仿宋" w:hAnsi="仿宋" w:eastAsia="仿宋" w:cs="仿宋"/>
          <w:kern w:val="2"/>
          <w:sz w:val="32"/>
          <w:szCs w:val="32"/>
          <w:lang w:val="en-US" w:eastAsia="zh-CN"/>
        </w:rPr>
        <w:t xml:space="preserve"> </w:t>
      </w:r>
    </w:p>
    <w:sectPr>
      <w:footerReference r:id="rId3" w:type="default"/>
      <w:pgSz w:w="11906" w:h="16838"/>
      <w:pgMar w:top="1984" w:right="1474" w:bottom="1928"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486546"/>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25022"/>
    <w:rsid w:val="0001216D"/>
    <w:rsid w:val="0003005D"/>
    <w:rsid w:val="000317FC"/>
    <w:rsid w:val="00033466"/>
    <w:rsid w:val="00037839"/>
    <w:rsid w:val="00050061"/>
    <w:rsid w:val="00052BCC"/>
    <w:rsid w:val="00056B0D"/>
    <w:rsid w:val="00061836"/>
    <w:rsid w:val="0006577C"/>
    <w:rsid w:val="000861A8"/>
    <w:rsid w:val="00086666"/>
    <w:rsid w:val="000A4C1E"/>
    <w:rsid w:val="000B7239"/>
    <w:rsid w:val="000C0C46"/>
    <w:rsid w:val="000C15DD"/>
    <w:rsid w:val="000C5C97"/>
    <w:rsid w:val="000D5D6A"/>
    <w:rsid w:val="000D69FE"/>
    <w:rsid w:val="000D7BBB"/>
    <w:rsid w:val="000E70BF"/>
    <w:rsid w:val="000E779B"/>
    <w:rsid w:val="000F025B"/>
    <w:rsid w:val="00104950"/>
    <w:rsid w:val="00106386"/>
    <w:rsid w:val="001152A9"/>
    <w:rsid w:val="00135C5A"/>
    <w:rsid w:val="00142C64"/>
    <w:rsid w:val="00142C94"/>
    <w:rsid w:val="0015477E"/>
    <w:rsid w:val="001806E5"/>
    <w:rsid w:val="00180DBE"/>
    <w:rsid w:val="00186D5D"/>
    <w:rsid w:val="001A54BC"/>
    <w:rsid w:val="001A6AB3"/>
    <w:rsid w:val="001C5110"/>
    <w:rsid w:val="001D198F"/>
    <w:rsid w:val="001D261C"/>
    <w:rsid w:val="001E2461"/>
    <w:rsid w:val="001F635A"/>
    <w:rsid w:val="00211986"/>
    <w:rsid w:val="0022395A"/>
    <w:rsid w:val="00224398"/>
    <w:rsid w:val="00224CA4"/>
    <w:rsid w:val="00242641"/>
    <w:rsid w:val="002431AB"/>
    <w:rsid w:val="002508A3"/>
    <w:rsid w:val="00252B57"/>
    <w:rsid w:val="0026051A"/>
    <w:rsid w:val="00272A06"/>
    <w:rsid w:val="002A1D50"/>
    <w:rsid w:val="002C060E"/>
    <w:rsid w:val="002E340A"/>
    <w:rsid w:val="003262E2"/>
    <w:rsid w:val="00330B95"/>
    <w:rsid w:val="00331F42"/>
    <w:rsid w:val="00336E35"/>
    <w:rsid w:val="00353EC5"/>
    <w:rsid w:val="0036303D"/>
    <w:rsid w:val="003971F8"/>
    <w:rsid w:val="003A5AFA"/>
    <w:rsid w:val="003B17E2"/>
    <w:rsid w:val="003B5166"/>
    <w:rsid w:val="003D29FC"/>
    <w:rsid w:val="003E1D04"/>
    <w:rsid w:val="003E7D0A"/>
    <w:rsid w:val="003F2247"/>
    <w:rsid w:val="00403F52"/>
    <w:rsid w:val="00411B14"/>
    <w:rsid w:val="00431DB6"/>
    <w:rsid w:val="00443B21"/>
    <w:rsid w:val="00443F71"/>
    <w:rsid w:val="0044667F"/>
    <w:rsid w:val="00454280"/>
    <w:rsid w:val="0047446F"/>
    <w:rsid w:val="00480C39"/>
    <w:rsid w:val="00481EE0"/>
    <w:rsid w:val="004944A0"/>
    <w:rsid w:val="004A5865"/>
    <w:rsid w:val="004A73AA"/>
    <w:rsid w:val="004C2728"/>
    <w:rsid w:val="004C5139"/>
    <w:rsid w:val="004C70A6"/>
    <w:rsid w:val="004E1CE2"/>
    <w:rsid w:val="004E586C"/>
    <w:rsid w:val="00503495"/>
    <w:rsid w:val="00513EDA"/>
    <w:rsid w:val="0052622F"/>
    <w:rsid w:val="00527210"/>
    <w:rsid w:val="0053295A"/>
    <w:rsid w:val="00541C86"/>
    <w:rsid w:val="00543EF2"/>
    <w:rsid w:val="00544735"/>
    <w:rsid w:val="005540F7"/>
    <w:rsid w:val="00564C33"/>
    <w:rsid w:val="00567E11"/>
    <w:rsid w:val="00567FEE"/>
    <w:rsid w:val="0058122A"/>
    <w:rsid w:val="00581D81"/>
    <w:rsid w:val="00590629"/>
    <w:rsid w:val="00592F03"/>
    <w:rsid w:val="005A4C28"/>
    <w:rsid w:val="005C1E9E"/>
    <w:rsid w:val="005C7374"/>
    <w:rsid w:val="005D57EA"/>
    <w:rsid w:val="005E3105"/>
    <w:rsid w:val="00603D06"/>
    <w:rsid w:val="00604F20"/>
    <w:rsid w:val="006448DE"/>
    <w:rsid w:val="006641B4"/>
    <w:rsid w:val="00664CA6"/>
    <w:rsid w:val="00683AD8"/>
    <w:rsid w:val="00685FA1"/>
    <w:rsid w:val="006927B4"/>
    <w:rsid w:val="00694BAF"/>
    <w:rsid w:val="006A0226"/>
    <w:rsid w:val="006B0724"/>
    <w:rsid w:val="006B087C"/>
    <w:rsid w:val="006B49A2"/>
    <w:rsid w:val="006E585D"/>
    <w:rsid w:val="00705632"/>
    <w:rsid w:val="0071315C"/>
    <w:rsid w:val="007175DF"/>
    <w:rsid w:val="00753064"/>
    <w:rsid w:val="00761144"/>
    <w:rsid w:val="00764EB2"/>
    <w:rsid w:val="00766E88"/>
    <w:rsid w:val="007741F4"/>
    <w:rsid w:val="00780B1F"/>
    <w:rsid w:val="007A3D6C"/>
    <w:rsid w:val="007A5411"/>
    <w:rsid w:val="007A5B32"/>
    <w:rsid w:val="007C190E"/>
    <w:rsid w:val="007C1A53"/>
    <w:rsid w:val="007D3C89"/>
    <w:rsid w:val="007E1060"/>
    <w:rsid w:val="007F639C"/>
    <w:rsid w:val="00803E1D"/>
    <w:rsid w:val="00812F93"/>
    <w:rsid w:val="008171C9"/>
    <w:rsid w:val="00831BCA"/>
    <w:rsid w:val="00840CCA"/>
    <w:rsid w:val="00842C24"/>
    <w:rsid w:val="008563A4"/>
    <w:rsid w:val="00870442"/>
    <w:rsid w:val="00877CC6"/>
    <w:rsid w:val="008815BC"/>
    <w:rsid w:val="00890567"/>
    <w:rsid w:val="00892254"/>
    <w:rsid w:val="00893915"/>
    <w:rsid w:val="008944E1"/>
    <w:rsid w:val="008951C0"/>
    <w:rsid w:val="00896EDA"/>
    <w:rsid w:val="008A2F19"/>
    <w:rsid w:val="008B1330"/>
    <w:rsid w:val="008B2350"/>
    <w:rsid w:val="008C0170"/>
    <w:rsid w:val="008C7C6B"/>
    <w:rsid w:val="008E2E07"/>
    <w:rsid w:val="008E59F6"/>
    <w:rsid w:val="008F0442"/>
    <w:rsid w:val="008F3A05"/>
    <w:rsid w:val="008F58FF"/>
    <w:rsid w:val="008F71A6"/>
    <w:rsid w:val="00901F46"/>
    <w:rsid w:val="00913226"/>
    <w:rsid w:val="009159E4"/>
    <w:rsid w:val="00932232"/>
    <w:rsid w:val="00946D17"/>
    <w:rsid w:val="00954E14"/>
    <w:rsid w:val="009755BB"/>
    <w:rsid w:val="00981A8E"/>
    <w:rsid w:val="00982CD8"/>
    <w:rsid w:val="00985C01"/>
    <w:rsid w:val="00991078"/>
    <w:rsid w:val="009B614C"/>
    <w:rsid w:val="009E2E6C"/>
    <w:rsid w:val="009E7761"/>
    <w:rsid w:val="00A03443"/>
    <w:rsid w:val="00A26070"/>
    <w:rsid w:val="00A42EF0"/>
    <w:rsid w:val="00A522A3"/>
    <w:rsid w:val="00A57BBC"/>
    <w:rsid w:val="00A6739C"/>
    <w:rsid w:val="00A84205"/>
    <w:rsid w:val="00A94224"/>
    <w:rsid w:val="00AA32FD"/>
    <w:rsid w:val="00AC1DCE"/>
    <w:rsid w:val="00AD04AB"/>
    <w:rsid w:val="00AF466C"/>
    <w:rsid w:val="00AF5EC3"/>
    <w:rsid w:val="00AF603B"/>
    <w:rsid w:val="00AF7789"/>
    <w:rsid w:val="00B0302D"/>
    <w:rsid w:val="00B154E5"/>
    <w:rsid w:val="00B32192"/>
    <w:rsid w:val="00B5158C"/>
    <w:rsid w:val="00B5424F"/>
    <w:rsid w:val="00B57E73"/>
    <w:rsid w:val="00B65458"/>
    <w:rsid w:val="00BC7A9F"/>
    <w:rsid w:val="00BE44C5"/>
    <w:rsid w:val="00C13041"/>
    <w:rsid w:val="00C16917"/>
    <w:rsid w:val="00C224EF"/>
    <w:rsid w:val="00C23D21"/>
    <w:rsid w:val="00C355EA"/>
    <w:rsid w:val="00C5423D"/>
    <w:rsid w:val="00C543A4"/>
    <w:rsid w:val="00C60631"/>
    <w:rsid w:val="00C7089D"/>
    <w:rsid w:val="00C71A8B"/>
    <w:rsid w:val="00C73D03"/>
    <w:rsid w:val="00C74AB3"/>
    <w:rsid w:val="00C80970"/>
    <w:rsid w:val="00CB214D"/>
    <w:rsid w:val="00CB4C98"/>
    <w:rsid w:val="00CD6A5C"/>
    <w:rsid w:val="00CE35BE"/>
    <w:rsid w:val="00CE56CB"/>
    <w:rsid w:val="00D05246"/>
    <w:rsid w:val="00D1783F"/>
    <w:rsid w:val="00D250DE"/>
    <w:rsid w:val="00D27377"/>
    <w:rsid w:val="00D30BED"/>
    <w:rsid w:val="00D40E2F"/>
    <w:rsid w:val="00D57D3A"/>
    <w:rsid w:val="00D644B5"/>
    <w:rsid w:val="00D657D9"/>
    <w:rsid w:val="00D76A6C"/>
    <w:rsid w:val="00DB35ED"/>
    <w:rsid w:val="00DB4895"/>
    <w:rsid w:val="00DB4B50"/>
    <w:rsid w:val="00DC0A55"/>
    <w:rsid w:val="00DC6C50"/>
    <w:rsid w:val="00DC7670"/>
    <w:rsid w:val="00DD097E"/>
    <w:rsid w:val="00DD0E9F"/>
    <w:rsid w:val="00DD3B0C"/>
    <w:rsid w:val="00E36E83"/>
    <w:rsid w:val="00E37187"/>
    <w:rsid w:val="00E506AB"/>
    <w:rsid w:val="00E50B50"/>
    <w:rsid w:val="00E5445A"/>
    <w:rsid w:val="00E54F79"/>
    <w:rsid w:val="00E577E7"/>
    <w:rsid w:val="00E60095"/>
    <w:rsid w:val="00E670F5"/>
    <w:rsid w:val="00E77A17"/>
    <w:rsid w:val="00E844C5"/>
    <w:rsid w:val="00E86D44"/>
    <w:rsid w:val="00EC419A"/>
    <w:rsid w:val="00ED6843"/>
    <w:rsid w:val="00ED7D20"/>
    <w:rsid w:val="00EE4857"/>
    <w:rsid w:val="00EF0823"/>
    <w:rsid w:val="00F00BF4"/>
    <w:rsid w:val="00F07B00"/>
    <w:rsid w:val="00F16ECE"/>
    <w:rsid w:val="00F23FD3"/>
    <w:rsid w:val="00F30E0A"/>
    <w:rsid w:val="00F45080"/>
    <w:rsid w:val="00F54C8C"/>
    <w:rsid w:val="00F55DAF"/>
    <w:rsid w:val="00F80407"/>
    <w:rsid w:val="00F81802"/>
    <w:rsid w:val="00F848D7"/>
    <w:rsid w:val="00F93918"/>
    <w:rsid w:val="00FA260C"/>
    <w:rsid w:val="00FB0EB2"/>
    <w:rsid w:val="00FB46EC"/>
    <w:rsid w:val="00FB7289"/>
    <w:rsid w:val="00FC0974"/>
    <w:rsid w:val="00FC0C4D"/>
    <w:rsid w:val="00FE45AC"/>
    <w:rsid w:val="00FF4182"/>
    <w:rsid w:val="01A2062F"/>
    <w:rsid w:val="023D2185"/>
    <w:rsid w:val="0290086F"/>
    <w:rsid w:val="02CD6598"/>
    <w:rsid w:val="02DE7A44"/>
    <w:rsid w:val="04093BD6"/>
    <w:rsid w:val="04196518"/>
    <w:rsid w:val="0431687C"/>
    <w:rsid w:val="048E4E63"/>
    <w:rsid w:val="05011B04"/>
    <w:rsid w:val="05561760"/>
    <w:rsid w:val="057633D8"/>
    <w:rsid w:val="059907DF"/>
    <w:rsid w:val="060456B9"/>
    <w:rsid w:val="06A85353"/>
    <w:rsid w:val="06C00580"/>
    <w:rsid w:val="07BB017F"/>
    <w:rsid w:val="095A47AC"/>
    <w:rsid w:val="095C5BB6"/>
    <w:rsid w:val="09E32F7F"/>
    <w:rsid w:val="09EF2E65"/>
    <w:rsid w:val="0A601917"/>
    <w:rsid w:val="0A83587F"/>
    <w:rsid w:val="0AC24EA8"/>
    <w:rsid w:val="0D045553"/>
    <w:rsid w:val="0D3B07B9"/>
    <w:rsid w:val="0E2A4574"/>
    <w:rsid w:val="0E6913E0"/>
    <w:rsid w:val="0EB93E0F"/>
    <w:rsid w:val="0F4123DD"/>
    <w:rsid w:val="11205B91"/>
    <w:rsid w:val="11D175D7"/>
    <w:rsid w:val="122C6082"/>
    <w:rsid w:val="12E65EB0"/>
    <w:rsid w:val="13655019"/>
    <w:rsid w:val="14213093"/>
    <w:rsid w:val="14E60805"/>
    <w:rsid w:val="14EB5AF5"/>
    <w:rsid w:val="15B568BB"/>
    <w:rsid w:val="16973D03"/>
    <w:rsid w:val="16EF30EA"/>
    <w:rsid w:val="18190F67"/>
    <w:rsid w:val="18533EDF"/>
    <w:rsid w:val="18E65C9F"/>
    <w:rsid w:val="191449BD"/>
    <w:rsid w:val="1A09443F"/>
    <w:rsid w:val="1A11479E"/>
    <w:rsid w:val="1A89564A"/>
    <w:rsid w:val="1B2C3759"/>
    <w:rsid w:val="1C0234A2"/>
    <w:rsid w:val="1C511E91"/>
    <w:rsid w:val="1CA81E1E"/>
    <w:rsid w:val="1CE516F1"/>
    <w:rsid w:val="1E0F0EF7"/>
    <w:rsid w:val="1E4A7E7A"/>
    <w:rsid w:val="1E6B78AC"/>
    <w:rsid w:val="20E66C22"/>
    <w:rsid w:val="213F53CA"/>
    <w:rsid w:val="21C3509C"/>
    <w:rsid w:val="21DC7BD1"/>
    <w:rsid w:val="234A5D91"/>
    <w:rsid w:val="23540983"/>
    <w:rsid w:val="23F4151D"/>
    <w:rsid w:val="24087EC5"/>
    <w:rsid w:val="24345985"/>
    <w:rsid w:val="258F25A2"/>
    <w:rsid w:val="25D93F29"/>
    <w:rsid w:val="26FD11F5"/>
    <w:rsid w:val="27A74591"/>
    <w:rsid w:val="28072744"/>
    <w:rsid w:val="28A3278E"/>
    <w:rsid w:val="2A1274BD"/>
    <w:rsid w:val="2A8F4D2B"/>
    <w:rsid w:val="2ADE5626"/>
    <w:rsid w:val="2ADF3672"/>
    <w:rsid w:val="2B0E57ED"/>
    <w:rsid w:val="2C0D0D4D"/>
    <w:rsid w:val="2EC52032"/>
    <w:rsid w:val="2EEF4C0F"/>
    <w:rsid w:val="2FA26607"/>
    <w:rsid w:val="301D33AD"/>
    <w:rsid w:val="308A00E7"/>
    <w:rsid w:val="31452192"/>
    <w:rsid w:val="328440CE"/>
    <w:rsid w:val="32D75958"/>
    <w:rsid w:val="33BF0422"/>
    <w:rsid w:val="33C42B93"/>
    <w:rsid w:val="34680007"/>
    <w:rsid w:val="348E3838"/>
    <w:rsid w:val="34A635BB"/>
    <w:rsid w:val="3547740F"/>
    <w:rsid w:val="357008D5"/>
    <w:rsid w:val="35D47B97"/>
    <w:rsid w:val="35D807C3"/>
    <w:rsid w:val="368F3A81"/>
    <w:rsid w:val="36923DA2"/>
    <w:rsid w:val="36AD575F"/>
    <w:rsid w:val="37410417"/>
    <w:rsid w:val="374D0B42"/>
    <w:rsid w:val="37642524"/>
    <w:rsid w:val="39552000"/>
    <w:rsid w:val="39762ACC"/>
    <w:rsid w:val="3B334118"/>
    <w:rsid w:val="3C057632"/>
    <w:rsid w:val="3C1B29EB"/>
    <w:rsid w:val="3D3B02BF"/>
    <w:rsid w:val="3DB22133"/>
    <w:rsid w:val="3FEC0DC3"/>
    <w:rsid w:val="41BD609C"/>
    <w:rsid w:val="421C569B"/>
    <w:rsid w:val="42BE5D5F"/>
    <w:rsid w:val="42C7775E"/>
    <w:rsid w:val="42E414AE"/>
    <w:rsid w:val="43156B7A"/>
    <w:rsid w:val="436B52A4"/>
    <w:rsid w:val="43753CE1"/>
    <w:rsid w:val="44794E7F"/>
    <w:rsid w:val="45763710"/>
    <w:rsid w:val="45954F0F"/>
    <w:rsid w:val="46786D80"/>
    <w:rsid w:val="4692318B"/>
    <w:rsid w:val="476765A5"/>
    <w:rsid w:val="491524D7"/>
    <w:rsid w:val="49D40150"/>
    <w:rsid w:val="4A277718"/>
    <w:rsid w:val="4A363196"/>
    <w:rsid w:val="4A543DE0"/>
    <w:rsid w:val="4B1A29FE"/>
    <w:rsid w:val="4C2D206A"/>
    <w:rsid w:val="4C8303F2"/>
    <w:rsid w:val="4CA00B57"/>
    <w:rsid w:val="4D524441"/>
    <w:rsid w:val="4D9D7522"/>
    <w:rsid w:val="4DDE4AB4"/>
    <w:rsid w:val="4E167AB1"/>
    <w:rsid w:val="4E322F83"/>
    <w:rsid w:val="4E740157"/>
    <w:rsid w:val="4F456124"/>
    <w:rsid w:val="4F997AEF"/>
    <w:rsid w:val="4FE8439A"/>
    <w:rsid w:val="50A8061C"/>
    <w:rsid w:val="52460A99"/>
    <w:rsid w:val="546A6FDE"/>
    <w:rsid w:val="549510F8"/>
    <w:rsid w:val="54AE7F04"/>
    <w:rsid w:val="55115317"/>
    <w:rsid w:val="55252985"/>
    <w:rsid w:val="555027BC"/>
    <w:rsid w:val="56114473"/>
    <w:rsid w:val="56237320"/>
    <w:rsid w:val="56E4338C"/>
    <w:rsid w:val="57A234CD"/>
    <w:rsid w:val="582B57AD"/>
    <w:rsid w:val="588E3292"/>
    <w:rsid w:val="59532889"/>
    <w:rsid w:val="59E84FC2"/>
    <w:rsid w:val="59EA2D3C"/>
    <w:rsid w:val="5C481942"/>
    <w:rsid w:val="5C934D86"/>
    <w:rsid w:val="5CCA7ED9"/>
    <w:rsid w:val="5D5D0DAA"/>
    <w:rsid w:val="5DE53D58"/>
    <w:rsid w:val="5E4E0BFE"/>
    <w:rsid w:val="603A7B55"/>
    <w:rsid w:val="606E6094"/>
    <w:rsid w:val="60FE3828"/>
    <w:rsid w:val="61FA34FB"/>
    <w:rsid w:val="620756B4"/>
    <w:rsid w:val="6303664A"/>
    <w:rsid w:val="632D1BA4"/>
    <w:rsid w:val="637E402A"/>
    <w:rsid w:val="6389096D"/>
    <w:rsid w:val="65307D12"/>
    <w:rsid w:val="65F25022"/>
    <w:rsid w:val="67CA64B1"/>
    <w:rsid w:val="690C79BB"/>
    <w:rsid w:val="6A0B4787"/>
    <w:rsid w:val="6A280C6C"/>
    <w:rsid w:val="6B3C20F9"/>
    <w:rsid w:val="6BDE653F"/>
    <w:rsid w:val="6BFC5A0C"/>
    <w:rsid w:val="6C270240"/>
    <w:rsid w:val="6C6361AA"/>
    <w:rsid w:val="6CC73594"/>
    <w:rsid w:val="6E4A7825"/>
    <w:rsid w:val="6FCE0589"/>
    <w:rsid w:val="71CF42D0"/>
    <w:rsid w:val="725A19B8"/>
    <w:rsid w:val="741140DB"/>
    <w:rsid w:val="74F435D5"/>
    <w:rsid w:val="755B1C3B"/>
    <w:rsid w:val="7719363B"/>
    <w:rsid w:val="7797393B"/>
    <w:rsid w:val="77D05EE7"/>
    <w:rsid w:val="780803DC"/>
    <w:rsid w:val="781369D2"/>
    <w:rsid w:val="784E7942"/>
    <w:rsid w:val="78886D35"/>
    <w:rsid w:val="794F4CAB"/>
    <w:rsid w:val="799B3988"/>
    <w:rsid w:val="7A071A13"/>
    <w:rsid w:val="7A593862"/>
    <w:rsid w:val="7C7D43F6"/>
    <w:rsid w:val="7CC1538C"/>
    <w:rsid w:val="7CE25C93"/>
    <w:rsid w:val="7D4D3309"/>
    <w:rsid w:val="7E133842"/>
    <w:rsid w:val="7EFA3381"/>
    <w:rsid w:val="7FDB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99"/>
    <w:pPr>
      <w:jc w:val="left"/>
    </w:pPr>
  </w:style>
  <w:style w:type="paragraph" w:styleId="3">
    <w:name w:val="Body Text"/>
    <w:basedOn w:val="1"/>
    <w:link w:val="25"/>
    <w:qFormat/>
    <w:uiPriority w:val="1"/>
    <w:pPr>
      <w:spacing w:before="7"/>
      <w:ind w:left="253"/>
      <w:jc w:val="left"/>
    </w:pPr>
    <w:rPr>
      <w:rFonts w:ascii="宋体" w:hAnsi="宋体" w:eastAsia="宋体"/>
      <w:kern w:val="0"/>
      <w:sz w:val="30"/>
      <w:szCs w:val="30"/>
      <w:lang w:eastAsia="en-US"/>
    </w:rPr>
  </w:style>
  <w:style w:type="paragraph" w:styleId="4">
    <w:name w:val="Balloon Text"/>
    <w:basedOn w:val="1"/>
    <w:link w:val="18"/>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3"/>
    <w:qFormat/>
    <w:uiPriority w:val="0"/>
    <w:pPr>
      <w:snapToGrid w:val="0"/>
      <w:jc w:val="left"/>
    </w:pPr>
    <w:rPr>
      <w:sz w:val="18"/>
      <w:szCs w:val="18"/>
    </w:rPr>
  </w:style>
  <w:style w:type="paragraph" w:styleId="8">
    <w:name w:val="annotation subject"/>
    <w:basedOn w:val="2"/>
    <w:next w:val="2"/>
    <w:link w:val="22"/>
    <w:qFormat/>
    <w:uiPriority w:val="0"/>
    <w:rPr>
      <w:b/>
      <w:bCs/>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styleId="14">
    <w:name w:val="annotation reference"/>
    <w:basedOn w:val="10"/>
    <w:qFormat/>
    <w:uiPriority w:val="99"/>
    <w:rPr>
      <w:sz w:val="21"/>
      <w:szCs w:val="21"/>
    </w:rPr>
  </w:style>
  <w:style w:type="character" w:styleId="15">
    <w:name w:val="footnote reference"/>
    <w:basedOn w:val="10"/>
    <w:qFormat/>
    <w:uiPriority w:val="0"/>
    <w:rPr>
      <w:vertAlign w:val="superscript"/>
    </w:rPr>
  </w:style>
  <w:style w:type="character" w:customStyle="1" w:styleId="16">
    <w:name w:val="页眉 Char"/>
    <w:basedOn w:val="10"/>
    <w:link w:val="6"/>
    <w:qFormat/>
    <w:uiPriority w:val="0"/>
    <w:rPr>
      <w:rFonts w:asciiTheme="minorHAnsi" w:hAnsiTheme="minorHAnsi" w:eastAsiaTheme="minorEastAsia" w:cstheme="minorBidi"/>
      <w:kern w:val="2"/>
      <w:sz w:val="18"/>
      <w:szCs w:val="18"/>
    </w:rPr>
  </w:style>
  <w:style w:type="character" w:customStyle="1" w:styleId="17">
    <w:name w:val="页脚 Char"/>
    <w:basedOn w:val="10"/>
    <w:link w:val="5"/>
    <w:qFormat/>
    <w:uiPriority w:val="99"/>
    <w:rPr>
      <w:rFonts w:asciiTheme="minorHAnsi" w:hAnsiTheme="minorHAnsi" w:eastAsiaTheme="minorEastAsia" w:cstheme="minorBidi"/>
      <w:kern w:val="2"/>
      <w:sz w:val="18"/>
      <w:szCs w:val="18"/>
    </w:rPr>
  </w:style>
  <w:style w:type="character" w:customStyle="1" w:styleId="18">
    <w:name w:val="批注框文本 Char"/>
    <w:basedOn w:val="10"/>
    <w:link w:val="4"/>
    <w:qFormat/>
    <w:uiPriority w:val="0"/>
    <w:rPr>
      <w:rFonts w:asciiTheme="minorHAnsi" w:hAnsiTheme="minorHAnsi" w:eastAsiaTheme="minorEastAsia" w:cstheme="minorBidi"/>
      <w:kern w:val="2"/>
      <w:sz w:val="18"/>
      <w:szCs w:val="18"/>
    </w:rPr>
  </w:style>
  <w:style w:type="paragraph" w:customStyle="1" w:styleId="19">
    <w:name w:val="Char"/>
    <w:basedOn w:val="1"/>
    <w:qFormat/>
    <w:uiPriority w:val="0"/>
    <w:rPr>
      <w:rFonts w:ascii="Tahoma" w:hAnsi="Tahoma" w:eastAsia="宋体" w:cs="Times New Roman"/>
      <w:sz w:val="24"/>
      <w:szCs w:val="20"/>
    </w:rPr>
  </w:style>
  <w:style w:type="paragraph" w:styleId="20">
    <w:name w:val="List Paragraph"/>
    <w:basedOn w:val="1"/>
    <w:unhideWhenUsed/>
    <w:qFormat/>
    <w:uiPriority w:val="99"/>
    <w:pPr>
      <w:ind w:firstLine="420" w:firstLineChars="200"/>
    </w:pPr>
  </w:style>
  <w:style w:type="character" w:customStyle="1" w:styleId="21">
    <w:name w:val="批注文字 Char"/>
    <w:link w:val="2"/>
    <w:qFormat/>
    <w:uiPriority w:val="99"/>
    <w:rPr>
      <w:rFonts w:asciiTheme="minorHAnsi" w:hAnsiTheme="minorHAnsi" w:eastAsiaTheme="minorEastAsia" w:cstheme="minorBidi"/>
      <w:kern w:val="2"/>
      <w:sz w:val="21"/>
      <w:szCs w:val="24"/>
    </w:rPr>
  </w:style>
  <w:style w:type="character" w:customStyle="1" w:styleId="22">
    <w:name w:val="批注主题 Char"/>
    <w:basedOn w:val="21"/>
    <w:link w:val="8"/>
    <w:qFormat/>
    <w:uiPriority w:val="0"/>
    <w:rPr>
      <w:rFonts w:asciiTheme="minorHAnsi" w:hAnsiTheme="minorHAnsi" w:eastAsiaTheme="minorEastAsia" w:cstheme="minorBidi"/>
      <w:b/>
      <w:bCs/>
      <w:kern w:val="2"/>
      <w:sz w:val="21"/>
      <w:szCs w:val="24"/>
    </w:rPr>
  </w:style>
  <w:style w:type="character" w:customStyle="1" w:styleId="23">
    <w:name w:val="脚注文本 Char"/>
    <w:basedOn w:val="10"/>
    <w:link w:val="7"/>
    <w:qFormat/>
    <w:uiPriority w:val="0"/>
    <w:rPr>
      <w:rFonts w:asciiTheme="minorHAnsi" w:hAnsiTheme="minorHAnsi" w:eastAsiaTheme="minorEastAsia" w:cstheme="minorBidi"/>
      <w:kern w:val="2"/>
      <w:sz w:val="18"/>
      <w:szCs w:val="18"/>
    </w:rPr>
  </w:style>
  <w:style w:type="paragraph" w:customStyle="1" w:styleId="24">
    <w:name w:val="Body text|1"/>
    <w:basedOn w:val="1"/>
    <w:qFormat/>
    <w:uiPriority w:val="0"/>
    <w:pPr>
      <w:adjustRightInd w:val="0"/>
      <w:snapToGrid w:val="0"/>
      <w:spacing w:after="200" w:line="408" w:lineRule="auto"/>
      <w:ind w:firstLine="400"/>
      <w:jc w:val="left"/>
    </w:pPr>
    <w:rPr>
      <w:rFonts w:ascii="宋体" w:hAnsi="宋体" w:eastAsia="宋体" w:cs="宋体"/>
      <w:kern w:val="0"/>
      <w:sz w:val="28"/>
      <w:szCs w:val="28"/>
      <w:lang w:val="zh-TW" w:eastAsia="zh-TW"/>
    </w:rPr>
  </w:style>
  <w:style w:type="character" w:customStyle="1" w:styleId="25">
    <w:name w:val="正文文本 Char"/>
    <w:basedOn w:val="10"/>
    <w:link w:val="3"/>
    <w:qFormat/>
    <w:uiPriority w:val="1"/>
    <w:rPr>
      <w:rFonts w:ascii="宋体" w:hAnsi="宋体" w:cstheme="minorBidi"/>
      <w:sz w:val="30"/>
      <w:szCs w:val="3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712EF-3B37-4333-A045-DE84AF7F353A}">
  <ds:schemaRefs/>
</ds:datastoreItem>
</file>

<file path=docProps/app.xml><?xml version="1.0" encoding="utf-8"?>
<Properties xmlns="http://schemas.openxmlformats.org/officeDocument/2006/extended-properties" xmlns:vt="http://schemas.openxmlformats.org/officeDocument/2006/docPropsVTypes">
  <Template>Normal</Template>
  <Company>市民政局</Company>
  <Pages>8</Pages>
  <Words>554</Words>
  <Characters>3163</Characters>
  <Lines>26</Lines>
  <Paragraphs>7</Paragraphs>
  <TotalTime>72</TotalTime>
  <ScaleCrop>false</ScaleCrop>
  <LinksUpToDate>false</LinksUpToDate>
  <CharactersWithSpaces>3710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2021-08-20T05:01:00Z</dcterms:created>
  <dc:creator>费凡</dc:creator>
  <cp:lastModifiedBy>郑纪萍</cp:lastModifiedBy>
  <cp:lastPrinted>2020-05-13T06:46:00Z</cp:lastPrinted>
  <dcterms:modified xsi:type="dcterms:W3CDTF">2021-12-17T03:03:39Z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1754BEE4EAD9455184765FAC52FB1CAF</vt:lpwstr>
  </property>
</Properties>
</file>