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扶持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市区跨境电子商务</w:t>
      </w:r>
      <w:r>
        <w:rPr>
          <w:rFonts w:hint="eastAsia" w:ascii="黑体" w:hAnsi="黑体" w:eastAsia="黑体" w:cs="黑体"/>
          <w:sz w:val="44"/>
          <w:szCs w:val="44"/>
        </w:rPr>
        <w:t>发展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八条</w:t>
      </w:r>
      <w:r>
        <w:rPr>
          <w:rFonts w:hint="eastAsia" w:ascii="黑体" w:hAnsi="黑体" w:eastAsia="黑体" w:cs="黑体"/>
          <w:sz w:val="44"/>
          <w:szCs w:val="44"/>
        </w:rPr>
        <w:t>措施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实施细则（征求意见稿）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jc w:val="center"/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</w:rPr>
        <w:t>总则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为贯彻落实《扶持市区跨境电子商务发展八条措施》（金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出专发〔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2020〕2号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），特制定本实施细则。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本实施细则适用于在市区依法办理市场主体登记（依照法律、行政法规不需要进行登记的除外）、依法纳税、按时上报统计数据、遵守法规，以互联网或物联网为依托、以信息技术为主要支撑开展经营活动的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跨境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电子商务经营者的法人机构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为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跨境电商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auto"/>
          <w:lang w:val="en-US" w:eastAsia="zh-CN"/>
        </w:rPr>
        <w:t>提供服务的其他法人机构。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市、区财政应将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跨境电子商务发展专项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资金纳入财政预算，专项用于支持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跨境电子商务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企业发展。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跨境电子商务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发展扶持资金除评选性奖励资金由市财政全额承担外，其余资金按市、区财政体制分担。</w:t>
      </w:r>
    </w:p>
    <w:p>
      <w:pPr>
        <w:numPr>
          <w:ilvl w:val="0"/>
          <w:numId w:val="0"/>
        </w:numPr>
        <w:spacing w:line="560" w:lineRule="exact"/>
        <w:ind w:firstLine="2880" w:firstLineChars="9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第二章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奖励、补助标准和条件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第四条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企业转型升级补助标准和条件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（一）对于制造业企业新入驻跨境电商第三方平台的，当年该企业纳入统计的外贸实际经营规模在50万美元以上的，对该申报年度企业向平台缴纳的注册费、服务费等予以50%补助，不同平台可同时享受,单个企业累计补助额不超过10万元人民币。跨境电商第三方平台包含但不限于速卖通、亚马逊、eBay、Wish、虾皮、Lazada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（二）对企业使用阿里国际站等跨境电商B2B平台开拓国际市场，并按照9710模式报关,给予推广费用40%以内的一次性补助，单个企业每年扶持金额不超过5万元。对于跨境电子商务企业自建独立站推广产品，并借助海外社交媒体、搜索引擎等数字化平台引流(广告费用等)，给不超过推广费用50%的一次性资金扶持（包括建站、引流等费用），单个企业每年扶持金额不超过10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（三）对列入省级公共海外仓建设试点名单的企业，享受省级扶持政策；对列入市级公共海外仓建设试点名单的企业，给与不超过20万元的一次性资金扶持。企业利用经认定的公共海外仓开展跨境电子商务业务，并按9810模式报关出口的，按产生的服务费用（仓储费、订单处理费等）25%予以补助，单个企业每年不超过10万元，连续资助不超过三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第五条 跨境电子商务品牌培育补助标准和条件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对在跨境出口目的国注册自有商标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的跨境电子商务企业，给予不超过当年境外商标注册费用70%的一次性资金扶持，单个企业扶持总金额不超过2万元。通过国家、省、市认定的跨境电商自主品牌，每个品牌分别给予50万元、20万元、2万元一次性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第六条 跨境电商金融扶持补助标准和条件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鼓励商业银行创新开展“电商贷”业务。对</w:t>
      </w:r>
      <w:r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纳入</w:t>
      </w: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统计范围的跨境电子商务企业</w:t>
      </w:r>
      <w:r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以</w:t>
      </w:r>
      <w:r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企业</w:t>
      </w: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名义向银行贷款融资的,</w:t>
      </w:r>
      <w:r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给予基准利率50%的贷款贴息，</w:t>
      </w: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单个</w:t>
      </w:r>
      <w:r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企业</w:t>
      </w: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每</w:t>
      </w:r>
      <w:r>
        <w:rPr>
          <w:rFonts w:hint="default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年贴息总额不超过10万元。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第七条 跨境通关物流体系补助标准和条件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（一）跨境通平台年出口规模达5000万美元以上的，给予一次性150万元奖励。出口规模超过5000万美元的，每增加1000万美元的，分别再给予10万元的奖励。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（二）对在金华市域内开设国际专线服务的物流企业，经海关监管并通关的邮包达300万件包裹以上的，给予每件包裹0.1元人民币奖励，单个企业每年奖励额不超过100万元。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第八条 鼓励企业做大做强补助标准和条件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lang w:val="en-US" w:eastAsia="zh-CN" w:bidi="ar-SA"/>
        </w:rPr>
        <w:t>对首次纳入统计范围的限额以上跨境电商企业，给予一次性5万元奖励。对新引进或培育的跨境电商企业，纳入统计的跨境电商经营规模首次超过1000万美元、5000万美元的，分别给与50万元和100万元的一次性奖励。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第九条 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资金申报、审拨程序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（一）申报程序：专项资金由市商务局组织申报。凡符合本细则规定范围和扶持条件的企业及其他法人机构，通过金华市奖补资金信息管理系统填报材料（网址：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"http://czbz.czj.jinhua.gov.cn/%EF%BC%89" \t "_blank"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http://czbz.czj.jinhua.gov.cn/）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。各区主管部门通过登陆金华市奖补资金信息管理系统审核端（网址：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"http://10.45.14.183:8001/index%EF%BC%89" \t "_blank"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http://10.45.14.183:8001/index）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，对辖区内申报单位进行初审并汇总（项目申请汇总表见附件1）。签署意见后正式行文报送市商务局（一份）。同一项目只能享受一次奖励或补助，已享受其他市区财政补助政策的不能重复享受。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（二）申报材料：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1.企业营业执照（副本）复印件。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2.企业纳入统计系统的网页页面截图。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3.企业申请具体补助的相关证明材料。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4.其它需提供的相关材料。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三）审拨程序：市商务局委托中介机构对申报项目进行审核，对经审核同意的项目，在市商务局网站上予以公示，公示期满后无异议的按程序报市政府审批，审定批准后由市商务局下文，市、区财政局按资金预算管理要求下拨专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第十条 申请奖励（补助）的企业必须保证所有申报材料的真实性，如有弄虚作假、违法或严重违规行为，经核查属实，除按照国家规定追究责任外，还将作出以下处理：由主管部门负责追回已拨付的专项资金，取消该企业三年内再次申报奖励（补助）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第十一条 公共海外仓原则上以省、市评定的和已建立战略合作协议的公共海外仓为主，并根据每年评审评估情况，实行动态调整。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  <w:t>第十</w:t>
      </w:r>
      <w:r>
        <w:rPr>
          <w:rFonts w:hint="eastAsia" w:ascii="Times New Roman" w:hAnsi="Times New Roman" w:eastAsia="仿宋" w:cs="Times New Roman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  <w:t>条  本实施细则由市商务局和市财政局负责解释。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  <w:t>附件：项目申报汇总表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color w:val="000000"/>
          <w:spacing w:val="-4"/>
          <w:sz w:val="36"/>
          <w:szCs w:val="36"/>
          <w:u w:val="none" w:color="auto"/>
          <w:shd w:val="clear" w:color="auto" w:fill="auto"/>
          <w:lang w:val="en-US" w:eastAsia="zh-CN"/>
        </w:rPr>
        <w:sectPr>
          <w:pgSz w:w="11906" w:h="16838"/>
          <w:pgMar w:top="1134" w:right="1440" w:bottom="1803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36"/>
          <w:szCs w:val="36"/>
          <w:u w:val="none" w:color="auto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6"/>
          <w:szCs w:val="36"/>
          <w:u w:val="none" w:color="auto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44"/>
          <w:szCs w:val="44"/>
          <w:u w:val="none" w:color="auto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44"/>
          <w:szCs w:val="44"/>
          <w:u w:val="none" w:color="auto"/>
          <w:shd w:val="clear" w:color="auto" w:fill="auto"/>
          <w:lang w:val="en-US" w:eastAsia="zh-CN"/>
        </w:rPr>
        <w:t>项目申报汇总表</w:t>
      </w:r>
    </w:p>
    <w:tbl>
      <w:tblPr>
        <w:tblStyle w:val="6"/>
        <w:tblW w:w="13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159"/>
        <w:gridCol w:w="3260"/>
        <w:gridCol w:w="3510"/>
        <w:gridCol w:w="166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县(市、区)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申报项目</w:t>
            </w: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1、....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  <w:t>2、....</w:t>
            </w: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4"/>
                <w:sz w:val="32"/>
                <w:szCs w:val="32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u w:val="none" w:color="auto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44"/>
          <w:szCs w:val="44"/>
          <w:u w:val="none" w:color="auto"/>
          <w:shd w:val="clear" w:color="auto" w:fill="auto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C6E3"/>
    <w:multiLevelType w:val="singleLevel"/>
    <w:tmpl w:val="2865C6E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32A4B49"/>
    <w:multiLevelType w:val="singleLevel"/>
    <w:tmpl w:val="532A4B49"/>
    <w:lvl w:ilvl="0" w:tentative="0">
      <w:start w:val="1"/>
      <w:numFmt w:val="chineseCounting"/>
      <w:suff w:val="space"/>
      <w:lvlText w:val="第%1条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7A0627"/>
    <w:rsid w:val="0F1A6099"/>
    <w:rsid w:val="10D666EE"/>
    <w:rsid w:val="14D5695B"/>
    <w:rsid w:val="17B5636C"/>
    <w:rsid w:val="19B84D6D"/>
    <w:rsid w:val="19D53623"/>
    <w:rsid w:val="19E471F6"/>
    <w:rsid w:val="1DE84152"/>
    <w:rsid w:val="221943CB"/>
    <w:rsid w:val="25421523"/>
    <w:rsid w:val="25523F8A"/>
    <w:rsid w:val="27BB474C"/>
    <w:rsid w:val="28C86DFC"/>
    <w:rsid w:val="2C2555E7"/>
    <w:rsid w:val="2CFC5372"/>
    <w:rsid w:val="3ADC609E"/>
    <w:rsid w:val="3E5F4A33"/>
    <w:rsid w:val="3F0B5E4D"/>
    <w:rsid w:val="528D688D"/>
    <w:rsid w:val="58AB1020"/>
    <w:rsid w:val="5F6A1FDA"/>
    <w:rsid w:val="62AC6822"/>
    <w:rsid w:val="66A5230A"/>
    <w:rsid w:val="682A6CE1"/>
    <w:rsid w:val="68305048"/>
    <w:rsid w:val="6C835B20"/>
    <w:rsid w:val="6CCE4D70"/>
    <w:rsid w:val="744B6EBC"/>
    <w:rsid w:val="75911E91"/>
    <w:rsid w:val="76046855"/>
    <w:rsid w:val="778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2020-07-23T01:23:00Z</dcterms:created>
  <dc:creator>Administrator</dc:creator>
  <cp:lastModifiedBy>柳昂元</cp:lastModifiedBy>
  <dcterms:modified xsi:type="dcterms:W3CDTF">2021-01-07T02:21:21Z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