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center"/>
        <w:rPr>
          <w:rFonts w:hint="eastAsia" w:ascii="楷体" w:hAnsi="楷体" w:eastAsia="楷体" w:cs="楷体"/>
          <w:sz w:val="24"/>
          <w:szCs w:val="24"/>
        </w:rPr>
      </w:pPr>
      <w:bookmarkStart w:id="0" w:name="_GoBack"/>
      <w:bookmarkEnd w:id="0"/>
      <w:r>
        <w:rPr>
          <w:rFonts w:hint="eastAsia" w:ascii="方正小标宋_GBK" w:eastAsia="方正小标宋_GBK"/>
          <w:sz w:val="36"/>
          <w:szCs w:val="36"/>
          <w:lang w:val="en-US" w:eastAsia="zh-CN"/>
        </w:rPr>
        <w:t>区人社局</w:t>
      </w:r>
      <w:r>
        <w:rPr>
          <w:rFonts w:hint="eastAsia" w:ascii="方正小标宋_GBK" w:eastAsia="方正小标宋_GBK"/>
          <w:sz w:val="36"/>
          <w:szCs w:val="36"/>
        </w:rPr>
        <w:t>202</w:t>
      </w:r>
      <w:r>
        <w:rPr>
          <w:rFonts w:hint="eastAsia" w:ascii="方正小标宋_GBK" w:eastAsia="方正小标宋_GBK"/>
          <w:sz w:val="36"/>
          <w:szCs w:val="36"/>
          <w:lang w:val="en-US" w:eastAsia="zh-CN"/>
        </w:rPr>
        <w:t>2</w:t>
      </w:r>
      <w:r>
        <w:rPr>
          <w:rFonts w:hint="eastAsia" w:ascii="方正小标宋_GBK" w:eastAsia="方正小标宋_GBK"/>
          <w:sz w:val="36"/>
          <w:szCs w:val="36"/>
        </w:rPr>
        <w:t>年重大行政决策事项目录</w:t>
      </w:r>
    </w:p>
    <w:tbl>
      <w:tblPr>
        <w:tblStyle w:val="4"/>
        <w:tblW w:w="15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08"/>
        <w:gridCol w:w="1443"/>
        <w:gridCol w:w="4208"/>
        <w:gridCol w:w="1316"/>
        <w:gridCol w:w="1182"/>
        <w:gridCol w:w="2149"/>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blHeader/>
          <w:jc w:val="center"/>
        </w:trPr>
        <w:tc>
          <w:tcPr>
            <w:tcW w:w="567" w:type="dxa"/>
            <w:vAlign w:val="center"/>
          </w:tcPr>
          <w:p>
            <w:pPr>
              <w:spacing w:line="400" w:lineRule="exact"/>
              <w:jc w:val="center"/>
              <w:rPr>
                <w:rFonts w:eastAsia="黑体"/>
                <w:sz w:val="24"/>
                <w:szCs w:val="24"/>
              </w:rPr>
            </w:pPr>
            <w:r>
              <w:rPr>
                <w:rFonts w:hint="eastAsia" w:eastAsia="黑体" w:cs="黑体"/>
                <w:sz w:val="24"/>
                <w:szCs w:val="24"/>
              </w:rPr>
              <w:t>序号</w:t>
            </w:r>
          </w:p>
        </w:tc>
        <w:tc>
          <w:tcPr>
            <w:tcW w:w="1208" w:type="dxa"/>
            <w:vAlign w:val="center"/>
          </w:tcPr>
          <w:p>
            <w:pPr>
              <w:spacing w:line="400" w:lineRule="exact"/>
              <w:jc w:val="center"/>
              <w:rPr>
                <w:rFonts w:hint="eastAsia" w:eastAsia="黑体" w:cs="黑体"/>
                <w:color w:val="auto"/>
                <w:sz w:val="24"/>
                <w:szCs w:val="24"/>
                <w:lang w:val="en-US" w:eastAsia="zh-CN"/>
              </w:rPr>
            </w:pPr>
            <w:r>
              <w:rPr>
                <w:rFonts w:hint="eastAsia" w:eastAsia="黑体" w:cs="黑体"/>
                <w:color w:val="auto"/>
                <w:sz w:val="24"/>
                <w:szCs w:val="24"/>
                <w:lang w:val="en-US" w:eastAsia="zh-CN"/>
              </w:rPr>
              <w:t>决策主体</w:t>
            </w:r>
          </w:p>
        </w:tc>
        <w:tc>
          <w:tcPr>
            <w:tcW w:w="1443" w:type="dxa"/>
            <w:vAlign w:val="center"/>
          </w:tcPr>
          <w:p>
            <w:pPr>
              <w:spacing w:line="400" w:lineRule="exact"/>
              <w:jc w:val="center"/>
              <w:rPr>
                <w:rFonts w:eastAsia="黑体"/>
                <w:sz w:val="24"/>
                <w:szCs w:val="24"/>
              </w:rPr>
            </w:pPr>
            <w:r>
              <w:rPr>
                <w:rFonts w:hint="eastAsia" w:eastAsia="黑体" w:cs="黑体"/>
                <w:sz w:val="24"/>
                <w:szCs w:val="24"/>
              </w:rPr>
              <w:t>事项名称</w:t>
            </w:r>
          </w:p>
        </w:tc>
        <w:tc>
          <w:tcPr>
            <w:tcW w:w="4208" w:type="dxa"/>
            <w:vAlign w:val="center"/>
          </w:tcPr>
          <w:p>
            <w:pPr>
              <w:spacing w:line="400" w:lineRule="exact"/>
              <w:jc w:val="center"/>
              <w:rPr>
                <w:rFonts w:eastAsia="黑体"/>
                <w:sz w:val="24"/>
                <w:szCs w:val="24"/>
              </w:rPr>
            </w:pPr>
            <w:r>
              <w:rPr>
                <w:rFonts w:hint="eastAsia" w:eastAsia="黑体" w:cs="黑体"/>
                <w:sz w:val="24"/>
                <w:szCs w:val="24"/>
              </w:rPr>
              <w:t>主要内容</w:t>
            </w:r>
          </w:p>
        </w:tc>
        <w:tc>
          <w:tcPr>
            <w:tcW w:w="1316" w:type="dxa"/>
            <w:vAlign w:val="center"/>
          </w:tcPr>
          <w:p>
            <w:pPr>
              <w:spacing w:line="400" w:lineRule="exact"/>
              <w:jc w:val="center"/>
              <w:rPr>
                <w:rFonts w:eastAsia="黑体"/>
                <w:sz w:val="24"/>
                <w:szCs w:val="24"/>
              </w:rPr>
            </w:pPr>
            <w:r>
              <w:rPr>
                <w:rFonts w:hint="eastAsia" w:eastAsia="黑体" w:cs="黑体"/>
                <w:sz w:val="24"/>
                <w:szCs w:val="24"/>
              </w:rPr>
              <w:t>承办单位</w:t>
            </w:r>
          </w:p>
        </w:tc>
        <w:tc>
          <w:tcPr>
            <w:tcW w:w="1182" w:type="dxa"/>
            <w:vAlign w:val="center"/>
          </w:tcPr>
          <w:p>
            <w:pPr>
              <w:spacing w:line="400" w:lineRule="exact"/>
              <w:jc w:val="center"/>
              <w:rPr>
                <w:rFonts w:eastAsia="黑体"/>
                <w:sz w:val="24"/>
                <w:szCs w:val="24"/>
              </w:rPr>
            </w:pPr>
            <w:r>
              <w:rPr>
                <w:rFonts w:hint="eastAsia" w:eastAsia="黑体" w:cs="黑体"/>
                <w:sz w:val="24"/>
                <w:szCs w:val="24"/>
              </w:rPr>
              <w:t>完成时间</w:t>
            </w:r>
          </w:p>
        </w:tc>
        <w:tc>
          <w:tcPr>
            <w:tcW w:w="2149" w:type="dxa"/>
            <w:vAlign w:val="center"/>
          </w:tcPr>
          <w:p>
            <w:pPr>
              <w:spacing w:line="400" w:lineRule="exact"/>
              <w:jc w:val="center"/>
              <w:rPr>
                <w:rFonts w:hint="eastAsia" w:eastAsia="黑体" w:cs="黑体"/>
                <w:sz w:val="24"/>
                <w:szCs w:val="24"/>
                <w:lang w:val="en-US" w:eastAsia="zh-CN"/>
              </w:rPr>
            </w:pPr>
            <w:r>
              <w:rPr>
                <w:rFonts w:hint="eastAsia" w:eastAsia="黑体" w:cs="黑体"/>
                <w:sz w:val="24"/>
                <w:szCs w:val="24"/>
                <w:lang w:val="en-US" w:eastAsia="zh-CN"/>
              </w:rPr>
              <w:t>法律政策依据</w:t>
            </w:r>
          </w:p>
        </w:tc>
        <w:tc>
          <w:tcPr>
            <w:tcW w:w="3144" w:type="dxa"/>
            <w:vAlign w:val="center"/>
          </w:tcPr>
          <w:p>
            <w:pPr>
              <w:spacing w:line="400" w:lineRule="exact"/>
              <w:jc w:val="center"/>
              <w:rPr>
                <w:rFonts w:eastAsia="黑体"/>
                <w:sz w:val="24"/>
                <w:szCs w:val="24"/>
              </w:rPr>
            </w:pPr>
            <w:r>
              <w:rPr>
                <w:rFonts w:hint="eastAsia" w:eastAsia="黑体" w:cs="黑体"/>
                <w:sz w:val="24"/>
                <w:szCs w:val="24"/>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567" w:type="dxa"/>
            <w:vAlign w:val="center"/>
          </w:tcPr>
          <w:p>
            <w:pPr>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w:t>
            </w:r>
          </w:p>
        </w:tc>
        <w:tc>
          <w:tcPr>
            <w:tcW w:w="1208" w:type="dxa"/>
            <w:vAlign w:val="center"/>
          </w:tcPr>
          <w:p>
            <w:pPr>
              <w:spacing w:line="300" w:lineRule="exact"/>
              <w:jc w:val="center"/>
              <w:rPr>
                <w:rFonts w:hint="eastAsia" w:ascii="仿宋_GB2312" w:eastAsia="仿宋_GB2312" w:cs="仿宋_GB2312"/>
                <w:color w:val="auto"/>
                <w:kern w:val="0"/>
                <w:sz w:val="24"/>
                <w:szCs w:val="24"/>
                <w:lang w:val="en-US" w:eastAsia="zh-CN"/>
              </w:rPr>
            </w:pPr>
            <w:r>
              <w:rPr>
                <w:rFonts w:hint="eastAsia" w:ascii="仿宋_GB2312" w:eastAsia="仿宋_GB2312" w:cs="仿宋_GB2312"/>
                <w:color w:val="auto"/>
                <w:kern w:val="0"/>
                <w:sz w:val="24"/>
                <w:szCs w:val="24"/>
                <w:lang w:val="en-US" w:eastAsia="zh-CN"/>
              </w:rPr>
              <w:t>区委区政府（部分人社局起草）</w:t>
            </w:r>
          </w:p>
        </w:tc>
        <w:tc>
          <w:tcPr>
            <w:tcW w:w="1443" w:type="dxa"/>
            <w:vAlign w:val="center"/>
          </w:tcPr>
          <w:p>
            <w:pPr>
              <w:spacing w:line="300" w:lineRule="exact"/>
              <w:rPr>
                <w:rFonts w:ascii="仿宋_GB2312" w:eastAsia="仿宋_GB2312"/>
                <w:sz w:val="24"/>
                <w:szCs w:val="24"/>
              </w:rPr>
            </w:pPr>
            <w:r>
              <w:rPr>
                <w:rFonts w:eastAsia="楷体_GB2312"/>
                <w:b/>
                <w:color w:val="000000" w:themeColor="text1"/>
                <w14:textFill>
                  <w14:solidFill>
                    <w14:schemeClr w14:val="tx1"/>
                  </w14:solidFill>
                </w14:textFill>
              </w:rPr>
              <w:t>大力引进高校毕业生</w:t>
            </w:r>
          </w:p>
        </w:tc>
        <w:tc>
          <w:tcPr>
            <w:tcW w:w="4208" w:type="dxa"/>
            <w:vAlign w:val="center"/>
          </w:tcPr>
          <w:p>
            <w:pPr>
              <w:overflowPunct w:val="0"/>
              <w:adjustRightInd w:val="0"/>
              <w:snapToGrid w:val="0"/>
              <w:spacing w:line="240" w:lineRule="auto"/>
              <w:ind w:firstLine="420" w:firstLineChars="200"/>
              <w:rPr>
                <w:rFonts w:ascii="仿宋_GB2312" w:eastAsia="仿宋_GB2312"/>
                <w:sz w:val="24"/>
                <w:szCs w:val="24"/>
              </w:rPr>
            </w:pPr>
            <w:r>
              <w:rPr>
                <w:color w:val="000000" w:themeColor="text1"/>
                <w14:textFill>
                  <w14:solidFill>
                    <w14:schemeClr w14:val="tx1"/>
                  </w14:solidFill>
                </w14:textFill>
              </w:rPr>
              <w:t>对受邀参加应聘求职、实训、短期实习（不超过1个月）等人才交流活动的大中专学生、技工院校学生和带队老师，给予300—1500元交通补贴，并按每人每天150—200元标准安排食宿，按实给予商业保险、工伤保险补贴；鼓励校企合作，给予最多两年每人每年5000元的定向培养补助；鼓励人力资源机构推荐见习实习学生，并给予400-1800元不等的补助，见习实习学生期限不超过两个月的，减半补助。超过1个月以上见习实习的，给予相应交通和商业保险、工伤保险补贴，并按照专科（高职）、本科（技师）及以上分别为地方最低工资标准的60%、80%，给予接收企业最长12个月的见习实习补贴，用人单位提供食宿的按照每人每月600元标准进行补助；鼓励</w:t>
            </w:r>
            <w:r>
              <w:rPr>
                <w:rFonts w:hint="eastAsia"/>
                <w:color w:val="000000" w:themeColor="text1"/>
                <w14:textFill>
                  <w14:solidFill>
                    <w14:schemeClr w14:val="tx1"/>
                  </w14:solidFill>
                </w14:textFill>
              </w:rPr>
              <w:t>用人单位</w:t>
            </w:r>
            <w:r>
              <w:rPr>
                <w:color w:val="000000" w:themeColor="text1"/>
                <w14:textFill>
                  <w14:solidFill>
                    <w14:schemeClr w14:val="tx1"/>
                  </w14:solidFill>
                </w14:textFill>
              </w:rPr>
              <w:t>创建大学生见习实习基地示范工场，并按建设成本的50%给予补助，最高不超过300万。邀请高校、专业机构等相关专家和负责人开展对接交流，由邀请部门负责交通食宿，并给予每人最高3000元补助。对参加人才、人社部门开展招才活动的企业，由组织方统一保障交通食宿或给予相应补贴。高校毕业生来</w:t>
            </w:r>
            <w:r>
              <w:rPr>
                <w:rFonts w:hint="eastAsia"/>
                <w:color w:val="000000" w:themeColor="text1"/>
                <w14:textFill>
                  <w14:solidFill>
                    <w14:schemeClr w14:val="tx1"/>
                  </w14:solidFill>
                </w14:textFill>
              </w:rPr>
              <w:t>虞</w:t>
            </w:r>
            <w:r>
              <w:rPr>
                <w:color w:val="000000" w:themeColor="text1"/>
                <w14:textFill>
                  <w14:solidFill>
                    <w14:schemeClr w14:val="tx1"/>
                  </w14:solidFill>
                </w14:textFill>
              </w:rPr>
              <w:t>可以先落户后就业，来</w:t>
            </w:r>
            <w:r>
              <w:rPr>
                <w:rFonts w:hint="eastAsia"/>
                <w:color w:val="000000" w:themeColor="text1"/>
                <w14:textFill>
                  <w14:solidFill>
                    <w14:schemeClr w14:val="tx1"/>
                  </w14:solidFill>
                </w14:textFill>
              </w:rPr>
              <w:t>虞</w:t>
            </w:r>
            <w:r>
              <w:rPr>
                <w:color w:val="000000" w:themeColor="text1"/>
                <w14:textFill>
                  <w14:solidFill>
                    <w14:schemeClr w14:val="tx1"/>
                  </w14:solidFill>
                </w14:textFill>
              </w:rPr>
              <w:t>工作后给予相应房票补贴、安家补贴、租赁补贴和企业人才集合年金补助</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对已在</w:t>
            </w:r>
            <w:r>
              <w:rPr>
                <w:rFonts w:hint="eastAsia"/>
                <w:color w:val="000000" w:themeColor="text1"/>
                <w14:textFill>
                  <w14:solidFill>
                    <w14:schemeClr w14:val="tx1"/>
                  </w14:solidFill>
                </w14:textFill>
              </w:rPr>
              <w:t>虞事业单位工作的人才离职脱产攻读博士，毕业后全职回虞工作的享受</w:t>
            </w:r>
            <w:r>
              <w:rPr>
                <w:color w:val="000000" w:themeColor="text1"/>
                <w14:textFill>
                  <w14:solidFill>
                    <w14:schemeClr w14:val="tx1"/>
                  </w14:solidFill>
                </w14:textFill>
              </w:rPr>
              <w:t>与引进人才同等政策</w:t>
            </w:r>
            <w:r>
              <w:rPr>
                <w:rFonts w:hint="eastAsia"/>
                <w:color w:val="000000" w:themeColor="text1"/>
                <w14:textFill>
                  <w14:solidFill>
                    <w14:schemeClr w14:val="tx1"/>
                  </w14:solidFill>
                </w14:textFill>
              </w:rPr>
              <w:t>。区内企业(含区属国有企业、引进的制造业央企，但房地产业以及金融、通信、电力、石化、烟草等国有企业除外）新引进人才，大学、研究院所新引进全日制本科以上人才，新引进全日制本科以上律师人才，择优招聘的“双一流”高层次党政储备人才，经绍兴市统一组织、面向国内外知名高校应届毕业生择优选聘的高学历优秀人才，新落户优质民办医院学校新引进的全职人才，卫生系统首次新引进到医疗卫生单位（参公事业单位除外）的临床医学类、中医学类、中西医结合类、公共卫生与预防医学类等四大类的全日制本科及以上学历医学毕业生（定向培养生除外），给予补贴</w:t>
            </w:r>
            <w:r>
              <w:rPr>
                <w:rFonts w:hint="eastAsia"/>
                <w:color w:val="000000" w:themeColor="text1"/>
                <w:lang w:eastAsia="zh-CN"/>
                <w14:textFill>
                  <w14:solidFill>
                    <w14:schemeClr w14:val="tx1"/>
                  </w14:solidFill>
                </w14:textFill>
              </w:rPr>
              <w:t>。</w:t>
            </w:r>
          </w:p>
        </w:tc>
        <w:tc>
          <w:tcPr>
            <w:tcW w:w="1316" w:type="dxa"/>
            <w:vAlign w:val="center"/>
          </w:tcPr>
          <w:p>
            <w:pPr>
              <w:spacing w:line="300" w:lineRule="exact"/>
              <w:jc w:val="center"/>
              <w:rPr>
                <w:rFonts w:hint="eastAsia" w:eastAsia="仿宋_GB2312"/>
                <w:sz w:val="24"/>
                <w:szCs w:val="24"/>
                <w:lang w:eastAsia="zh-CN"/>
              </w:rPr>
            </w:pPr>
            <w:r>
              <w:rPr>
                <w:rFonts w:hint="eastAsia" w:eastAsia="仿宋_GB2312"/>
                <w:sz w:val="24"/>
                <w:szCs w:val="24"/>
                <w:lang w:eastAsia="zh-CN"/>
              </w:rPr>
              <w:t>人力社保局</w:t>
            </w:r>
          </w:p>
        </w:tc>
        <w:tc>
          <w:tcPr>
            <w:tcW w:w="1182" w:type="dxa"/>
            <w:vAlign w:val="center"/>
          </w:tcPr>
          <w:p>
            <w:pPr>
              <w:spacing w:line="300" w:lineRule="exact"/>
              <w:jc w:val="center"/>
              <w:rPr>
                <w:rFonts w:hint="default" w:eastAsia="仿宋_GB2312"/>
                <w:sz w:val="24"/>
                <w:szCs w:val="24"/>
                <w:lang w:val="en-US" w:eastAsia="zh-CN"/>
              </w:rPr>
            </w:pPr>
            <w:r>
              <w:rPr>
                <w:rFonts w:hint="eastAsia" w:eastAsia="仿宋_GB2312"/>
                <w:sz w:val="24"/>
                <w:szCs w:val="24"/>
                <w:lang w:val="en-US" w:eastAsia="zh-CN"/>
              </w:rPr>
              <w:t>文件规定从2022年1月1日至2024年12月31日，此时间段引进的大学生部门政策执行5年</w:t>
            </w:r>
          </w:p>
        </w:tc>
        <w:tc>
          <w:tcPr>
            <w:tcW w:w="2149" w:type="dxa"/>
            <w:vAlign w:val="center"/>
          </w:tcPr>
          <w:p>
            <w:pPr>
              <w:spacing w:line="300" w:lineRule="exact"/>
              <w:rPr>
                <w:rFonts w:hint="eastAsia" w:ascii="仿宋_GB2312" w:eastAsia="仿宋_GB2312"/>
                <w:sz w:val="24"/>
                <w:szCs w:val="24"/>
              </w:rPr>
            </w:pPr>
            <w:r>
              <w:t>绍市委办发〔20</w:t>
            </w:r>
            <w:r>
              <w:rPr>
                <w:rFonts w:hint="eastAsia"/>
              </w:rPr>
              <w:t>21</w:t>
            </w:r>
            <w:r>
              <w:t>〕</w:t>
            </w:r>
            <w:r>
              <w:rPr>
                <w:rFonts w:hint="eastAsia"/>
              </w:rPr>
              <w:t>39</w:t>
            </w:r>
            <w:r>
              <w:t>号</w:t>
            </w:r>
          </w:p>
        </w:tc>
        <w:tc>
          <w:tcPr>
            <w:tcW w:w="3144" w:type="dxa"/>
            <w:vAlign w:val="center"/>
          </w:tcPr>
          <w:p>
            <w:pPr>
              <w:spacing w:line="300" w:lineRule="exact"/>
              <w:rPr>
                <w:rFonts w:hint="eastAsia" w:ascii="仿宋_GB2312" w:eastAsia="仿宋_GB2312"/>
                <w:sz w:val="24"/>
                <w:szCs w:val="24"/>
                <w:lang w:eastAsia="zh-CN"/>
              </w:rPr>
            </w:pPr>
            <w:r>
              <w:rPr>
                <w:rFonts w:hint="eastAsia" w:ascii="仿宋_GB2312" w:eastAsia="仿宋_GB2312"/>
                <w:sz w:val="24"/>
                <w:szCs w:val="24"/>
                <w:lang w:eastAsia="zh-CN"/>
              </w:rPr>
              <w:t>按文件规定执行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567" w:type="dxa"/>
            <w:vAlign w:val="center"/>
          </w:tcPr>
          <w:p>
            <w:pPr>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2</w:t>
            </w:r>
          </w:p>
        </w:tc>
        <w:tc>
          <w:tcPr>
            <w:tcW w:w="1208" w:type="dxa"/>
            <w:vAlign w:val="center"/>
          </w:tcPr>
          <w:p>
            <w:pPr>
              <w:spacing w:line="300" w:lineRule="exact"/>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区委区政府</w:t>
            </w:r>
            <w:r>
              <w:rPr>
                <w:rFonts w:hint="eastAsia" w:ascii="仿宋_GB2312" w:eastAsia="仿宋_GB2312" w:cs="仿宋_GB2312"/>
                <w:color w:val="auto"/>
                <w:kern w:val="0"/>
                <w:sz w:val="24"/>
                <w:szCs w:val="24"/>
                <w:lang w:val="en-US" w:eastAsia="zh-CN"/>
              </w:rPr>
              <w:t>（部分人社局起草）</w:t>
            </w:r>
          </w:p>
        </w:tc>
        <w:tc>
          <w:tcPr>
            <w:tcW w:w="1443" w:type="dxa"/>
            <w:vAlign w:val="center"/>
          </w:tcPr>
          <w:p>
            <w:pPr>
              <w:spacing w:line="300" w:lineRule="exact"/>
              <w:rPr>
                <w:rFonts w:ascii="仿宋_GB2312" w:eastAsia="仿宋_GB2312"/>
                <w:sz w:val="24"/>
                <w:szCs w:val="24"/>
              </w:rPr>
            </w:pPr>
            <w:r>
              <w:rPr>
                <w:rFonts w:eastAsia="楷体_GB2312"/>
                <w:b/>
                <w:color w:val="000000" w:themeColor="text1"/>
                <w14:textFill>
                  <w14:solidFill>
                    <w14:schemeClr w14:val="tx1"/>
                  </w14:solidFill>
                </w14:textFill>
              </w:rPr>
              <w:t>加强大学生创业支持</w:t>
            </w:r>
          </w:p>
        </w:tc>
        <w:tc>
          <w:tcPr>
            <w:tcW w:w="4208" w:type="dxa"/>
            <w:vAlign w:val="center"/>
          </w:tcPr>
          <w:p>
            <w:pPr>
              <w:spacing w:line="300" w:lineRule="exact"/>
              <w:rPr>
                <w:rFonts w:ascii="仿宋_GB2312" w:eastAsia="仿宋_GB2312"/>
                <w:sz w:val="24"/>
                <w:szCs w:val="24"/>
              </w:rPr>
            </w:pPr>
            <w:r>
              <w:rPr>
                <w:color w:val="000000" w:themeColor="text1"/>
                <w14:textFill>
                  <w14:solidFill>
                    <w14:schemeClr w14:val="tx1"/>
                  </w14:solidFill>
                </w14:textFill>
              </w:rPr>
              <w:t>对绍兴市大学生创业创新大赛获奖项目给予2000元—2万元奖励。对国家级大学生创业创新大赛前三等奖项目在</w:t>
            </w:r>
            <w:r>
              <w:rPr>
                <w:rFonts w:hint="eastAsia"/>
                <w:color w:val="000000" w:themeColor="text1"/>
                <w14:textFill>
                  <w14:solidFill>
                    <w14:schemeClr w14:val="tx1"/>
                  </w14:solidFill>
                </w14:textFill>
              </w:rPr>
              <w:t>虞</w:t>
            </w:r>
            <w:r>
              <w:rPr>
                <w:color w:val="000000" w:themeColor="text1"/>
                <w14:textFill>
                  <w14:solidFill>
                    <w14:schemeClr w14:val="tx1"/>
                  </w14:solidFill>
                </w14:textFill>
              </w:rPr>
              <w:t>落地分别资助50万元、30万元、20万元，省级及以下大学生创业创新大赛获奖项目在</w:t>
            </w:r>
            <w:r>
              <w:rPr>
                <w:rFonts w:hint="eastAsia"/>
                <w:color w:val="000000" w:themeColor="text1"/>
                <w14:textFill>
                  <w14:solidFill>
                    <w14:schemeClr w14:val="tx1"/>
                  </w14:solidFill>
                </w14:textFill>
              </w:rPr>
              <w:t>虞</w:t>
            </w:r>
            <w:r>
              <w:rPr>
                <w:color w:val="000000" w:themeColor="text1"/>
                <w14:textFill>
                  <w14:solidFill>
                    <w14:schemeClr w14:val="tx1"/>
                  </w14:solidFill>
                </w14:textFill>
              </w:rPr>
              <w:t>落地资助5—30万元。大学生创业给予创业租金补贴，第一年每月每平方米8元，第二年、第三年减半，补贴面积不超过500平方米，未入驻特色小镇、创业园区和众创空间的减半补贴。普通高校毕业生在</w:t>
            </w:r>
            <w:r>
              <w:rPr>
                <w:rFonts w:hint="eastAsia"/>
                <w:color w:val="000000" w:themeColor="text1"/>
                <w14:textFill>
                  <w14:solidFill>
                    <w14:schemeClr w14:val="tx1"/>
                  </w14:solidFill>
                </w14:textFill>
              </w:rPr>
              <w:t>虞</w:t>
            </w:r>
            <w:r>
              <w:rPr>
                <w:color w:val="000000" w:themeColor="text1"/>
                <w14:textFill>
                  <w14:solidFill>
                    <w14:schemeClr w14:val="tx1"/>
                  </w14:solidFill>
                </w14:textFill>
              </w:rPr>
              <w:t>初次创办企业，正式运营并已注册企业、缴纳社保满6个月，可享受一次性创业补贴1万元。在校大学生和毕业5年内高校毕业生在</w:t>
            </w:r>
            <w:r>
              <w:rPr>
                <w:rFonts w:hint="eastAsia"/>
                <w:color w:val="000000" w:themeColor="text1"/>
                <w14:textFill>
                  <w14:solidFill>
                    <w14:schemeClr w14:val="tx1"/>
                  </w14:solidFill>
                </w14:textFill>
              </w:rPr>
              <w:t>虞</w:t>
            </w:r>
            <w:r>
              <w:rPr>
                <w:color w:val="000000" w:themeColor="text1"/>
                <w14:textFill>
                  <w14:solidFill>
                    <w14:schemeClr w14:val="tx1"/>
                  </w14:solidFill>
                </w14:textFill>
              </w:rPr>
              <w:t>创业的可申请最高50万元的创业担保贷款，享受3年全额贴息。在校大学生和高校毕业生参加创业培训实训的给予每人最高1000元补贴。根据认定标准，对A类、B类、C类市级大学生创业园分</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别给予50万元、30万元、20万元一次性资助，三年建设期内年度考核优秀、良好、合格的，每年分别给予10万元、8万元、5万元奖励。认定为国家级、省级</w:t>
            </w:r>
            <w:r>
              <w:rPr>
                <w:color w:val="000000" w:themeColor="text1"/>
                <w:kern w:val="32"/>
                <w14:textFill>
                  <w14:solidFill>
                    <w14:schemeClr w14:val="tx1"/>
                  </w14:solidFill>
                </w14:textFill>
              </w:rPr>
              <w:t>创业孵化示范基地（园区）的，分别给予100万元、50万元奖励。认定为国家级、省级、市级大学生就业见习实习示范基地的，分别给予</w:t>
            </w:r>
            <w:r>
              <w:rPr>
                <w:rFonts w:hint="eastAsia"/>
                <w:color w:val="000000" w:themeColor="text1"/>
                <w:kern w:val="32"/>
                <w14:textFill>
                  <w14:solidFill>
                    <w14:schemeClr w14:val="tx1"/>
                  </w14:solidFill>
                </w14:textFill>
              </w:rPr>
              <w:t>10</w:t>
            </w:r>
            <w:r>
              <w:rPr>
                <w:color w:val="000000" w:themeColor="text1"/>
                <w:kern w:val="32"/>
                <w14:textFill>
                  <w14:solidFill>
                    <w14:schemeClr w14:val="tx1"/>
                  </w14:solidFill>
                </w14:textFill>
              </w:rPr>
              <w:t>万元、</w:t>
            </w:r>
            <w:r>
              <w:rPr>
                <w:rFonts w:hint="eastAsia"/>
                <w:color w:val="000000" w:themeColor="text1"/>
                <w:kern w:val="32"/>
                <w14:textFill>
                  <w14:solidFill>
                    <w14:schemeClr w14:val="tx1"/>
                  </w14:solidFill>
                </w14:textFill>
              </w:rPr>
              <w:t>7</w:t>
            </w:r>
            <w:r>
              <w:rPr>
                <w:color w:val="000000" w:themeColor="text1"/>
                <w:kern w:val="32"/>
                <w14:textFill>
                  <w14:solidFill>
                    <w14:schemeClr w14:val="tx1"/>
                  </w14:solidFill>
                </w14:textFill>
              </w:rPr>
              <w:t>万元、</w:t>
            </w:r>
            <w:r>
              <w:rPr>
                <w:rFonts w:hint="eastAsia"/>
                <w:color w:val="000000" w:themeColor="text1"/>
                <w:kern w:val="32"/>
                <w14:textFill>
                  <w14:solidFill>
                    <w14:schemeClr w14:val="tx1"/>
                  </w14:solidFill>
                </w14:textFill>
              </w:rPr>
              <w:t>5</w:t>
            </w:r>
            <w:r>
              <w:rPr>
                <w:color w:val="000000" w:themeColor="text1"/>
                <w:kern w:val="32"/>
                <w14:textFill>
                  <w14:solidFill>
                    <w14:schemeClr w14:val="tx1"/>
                  </w14:solidFill>
                </w14:textFill>
              </w:rPr>
              <w:t>万元奖励。</w:t>
            </w:r>
          </w:p>
        </w:tc>
        <w:tc>
          <w:tcPr>
            <w:tcW w:w="1316" w:type="dxa"/>
            <w:vAlign w:val="center"/>
          </w:tcPr>
          <w:p>
            <w:pPr>
              <w:spacing w:line="300" w:lineRule="exact"/>
              <w:jc w:val="center"/>
              <w:rPr>
                <w:rFonts w:hint="eastAsia" w:eastAsia="仿宋_GB2312"/>
                <w:sz w:val="24"/>
                <w:szCs w:val="24"/>
                <w:lang w:eastAsia="zh-CN"/>
              </w:rPr>
            </w:pPr>
            <w:r>
              <w:rPr>
                <w:rFonts w:hint="eastAsia" w:eastAsia="仿宋_GB2312"/>
                <w:sz w:val="24"/>
                <w:szCs w:val="24"/>
                <w:lang w:eastAsia="zh-CN"/>
              </w:rPr>
              <w:t>人力社保局</w:t>
            </w:r>
          </w:p>
        </w:tc>
        <w:tc>
          <w:tcPr>
            <w:tcW w:w="1182" w:type="dxa"/>
            <w:vAlign w:val="center"/>
          </w:tcPr>
          <w:p>
            <w:pPr>
              <w:spacing w:line="300" w:lineRule="exact"/>
              <w:jc w:val="center"/>
              <w:rPr>
                <w:rFonts w:eastAsia="仿宋_GB2312"/>
                <w:sz w:val="24"/>
                <w:szCs w:val="24"/>
              </w:rPr>
            </w:pPr>
            <w:r>
              <w:rPr>
                <w:rFonts w:hint="eastAsia" w:eastAsia="仿宋_GB2312"/>
                <w:sz w:val="24"/>
                <w:szCs w:val="24"/>
                <w:lang w:val="en-US" w:eastAsia="zh-CN"/>
              </w:rPr>
              <w:t>文件规定从2022年1月1日至2024年12月31日，此时间段引进的大学生部门政策执行5年</w:t>
            </w:r>
          </w:p>
        </w:tc>
        <w:tc>
          <w:tcPr>
            <w:tcW w:w="2149" w:type="dxa"/>
            <w:vAlign w:val="center"/>
          </w:tcPr>
          <w:p>
            <w:pPr>
              <w:spacing w:line="300" w:lineRule="exact"/>
              <w:rPr>
                <w:rFonts w:hint="eastAsia" w:ascii="仿宋_GB2312" w:eastAsia="仿宋_GB2312" w:hAnsiTheme="minorHAnsi" w:cstheme="minorBidi"/>
                <w:kern w:val="2"/>
                <w:sz w:val="24"/>
                <w:szCs w:val="24"/>
                <w:lang w:val="en-US" w:eastAsia="zh-CN" w:bidi="ar-SA"/>
              </w:rPr>
            </w:pPr>
            <w:r>
              <w:t>绍市委办发〔20</w:t>
            </w:r>
            <w:r>
              <w:rPr>
                <w:rFonts w:hint="eastAsia"/>
              </w:rPr>
              <w:t>21</w:t>
            </w:r>
            <w:r>
              <w:t>〕</w:t>
            </w:r>
            <w:r>
              <w:rPr>
                <w:rFonts w:hint="eastAsia"/>
              </w:rPr>
              <w:t>39</w:t>
            </w:r>
            <w:r>
              <w:t>号</w:t>
            </w:r>
          </w:p>
        </w:tc>
        <w:tc>
          <w:tcPr>
            <w:tcW w:w="3144" w:type="dxa"/>
            <w:vAlign w:val="center"/>
          </w:tcPr>
          <w:p>
            <w:pPr>
              <w:spacing w:line="300" w:lineRule="exact"/>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按文件规定执行</w:t>
            </w:r>
          </w:p>
        </w:tc>
      </w:tr>
    </w:tbl>
    <w:p>
      <w:pPr>
        <w:widowControl w:val="0"/>
        <w:numPr>
          <w:ilvl w:val="0"/>
          <w:numId w:val="0"/>
        </w:numPr>
        <w:jc w:val="both"/>
        <w:rPr>
          <w:rFonts w:hint="eastAsia" w:ascii="楷体" w:hAnsi="楷体" w:eastAsia="楷体" w:cs="楷体"/>
          <w:sz w:val="24"/>
          <w:szCs w:val="24"/>
        </w:rPr>
      </w:pPr>
    </w:p>
    <w:sectPr>
      <w:pgSz w:w="16838" w:h="11906" w:orient="landscape"/>
      <w:pgMar w:top="1183" w:right="1440" w:bottom="126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85802"/>
    <w:rsid w:val="0D482D68"/>
    <w:rsid w:val="23500158"/>
    <w:rsid w:val="348A55A5"/>
    <w:rsid w:val="37B85802"/>
    <w:rsid w:val="44FC08F1"/>
    <w:rsid w:val="4A054E57"/>
    <w:rsid w:val="4B214FDF"/>
    <w:rsid w:val="5DCB2EB5"/>
    <w:rsid w:val="6C0D3BC3"/>
    <w:rsid w:val="700F13F9"/>
    <w:rsid w:val="78BD46CF"/>
    <w:rsid w:val="7B177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2022-02-23T08:39:00Z</dcterms:created>
  <dc:creator>DELL</dc:creator>
  <cp:lastModifiedBy>DELL</cp:lastModifiedBy>
  <dcterms:modified xsi:type="dcterms:W3CDTF">2022-03-10T01:44:26Z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21E7D90B04504059BFAAB64D6423D4E1</vt:lpwstr>
  </property>
</Properties>
</file>