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Cs/>
          <w:sz w:val="30"/>
          <w:szCs w:val="30"/>
        </w:rPr>
      </w:pPr>
      <w:r>
        <w:rPr>
          <w:rFonts w:hint="eastAsia" w:ascii="仿宋" w:hAnsi="仿宋" w:eastAsia="仿宋" w:cs="仿宋"/>
          <w:bCs/>
          <w:sz w:val="30"/>
          <w:szCs w:val="30"/>
        </w:rPr>
        <w:t>附件2：</w:t>
      </w:r>
    </w:p>
    <w:p>
      <w:pPr>
        <w:spacing w:line="560" w:lineRule="exact"/>
        <w:ind w:firstLine="361" w:firstLineChars="100"/>
        <w:rPr>
          <w:rFonts w:ascii="方正小标宋简体" w:hAnsi="华文中宋" w:eastAsia="方正小标宋简体"/>
          <w:b/>
          <w:sz w:val="36"/>
          <w:szCs w:val="36"/>
        </w:rPr>
      </w:pPr>
    </w:p>
    <w:p>
      <w:pPr>
        <w:spacing w:line="560" w:lineRule="exact"/>
        <w:ind w:firstLine="361" w:firstLineChars="100"/>
        <w:rPr>
          <w:rFonts w:ascii="宋体" w:hAnsi="宋体"/>
          <w:b/>
          <w:sz w:val="36"/>
          <w:szCs w:val="36"/>
        </w:rPr>
      </w:pPr>
      <w:r>
        <w:rPr>
          <w:rFonts w:ascii="方正小标宋简体" w:hAnsi="华文中宋" w:eastAsia="方正小标宋简体"/>
          <w:b/>
          <w:sz w:val="36"/>
          <w:szCs w:val="36"/>
        </w:rPr>
        <w:t>20</w:t>
      </w:r>
      <w:r>
        <w:rPr>
          <w:rFonts w:hint="eastAsia" w:ascii="方正小标宋简体" w:hAnsi="华文中宋" w:eastAsia="方正小标宋简体"/>
          <w:b/>
          <w:sz w:val="36"/>
          <w:szCs w:val="36"/>
        </w:rPr>
        <w:t>20</w:t>
      </w:r>
      <w:r>
        <w:rPr>
          <w:rFonts w:ascii="方正小标宋简体" w:hAnsi="华文中宋" w:eastAsia="方正小标宋简体"/>
          <w:b/>
          <w:sz w:val="36"/>
          <w:szCs w:val="36"/>
        </w:rPr>
        <w:t>年度慈溪</w:t>
      </w:r>
      <w:r>
        <w:rPr>
          <w:rFonts w:hint="eastAsia" w:ascii="方正小标宋简体" w:hAnsi="华文中宋" w:eastAsia="方正小标宋简体"/>
          <w:b/>
          <w:sz w:val="36"/>
          <w:szCs w:val="36"/>
        </w:rPr>
        <w:t>市电子商务发展</w:t>
      </w:r>
      <w:r>
        <w:rPr>
          <w:rFonts w:ascii="方正小标宋简体" w:hAnsi="华文中宋" w:eastAsia="方正小标宋简体"/>
          <w:b/>
          <w:sz w:val="36"/>
          <w:szCs w:val="36"/>
        </w:rPr>
        <w:t>扶持政策</w:t>
      </w:r>
      <w:r>
        <w:rPr>
          <w:rFonts w:hint="eastAsia" w:ascii="方正小标宋简体" w:hAnsi="华文中宋" w:eastAsia="方正小标宋简体"/>
          <w:b/>
          <w:sz w:val="36"/>
          <w:szCs w:val="36"/>
        </w:rPr>
        <w:t>实施细则</w:t>
      </w:r>
    </w:p>
    <w:p>
      <w:pPr>
        <w:spacing w:line="560" w:lineRule="exact"/>
        <w:jc w:val="center"/>
        <w:rPr>
          <w:rFonts w:ascii="方正小标宋简体" w:hAnsi="华文中宋" w:eastAsia="方正小标宋简体"/>
          <w:b/>
          <w:sz w:val="36"/>
          <w:szCs w:val="36"/>
        </w:rPr>
      </w:pPr>
    </w:p>
    <w:p>
      <w:pPr>
        <w:spacing w:line="560" w:lineRule="exact"/>
        <w:ind w:firstLine="643" w:firstLineChars="200"/>
        <w:jc w:val="left"/>
        <w:rPr>
          <w:rFonts w:ascii="仿宋_GB2312" w:eastAsia="仿宋_GB2312"/>
          <w:b/>
          <w:sz w:val="32"/>
          <w:szCs w:val="32"/>
        </w:rPr>
      </w:pPr>
    </w:p>
    <w:p>
      <w:pPr>
        <w:spacing w:line="560" w:lineRule="exact"/>
        <w:ind w:firstLine="643" w:firstLineChars="200"/>
        <w:jc w:val="left"/>
        <w:rPr>
          <w:rFonts w:ascii="黑体" w:hAnsi="黑体" w:eastAsia="黑体"/>
          <w:b/>
          <w:sz w:val="32"/>
          <w:szCs w:val="32"/>
        </w:rPr>
      </w:pPr>
      <w:r>
        <w:rPr>
          <w:rFonts w:hint="eastAsia" w:ascii="黑体" w:hAnsi="黑体" w:eastAsia="黑体"/>
          <w:b/>
          <w:sz w:val="32"/>
          <w:szCs w:val="32"/>
        </w:rPr>
        <w:t>一、申报对象</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全市范围内达到申报条件的电商企业或有独立电商业务的工、商业企业，其中申报跨境电商奖励政策的企业必须通过慈溪市跨境电商经营主体备案认定。</w:t>
      </w:r>
    </w:p>
    <w:p>
      <w:pPr>
        <w:spacing w:line="560" w:lineRule="exact"/>
        <w:ind w:firstLine="643" w:firstLineChars="200"/>
        <w:jc w:val="left"/>
        <w:rPr>
          <w:rFonts w:ascii="黑体" w:hAnsi="黑体" w:eastAsia="黑体"/>
          <w:b/>
          <w:sz w:val="32"/>
          <w:szCs w:val="32"/>
        </w:rPr>
      </w:pPr>
      <w:r>
        <w:rPr>
          <w:rFonts w:hint="eastAsia" w:ascii="黑体" w:hAnsi="黑体" w:eastAsia="黑体"/>
          <w:b/>
          <w:sz w:val="32"/>
          <w:szCs w:val="32"/>
        </w:rPr>
        <w:t>二、申报范围及奖励额度</w:t>
      </w:r>
    </w:p>
    <w:p>
      <w:pPr>
        <w:spacing w:line="56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（一）鼓励电子商务公共服务体系建设</w:t>
      </w:r>
    </w:p>
    <w:p>
      <w:pPr>
        <w:spacing w:line="560" w:lineRule="exact"/>
        <w:ind w:firstLine="64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对经认定由专业运营商建设运营且投入在100万元以上的电子商务集聚区，按其投入的30%给予不超过150万元的补助。投入主要包括电子商务集聚区建设、改造、软硬件采购等费用。经认定的电子商务集聚区除满足《慈溪市电子商务集聚区认定管理办法》（详见附件一）规定的各项指标要求外，要求运营商须独立运营5个以上专业电商园区，并提供相关园区资料证明。对当年度被评为宁波市AAA及以上电子商务产业基地的，给予一次性10万元的奖励。</w:t>
      </w:r>
      <w:r>
        <w:rPr>
          <w:rFonts w:hint="eastAsia" w:ascii="仿宋" w:hAnsi="仿宋" w:eastAsia="仿宋" w:cs="仿宋"/>
          <w:sz w:val="32"/>
          <w:szCs w:val="32"/>
        </w:rPr>
        <w:br w:type="textWrapping"/>
      </w:r>
      <w:r>
        <w:rPr>
          <w:rFonts w:hint="eastAsia" w:ascii="仿宋" w:hAnsi="仿宋" w:eastAsia="仿宋" w:cs="仿宋"/>
          <w:i w:val="0"/>
          <w:caps w:val="0"/>
          <w:color w:val="000000"/>
          <w:spacing w:val="0"/>
          <w:sz w:val="28"/>
          <w:szCs w:val="28"/>
          <w:shd w:val="clear" w:color="auto" w:fill="FFFFFF"/>
          <w:lang w:val="en-US" w:eastAsia="zh-CN"/>
        </w:rPr>
        <w:t xml:space="preserve">     </w:t>
      </w:r>
      <w:r>
        <w:rPr>
          <w:rFonts w:hint="eastAsia" w:ascii="仿宋" w:hAnsi="仿宋" w:eastAsia="仿宋" w:cs="仿宋"/>
          <w:sz w:val="32"/>
          <w:szCs w:val="32"/>
        </w:rPr>
        <w:t>专项资料：</w:t>
      </w:r>
      <w:r>
        <w:rPr>
          <w:rFonts w:ascii="仿宋" w:hAnsi="仿宋" w:eastAsia="仿宋" w:cs="宋体"/>
          <w:color w:val="000000"/>
          <w:kern w:val="0"/>
          <w:sz w:val="32"/>
          <w:szCs w:val="32"/>
        </w:rPr>
        <w:t>①</w:t>
      </w:r>
      <w:r>
        <w:rPr>
          <w:rFonts w:hint="eastAsia" w:ascii="仿宋" w:hAnsi="仿宋" w:eastAsia="仿宋" w:cs="宋体"/>
          <w:color w:val="000000"/>
          <w:kern w:val="0"/>
          <w:sz w:val="32"/>
          <w:szCs w:val="32"/>
        </w:rPr>
        <w:t>专业运营商建设的市级电子商务集聚区（详见附件一及相关补充说明）；</w:t>
      </w:r>
      <w:r>
        <w:rPr>
          <w:rFonts w:ascii="仿宋" w:hAnsi="仿宋" w:eastAsia="仿宋" w:cs="宋体"/>
          <w:color w:val="000000"/>
          <w:kern w:val="0"/>
          <w:sz w:val="32"/>
          <w:szCs w:val="32"/>
        </w:rPr>
        <w:t>②</w:t>
      </w:r>
      <w:r>
        <w:rPr>
          <w:rFonts w:hint="eastAsia" w:ascii="仿宋" w:hAnsi="仿宋" w:eastAsia="仿宋" w:cs="宋体"/>
          <w:color w:val="000000"/>
          <w:kern w:val="0"/>
          <w:sz w:val="32"/>
          <w:szCs w:val="32"/>
        </w:rPr>
        <w:t>电子商务产业基地等级评定。提交宁波市商务局下发的相关认定文件复印件。</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支持市电子商务公共服务中心建设，经考核验收合格，对市电子商务公共服务中心委托运营单位给予不超过30万元的运营补助。考核评分在80分（含）以上给予30万元运营补助，考核评分在60分-80分给予20万元运营补助。（详见附件二）</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鼓励</w:t>
      </w:r>
      <w:r>
        <w:rPr>
          <w:rFonts w:hint="eastAsia" w:ascii="楷体" w:hAnsi="楷体" w:eastAsia="楷体" w:cs="楷体"/>
          <w:b/>
          <w:bCs/>
          <w:sz w:val="32"/>
          <w:szCs w:val="32"/>
        </w:rPr>
        <w:t>电子商务企业提质发展</w:t>
      </w:r>
    </w:p>
    <w:p>
      <w:pPr>
        <w:pStyle w:val="9"/>
        <w:spacing w:line="560" w:lineRule="exact"/>
        <w:ind w:firstLine="640"/>
        <w:rPr>
          <w:rFonts w:hint="eastAsia" w:ascii="仿宋" w:hAnsi="仿宋" w:eastAsia="仿宋" w:cs="仿宋"/>
          <w:sz w:val="32"/>
          <w:szCs w:val="32"/>
        </w:rPr>
      </w:pPr>
      <w:r>
        <w:rPr>
          <w:rFonts w:hint="eastAsia" w:ascii="仿宋" w:hAnsi="仿宋" w:eastAsia="仿宋" w:cs="仿宋"/>
          <w:sz w:val="32"/>
          <w:szCs w:val="32"/>
        </w:rPr>
        <w:t>1、对当年度销售额首次超过1000万元或达到该基数且当年增长20%及以上的电子商务企业，按其销售额的3‰给予不超过10万元的奖励。销售额以年度财务报表数据为准。</w:t>
      </w:r>
    </w:p>
    <w:p>
      <w:pPr>
        <w:spacing w:line="600" w:lineRule="exact"/>
        <w:ind w:firstLine="640" w:firstLineChars="200"/>
        <w:rPr>
          <w:rFonts w:ascii="仿宋" w:hAnsi="仿宋" w:eastAsia="仿宋" w:cs="宋体"/>
          <w:color w:val="000000"/>
          <w:kern w:val="0"/>
          <w:sz w:val="32"/>
          <w:szCs w:val="32"/>
        </w:rPr>
      </w:pPr>
      <w:r>
        <w:rPr>
          <w:rFonts w:hint="eastAsia" w:ascii="仿宋" w:hAnsi="仿宋" w:eastAsia="仿宋" w:cs="仿宋"/>
          <w:sz w:val="32"/>
          <w:szCs w:val="32"/>
        </w:rPr>
        <w:t>专项资料：</w:t>
      </w:r>
      <w:r>
        <w:rPr>
          <w:rFonts w:hint="eastAsia" w:ascii="仿宋" w:hAnsi="仿宋" w:eastAsia="仿宋" w:cs="仿宋"/>
          <w:sz w:val="32"/>
          <w:szCs w:val="32"/>
          <w:lang w:eastAsia="zh-CN"/>
        </w:rPr>
        <w:t>当年度企业财务报表。</w:t>
      </w:r>
    </w:p>
    <w:p>
      <w:pPr>
        <w:pStyle w:val="9"/>
        <w:spacing w:line="560" w:lineRule="exact"/>
        <w:ind w:firstLine="640"/>
        <w:rPr>
          <w:rFonts w:hint="eastAsia" w:ascii="仿宋" w:hAnsi="仿宋" w:eastAsia="仿宋" w:cs="仿宋"/>
          <w:sz w:val="32"/>
          <w:szCs w:val="32"/>
        </w:rPr>
      </w:pPr>
      <w:r>
        <w:rPr>
          <w:rFonts w:hint="eastAsia" w:ascii="仿宋" w:hAnsi="仿宋" w:eastAsia="仿宋" w:cs="仿宋"/>
          <w:sz w:val="32"/>
          <w:szCs w:val="32"/>
        </w:rPr>
        <w:t>2、对主营业务收入达到150万元且当年增长10%及以上的电子商务服务企业，按其主营业务收入的3%给予不超过10万元的奖励。主营业务收入以年度财务报表数据为准。</w:t>
      </w:r>
    </w:p>
    <w:p>
      <w:pPr>
        <w:pStyle w:val="9"/>
        <w:spacing w:line="560" w:lineRule="exact"/>
        <w:ind w:firstLine="640"/>
        <w:rPr>
          <w:rFonts w:ascii="仿宋" w:hAnsi="仿宋" w:eastAsia="仿宋" w:cs="仿宋"/>
          <w:sz w:val="32"/>
          <w:szCs w:val="32"/>
        </w:rPr>
      </w:pPr>
      <w:r>
        <w:rPr>
          <w:rFonts w:hint="eastAsia" w:ascii="仿宋" w:hAnsi="仿宋" w:eastAsia="仿宋" w:cs="仿宋"/>
          <w:sz w:val="32"/>
          <w:szCs w:val="32"/>
        </w:rPr>
        <w:t>专项资料：</w:t>
      </w:r>
      <w:r>
        <w:rPr>
          <w:rFonts w:ascii="仿宋" w:hAnsi="仿宋" w:eastAsia="仿宋" w:cs="宋体"/>
          <w:color w:val="000000"/>
          <w:kern w:val="0"/>
          <w:sz w:val="32"/>
          <w:szCs w:val="32"/>
        </w:rPr>
        <w:t>①</w:t>
      </w:r>
      <w:r>
        <w:rPr>
          <w:rFonts w:hint="eastAsia" w:ascii="仿宋" w:hAnsi="仿宋" w:eastAsia="仿宋" w:cs="宋体"/>
          <w:color w:val="000000"/>
          <w:kern w:val="0"/>
          <w:sz w:val="32"/>
          <w:szCs w:val="32"/>
        </w:rPr>
        <w:t>当年度服务对象的业绩情况表；</w:t>
      </w:r>
      <w:r>
        <w:rPr>
          <w:rFonts w:ascii="仿宋" w:hAnsi="仿宋" w:eastAsia="仿宋" w:cs="宋体"/>
          <w:color w:val="000000"/>
          <w:kern w:val="0"/>
          <w:sz w:val="32"/>
          <w:szCs w:val="32"/>
        </w:rPr>
        <w:t>②</w:t>
      </w:r>
      <w:r>
        <w:rPr>
          <w:rFonts w:hint="eastAsia" w:ascii="仿宋" w:hAnsi="仿宋" w:eastAsia="仿宋" w:cs="宋体"/>
          <w:color w:val="000000"/>
          <w:kern w:val="0"/>
          <w:sz w:val="32"/>
          <w:szCs w:val="32"/>
        </w:rPr>
        <w:t>当年度企业财务报表</w:t>
      </w:r>
      <w:r>
        <w:rPr>
          <w:rFonts w:hint="eastAsia" w:ascii="仿宋" w:hAnsi="仿宋" w:eastAsia="仿宋" w:cs="宋体"/>
          <w:color w:val="000000"/>
          <w:kern w:val="0"/>
          <w:sz w:val="32"/>
          <w:szCs w:val="32"/>
          <w:lang w:eastAsia="zh-CN"/>
        </w:rPr>
        <w:t>。</w:t>
      </w:r>
    </w:p>
    <w:p>
      <w:pPr>
        <w:spacing w:line="560" w:lineRule="exact"/>
        <w:ind w:firstLine="640"/>
        <w:rPr>
          <w:rFonts w:ascii="楷体" w:hAnsi="楷体" w:eastAsia="楷体" w:cs="楷体"/>
          <w:b/>
          <w:bCs/>
          <w:sz w:val="32"/>
          <w:szCs w:val="32"/>
        </w:rPr>
      </w:pPr>
      <w:r>
        <w:rPr>
          <w:rFonts w:hint="eastAsia" w:ascii="楷体" w:hAnsi="楷体" w:eastAsia="楷体" w:cs="楷体"/>
          <w:b/>
          <w:bCs/>
          <w:sz w:val="32"/>
          <w:szCs w:val="32"/>
        </w:rPr>
        <w:t>（三）</w:t>
      </w:r>
      <w:r>
        <w:rPr>
          <w:rFonts w:hint="eastAsia" w:ascii="楷体" w:hAnsi="楷体" w:eastAsia="楷体" w:cs="楷体"/>
          <w:b/>
          <w:bCs/>
          <w:sz w:val="32"/>
          <w:szCs w:val="32"/>
          <w:lang w:eastAsia="zh-CN"/>
        </w:rPr>
        <w:t>鼓励企业发展</w:t>
      </w:r>
      <w:r>
        <w:rPr>
          <w:rFonts w:hint="eastAsia" w:ascii="楷体" w:hAnsi="楷体" w:eastAsia="楷体" w:cs="楷体"/>
          <w:b/>
          <w:bCs/>
          <w:sz w:val="32"/>
          <w:szCs w:val="32"/>
        </w:rPr>
        <w:t>跨境电子商务</w:t>
      </w:r>
    </w:p>
    <w:p>
      <w:pPr>
        <w:spacing w:line="60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1、孵化跨境电商主体，对当年新开设亚马逊、Wish、eBay等平台跨境电商业务且经营实绩3万美元以上的企业，给予每家0.5万元补助，经营实绩达到5万美元以上的，奖励1万元，达到10万美元及以上的，奖励2万元。</w:t>
      </w:r>
    </w:p>
    <w:p>
      <w:pPr>
        <w:spacing w:line="560" w:lineRule="exact"/>
        <w:ind w:firstLine="645" w:firstLineChars="0"/>
        <w:rPr>
          <w:rFonts w:hint="eastAsia" w:ascii="仿宋_GB2312" w:hAnsi="宋体" w:eastAsia="仿宋_GB2312" w:cs="宋体"/>
          <w:color w:val="000000"/>
          <w:kern w:val="0"/>
          <w:sz w:val="32"/>
          <w:szCs w:val="32"/>
        </w:rPr>
      </w:pPr>
      <w:r>
        <w:rPr>
          <w:rFonts w:hint="eastAsia" w:ascii="仿宋_GB2312" w:hAnsi="仿宋_GB2312" w:eastAsia="仿宋_GB2312" w:cs="仿宋_GB2312"/>
          <w:b/>
          <w:bCs/>
          <w:sz w:val="32"/>
          <w:szCs w:val="32"/>
        </w:rPr>
        <w:t>专项资料：</w:t>
      </w:r>
      <w:r>
        <w:rPr>
          <w:rFonts w:ascii="仿宋" w:hAnsi="仿宋" w:eastAsia="仿宋" w:cs="宋体"/>
          <w:color w:val="000000"/>
          <w:kern w:val="0"/>
          <w:sz w:val="32"/>
          <w:szCs w:val="32"/>
        </w:rPr>
        <w:t>①</w:t>
      </w:r>
      <w:r>
        <w:rPr>
          <w:rFonts w:hint="eastAsia" w:ascii="仿宋" w:hAnsi="仿宋" w:eastAsia="仿宋"/>
          <w:sz w:val="32"/>
          <w:szCs w:val="32"/>
        </w:rPr>
        <w:t>店铺首页及开店时间相关截图；</w:t>
      </w:r>
      <w:r>
        <w:rPr>
          <w:rFonts w:ascii="仿宋" w:hAnsi="仿宋" w:eastAsia="仿宋" w:cs="宋体"/>
          <w:color w:val="000000"/>
          <w:kern w:val="0"/>
          <w:sz w:val="32"/>
          <w:szCs w:val="32"/>
        </w:rPr>
        <w:t>②</w:t>
      </w:r>
      <w:r>
        <w:rPr>
          <w:rFonts w:hint="eastAsia" w:ascii="仿宋" w:hAnsi="仿宋" w:eastAsia="仿宋" w:cs="仿宋_GB2312"/>
          <w:color w:val="000000"/>
          <w:sz w:val="32"/>
          <w:szCs w:val="32"/>
        </w:rPr>
        <w:t>后台交易数据截图;</w:t>
      </w:r>
      <w:r>
        <w:rPr>
          <w:rFonts w:ascii="仿宋" w:hAnsi="仿宋" w:eastAsia="仿宋" w:cs="宋体"/>
          <w:color w:val="000000"/>
          <w:kern w:val="0"/>
          <w:sz w:val="32"/>
          <w:szCs w:val="32"/>
        </w:rPr>
        <w:t>③</w:t>
      </w:r>
      <w:r>
        <w:rPr>
          <w:rFonts w:hint="eastAsia" w:ascii="仿宋" w:hAnsi="仿宋" w:eastAsia="仿宋" w:cs="仿宋_GB2312"/>
          <w:sz w:val="32"/>
          <w:szCs w:val="32"/>
        </w:rPr>
        <w:t>货物出口凭证复印件;</w:t>
      </w:r>
    </w:p>
    <w:p>
      <w:pPr>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w:t>
      </w:r>
      <w:r>
        <w:rPr>
          <w:rFonts w:hint="eastAsia" w:ascii="仿宋" w:hAnsi="仿宋" w:eastAsia="仿宋" w:cs="仿宋"/>
          <w:kern w:val="2"/>
          <w:sz w:val="32"/>
          <w:szCs w:val="32"/>
          <w:lang w:val="en-US" w:eastAsia="zh-CN" w:bidi="ar-SA"/>
        </w:rPr>
        <w:t>支持跨境电商企业规范化发展，对当年创建海外商标、开展海外认证的跨境电商企业，按实际支出费用的50%给予补助，每家企业最高不超过2万元。</w:t>
      </w:r>
    </w:p>
    <w:p>
      <w:pPr>
        <w:spacing w:line="600" w:lineRule="exact"/>
        <w:ind w:firstLine="643" w:firstLineChars="200"/>
        <w:rPr>
          <w:rFonts w:ascii="仿宋_GB2312" w:hAnsi="宋体" w:eastAsia="仿宋_GB2312" w:cs="宋体"/>
          <w:color w:val="000000"/>
          <w:kern w:val="0"/>
          <w:sz w:val="32"/>
          <w:szCs w:val="32"/>
        </w:rPr>
      </w:pPr>
      <w:r>
        <w:rPr>
          <w:rFonts w:hint="eastAsia" w:ascii="仿宋_GB2312" w:hAnsi="仿宋_GB2312" w:eastAsia="仿宋_GB2312" w:cs="仿宋_GB2312"/>
          <w:b/>
          <w:bCs/>
          <w:sz w:val="32"/>
          <w:szCs w:val="32"/>
        </w:rPr>
        <w:t>专项资料：</w:t>
      </w:r>
      <w:r>
        <w:rPr>
          <w:rFonts w:ascii="仿宋" w:hAnsi="仿宋" w:eastAsia="仿宋" w:cs="宋体"/>
          <w:color w:val="000000"/>
          <w:kern w:val="0"/>
          <w:sz w:val="32"/>
          <w:szCs w:val="32"/>
        </w:rPr>
        <w:t>①</w:t>
      </w:r>
      <w:r>
        <w:rPr>
          <w:rFonts w:hint="eastAsia" w:ascii="仿宋" w:hAnsi="仿宋" w:eastAsia="仿宋"/>
          <w:sz w:val="32"/>
          <w:szCs w:val="32"/>
        </w:rPr>
        <w:t>认定结果复印件；</w:t>
      </w:r>
      <w:r>
        <w:rPr>
          <w:rFonts w:ascii="仿宋" w:hAnsi="仿宋" w:eastAsia="仿宋" w:cs="宋体"/>
          <w:color w:val="000000"/>
          <w:kern w:val="0"/>
          <w:sz w:val="32"/>
          <w:szCs w:val="32"/>
        </w:rPr>
        <w:t>②</w:t>
      </w:r>
      <w:r>
        <w:rPr>
          <w:rFonts w:hint="eastAsia" w:ascii="仿宋" w:hAnsi="仿宋" w:eastAsia="仿宋"/>
          <w:sz w:val="32"/>
          <w:szCs w:val="32"/>
        </w:rPr>
        <w:t>申请服务合同及费用财务凭证复印件；</w:t>
      </w:r>
      <w:r>
        <w:rPr>
          <w:rFonts w:ascii="仿宋" w:hAnsi="仿宋" w:eastAsia="仿宋" w:cs="宋体"/>
          <w:color w:val="000000"/>
          <w:kern w:val="0"/>
          <w:sz w:val="32"/>
          <w:szCs w:val="32"/>
        </w:rPr>
        <w:t>③</w:t>
      </w:r>
      <w:r>
        <w:rPr>
          <w:rFonts w:hint="eastAsia" w:ascii="仿宋" w:hAnsi="仿宋" w:eastAsia="仿宋"/>
          <w:sz w:val="32"/>
          <w:szCs w:val="32"/>
        </w:rPr>
        <w:t>认定受理通知(认定结果需延续到2020年后公布的提供)。</w:t>
      </w:r>
    </w:p>
    <w:p>
      <w:pPr>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3、鼓励跨境电商企业做大做强，对跨境电子商务企业在线销售额达到500万美元及以上的，给予5万元奖励；达到1000万美元及以上的，给予10万元的奖励。在线销售额以第三方电商平台数据为准。</w:t>
      </w:r>
    </w:p>
    <w:p>
      <w:pPr>
        <w:spacing w:line="560" w:lineRule="exact"/>
        <w:ind w:firstLine="645"/>
        <w:rPr>
          <w:rFonts w:ascii="仿宋" w:hAnsi="仿宋" w:eastAsia="仿宋" w:cs="仿宋_GB2312"/>
          <w:sz w:val="32"/>
          <w:szCs w:val="32"/>
        </w:rPr>
      </w:pPr>
      <w:r>
        <w:rPr>
          <w:rFonts w:hint="eastAsia" w:ascii="仿宋_GB2312" w:hAnsi="仿宋_GB2312" w:eastAsia="仿宋_GB2312" w:cs="仿宋_GB2312"/>
          <w:b/>
          <w:bCs/>
          <w:sz w:val="32"/>
          <w:szCs w:val="32"/>
        </w:rPr>
        <w:t>专项资料：</w:t>
      </w:r>
      <w:r>
        <w:rPr>
          <w:rFonts w:ascii="仿宋" w:hAnsi="仿宋" w:eastAsia="仿宋" w:cs="宋体"/>
          <w:color w:val="000000"/>
          <w:kern w:val="0"/>
          <w:sz w:val="32"/>
          <w:szCs w:val="32"/>
        </w:rPr>
        <w:t>①</w:t>
      </w:r>
      <w:r>
        <w:rPr>
          <w:rFonts w:hint="eastAsia" w:ascii="仿宋" w:hAnsi="仿宋" w:eastAsia="仿宋"/>
          <w:sz w:val="32"/>
          <w:szCs w:val="32"/>
        </w:rPr>
        <w:t>店铺首页截图；</w:t>
      </w:r>
      <w:r>
        <w:rPr>
          <w:rFonts w:ascii="仿宋" w:hAnsi="仿宋" w:eastAsia="仿宋" w:cs="宋体"/>
          <w:color w:val="000000"/>
          <w:kern w:val="0"/>
          <w:sz w:val="32"/>
          <w:szCs w:val="32"/>
        </w:rPr>
        <w:t>②</w:t>
      </w:r>
      <w:r>
        <w:rPr>
          <w:rFonts w:hint="eastAsia" w:ascii="仿宋" w:hAnsi="仿宋" w:eastAsia="仿宋" w:cs="仿宋_GB2312"/>
          <w:sz w:val="32"/>
          <w:szCs w:val="32"/>
        </w:rPr>
        <w:t>后台交易数据截图；</w:t>
      </w:r>
      <w:r>
        <w:rPr>
          <w:rFonts w:ascii="仿宋" w:hAnsi="仿宋" w:eastAsia="仿宋" w:cs="宋体"/>
          <w:color w:val="000000"/>
          <w:kern w:val="0"/>
          <w:sz w:val="32"/>
          <w:szCs w:val="32"/>
        </w:rPr>
        <w:t>③</w:t>
      </w:r>
      <w:r>
        <w:rPr>
          <w:rFonts w:hint="eastAsia" w:ascii="仿宋" w:hAnsi="仿宋" w:eastAsia="仿宋" w:cs="仿宋_GB2312"/>
          <w:sz w:val="32"/>
          <w:szCs w:val="32"/>
        </w:rPr>
        <w:t>货物出口凭证复印件。</w:t>
      </w:r>
    </w:p>
    <w:p>
      <w:pPr>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4、对参加宁波及以上行业主管部门发文组织的跨境电商选品展的跨境电商企业给予展位费支持，单家企业单次展会不超过1万元。</w:t>
      </w:r>
    </w:p>
    <w:p>
      <w:pPr>
        <w:spacing w:line="600" w:lineRule="exact"/>
        <w:ind w:firstLine="643" w:firstLineChars="200"/>
        <w:rPr>
          <w:rFonts w:ascii="仿宋_GB2312" w:hAnsi="宋体" w:eastAsia="仿宋_GB2312" w:cs="宋体"/>
          <w:color w:val="000000"/>
          <w:kern w:val="0"/>
          <w:sz w:val="32"/>
          <w:szCs w:val="32"/>
        </w:rPr>
      </w:pPr>
      <w:r>
        <w:rPr>
          <w:rFonts w:hint="eastAsia" w:ascii="仿宋_GB2312" w:hAnsi="仿宋_GB2312" w:eastAsia="仿宋_GB2312" w:cs="仿宋_GB2312"/>
          <w:b/>
          <w:bCs/>
          <w:sz w:val="32"/>
          <w:szCs w:val="32"/>
        </w:rPr>
        <w:t>专项资料：</w:t>
      </w:r>
      <w:r>
        <w:rPr>
          <w:rFonts w:ascii="仿宋" w:hAnsi="仿宋" w:eastAsia="仿宋" w:cs="宋体"/>
          <w:color w:val="000000"/>
          <w:kern w:val="0"/>
          <w:sz w:val="32"/>
          <w:szCs w:val="32"/>
        </w:rPr>
        <w:t>①</w:t>
      </w:r>
      <w:r>
        <w:rPr>
          <w:rFonts w:hint="eastAsia" w:ascii="仿宋" w:hAnsi="仿宋" w:eastAsia="仿宋"/>
          <w:sz w:val="32"/>
          <w:szCs w:val="32"/>
        </w:rPr>
        <w:t>参展费用发票复印件；</w:t>
      </w:r>
      <w:r>
        <w:rPr>
          <w:rFonts w:ascii="仿宋" w:hAnsi="仿宋" w:eastAsia="仿宋" w:cs="宋体"/>
          <w:color w:val="000000"/>
          <w:kern w:val="0"/>
          <w:sz w:val="32"/>
          <w:szCs w:val="32"/>
        </w:rPr>
        <w:t>②</w:t>
      </w:r>
      <w:r>
        <w:rPr>
          <w:rFonts w:hint="eastAsia" w:ascii="仿宋" w:hAnsi="仿宋" w:eastAsia="仿宋"/>
          <w:sz w:val="32"/>
          <w:szCs w:val="32"/>
        </w:rPr>
        <w:t>支付凭证复印件</w:t>
      </w:r>
      <w:r>
        <w:rPr>
          <w:rFonts w:hint="eastAsia" w:ascii="仿宋" w:hAnsi="仿宋" w:eastAsia="仿宋" w:cs="仿宋_GB2312"/>
          <w:sz w:val="32"/>
          <w:szCs w:val="32"/>
        </w:rPr>
        <w:t>。</w:t>
      </w:r>
    </w:p>
    <w:p>
      <w:pPr>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5、对列入宁波市跨境电商B2B出口试点企业并报送数据的，每家企业给予补助3000元/年。</w:t>
      </w:r>
    </w:p>
    <w:p>
      <w:pPr>
        <w:spacing w:line="600" w:lineRule="exact"/>
        <w:ind w:firstLine="643" w:firstLineChars="200"/>
        <w:rPr>
          <w:rFonts w:ascii="仿宋_GB2312" w:hAnsi="宋体" w:eastAsia="仿宋_GB2312" w:cs="宋体"/>
          <w:color w:val="000000"/>
          <w:kern w:val="0"/>
          <w:sz w:val="32"/>
          <w:szCs w:val="32"/>
        </w:rPr>
      </w:pPr>
      <w:r>
        <w:rPr>
          <w:rFonts w:hint="eastAsia" w:ascii="仿宋_GB2312" w:hAnsi="仿宋_GB2312" w:eastAsia="仿宋_GB2312" w:cs="仿宋_GB2312"/>
          <w:b/>
          <w:bCs/>
          <w:sz w:val="32"/>
          <w:szCs w:val="32"/>
        </w:rPr>
        <w:t>专项资料：</w:t>
      </w:r>
      <w:r>
        <w:rPr>
          <w:rFonts w:hint="eastAsia" w:ascii="仿宋" w:hAnsi="仿宋" w:eastAsia="仿宋"/>
          <w:sz w:val="32"/>
          <w:szCs w:val="32"/>
        </w:rPr>
        <w:t>由慈溪市商务局依据宁波市跨境电商综合试验区管理办公室发布的企业填报数据明细直接认定，该笔奖励企业需全额发放给填报人员。</w:t>
      </w:r>
    </w:p>
    <w:p>
      <w:pPr>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支持电商人才发展，鼓励电子商务业务培训机构或电子商务实践基地开展电商人才培养，对通过省、宁波市级考核且获得证书的，给予每人次700元补助；对通过国家相关部门考核且获得证书的，给予每人次1000元补助。两者就高奖励。</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专项资料：</w:t>
      </w:r>
      <w:r>
        <w:rPr>
          <w:rFonts w:ascii="仿宋_GB2312" w:hAnsi="仿宋_GB2312" w:eastAsia="仿宋_GB2312" w:cs="仿宋_GB2312"/>
          <w:color w:val="000000"/>
          <w:sz w:val="32"/>
          <w:szCs w:val="32"/>
        </w:rPr>
        <w:t>①</w:t>
      </w:r>
      <w:r>
        <w:rPr>
          <w:rFonts w:hint="eastAsia" w:ascii="仿宋_GB2312" w:hAnsi="仿宋_GB2312" w:eastAsia="仿宋_GB2312" w:cs="仿宋_GB2312"/>
          <w:color w:val="000000"/>
          <w:sz w:val="32"/>
          <w:szCs w:val="32"/>
        </w:rPr>
        <w:t xml:space="preserve">培训学员名单 </w:t>
      </w:r>
      <w:r>
        <w:rPr>
          <w:rFonts w:ascii="仿宋_GB2312" w:hAnsi="仿宋_GB2312" w:eastAsia="仿宋_GB2312" w:cs="仿宋_GB2312"/>
          <w:color w:val="000000"/>
          <w:sz w:val="32"/>
          <w:szCs w:val="32"/>
        </w:rPr>
        <w:t>②</w:t>
      </w:r>
      <w:r>
        <w:rPr>
          <w:rFonts w:hint="eastAsia" w:ascii="仿宋_GB2312" w:hAnsi="仿宋_GB2312" w:eastAsia="仿宋_GB2312" w:cs="仿宋_GB2312"/>
          <w:color w:val="000000"/>
          <w:sz w:val="32"/>
          <w:szCs w:val="32"/>
        </w:rPr>
        <w:t>培训课程安排表；</w:t>
      </w:r>
      <w:r>
        <w:rPr>
          <w:rFonts w:ascii="仿宋_GB2312" w:hAnsi="仿宋_GB2312" w:eastAsia="仿宋_GB2312" w:cs="仿宋_GB2312"/>
          <w:color w:val="000000"/>
          <w:sz w:val="32"/>
          <w:szCs w:val="32"/>
        </w:rPr>
        <w:t>③</w:t>
      </w:r>
      <w:r>
        <w:rPr>
          <w:rFonts w:hint="eastAsia" w:ascii="仿宋_GB2312" w:hAnsi="仿宋_GB2312" w:eastAsia="仿宋_GB2312" w:cs="仿宋_GB2312"/>
          <w:color w:val="000000"/>
          <w:sz w:val="32"/>
          <w:szCs w:val="32"/>
        </w:rPr>
        <w:t>考核证书复印件。</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宋体" w:eastAsia="仿宋_GB2312" w:cs="宋体"/>
          <w:color w:val="000000"/>
          <w:kern w:val="0"/>
          <w:sz w:val="32"/>
          <w:szCs w:val="32"/>
          <w:lang w:eastAsia="zh-CN"/>
        </w:rPr>
        <w:t>以上</w:t>
      </w:r>
      <w:r>
        <w:rPr>
          <w:rFonts w:hint="eastAsia" w:ascii="仿宋_GB2312" w:hAnsi="宋体" w:eastAsia="仿宋_GB2312" w:cs="宋体"/>
          <w:color w:val="000000"/>
          <w:kern w:val="0"/>
          <w:sz w:val="32"/>
          <w:szCs w:val="32"/>
        </w:rPr>
        <w:t>享受</w:t>
      </w:r>
      <w:r>
        <w:rPr>
          <w:rFonts w:hint="eastAsia" w:ascii="仿宋_GB2312" w:hAnsi="宋体" w:eastAsia="仿宋_GB2312" w:cs="宋体"/>
          <w:color w:val="000000"/>
          <w:kern w:val="0"/>
          <w:sz w:val="32"/>
          <w:szCs w:val="32"/>
          <w:lang w:eastAsia="zh-CN"/>
        </w:rPr>
        <w:t>（三）</w:t>
      </w:r>
      <w:r>
        <w:rPr>
          <w:rFonts w:hint="eastAsia" w:ascii="仿宋_GB2312" w:hAnsi="宋体" w:eastAsia="仿宋_GB2312" w:cs="宋体"/>
          <w:color w:val="000000"/>
          <w:kern w:val="0"/>
          <w:sz w:val="32"/>
          <w:szCs w:val="32"/>
        </w:rPr>
        <w:t>鼓励企业发展跨境电子商务</w:t>
      </w:r>
      <w:r>
        <w:rPr>
          <w:rFonts w:hint="eastAsia" w:ascii="仿宋_GB2312" w:hAnsi="宋体" w:eastAsia="仿宋_GB2312" w:cs="宋体"/>
          <w:color w:val="000000"/>
          <w:kern w:val="0"/>
          <w:sz w:val="32"/>
          <w:szCs w:val="32"/>
          <w:lang w:eastAsia="zh-CN"/>
        </w:rPr>
        <w:t>下第</w:t>
      </w: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2、3、4</w:t>
      </w:r>
      <w:r>
        <w:rPr>
          <w:rFonts w:hint="eastAsia" w:ascii="仿宋_GB2312" w:hAnsi="宋体" w:eastAsia="仿宋_GB2312" w:cs="宋体"/>
          <w:color w:val="000000"/>
          <w:kern w:val="0"/>
          <w:sz w:val="32"/>
          <w:szCs w:val="32"/>
        </w:rPr>
        <w:t>项政策企业必须完成市商务局跨境电子商务企业备案，备案办法详见慈溪市商务局关于印发《慈溪市跨境电子商务经营主体备案管理办法（试行）》的通知》（慈商务〔2018〕24号）。</w:t>
      </w:r>
    </w:p>
    <w:p>
      <w:pPr>
        <w:spacing w:line="600" w:lineRule="exact"/>
        <w:ind w:firstLine="640" w:firstLineChars="200"/>
        <w:rPr>
          <w:rFonts w:ascii="黑体" w:hAnsi="宋体" w:eastAsia="黑体" w:cs="宋体"/>
          <w:b w:val="0"/>
          <w:bCs/>
          <w:color w:val="000000"/>
          <w:kern w:val="0"/>
          <w:sz w:val="32"/>
          <w:szCs w:val="32"/>
        </w:rPr>
      </w:pPr>
      <w:r>
        <w:rPr>
          <w:rFonts w:hint="eastAsia" w:ascii="黑体" w:hAnsi="宋体" w:eastAsia="黑体" w:cs="宋体"/>
          <w:b w:val="0"/>
          <w:bCs/>
          <w:color w:val="000000"/>
          <w:kern w:val="0"/>
          <w:sz w:val="32"/>
          <w:szCs w:val="32"/>
        </w:rPr>
        <w:t>三、申报、审核及奖励程序</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(一)申报</w:t>
      </w:r>
    </w:p>
    <w:p>
      <w:pPr>
        <w:keepNext w:val="0"/>
        <w:keepLines w:val="0"/>
        <w:pageBreakBefore w:val="0"/>
        <w:kinsoku/>
        <w:wordWrap/>
        <w:overflowPunct/>
        <w:topLinePunct w:val="0"/>
        <w:autoSpaceDE/>
        <w:autoSpaceDN/>
        <w:bidi w:val="0"/>
        <w:adjustRightInd/>
        <w:snapToGrid/>
        <w:spacing w:line="560" w:lineRule="exact"/>
        <w:ind w:firstLine="64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12月底</w:t>
      </w:r>
      <w:r>
        <w:rPr>
          <w:rFonts w:hint="eastAsia" w:ascii="仿宋_GB2312" w:hAnsi="仿宋_GB2312" w:eastAsia="仿宋_GB2312" w:cs="仿宋_GB2312"/>
          <w:sz w:val="32"/>
          <w:szCs w:val="32"/>
        </w:rPr>
        <w:t>，由市商务局发布申报通知，符合条件的申报单位向相关镇（街道）、慈溪滨海经济开发区经发局、市高新技术产业开发区管委会、市现代农业开发区管委会、市环杭州湾创新中心提交申报材料（一式</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份），经所在地确认盖章后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上报至市商务局。申报材料包括：</w:t>
      </w:r>
      <w:r>
        <w:rPr>
          <w:rFonts w:hint="eastAsia" w:ascii="仿宋_GB2312" w:hAnsi="仿宋_GB2312" w:eastAsia="仿宋_GB2312" w:cs="仿宋_GB2312"/>
          <w:color w:val="000000"/>
          <w:kern w:val="0"/>
          <w:sz w:val="32"/>
          <w:szCs w:val="32"/>
        </w:rPr>
        <w:t>1、申报单</w:t>
      </w:r>
    </w:p>
    <w:p>
      <w:pPr>
        <w:keepNext w:val="0"/>
        <w:keepLines w:val="0"/>
        <w:pageBreakBefore w:val="0"/>
        <w:kinsoku/>
        <w:wordWrap/>
        <w:overflowPunct/>
        <w:topLinePunct w:val="0"/>
        <w:autoSpaceDE/>
        <w:autoSpaceDN/>
        <w:bidi w:val="0"/>
        <w:adjustRightInd/>
        <w:snapToGrid/>
        <w:spacing w:line="560" w:lineRule="exact"/>
        <w:ind w:firstLine="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rPr>
        <w:t>位的营业执照复印件；2、</w:t>
      </w:r>
      <w:r>
        <w:rPr>
          <w:rFonts w:hint="eastAsia" w:ascii="仿宋_GB2312" w:hAnsi="仿宋_GB2312" w:eastAsia="仿宋_GB2312" w:cs="仿宋_GB2312"/>
          <w:sz w:val="32"/>
          <w:szCs w:val="32"/>
        </w:rPr>
        <w:t>《慈溪市</w:t>
      </w:r>
      <w:r>
        <w:rPr>
          <w:rFonts w:hint="eastAsia" w:ascii="仿宋_GB2312" w:hAnsi="仿宋_GB2312" w:eastAsia="仿宋_GB2312" w:cs="仿宋_GB2312"/>
          <w:sz w:val="32"/>
          <w:szCs w:val="32"/>
          <w:lang w:eastAsia="zh-CN"/>
        </w:rPr>
        <w:t>商贸流通领域扶持政策</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资金申</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表》（见附件</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；3、申报政策所需专项资料。</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482" w:firstLineChars="15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（二）审核兑现</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市商务局会同相关部门对申报资料进行审核并进行实地核查，经公示后，对符合条件的由市商务局提请市财政局联文下达补助资金。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四、其他说明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本政策</w:t>
      </w:r>
      <w:r>
        <w:rPr>
          <w:rFonts w:hint="eastAsia" w:ascii="仿宋_GB2312" w:hAnsi="仿宋_GB2312" w:eastAsia="仿宋_GB2312" w:cs="仿宋_GB2312"/>
          <w:kern w:val="0"/>
          <w:sz w:val="32"/>
          <w:szCs w:val="32"/>
          <w:lang w:eastAsia="zh-CN"/>
        </w:rPr>
        <w:t>奖励（补助）金额和电子商务政策</w:t>
      </w:r>
      <w:r>
        <w:rPr>
          <w:rFonts w:hint="eastAsia" w:ascii="仿宋_GB2312" w:hAnsi="仿宋_GB2312" w:eastAsia="仿宋_GB2312" w:cs="仿宋_GB2312"/>
          <w:kern w:val="0"/>
          <w:sz w:val="32"/>
          <w:szCs w:val="32"/>
        </w:rPr>
        <w:t>所涉奖励（补助）金额超过</w:t>
      </w:r>
      <w:r>
        <w:rPr>
          <w:rFonts w:hint="eastAsia" w:ascii="仿宋_GB2312" w:hAnsi="仿宋_GB2312" w:eastAsia="仿宋_GB2312" w:cs="仿宋_GB2312"/>
          <w:kern w:val="0"/>
          <w:sz w:val="32"/>
          <w:szCs w:val="32"/>
          <w:lang w:eastAsia="zh-CN"/>
        </w:rPr>
        <w:t>年初部门</w:t>
      </w:r>
      <w:r>
        <w:rPr>
          <w:rFonts w:hint="eastAsia" w:ascii="仿宋_GB2312" w:hAnsi="仿宋_GB2312" w:eastAsia="仿宋_GB2312" w:cs="仿宋_GB2312"/>
          <w:kern w:val="0"/>
          <w:sz w:val="32"/>
          <w:szCs w:val="32"/>
        </w:rPr>
        <w:t>预算核定金额的，则在既定金额下按同比例扣减兑现。</w:t>
      </w:r>
    </w:p>
    <w:p>
      <w:pPr>
        <w:spacing w:line="600" w:lineRule="exact"/>
        <w:ind w:firstLine="480" w:firstLineChars="150"/>
        <w:rPr>
          <w:rFonts w:ascii="仿宋_GB2312" w:hAnsi="宋体" w:eastAsia="仿宋_GB2312" w:cs="宋体"/>
          <w:color w:val="000000"/>
          <w:kern w:val="0"/>
          <w:sz w:val="32"/>
          <w:szCs w:val="32"/>
        </w:rPr>
      </w:pPr>
    </w:p>
    <w:p>
      <w:pPr>
        <w:spacing w:line="560" w:lineRule="exact"/>
        <w:rPr>
          <w:rFonts w:ascii="仿宋_GB2312" w:hAnsi="仿宋_GB2312" w:eastAsia="仿宋_GB2312" w:cs="仿宋_GB2312"/>
          <w:bCs/>
          <w:sz w:val="32"/>
          <w:szCs w:val="32"/>
        </w:rPr>
      </w:pPr>
      <w:bookmarkStart w:id="0" w:name="_GoBack"/>
      <w:bookmarkEnd w:id="0"/>
      <w:r>
        <w:rPr>
          <w:rFonts w:hint="eastAsia" w:ascii="仿宋_GB2312" w:hAnsi="仿宋_GB2312" w:eastAsia="仿宋_GB2312" w:cs="仿宋_GB2312"/>
          <w:bCs/>
          <w:sz w:val="32"/>
          <w:szCs w:val="32"/>
        </w:rPr>
        <w:t>附件一：</w:t>
      </w:r>
    </w:p>
    <w:p>
      <w:pPr>
        <w:jc w:val="center"/>
        <w:rPr>
          <w:rFonts w:ascii="方正小标宋简体" w:hAnsi="方正小标宋简体" w:eastAsia="方正小标宋简体" w:cs="方正小标宋简体"/>
          <w:bCs/>
          <w:sz w:val="36"/>
          <w:szCs w:val="36"/>
        </w:rPr>
      </w:pP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慈溪市电子商务集聚区认定管理办法</w:t>
      </w:r>
    </w:p>
    <w:p>
      <w:pPr>
        <w:rPr>
          <w:rFonts w:ascii="仿宋_GB2312" w:hAnsi="宋体" w:eastAsia="仿宋_GB2312"/>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第一章 总则</w:t>
      </w:r>
    </w:p>
    <w:p>
      <w:pPr>
        <w:ind w:firstLine="630" w:firstLineChars="196"/>
        <w:rPr>
          <w:rFonts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 xml:space="preserve">  为深入贯彻落实《慈溪市电子商务发展规划（2014-2020）》（慈政办发〔2014〕177号），推动慈溪市电子商务加快发展，积极营造电子商务发展环境，促进电子商务集聚，规范电子商务集聚区认定行为，特制定本办法。</w:t>
      </w:r>
    </w:p>
    <w:p>
      <w:pPr>
        <w:ind w:firstLine="643" w:firstLineChars="200"/>
        <w:rPr>
          <w:rFonts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 xml:space="preserve">  电子商务集聚区认定工作遵循“推荐申请、公开公正、动态管理、择优支持”的原则。</w:t>
      </w:r>
    </w:p>
    <w:p>
      <w:pPr>
        <w:ind w:firstLine="643" w:firstLineChars="200"/>
        <w:rPr>
          <w:rFonts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电子商务集聚区认定工作由慈溪市商务局牵头并组织实施。</w:t>
      </w:r>
    </w:p>
    <w:p>
      <w:pPr>
        <w:ind w:firstLine="643" w:firstLineChars="200"/>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本办法所称的电子商务集聚区是指集聚一定数量的电子商务企业，具有一定的产业规模，并具有专门的服务机构和公共服务平台，能够提供相应的基础设施保障和公共服务的区域。集聚区按照规模和功能可以分为电子商务园区、专业楼宇等。</w:t>
      </w:r>
    </w:p>
    <w:p>
      <w:pPr>
        <w:ind w:firstLine="643" w:firstLineChars="200"/>
        <w:rPr>
          <w:rFonts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本办法所称的电子商务企业，是指在慈溪市内进行工商注册、税务登记、独立核算，并以互联网为主要渠道，实现消费者网上购物、商户之间网上交易和在线电子支付等商务活动的企业，包括电子商务平台运营企业、电子商务应用企业和以为电子商务企业提供网站建设、技术支持、运营服务等为主营业务的电子商务服务企业、电子商务支撑企业等。</w:t>
      </w:r>
    </w:p>
    <w:p>
      <w:pPr>
        <w:ind w:firstLine="640" w:firstLineChars="200"/>
        <w:rPr>
          <w:rFonts w:ascii="仿宋_GB2312" w:hAnsi="宋体" w:eastAsia="仿宋_GB2312"/>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第二章 认定条件</w:t>
      </w:r>
    </w:p>
    <w:p>
      <w:pPr>
        <w:ind w:firstLine="643" w:firstLineChars="200"/>
        <w:rPr>
          <w:rFonts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符合以下条件的，可申请认定为电子商务集聚区：</w:t>
      </w:r>
    </w:p>
    <w:p>
      <w:pPr>
        <w:ind w:firstLine="640" w:firstLineChars="200"/>
        <w:rPr>
          <w:rFonts w:ascii="仿宋_GB2312" w:hAnsi="宋体" w:eastAsia="仿宋_GB2312"/>
          <w:sz w:val="32"/>
          <w:szCs w:val="32"/>
        </w:rPr>
      </w:pPr>
      <w:r>
        <w:rPr>
          <w:rFonts w:hint="eastAsia" w:ascii="仿宋_GB2312" w:hAnsi="宋体" w:eastAsia="仿宋_GB2312"/>
          <w:sz w:val="32"/>
          <w:szCs w:val="32"/>
        </w:rPr>
        <w:t>（一）电子商务园区、专业楼宇须拥有明确的运营管理主体，有健全的管理制度和服务边界，运营管理主体在慈溪市进行工商注册、税务登记。集聚区得到所在区域政府充分重视和支持。</w:t>
      </w:r>
    </w:p>
    <w:p>
      <w:pPr>
        <w:ind w:firstLine="640" w:firstLineChars="200"/>
        <w:rPr>
          <w:rFonts w:ascii="仿宋_GB2312" w:hAnsi="宋体" w:eastAsia="仿宋_GB2312"/>
          <w:sz w:val="32"/>
          <w:szCs w:val="32"/>
        </w:rPr>
      </w:pPr>
      <w:r>
        <w:rPr>
          <w:rFonts w:hint="eastAsia" w:ascii="仿宋_GB2312" w:hAnsi="宋体" w:eastAsia="仿宋_GB2312"/>
          <w:sz w:val="32"/>
          <w:szCs w:val="32"/>
        </w:rPr>
        <w:t>（二）电子商务集聚区规划要求：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1、电子商务园区、专业楼宇的规划建设原则符合《慈溪市电子商务发展规划（2014-2020）》中明确的空间布局总体要求。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2、电子商务园区、专业楼宇可以是新规划建设的园区、专业楼宇，也可是经电子商务配套改造的新建商业写字楼，或是利用工业厂房、仓储用房、办公用房、闲置楼宇、老旧产业园区等存量房产、土地资源进行整合改建的电商载体。</w:t>
      </w:r>
    </w:p>
    <w:p>
      <w:pPr>
        <w:ind w:firstLine="640" w:firstLineChars="200"/>
        <w:rPr>
          <w:rFonts w:ascii="仿宋_GB2312" w:hAnsi="宋体" w:eastAsia="仿宋_GB2312"/>
          <w:sz w:val="32"/>
          <w:szCs w:val="32"/>
        </w:rPr>
      </w:pPr>
      <w:r>
        <w:rPr>
          <w:rFonts w:hint="eastAsia" w:ascii="仿宋_GB2312" w:hAnsi="宋体" w:eastAsia="仿宋_GB2312"/>
          <w:sz w:val="32"/>
          <w:szCs w:val="32"/>
        </w:rPr>
        <w:t>（三）电子商务集聚区管理及服务要求：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1、电子商务园区、专业楼宇应设立为入驻企业服务的公共服务平台，设公共服务窗口并开展各项针对企业的咨询、人才、金融、统计等公共服务； </w:t>
      </w:r>
    </w:p>
    <w:p>
      <w:pPr>
        <w:ind w:firstLine="640" w:firstLineChars="200"/>
        <w:rPr>
          <w:rFonts w:ascii="仿宋_GB2312" w:hAnsi="宋体" w:eastAsia="仿宋_GB2312"/>
          <w:sz w:val="32"/>
          <w:szCs w:val="32"/>
        </w:rPr>
      </w:pPr>
      <w:r>
        <w:rPr>
          <w:rFonts w:hint="eastAsia" w:ascii="仿宋_GB2312" w:hAnsi="宋体" w:eastAsia="仿宋_GB2312"/>
          <w:sz w:val="32"/>
          <w:szCs w:val="32"/>
        </w:rPr>
        <w:t>2、电子商务园区、专业楼宇应配备专业的管理运营团队，分工明确，团队成员不低于5人（除安保保洁人员）。</w:t>
      </w:r>
    </w:p>
    <w:p>
      <w:pPr>
        <w:ind w:firstLine="640" w:firstLineChars="200"/>
        <w:rPr>
          <w:rFonts w:ascii="仿宋_GB2312" w:hAnsi="宋体" w:eastAsia="仿宋_GB2312"/>
          <w:sz w:val="32"/>
          <w:szCs w:val="32"/>
        </w:rPr>
      </w:pPr>
      <w:r>
        <w:rPr>
          <w:rFonts w:hint="eastAsia" w:ascii="仿宋_GB2312" w:hAnsi="宋体" w:eastAsia="仿宋_GB2312"/>
          <w:sz w:val="32"/>
          <w:szCs w:val="32"/>
        </w:rPr>
        <w:t>3、电子商务园区、专业楼宇要具备完善的电子商务基础环境，完善的硬件、软件、网络和电子商务基础设施，入驻企业宽带接入率达到100%。具备公共会议室、培训教室等公共服务基础设施。</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(四)电子商务集聚区实际经营面积要求：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1、电子商务园区、专业楼宇实际经营面积需在10000平方米以上且已正式投入使用。实际经营面积认定以经营场所房产证为参考。（跨境电商园区经营面积需在5000平方米以上）</w:t>
      </w:r>
    </w:p>
    <w:p>
      <w:pPr>
        <w:ind w:firstLine="640" w:firstLineChars="200"/>
        <w:rPr>
          <w:rFonts w:ascii="仿宋_GB2312" w:hAnsi="宋体" w:eastAsia="仿宋_GB2312"/>
          <w:sz w:val="32"/>
          <w:szCs w:val="32"/>
        </w:rPr>
      </w:pPr>
      <w:r>
        <w:rPr>
          <w:rFonts w:hint="eastAsia" w:ascii="仿宋_GB2312" w:hAnsi="宋体" w:eastAsia="仿宋_GB2312"/>
          <w:sz w:val="32"/>
          <w:szCs w:val="32"/>
        </w:rPr>
        <w:t>2、电子商务专业楼宇用于电子商务企业的总体办公用房面积占集聚区总面积的70%以上，其余面积用房主要用于电子商务企业配套。</w:t>
      </w:r>
    </w:p>
    <w:p>
      <w:pPr>
        <w:ind w:firstLine="640" w:firstLineChars="200"/>
        <w:rPr>
          <w:rFonts w:ascii="仿宋_GB2312" w:hAnsi="宋体" w:eastAsia="仿宋_GB2312"/>
          <w:sz w:val="32"/>
          <w:szCs w:val="32"/>
        </w:rPr>
      </w:pPr>
      <w:r>
        <w:rPr>
          <w:rFonts w:hint="eastAsia" w:ascii="仿宋_GB2312" w:hAnsi="宋体" w:eastAsia="仿宋_GB2312"/>
          <w:sz w:val="32"/>
          <w:szCs w:val="32"/>
        </w:rPr>
        <w:t>3、电子商务园区、专业楼宇内电子商务企业租赁办公用房面积以房屋租赁合同中面积为准，运营管理主体要做好入驻企业租赁合同签订、汇总工作。</w:t>
      </w:r>
    </w:p>
    <w:p>
      <w:pPr>
        <w:ind w:firstLine="640" w:firstLineChars="200"/>
        <w:rPr>
          <w:rFonts w:ascii="仿宋_GB2312" w:hAnsi="宋体" w:eastAsia="仿宋_GB2312"/>
          <w:sz w:val="32"/>
          <w:szCs w:val="32"/>
        </w:rPr>
      </w:pPr>
      <w:r>
        <w:rPr>
          <w:rFonts w:hint="eastAsia" w:ascii="仿宋_GB2312" w:hAnsi="宋体" w:eastAsia="仿宋_GB2312"/>
          <w:sz w:val="32"/>
          <w:szCs w:val="32"/>
        </w:rPr>
        <w:t>（五）电子商务集聚区入驻企业要求：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1、电子商务园区、专业楼宇入驻的电子商务企业总数不少于30家，入驻企业需配备专用的电商团队。</w:t>
      </w:r>
    </w:p>
    <w:p>
      <w:pPr>
        <w:ind w:firstLine="640" w:firstLineChars="200"/>
        <w:rPr>
          <w:rFonts w:ascii="仿宋_GB2312" w:hAnsi="宋体" w:eastAsia="仿宋_GB2312"/>
          <w:sz w:val="32"/>
          <w:szCs w:val="32"/>
        </w:rPr>
      </w:pPr>
      <w:r>
        <w:rPr>
          <w:rFonts w:hint="eastAsia" w:ascii="仿宋_GB2312" w:hAnsi="宋体" w:eastAsia="仿宋_GB2312"/>
          <w:sz w:val="32"/>
          <w:szCs w:val="32"/>
        </w:rPr>
        <w:t>2、电子商务园区、专业楼宇所入驻的企业中电子商务企业数量占所有入驻企业数量的70%以上。</w:t>
      </w:r>
    </w:p>
    <w:p>
      <w:pPr>
        <w:ind w:firstLine="640" w:firstLineChars="200"/>
        <w:rPr>
          <w:rFonts w:ascii="仿宋_GB2312" w:hAnsi="宋体" w:eastAsia="仿宋_GB2312"/>
          <w:sz w:val="32"/>
          <w:szCs w:val="32"/>
        </w:rPr>
      </w:pPr>
      <w:r>
        <w:rPr>
          <w:rFonts w:hint="eastAsia" w:ascii="仿宋_GB2312" w:hAnsi="宋体" w:eastAsia="仿宋_GB2312"/>
          <w:sz w:val="32"/>
          <w:szCs w:val="32"/>
        </w:rPr>
        <w:t>（六）电子商务集聚区网上销售统计要求：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电子商务集聚区运营管理主体或其分支机构必须按要求纳入浙江省电子商务行业统计监测系统，定期报送统计报表，电子商务服务企业代为运营的网店销售额、电子商务平台企业平台交易额视同集聚区网上销售额纳入统计。</w:t>
      </w:r>
    </w:p>
    <w:p>
      <w:pPr>
        <w:ind w:firstLine="640" w:firstLineChars="200"/>
        <w:rPr>
          <w:rFonts w:ascii="仿宋_GB2312" w:hAnsi="宋体" w:eastAsia="仿宋_GB2312"/>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第三章 申请材料</w:t>
      </w:r>
    </w:p>
    <w:p>
      <w:pPr>
        <w:ind w:firstLine="630" w:firstLineChars="196"/>
        <w:rPr>
          <w:rFonts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 xml:space="preserve">  申请认定为电子商务集聚区应提交的资料：</w:t>
      </w:r>
    </w:p>
    <w:p>
      <w:pPr>
        <w:ind w:firstLine="640" w:firstLineChars="200"/>
        <w:rPr>
          <w:rFonts w:ascii="仿宋_GB2312" w:hAnsi="宋体" w:eastAsia="仿宋_GB2312"/>
          <w:sz w:val="32"/>
          <w:szCs w:val="32"/>
        </w:rPr>
      </w:pPr>
      <w:r>
        <w:rPr>
          <w:rFonts w:hint="eastAsia" w:ascii="仿宋_GB2312" w:hAnsi="宋体" w:eastAsia="仿宋_GB2312"/>
          <w:sz w:val="32"/>
          <w:szCs w:val="32"/>
        </w:rPr>
        <w:t>(一)申请认定为电子商务集聚区的请示及工作方案；</w:t>
      </w:r>
    </w:p>
    <w:p>
      <w:pPr>
        <w:ind w:firstLine="640" w:firstLineChars="200"/>
        <w:rPr>
          <w:rFonts w:ascii="仿宋_GB2312" w:hAnsi="宋体" w:eastAsia="仿宋_GB2312"/>
          <w:sz w:val="32"/>
          <w:szCs w:val="32"/>
        </w:rPr>
      </w:pPr>
      <w:r>
        <w:rPr>
          <w:rFonts w:hint="eastAsia" w:ascii="仿宋_GB2312" w:hAnsi="宋体" w:eastAsia="仿宋_GB2312"/>
          <w:sz w:val="32"/>
          <w:szCs w:val="32"/>
        </w:rPr>
        <w:t>(二)慈溪市电子商务集聚区认定申请表（附件1）；</w:t>
      </w:r>
    </w:p>
    <w:p>
      <w:pPr>
        <w:ind w:firstLine="640" w:firstLineChars="200"/>
        <w:rPr>
          <w:rFonts w:ascii="仿宋_GB2312" w:hAnsi="宋体" w:eastAsia="仿宋_GB2312"/>
          <w:sz w:val="32"/>
          <w:szCs w:val="32"/>
        </w:rPr>
      </w:pPr>
      <w:r>
        <w:rPr>
          <w:rFonts w:hint="eastAsia" w:ascii="仿宋_GB2312" w:hAnsi="宋体" w:eastAsia="仿宋_GB2312"/>
          <w:sz w:val="32"/>
          <w:szCs w:val="32"/>
        </w:rPr>
        <w:t>(三)电子商务集聚区发展规划；</w:t>
      </w:r>
    </w:p>
    <w:p>
      <w:pPr>
        <w:ind w:firstLine="640" w:firstLineChars="200"/>
        <w:rPr>
          <w:rFonts w:ascii="仿宋_GB2312" w:hAnsi="宋体" w:eastAsia="仿宋_GB2312"/>
          <w:sz w:val="32"/>
          <w:szCs w:val="32"/>
        </w:rPr>
      </w:pPr>
      <w:r>
        <w:rPr>
          <w:rFonts w:hint="eastAsia" w:ascii="仿宋_GB2312" w:hAnsi="宋体" w:eastAsia="仿宋_GB2312"/>
          <w:sz w:val="32"/>
          <w:szCs w:val="32"/>
        </w:rPr>
        <w:t>(四)电子商务集聚区基础设施和公共服务设施情况；</w:t>
      </w:r>
    </w:p>
    <w:p>
      <w:pPr>
        <w:ind w:firstLine="640" w:firstLineChars="200"/>
        <w:rPr>
          <w:rFonts w:ascii="仿宋_GB2312" w:hAnsi="宋体" w:eastAsia="仿宋_GB2312"/>
          <w:sz w:val="32"/>
          <w:szCs w:val="32"/>
        </w:rPr>
      </w:pPr>
      <w:r>
        <w:rPr>
          <w:rFonts w:hint="eastAsia" w:ascii="仿宋_GB2312" w:hAnsi="宋体" w:eastAsia="仿宋_GB2312"/>
          <w:sz w:val="32"/>
          <w:szCs w:val="32"/>
        </w:rPr>
        <w:t>(五)电子商务集聚区运营管理主体的工商营业执照、税务登记证和法定代表人身份证复印件；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(六)电子商务集聚区企业汇总表（附件2）；</w:t>
      </w:r>
    </w:p>
    <w:p>
      <w:pPr>
        <w:ind w:firstLine="640" w:firstLineChars="200"/>
        <w:rPr>
          <w:rFonts w:ascii="仿宋_GB2312" w:hAnsi="宋体" w:eastAsia="仿宋_GB2312"/>
          <w:sz w:val="32"/>
          <w:szCs w:val="32"/>
        </w:rPr>
      </w:pPr>
      <w:r>
        <w:rPr>
          <w:rFonts w:hint="eastAsia" w:ascii="仿宋_GB2312" w:hAnsi="宋体" w:eastAsia="仿宋_GB2312"/>
          <w:sz w:val="32"/>
          <w:szCs w:val="32"/>
        </w:rPr>
        <w:t>(七)电子商务集聚区电子商务企业基本情况表（附件3）及营业执照、税务登记证的复印件；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(八)电子商务集聚区物业产权证明，如集聚区为租赁，还须提供与业主签订的租赁合同（提交复印件，验原件）及业主的产权证明复印件；</w:t>
      </w:r>
    </w:p>
    <w:p>
      <w:pPr>
        <w:ind w:firstLine="640" w:firstLineChars="200"/>
        <w:rPr>
          <w:rFonts w:ascii="仿宋_GB2312" w:hAnsi="宋体" w:eastAsia="仿宋_GB2312"/>
          <w:sz w:val="32"/>
          <w:szCs w:val="32"/>
        </w:rPr>
      </w:pPr>
      <w:r>
        <w:rPr>
          <w:rFonts w:hint="eastAsia" w:ascii="仿宋_GB2312" w:hAnsi="宋体" w:eastAsia="仿宋_GB2312"/>
          <w:sz w:val="32"/>
          <w:szCs w:val="32"/>
        </w:rPr>
        <w:t>(九)电子商务集聚区管理制度文件；</w:t>
      </w:r>
    </w:p>
    <w:p>
      <w:pPr>
        <w:ind w:firstLine="640" w:firstLineChars="200"/>
        <w:rPr>
          <w:rFonts w:ascii="仿宋_GB2312" w:hAnsi="宋体" w:eastAsia="仿宋_GB2312"/>
          <w:sz w:val="32"/>
          <w:szCs w:val="32"/>
        </w:rPr>
      </w:pPr>
      <w:r>
        <w:rPr>
          <w:rFonts w:hint="eastAsia" w:ascii="仿宋_GB2312" w:hAnsi="宋体" w:eastAsia="仿宋_GB2312"/>
          <w:sz w:val="32"/>
          <w:szCs w:val="32"/>
        </w:rPr>
        <w:t>(十)申报承诺书（附件4）；</w:t>
      </w:r>
    </w:p>
    <w:p>
      <w:pPr>
        <w:ind w:firstLine="640" w:firstLineChars="200"/>
        <w:rPr>
          <w:rFonts w:ascii="仿宋_GB2312" w:hAnsi="宋体" w:eastAsia="仿宋_GB2312"/>
          <w:sz w:val="32"/>
          <w:szCs w:val="32"/>
        </w:rPr>
      </w:pPr>
      <w:r>
        <w:rPr>
          <w:rFonts w:hint="eastAsia" w:ascii="仿宋_GB2312" w:hAnsi="宋体" w:eastAsia="仿宋_GB2312"/>
          <w:sz w:val="32"/>
          <w:szCs w:val="32"/>
        </w:rPr>
        <w:t>(十一)反映电子商务集聚区情况的其他资料。</w:t>
      </w:r>
    </w:p>
    <w:p>
      <w:pPr>
        <w:ind w:firstLine="630" w:firstLineChars="196"/>
        <w:rPr>
          <w:rFonts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申请材料一式三份(同时提交电子版光盘)。</w:t>
      </w:r>
    </w:p>
    <w:p>
      <w:pPr>
        <w:ind w:firstLine="627" w:firstLineChars="196"/>
        <w:rPr>
          <w:rFonts w:ascii="仿宋_GB2312" w:hAnsi="宋体" w:eastAsia="仿宋_GB2312"/>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第四章 认定程序</w:t>
      </w:r>
    </w:p>
    <w:p>
      <w:pPr>
        <w:ind w:firstLine="643" w:firstLineChars="200"/>
        <w:rPr>
          <w:rFonts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 xml:space="preserve">  电子商务集聚区运营管理主体对照上述资料要求准备相关申报材料，向所属镇（街道）提交相关申请材料，由镇（街道）初审并提出推荐意见后报市商务局。</w:t>
      </w:r>
    </w:p>
    <w:p>
      <w:pPr>
        <w:ind w:firstLine="630" w:firstLineChars="196"/>
        <w:rPr>
          <w:rFonts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 xml:space="preserve">  市商务局组织考评组对申报资料进行审核，依据电子商务企业认定规范(附件5)对入驻集聚区企业进行核准，并进行实地考察，最后提出评审意见。</w:t>
      </w:r>
    </w:p>
    <w:p>
      <w:pPr>
        <w:ind w:firstLine="630" w:firstLineChars="196"/>
        <w:rPr>
          <w:rFonts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根据评审意见，确定集聚区认定名单，并进行公示。公示期7天，公示期满无异议后，由市商务局发文公布，并授予“慈溪市电子商务专业楼宇”、“慈溪市电子商务园区”的牌匾。</w:t>
      </w:r>
    </w:p>
    <w:p>
      <w:pPr>
        <w:ind w:firstLine="627" w:firstLineChars="196"/>
        <w:rPr>
          <w:rFonts w:ascii="仿宋_GB2312" w:hAnsi="宋体" w:eastAsia="仿宋_GB2312"/>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第五章 监督管理</w:t>
      </w:r>
    </w:p>
    <w:p>
      <w:pPr>
        <w:ind w:firstLine="630" w:firstLineChars="196"/>
        <w:rPr>
          <w:rFonts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市商务局每年对电子商务集聚区进行考核，考核不合格的，提出整改意见，三个月后进行复核，复核不合格的，取消认证资格。</w:t>
      </w:r>
    </w:p>
    <w:p>
      <w:pPr>
        <w:ind w:firstLine="630" w:firstLineChars="196"/>
        <w:rPr>
          <w:rFonts w:ascii="仿宋_GB2312" w:hAnsi="宋体" w:eastAsia="仿宋_GB2312"/>
          <w:sz w:val="32"/>
          <w:szCs w:val="32"/>
        </w:rPr>
      </w:pPr>
      <w:r>
        <w:rPr>
          <w:rFonts w:hint="eastAsia" w:ascii="仿宋_GB2312" w:hAnsi="宋体" w:eastAsia="仿宋_GB2312"/>
          <w:b/>
          <w:sz w:val="32"/>
          <w:szCs w:val="32"/>
        </w:rPr>
        <w:t>第十三条</w:t>
      </w:r>
      <w:r>
        <w:rPr>
          <w:rFonts w:hint="eastAsia" w:ascii="仿宋_GB2312" w:hAnsi="宋体" w:eastAsia="仿宋_GB2312"/>
          <w:sz w:val="32"/>
          <w:szCs w:val="32"/>
        </w:rPr>
        <w:t xml:space="preserve">  已认定的电子商务集聚区需要更名或变更经营范围、合并、分立、转业的，应及时向市商务局备案。</w:t>
      </w:r>
    </w:p>
    <w:p>
      <w:pPr>
        <w:ind w:firstLine="643" w:firstLineChars="200"/>
        <w:rPr>
          <w:rFonts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已认定的电子商务集聚区有下述情况之一，取消其资格：</w:t>
      </w:r>
    </w:p>
    <w:p>
      <w:pPr>
        <w:ind w:firstLine="640" w:firstLineChars="200"/>
        <w:rPr>
          <w:rFonts w:ascii="仿宋_GB2312" w:hAnsi="宋体" w:eastAsia="仿宋_GB2312"/>
          <w:sz w:val="32"/>
          <w:szCs w:val="32"/>
        </w:rPr>
      </w:pPr>
      <w:r>
        <w:rPr>
          <w:rFonts w:hint="eastAsia" w:ascii="仿宋_GB2312" w:hAnsi="宋体" w:eastAsia="仿宋_GB2312"/>
          <w:sz w:val="32"/>
          <w:szCs w:val="32"/>
        </w:rPr>
        <w:t>(一)在申报材料中存在虚假信息的；</w:t>
      </w:r>
    </w:p>
    <w:p>
      <w:pPr>
        <w:ind w:firstLine="640" w:firstLineChars="200"/>
        <w:rPr>
          <w:rFonts w:ascii="仿宋_GB2312" w:hAnsi="宋体" w:eastAsia="仿宋_GB2312"/>
          <w:sz w:val="32"/>
          <w:szCs w:val="32"/>
        </w:rPr>
      </w:pPr>
      <w:r>
        <w:rPr>
          <w:rFonts w:hint="eastAsia" w:ascii="仿宋_GB2312" w:hAnsi="宋体" w:eastAsia="仿宋_GB2312"/>
          <w:sz w:val="32"/>
          <w:szCs w:val="32"/>
        </w:rPr>
        <w:t>(二)有欠税、恶意欠薪等严重失信行为的；</w:t>
      </w:r>
    </w:p>
    <w:p>
      <w:pPr>
        <w:ind w:firstLine="640" w:firstLineChars="200"/>
        <w:rPr>
          <w:rFonts w:ascii="仿宋_GB2312" w:hAnsi="宋体" w:eastAsia="仿宋_GB2312"/>
          <w:sz w:val="32"/>
          <w:szCs w:val="32"/>
        </w:rPr>
      </w:pPr>
      <w:r>
        <w:rPr>
          <w:rFonts w:hint="eastAsia" w:ascii="仿宋_GB2312" w:hAnsi="宋体" w:eastAsia="仿宋_GB2312"/>
          <w:sz w:val="32"/>
          <w:szCs w:val="32"/>
        </w:rPr>
        <w:t>(三)因违法、违规行为，受到执法部门处罚的。</w:t>
      </w:r>
    </w:p>
    <w:p>
      <w:pPr>
        <w:ind w:firstLine="640" w:firstLineChars="200"/>
        <w:rPr>
          <w:rFonts w:ascii="仿宋_GB2312" w:hAnsi="宋体" w:eastAsia="仿宋_GB2312"/>
          <w:sz w:val="32"/>
          <w:szCs w:val="32"/>
        </w:rPr>
      </w:pPr>
      <w:r>
        <w:rPr>
          <w:rFonts w:hint="eastAsia" w:ascii="仿宋_GB2312" w:hAnsi="宋体" w:eastAsia="仿宋_GB2312"/>
          <w:sz w:val="32"/>
          <w:szCs w:val="32"/>
        </w:rPr>
        <w:t>取消电子商务集聚区资格的，二年内不再受理该企业的认定申请。</w:t>
      </w:r>
    </w:p>
    <w:p>
      <w:pPr>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第十五条 </w:t>
      </w:r>
      <w:r>
        <w:rPr>
          <w:rFonts w:hint="eastAsia" w:ascii="仿宋_GB2312" w:hAnsi="宋体" w:eastAsia="仿宋_GB2312"/>
          <w:sz w:val="32"/>
          <w:szCs w:val="32"/>
        </w:rPr>
        <w:t xml:space="preserve"> 对认定的电子商务集聚区，择优推荐宁波市、省、国家财政扶持项目。</w:t>
      </w:r>
    </w:p>
    <w:p>
      <w:pPr>
        <w:jc w:val="center"/>
        <w:rPr>
          <w:rFonts w:ascii="黑体" w:hAnsi="黑体" w:eastAsia="黑体" w:cs="黑体"/>
          <w:bCs/>
          <w:sz w:val="32"/>
          <w:szCs w:val="32"/>
        </w:rPr>
      </w:pPr>
    </w:p>
    <w:p>
      <w:pPr>
        <w:jc w:val="center"/>
        <w:rPr>
          <w:rFonts w:ascii="黑体" w:hAnsi="黑体" w:eastAsia="黑体" w:cs="黑体"/>
          <w:bCs/>
          <w:sz w:val="32"/>
          <w:szCs w:val="32"/>
        </w:rPr>
      </w:pPr>
      <w:r>
        <w:rPr>
          <w:rFonts w:hint="eastAsia" w:ascii="黑体" w:hAnsi="黑体" w:eastAsia="黑体" w:cs="黑体"/>
          <w:bCs/>
          <w:sz w:val="32"/>
          <w:szCs w:val="32"/>
        </w:rPr>
        <w:t>第六章  附则</w:t>
      </w:r>
    </w:p>
    <w:p>
      <w:pPr>
        <w:ind w:firstLine="630" w:firstLineChars="196"/>
        <w:rPr>
          <w:rFonts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xml:space="preserve">  本办法由慈溪市商务局负责解释。</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附件： 1、慈溪市电子商务集聚区认定申请表</w:t>
      </w:r>
    </w:p>
    <w:p>
      <w:pPr>
        <w:ind w:firstLine="1760" w:firstLineChars="550"/>
        <w:rPr>
          <w:rFonts w:ascii="仿宋_GB2312" w:hAnsi="宋体" w:eastAsia="仿宋_GB2312"/>
          <w:sz w:val="32"/>
          <w:szCs w:val="32"/>
        </w:rPr>
      </w:pPr>
      <w:r>
        <w:rPr>
          <w:rFonts w:hint="eastAsia" w:ascii="仿宋_GB2312" w:hAnsi="宋体" w:eastAsia="仿宋_GB2312"/>
          <w:sz w:val="32"/>
          <w:szCs w:val="32"/>
        </w:rPr>
        <w:t>2、集聚区企业汇总表</w:t>
      </w:r>
    </w:p>
    <w:p>
      <w:pPr>
        <w:ind w:firstLine="1760" w:firstLineChars="550"/>
        <w:rPr>
          <w:rFonts w:ascii="仿宋_GB2312" w:hAnsi="宋体" w:eastAsia="仿宋_GB2312"/>
          <w:sz w:val="32"/>
          <w:szCs w:val="32"/>
        </w:rPr>
      </w:pPr>
      <w:r>
        <w:rPr>
          <w:rFonts w:hint="eastAsia" w:ascii="仿宋_GB2312" w:hAnsi="宋体" w:eastAsia="仿宋_GB2312"/>
          <w:sz w:val="32"/>
          <w:szCs w:val="32"/>
        </w:rPr>
        <w:t>3、集聚区电子商务企业基本情况表</w:t>
      </w:r>
    </w:p>
    <w:p>
      <w:pPr>
        <w:ind w:firstLine="1760" w:firstLineChars="550"/>
        <w:rPr>
          <w:rFonts w:ascii="仿宋_GB2312" w:hAnsi="宋体" w:eastAsia="仿宋_GB2312"/>
          <w:sz w:val="32"/>
          <w:szCs w:val="32"/>
        </w:rPr>
      </w:pPr>
      <w:r>
        <w:rPr>
          <w:rFonts w:hint="eastAsia" w:ascii="仿宋_GB2312" w:hAnsi="宋体" w:eastAsia="仿宋_GB2312"/>
          <w:sz w:val="32"/>
          <w:szCs w:val="32"/>
        </w:rPr>
        <w:t>4、集聚区认定申请承诺书</w:t>
      </w:r>
    </w:p>
    <w:p>
      <w:pPr>
        <w:ind w:firstLine="1760" w:firstLineChars="550"/>
        <w:rPr>
          <w:rFonts w:ascii="仿宋_GB2312" w:hAnsi="宋体" w:eastAsia="仿宋_GB2312"/>
          <w:sz w:val="32"/>
          <w:szCs w:val="32"/>
        </w:rPr>
      </w:pPr>
      <w:r>
        <w:rPr>
          <w:rFonts w:hint="eastAsia" w:ascii="仿宋_GB2312" w:hAnsi="宋体" w:eastAsia="仿宋_GB2312"/>
          <w:sz w:val="32"/>
          <w:szCs w:val="32"/>
        </w:rPr>
        <w:t>5、电子商务企业认定规范</w:t>
      </w:r>
    </w:p>
    <w:p>
      <w:pPr>
        <w:ind w:firstLine="1760" w:firstLineChars="550"/>
        <w:rPr>
          <w:rFonts w:ascii="仿宋_GB2312" w:hAnsi="宋体" w:eastAsia="仿宋_GB2312"/>
          <w:sz w:val="32"/>
          <w:szCs w:val="32"/>
        </w:rPr>
      </w:pPr>
    </w:p>
    <w:p>
      <w:pPr>
        <w:ind w:firstLine="1760" w:firstLineChars="550"/>
        <w:rPr>
          <w:rFonts w:ascii="仿宋_GB2312" w:hAnsi="宋体" w:eastAsia="仿宋_GB2312"/>
          <w:sz w:val="32"/>
          <w:szCs w:val="32"/>
        </w:rPr>
      </w:pPr>
    </w:p>
    <w:p>
      <w:pPr>
        <w:spacing w:line="220" w:lineRule="atLeast"/>
      </w:pPr>
      <w:r>
        <w:rPr>
          <w:rFonts w:hint="eastAsia" w:ascii="仿宋_GB2312" w:hAnsi="宋体" w:eastAsia="仿宋_GB2312"/>
          <w:sz w:val="32"/>
          <w:szCs w:val="32"/>
        </w:rPr>
        <w:br w:type="page"/>
      </w:r>
    </w:p>
    <w:p>
      <w:pPr>
        <w:autoSpaceDN w:val="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附件1：</w:t>
      </w:r>
    </w:p>
    <w:p>
      <w:pPr>
        <w:autoSpaceDN w:val="0"/>
        <w:spacing w:afterLines="100" w:line="600" w:lineRule="exact"/>
        <w:jc w:val="center"/>
        <w:textAlignment w:val="center"/>
        <w:rPr>
          <w:rFonts w:ascii="方正小标宋简体" w:hAnsi="宋体" w:eastAsia="方正小标宋简体" w:cs="仿宋_GB2312"/>
          <w:bCs/>
          <w:color w:val="000000"/>
          <w:sz w:val="36"/>
          <w:szCs w:val="36"/>
        </w:rPr>
      </w:pPr>
      <w:r>
        <w:rPr>
          <w:rFonts w:hint="eastAsia" w:ascii="方正小标宋简体" w:hAnsi="宋体" w:eastAsia="方正小标宋简体" w:cs="仿宋_GB2312"/>
          <w:b/>
          <w:color w:val="000000"/>
          <w:sz w:val="36"/>
          <w:szCs w:val="36"/>
        </w:rPr>
        <w:t>慈溪市电子商务集聚区认定申请表</w:t>
      </w:r>
    </w:p>
    <w:p>
      <w:pPr>
        <w:spacing w:line="220" w:lineRule="atLeast"/>
        <w:rPr>
          <w:rFonts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 xml:space="preserve">填报单位（盖章）：     </w:t>
      </w:r>
    </w:p>
    <w:tbl>
      <w:tblPr>
        <w:tblStyle w:val="7"/>
        <w:tblW w:w="888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07"/>
        <w:gridCol w:w="1358"/>
        <w:gridCol w:w="1276"/>
        <w:gridCol w:w="1701"/>
        <w:gridCol w:w="26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82" w:type="dxa"/>
            <w:gridSpan w:val="5"/>
            <w:tcBorders>
              <w:top w:val="single" w:color="auto" w:sz="8" w:space="0"/>
              <w:left w:val="single" w:color="auto" w:sz="8" w:space="0"/>
              <w:bottom w:val="single" w:color="auto" w:sz="4" w:space="0"/>
              <w:right w:val="single" w:color="auto" w:sz="8" w:space="0"/>
            </w:tcBorders>
            <w:vAlign w:val="center"/>
          </w:tcPr>
          <w:p>
            <w:pPr>
              <w:autoSpaceDN w:val="0"/>
              <w:spacing w:line="400" w:lineRule="exact"/>
              <w:textAlignment w:val="center"/>
              <w:rPr>
                <w:rFonts w:ascii="仿宋_GB2312" w:hAnsi="仿宋_GB2312" w:eastAsia="仿宋_GB2312" w:cs="仿宋_GB2312"/>
                <w:bCs/>
                <w:color w:val="000000"/>
                <w:sz w:val="24"/>
              </w:rPr>
            </w:pPr>
            <w:r>
              <w:rPr>
                <w:rFonts w:hint="eastAsia" w:ascii="仿宋_GB2312" w:hAnsi="仿宋_GB2312" w:eastAsia="仿宋_GB2312" w:cs="仿宋_GB2312"/>
                <w:b/>
                <w:color w:val="000000"/>
                <w:sz w:val="24"/>
              </w:rPr>
              <w:t>一、集聚区基本情况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4" w:space="0"/>
              <w:left w:val="single" w:color="auto" w:sz="8" w:space="0"/>
              <w:bottom w:val="single" w:color="auto" w:sz="8" w:space="0"/>
              <w:right w:val="single" w:color="auto" w:sz="8" w:space="0"/>
            </w:tcBorders>
            <w:vAlign w:val="center"/>
          </w:tcPr>
          <w:p>
            <w:pPr>
              <w:autoSpaceDN w:val="0"/>
              <w:ind w:firstLine="240" w:firstLineChars="100"/>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集聚区名称</w:t>
            </w:r>
          </w:p>
        </w:tc>
        <w:tc>
          <w:tcPr>
            <w:tcW w:w="2634" w:type="dxa"/>
            <w:gridSpan w:val="2"/>
            <w:tcBorders>
              <w:top w:val="single" w:color="auto" w:sz="4" w:space="0"/>
              <w:left w:val="single" w:color="auto" w:sz="8" w:space="0"/>
              <w:bottom w:val="single" w:color="auto" w:sz="8" w:space="0"/>
              <w:right w:val="single" w:color="auto" w:sz="4" w:space="0"/>
            </w:tcBorders>
            <w:vAlign w:val="center"/>
          </w:tcPr>
          <w:p>
            <w:pPr>
              <w:autoSpaceDN w:val="0"/>
              <w:jc w:val="center"/>
              <w:textAlignment w:val="center"/>
              <w:rPr>
                <w:rFonts w:ascii="仿宋_GB2312" w:hAnsi="仿宋_GB2312" w:eastAsia="仿宋_GB2312" w:cs="仿宋_GB2312"/>
                <w:bCs/>
                <w:color w:val="000000"/>
                <w:sz w:val="24"/>
              </w:rPr>
            </w:pPr>
          </w:p>
        </w:tc>
        <w:tc>
          <w:tcPr>
            <w:tcW w:w="1701" w:type="dxa"/>
            <w:tcBorders>
              <w:top w:val="single" w:color="auto" w:sz="4" w:space="0"/>
              <w:left w:val="single" w:color="auto" w:sz="4" w:space="0"/>
              <w:bottom w:val="single" w:color="auto" w:sz="8" w:space="0"/>
              <w:right w:val="single" w:color="auto" w:sz="4"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集聚区地址</w:t>
            </w:r>
          </w:p>
        </w:tc>
        <w:tc>
          <w:tcPr>
            <w:tcW w:w="2640" w:type="dxa"/>
            <w:tcBorders>
              <w:top w:val="single" w:color="auto" w:sz="4" w:space="0"/>
              <w:left w:val="single" w:color="auto" w:sz="4"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集聚区总面积</w:t>
            </w:r>
          </w:p>
        </w:tc>
        <w:tc>
          <w:tcPr>
            <w:tcW w:w="2634" w:type="dxa"/>
            <w:gridSpan w:val="2"/>
            <w:tcBorders>
              <w:top w:val="single" w:color="auto" w:sz="8" w:space="0"/>
              <w:left w:val="single" w:color="auto" w:sz="8" w:space="0"/>
              <w:bottom w:val="single" w:color="auto" w:sz="8" w:space="0"/>
              <w:right w:val="single" w:color="auto" w:sz="4" w:space="0"/>
            </w:tcBorders>
            <w:vAlign w:val="center"/>
          </w:tcPr>
          <w:p>
            <w:pPr>
              <w:autoSpaceDN w:val="0"/>
              <w:jc w:val="center"/>
              <w:textAlignment w:val="center"/>
              <w:rPr>
                <w:rFonts w:ascii="仿宋_GB2312" w:hAnsi="仿宋_GB2312" w:eastAsia="仿宋_GB2312" w:cs="仿宋_GB2312"/>
                <w:bCs/>
                <w:color w:val="000000"/>
                <w:sz w:val="24"/>
              </w:rPr>
            </w:pPr>
          </w:p>
        </w:tc>
        <w:tc>
          <w:tcPr>
            <w:tcW w:w="1701" w:type="dxa"/>
            <w:tcBorders>
              <w:top w:val="single" w:color="auto" w:sz="8" w:space="0"/>
              <w:left w:val="single" w:color="auto" w:sz="4" w:space="0"/>
              <w:bottom w:val="single" w:color="auto" w:sz="8" w:space="0"/>
              <w:right w:val="single" w:color="auto" w:sz="4" w:space="0"/>
            </w:tcBorders>
            <w:vAlign w:val="center"/>
          </w:tcPr>
          <w:p>
            <w:pPr>
              <w:autoSpaceDN w:val="0"/>
              <w:spacing w:line="26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建筑面积</w:t>
            </w:r>
          </w:p>
        </w:tc>
        <w:tc>
          <w:tcPr>
            <w:tcW w:w="2640" w:type="dxa"/>
            <w:tcBorders>
              <w:top w:val="single" w:color="auto" w:sz="8" w:space="0"/>
              <w:left w:val="single" w:color="auto" w:sz="4"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入驻企业总数</w:t>
            </w:r>
          </w:p>
        </w:tc>
        <w:tc>
          <w:tcPr>
            <w:tcW w:w="2634" w:type="dxa"/>
            <w:gridSpan w:val="2"/>
            <w:tcBorders>
              <w:top w:val="single" w:color="auto" w:sz="8" w:space="0"/>
              <w:left w:val="single" w:color="auto" w:sz="8" w:space="0"/>
              <w:bottom w:val="single" w:color="auto" w:sz="8" w:space="0"/>
              <w:right w:val="single" w:color="auto" w:sz="4" w:space="0"/>
            </w:tcBorders>
            <w:vAlign w:val="center"/>
          </w:tcPr>
          <w:p>
            <w:pPr>
              <w:autoSpaceDN w:val="0"/>
              <w:jc w:val="center"/>
              <w:textAlignment w:val="center"/>
              <w:rPr>
                <w:rFonts w:ascii="仿宋_GB2312" w:hAnsi="仿宋_GB2312" w:eastAsia="仿宋_GB2312" w:cs="仿宋_GB2312"/>
                <w:bCs/>
                <w:color w:val="000000"/>
                <w:sz w:val="24"/>
              </w:rPr>
            </w:pPr>
          </w:p>
        </w:tc>
        <w:tc>
          <w:tcPr>
            <w:tcW w:w="1701" w:type="dxa"/>
            <w:tcBorders>
              <w:top w:val="single" w:color="auto" w:sz="8" w:space="0"/>
              <w:left w:val="single" w:color="auto" w:sz="4" w:space="0"/>
              <w:bottom w:val="single" w:color="auto" w:sz="8" w:space="0"/>
              <w:right w:val="single" w:color="auto" w:sz="4" w:space="0"/>
            </w:tcBorders>
            <w:vAlign w:val="center"/>
          </w:tcPr>
          <w:p>
            <w:pPr>
              <w:autoSpaceDN w:val="0"/>
              <w:spacing w:line="26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入驻电子商务企业总数/就业人数</w:t>
            </w:r>
          </w:p>
        </w:tc>
        <w:tc>
          <w:tcPr>
            <w:tcW w:w="2640" w:type="dxa"/>
            <w:tcBorders>
              <w:top w:val="single" w:color="auto" w:sz="8" w:space="0"/>
              <w:left w:val="single" w:color="auto" w:sz="4"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 xml:space="preserve"> 家/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spacing w:line="26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集聚区</w:t>
            </w:r>
          </w:p>
          <w:p>
            <w:pPr>
              <w:autoSpaceDN w:val="0"/>
              <w:spacing w:line="26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网上销售总额</w:t>
            </w:r>
          </w:p>
        </w:tc>
        <w:tc>
          <w:tcPr>
            <w:tcW w:w="1358" w:type="dxa"/>
            <w:tcBorders>
              <w:top w:val="single" w:color="auto" w:sz="8" w:space="0"/>
              <w:left w:val="single" w:color="auto" w:sz="8" w:space="0"/>
              <w:bottom w:val="single" w:color="auto" w:sz="8" w:space="0"/>
              <w:right w:val="single" w:color="auto" w:sz="4" w:space="0"/>
            </w:tcBorders>
            <w:vAlign w:val="center"/>
          </w:tcPr>
          <w:p>
            <w:pPr>
              <w:autoSpaceDN w:val="0"/>
              <w:jc w:val="righ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万元</w:t>
            </w:r>
          </w:p>
        </w:tc>
        <w:tc>
          <w:tcPr>
            <w:tcW w:w="1276" w:type="dxa"/>
            <w:tcBorders>
              <w:top w:val="single" w:color="auto" w:sz="8" w:space="0"/>
              <w:left w:val="single" w:color="auto" w:sz="4" w:space="0"/>
              <w:bottom w:val="single" w:color="auto" w:sz="8" w:space="0"/>
              <w:right w:val="single" w:color="auto" w:sz="4" w:space="0"/>
            </w:tcBorders>
            <w:vAlign w:val="center"/>
          </w:tcPr>
          <w:p>
            <w:pPr>
              <w:autoSpaceDN w:val="0"/>
              <w:spacing w:line="260" w:lineRule="exact"/>
              <w:textAlignment w:val="center"/>
              <w:rPr>
                <w:rFonts w:ascii="仿宋_GB2312" w:hAnsi="仿宋_GB2312" w:eastAsia="仿宋_GB2312" w:cs="仿宋_GB2312"/>
                <w:bCs/>
                <w:color w:val="000000"/>
                <w:spacing w:val="-4"/>
                <w:sz w:val="24"/>
              </w:rPr>
            </w:pPr>
            <w:r>
              <w:rPr>
                <w:rFonts w:hint="eastAsia" w:ascii="仿宋_GB2312" w:hAnsi="仿宋_GB2312" w:eastAsia="仿宋_GB2312" w:cs="仿宋_GB2312"/>
                <w:bCs/>
                <w:color w:val="000000"/>
                <w:spacing w:val="-4"/>
                <w:sz w:val="24"/>
              </w:rPr>
              <w:t>集聚区</w:t>
            </w:r>
          </w:p>
          <w:p>
            <w:pPr>
              <w:autoSpaceDN w:val="0"/>
              <w:spacing w:line="260" w:lineRule="exact"/>
              <w:textAlignment w:val="center"/>
              <w:rPr>
                <w:rFonts w:ascii="仿宋_GB2312" w:hAnsi="仿宋_GB2312" w:eastAsia="仿宋_GB2312" w:cs="仿宋_GB2312"/>
                <w:bCs/>
                <w:color w:val="000000"/>
                <w:spacing w:val="-4"/>
                <w:sz w:val="24"/>
              </w:rPr>
            </w:pPr>
            <w:r>
              <w:rPr>
                <w:rFonts w:hint="eastAsia" w:ascii="仿宋_GB2312" w:hAnsi="仿宋_GB2312" w:eastAsia="仿宋_GB2312" w:cs="仿宋_GB2312"/>
                <w:bCs/>
                <w:color w:val="000000"/>
                <w:spacing w:val="-4"/>
                <w:sz w:val="24"/>
              </w:rPr>
              <w:t>类型</w:t>
            </w:r>
          </w:p>
        </w:tc>
        <w:tc>
          <w:tcPr>
            <w:tcW w:w="4341" w:type="dxa"/>
            <w:gridSpan w:val="2"/>
            <w:tcBorders>
              <w:top w:val="single" w:color="auto" w:sz="8" w:space="0"/>
              <w:left w:val="single" w:color="auto" w:sz="4" w:space="0"/>
              <w:bottom w:val="single" w:color="auto" w:sz="8" w:space="0"/>
              <w:right w:val="single" w:color="auto" w:sz="8" w:space="0"/>
            </w:tcBorders>
            <w:vAlign w:val="center"/>
          </w:tcPr>
          <w:p>
            <w:pPr>
              <w:autoSpaceDN w:val="0"/>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□电子商务园区□电子商务专业楼宇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8882" w:type="dxa"/>
            <w:gridSpan w:val="5"/>
            <w:tcBorders>
              <w:top w:val="single" w:color="auto" w:sz="8" w:space="0"/>
              <w:left w:val="single" w:color="auto" w:sz="8" w:space="0"/>
              <w:bottom w:val="single" w:color="auto" w:sz="8" w:space="0"/>
              <w:right w:val="single" w:color="auto" w:sz="8" w:space="0"/>
            </w:tcBorders>
            <w:vAlign w:val="center"/>
          </w:tcPr>
          <w:p>
            <w:pPr>
              <w:autoSpaceDN w:val="0"/>
              <w:spacing w:line="400" w:lineRule="exact"/>
              <w:textAlignment w:val="center"/>
              <w:rPr>
                <w:rFonts w:ascii="仿宋_GB2312" w:hAnsi="仿宋_GB2312" w:eastAsia="仿宋_GB2312" w:cs="仿宋_GB2312"/>
                <w:bCs/>
                <w:color w:val="000000"/>
                <w:sz w:val="24"/>
              </w:rPr>
            </w:pPr>
            <w:r>
              <w:rPr>
                <w:rFonts w:hint="eastAsia" w:ascii="仿宋_GB2312" w:hAnsi="仿宋_GB2312" w:eastAsia="仿宋_GB2312" w:cs="仿宋_GB2312"/>
                <w:b/>
                <w:color w:val="000000"/>
                <w:sz w:val="24"/>
              </w:rPr>
              <w:t>二、集聚区运营管理主体基本情况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运营管理主体</w:t>
            </w:r>
          </w:p>
        </w:tc>
        <w:tc>
          <w:tcPr>
            <w:tcW w:w="2634" w:type="dxa"/>
            <w:gridSpan w:val="2"/>
            <w:tcBorders>
              <w:top w:val="single" w:color="auto" w:sz="8" w:space="0"/>
              <w:left w:val="single" w:color="auto" w:sz="8" w:space="0"/>
              <w:bottom w:val="single" w:color="auto" w:sz="8" w:space="0"/>
              <w:right w:val="single" w:color="auto" w:sz="4" w:space="0"/>
            </w:tcBorders>
            <w:vAlign w:val="center"/>
          </w:tcPr>
          <w:p>
            <w:pPr>
              <w:autoSpaceDN w:val="0"/>
              <w:jc w:val="center"/>
              <w:textAlignment w:val="center"/>
              <w:rPr>
                <w:rFonts w:ascii="仿宋_GB2312" w:hAnsi="仿宋_GB2312" w:eastAsia="仿宋_GB2312" w:cs="仿宋_GB2312"/>
                <w:bCs/>
                <w:color w:val="000000"/>
                <w:sz w:val="24"/>
              </w:rPr>
            </w:pPr>
          </w:p>
        </w:tc>
        <w:tc>
          <w:tcPr>
            <w:tcW w:w="1701" w:type="dxa"/>
            <w:tcBorders>
              <w:top w:val="single" w:color="auto" w:sz="8" w:space="0"/>
              <w:left w:val="single" w:color="auto" w:sz="4" w:space="0"/>
              <w:bottom w:val="single" w:color="auto" w:sz="8" w:space="0"/>
              <w:right w:val="single" w:color="auto" w:sz="4"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单位性质</w:t>
            </w:r>
          </w:p>
        </w:tc>
        <w:tc>
          <w:tcPr>
            <w:tcW w:w="2640" w:type="dxa"/>
            <w:tcBorders>
              <w:top w:val="single" w:color="auto" w:sz="8" w:space="0"/>
              <w:left w:val="single" w:color="auto" w:sz="4"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注册地址</w:t>
            </w:r>
          </w:p>
        </w:tc>
        <w:tc>
          <w:tcPr>
            <w:tcW w:w="2634" w:type="dxa"/>
            <w:gridSpan w:val="2"/>
            <w:tcBorders>
              <w:top w:val="single" w:color="auto" w:sz="8" w:space="0"/>
              <w:left w:val="single" w:color="auto" w:sz="8" w:space="0"/>
              <w:bottom w:val="single" w:color="auto" w:sz="8" w:space="0"/>
              <w:right w:val="single" w:color="auto" w:sz="4" w:space="0"/>
            </w:tcBorders>
            <w:vAlign w:val="center"/>
          </w:tcPr>
          <w:p>
            <w:pPr>
              <w:autoSpaceDN w:val="0"/>
              <w:jc w:val="center"/>
              <w:textAlignment w:val="center"/>
              <w:rPr>
                <w:rFonts w:ascii="仿宋_GB2312" w:hAnsi="仿宋_GB2312" w:eastAsia="仿宋_GB2312" w:cs="仿宋_GB2312"/>
                <w:bCs/>
                <w:color w:val="000000"/>
                <w:sz w:val="24"/>
              </w:rPr>
            </w:pPr>
          </w:p>
        </w:tc>
        <w:tc>
          <w:tcPr>
            <w:tcW w:w="1701" w:type="dxa"/>
            <w:tcBorders>
              <w:top w:val="single" w:color="auto" w:sz="8" w:space="0"/>
              <w:left w:val="single" w:color="auto" w:sz="4" w:space="0"/>
              <w:bottom w:val="single" w:color="auto" w:sz="8" w:space="0"/>
              <w:right w:val="single" w:color="auto" w:sz="4"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机构代码</w:t>
            </w:r>
          </w:p>
        </w:tc>
        <w:tc>
          <w:tcPr>
            <w:tcW w:w="2640" w:type="dxa"/>
            <w:tcBorders>
              <w:top w:val="single" w:color="auto" w:sz="8" w:space="0"/>
              <w:left w:val="single" w:color="auto" w:sz="4"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法   人</w:t>
            </w:r>
          </w:p>
        </w:tc>
        <w:tc>
          <w:tcPr>
            <w:tcW w:w="2634" w:type="dxa"/>
            <w:gridSpan w:val="2"/>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c>
          <w:tcPr>
            <w:tcW w:w="1701"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当年度投资额</w:t>
            </w:r>
          </w:p>
        </w:tc>
        <w:tc>
          <w:tcPr>
            <w:tcW w:w="2640" w:type="dxa"/>
            <w:tcBorders>
              <w:top w:val="single" w:color="auto" w:sz="8" w:space="0"/>
              <w:left w:val="single" w:color="auto" w:sz="8" w:space="0"/>
              <w:bottom w:val="single" w:color="auto" w:sz="8" w:space="0"/>
              <w:right w:val="single" w:color="auto" w:sz="8" w:space="0"/>
            </w:tcBorders>
            <w:vAlign w:val="center"/>
          </w:tcPr>
          <w:p>
            <w:pPr>
              <w:autoSpaceDN w:val="0"/>
              <w:jc w:val="right"/>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联系人</w:t>
            </w:r>
          </w:p>
        </w:tc>
        <w:tc>
          <w:tcPr>
            <w:tcW w:w="2634" w:type="dxa"/>
            <w:gridSpan w:val="2"/>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c>
          <w:tcPr>
            <w:tcW w:w="1701"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电   话</w:t>
            </w:r>
          </w:p>
        </w:tc>
        <w:tc>
          <w:tcPr>
            <w:tcW w:w="2640"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电子邮箱</w:t>
            </w:r>
          </w:p>
        </w:tc>
        <w:tc>
          <w:tcPr>
            <w:tcW w:w="2634" w:type="dxa"/>
            <w:gridSpan w:val="2"/>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c>
          <w:tcPr>
            <w:tcW w:w="1701"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网   址</w:t>
            </w:r>
          </w:p>
        </w:tc>
        <w:tc>
          <w:tcPr>
            <w:tcW w:w="2640"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管理员总人数</w:t>
            </w:r>
          </w:p>
        </w:tc>
        <w:tc>
          <w:tcPr>
            <w:tcW w:w="2634" w:type="dxa"/>
            <w:gridSpan w:val="2"/>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c>
          <w:tcPr>
            <w:tcW w:w="1701" w:type="dxa"/>
            <w:tcBorders>
              <w:top w:val="single" w:color="auto" w:sz="8" w:space="0"/>
              <w:left w:val="single" w:color="auto" w:sz="8" w:space="0"/>
              <w:bottom w:val="single" w:color="auto" w:sz="8" w:space="0"/>
              <w:right w:val="single" w:color="auto" w:sz="8" w:space="0"/>
            </w:tcBorders>
            <w:vAlign w:val="center"/>
          </w:tcPr>
          <w:p>
            <w:pPr>
              <w:autoSpaceDN w:val="0"/>
              <w:spacing w:line="2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大专以上学历</w:t>
            </w:r>
          </w:p>
          <w:p>
            <w:pPr>
              <w:autoSpaceDN w:val="0"/>
              <w:spacing w:line="24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管理员人数</w:t>
            </w:r>
          </w:p>
        </w:tc>
        <w:tc>
          <w:tcPr>
            <w:tcW w:w="2640"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集聚区经营情况</w:t>
            </w:r>
          </w:p>
        </w:tc>
        <w:tc>
          <w:tcPr>
            <w:tcW w:w="6975" w:type="dxa"/>
            <w:gridSpan w:val="4"/>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8" w:hRule="atLeast"/>
          <w:jc w:val="center"/>
        </w:trPr>
        <w:tc>
          <w:tcPr>
            <w:tcW w:w="8882" w:type="dxa"/>
            <w:gridSpan w:val="5"/>
            <w:tcBorders>
              <w:top w:val="single" w:color="auto" w:sz="8" w:space="0"/>
              <w:left w:val="single" w:color="auto" w:sz="8" w:space="0"/>
              <w:bottom w:val="single" w:color="auto" w:sz="8" w:space="0"/>
              <w:right w:val="single" w:color="auto" w:sz="8" w:space="0"/>
            </w:tcBorders>
            <w:vAlign w:val="center"/>
          </w:tcPr>
          <w:p>
            <w:pPr>
              <w:autoSpaceDN w:val="0"/>
              <w:spacing w:line="400" w:lineRule="exact"/>
              <w:textAlignment w:val="center"/>
              <w:rPr>
                <w:rFonts w:ascii="仿宋_GB2312" w:hAnsi="仿宋_GB2312" w:eastAsia="仿宋_GB2312" w:cs="仿宋_GB2312"/>
                <w:bCs/>
                <w:color w:val="000000"/>
                <w:sz w:val="24"/>
              </w:rPr>
            </w:pPr>
            <w:r>
              <w:rPr>
                <w:rFonts w:hint="eastAsia" w:ascii="仿宋_GB2312" w:hAnsi="仿宋_GB2312" w:eastAsia="仿宋_GB2312" w:cs="仿宋_GB2312"/>
                <w:b/>
                <w:color w:val="000000"/>
                <w:sz w:val="24"/>
              </w:rPr>
              <w:t>三、情况简介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80"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集聚区基本情况</w:t>
            </w:r>
          </w:p>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简介</w:t>
            </w:r>
          </w:p>
        </w:tc>
        <w:tc>
          <w:tcPr>
            <w:tcW w:w="6975" w:type="dxa"/>
            <w:gridSpan w:val="4"/>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85" w:hRule="atLeast"/>
          <w:jc w:val="center"/>
        </w:trPr>
        <w:tc>
          <w:tcPr>
            <w:tcW w:w="1907" w:type="dxa"/>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集聚区发展目标</w:t>
            </w:r>
          </w:p>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及规划</w:t>
            </w:r>
          </w:p>
        </w:tc>
        <w:tc>
          <w:tcPr>
            <w:tcW w:w="6975" w:type="dxa"/>
            <w:gridSpan w:val="4"/>
            <w:tcBorders>
              <w:top w:val="single" w:color="auto" w:sz="8" w:space="0"/>
              <w:left w:val="single" w:color="auto" w:sz="8" w:space="0"/>
              <w:bottom w:val="single" w:color="auto" w:sz="8"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38" w:hRule="atLeast"/>
          <w:jc w:val="center"/>
        </w:trPr>
        <w:tc>
          <w:tcPr>
            <w:tcW w:w="1907" w:type="dxa"/>
            <w:tcBorders>
              <w:top w:val="single" w:color="auto" w:sz="8" w:space="0"/>
              <w:left w:val="single" w:color="auto" w:sz="8" w:space="0"/>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入驻的知名电子商务企业和品牌</w:t>
            </w:r>
          </w:p>
        </w:tc>
        <w:tc>
          <w:tcPr>
            <w:tcW w:w="6975" w:type="dxa"/>
            <w:gridSpan w:val="4"/>
            <w:tcBorders>
              <w:top w:val="single" w:color="auto" w:sz="8" w:space="0"/>
              <w:left w:val="single" w:color="auto" w:sz="4" w:space="0"/>
              <w:bottom w:val="single" w:color="auto" w:sz="4" w:space="0"/>
              <w:right w:val="single" w:color="auto" w:sz="8" w:space="0"/>
            </w:tcBorders>
            <w:vAlign w:val="center"/>
          </w:tcPr>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jc w:val="center"/>
              <w:textAlignment w:val="center"/>
              <w:rPr>
                <w:rFonts w:ascii="仿宋_GB2312" w:hAnsi="仿宋_GB2312" w:eastAsia="仿宋_GB2312" w:cs="仿宋_GB2312"/>
                <w:bCs/>
                <w:color w:val="000000"/>
                <w:sz w:val="24"/>
              </w:rPr>
            </w:pPr>
          </w:p>
          <w:p>
            <w:pPr>
              <w:autoSpaceDN w:val="0"/>
              <w:textAlignment w:val="center"/>
              <w:rPr>
                <w:rFonts w:ascii="仿宋_GB2312" w:hAnsi="仿宋_GB2312" w:eastAsia="仿宋_GB2312" w:cs="仿宋_GB2312"/>
                <w:bCs/>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6" w:hRule="atLeast"/>
          <w:jc w:val="center"/>
        </w:trPr>
        <w:tc>
          <w:tcPr>
            <w:tcW w:w="8882" w:type="dxa"/>
            <w:gridSpan w:val="5"/>
            <w:tcBorders>
              <w:top w:val="single" w:color="auto" w:sz="4" w:space="0"/>
              <w:left w:val="single" w:color="auto" w:sz="8" w:space="0"/>
              <w:bottom w:val="single" w:color="auto" w:sz="8" w:space="0"/>
              <w:right w:val="single" w:color="auto" w:sz="8" w:space="0"/>
            </w:tcBorders>
            <w:vAlign w:val="center"/>
          </w:tcPr>
          <w:p>
            <w:pPr>
              <w:autoSpaceDN w:val="0"/>
              <w:textAlignment w:val="center"/>
              <w:rPr>
                <w:rFonts w:ascii="仿宋_GB2312" w:hAnsi="仿宋_GB2312" w:eastAsia="仿宋_GB2312" w:cs="仿宋_GB2312"/>
                <w:bCs/>
                <w:color w:val="000000"/>
                <w:sz w:val="24"/>
              </w:rPr>
            </w:pPr>
            <w:r>
              <w:rPr>
                <w:rFonts w:hint="eastAsia" w:ascii="仿宋_GB2312" w:hAnsi="仿宋_GB2312" w:eastAsia="仿宋_GB2312" w:cs="仿宋_GB2312"/>
                <w:b/>
                <w:color w:val="000000"/>
                <w:sz w:val="24"/>
              </w:rPr>
              <w:t>四、集聚区审核情况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25" w:hRule="atLeast"/>
          <w:jc w:val="center"/>
        </w:trPr>
        <w:tc>
          <w:tcPr>
            <w:tcW w:w="1907" w:type="dxa"/>
            <w:tcBorders>
              <w:top w:val="single" w:color="auto" w:sz="8" w:space="0"/>
              <w:left w:val="single" w:color="auto" w:sz="8" w:space="0"/>
              <w:bottom w:val="single" w:color="auto" w:sz="8" w:space="0"/>
              <w:right w:val="single" w:color="auto" w:sz="4" w:space="0"/>
            </w:tcBorders>
            <w:vAlign w:val="center"/>
          </w:tcPr>
          <w:p>
            <w:pPr>
              <w:spacing w:line="360" w:lineRule="auto"/>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推荐镇（街道）意见</w:t>
            </w:r>
          </w:p>
        </w:tc>
        <w:tc>
          <w:tcPr>
            <w:tcW w:w="6975" w:type="dxa"/>
            <w:gridSpan w:val="4"/>
            <w:tcBorders>
              <w:top w:val="single" w:color="auto" w:sz="8" w:space="0"/>
              <w:left w:val="single" w:color="auto" w:sz="4" w:space="0"/>
              <w:bottom w:val="single" w:color="auto" w:sz="8" w:space="0"/>
              <w:right w:val="single" w:color="auto" w:sz="8" w:space="0"/>
            </w:tcBorders>
            <w:vAlign w:val="center"/>
          </w:tcPr>
          <w:p>
            <w:pPr>
              <w:spacing w:line="360" w:lineRule="auto"/>
              <w:ind w:left="1425"/>
              <w:jc w:val="right"/>
              <w:rPr>
                <w:rFonts w:ascii="仿宋_GB2312" w:hAnsi="仿宋_GB2312" w:eastAsia="仿宋_GB2312" w:cs="仿宋_GB2312"/>
                <w:bCs/>
                <w:color w:val="000000"/>
                <w:sz w:val="24"/>
              </w:rPr>
            </w:pPr>
          </w:p>
          <w:p>
            <w:pPr>
              <w:spacing w:line="400" w:lineRule="exact"/>
              <w:jc w:val="right"/>
              <w:rPr>
                <w:rFonts w:ascii="仿宋_GB2312" w:hAnsi="仿宋_GB2312" w:eastAsia="仿宋_GB2312" w:cs="仿宋_GB2312"/>
                <w:bCs/>
                <w:color w:val="000000"/>
                <w:sz w:val="24"/>
              </w:rPr>
            </w:pPr>
          </w:p>
          <w:p>
            <w:pPr>
              <w:spacing w:line="400" w:lineRule="exact"/>
              <w:jc w:val="right"/>
              <w:rPr>
                <w:rFonts w:ascii="仿宋_GB2312" w:hAnsi="仿宋_GB2312" w:eastAsia="仿宋_GB2312" w:cs="仿宋_GB2312"/>
                <w:bCs/>
                <w:color w:val="000000"/>
                <w:sz w:val="24"/>
              </w:rPr>
            </w:pPr>
          </w:p>
          <w:p>
            <w:pPr>
              <w:spacing w:line="400" w:lineRule="exact"/>
              <w:jc w:val="righ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推荐单位（盖章）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2" w:hRule="atLeast"/>
          <w:jc w:val="center"/>
        </w:trPr>
        <w:tc>
          <w:tcPr>
            <w:tcW w:w="1907" w:type="dxa"/>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审核意见</w:t>
            </w:r>
          </w:p>
        </w:tc>
        <w:tc>
          <w:tcPr>
            <w:tcW w:w="6975" w:type="dxa"/>
            <w:gridSpan w:val="4"/>
            <w:tcBorders>
              <w:top w:val="single" w:color="auto" w:sz="4" w:space="0"/>
              <w:left w:val="single" w:color="auto" w:sz="4" w:space="0"/>
              <w:bottom w:val="single" w:color="auto" w:sz="8" w:space="0"/>
              <w:right w:val="single" w:color="auto" w:sz="8" w:space="0"/>
            </w:tcBorders>
            <w:vAlign w:val="center"/>
          </w:tcPr>
          <w:p>
            <w:pPr>
              <w:jc w:val="right"/>
              <w:rPr>
                <w:rFonts w:ascii="仿宋_GB2312" w:hAnsi="仿宋_GB2312" w:eastAsia="仿宋_GB2312" w:cs="仿宋_GB2312"/>
                <w:bCs/>
                <w:color w:val="000000"/>
                <w:sz w:val="24"/>
              </w:rPr>
            </w:pPr>
          </w:p>
          <w:p>
            <w:pPr>
              <w:spacing w:line="360" w:lineRule="auto"/>
              <w:jc w:val="right"/>
              <w:rPr>
                <w:rFonts w:ascii="仿宋_GB2312" w:hAnsi="仿宋_GB2312" w:eastAsia="仿宋_GB2312" w:cs="仿宋_GB2312"/>
                <w:bCs/>
                <w:color w:val="000000"/>
                <w:sz w:val="24"/>
              </w:rPr>
            </w:pPr>
          </w:p>
          <w:p>
            <w:pPr>
              <w:spacing w:line="360" w:lineRule="auto"/>
              <w:jc w:val="right"/>
              <w:rPr>
                <w:rFonts w:ascii="仿宋_GB2312" w:hAnsi="仿宋_GB2312" w:eastAsia="仿宋_GB2312" w:cs="仿宋_GB2312"/>
                <w:bCs/>
                <w:color w:val="000000"/>
                <w:sz w:val="24"/>
              </w:rPr>
            </w:pPr>
          </w:p>
          <w:p>
            <w:pPr>
              <w:ind w:firstLine="5328" w:firstLineChars="2220"/>
              <w:jc w:val="right"/>
              <w:rPr>
                <w:rFonts w:ascii="仿宋_GB2312" w:hAnsi="仿宋_GB2312" w:eastAsia="仿宋_GB2312" w:cs="仿宋_GB2312"/>
                <w:bCs/>
                <w:color w:val="000000"/>
                <w:sz w:val="24"/>
              </w:rPr>
            </w:pPr>
          </w:p>
          <w:p>
            <w:pPr>
              <w:ind w:firstLine="5328" w:firstLineChars="2220"/>
              <w:jc w:val="right"/>
              <w:rPr>
                <w:rFonts w:ascii="仿宋_GB2312" w:hAnsi="仿宋_GB2312" w:eastAsia="仿宋_GB2312" w:cs="仿宋_GB2312"/>
                <w:bCs/>
                <w:color w:val="000000"/>
                <w:sz w:val="24"/>
              </w:rPr>
            </w:pPr>
          </w:p>
          <w:p>
            <w:pPr>
              <w:jc w:val="right"/>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审核单位（盖章）       年   月   日</w:t>
            </w:r>
          </w:p>
        </w:tc>
      </w:tr>
    </w:tbl>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sectPr>
          <w:footerReference r:id="rId3" w:type="default"/>
          <w:pgSz w:w="11906" w:h="16838"/>
          <w:pgMar w:top="1440" w:right="1800" w:bottom="1440" w:left="1800" w:header="708" w:footer="708" w:gutter="0"/>
          <w:cols w:space="708" w:num="1"/>
          <w:docGrid w:linePitch="360" w:charSpace="0"/>
        </w:sectPr>
      </w:pPr>
    </w:p>
    <w:p>
      <w:pPr>
        <w:rPr>
          <w:rFonts w:ascii="仿宋_GB2312" w:eastAsia="仿宋_GB2312"/>
          <w:color w:val="000000"/>
          <w:sz w:val="32"/>
          <w:szCs w:val="32"/>
        </w:rPr>
      </w:pPr>
      <w:r>
        <w:rPr>
          <w:rFonts w:hint="eastAsia" w:eastAsia="仿宋_GB2312"/>
          <w:color w:val="000000"/>
          <w:sz w:val="32"/>
          <w:szCs w:val="32"/>
        </w:rPr>
        <w:t>附</w:t>
      </w:r>
      <w:r>
        <w:rPr>
          <w:rFonts w:hint="eastAsia" w:ascii="仿宋_GB2312" w:eastAsia="仿宋_GB2312"/>
          <w:color w:val="000000"/>
          <w:sz w:val="32"/>
          <w:szCs w:val="32"/>
        </w:rPr>
        <w:t>件2：</w:t>
      </w:r>
    </w:p>
    <w:p>
      <w:pPr>
        <w:jc w:val="center"/>
        <w:rPr>
          <w:rFonts w:ascii="方正小标宋简体" w:hAnsi="宋体" w:eastAsia="方正小标宋简体"/>
          <w:b/>
          <w:color w:val="000000"/>
          <w:sz w:val="36"/>
          <w:szCs w:val="36"/>
        </w:rPr>
      </w:pPr>
      <w:r>
        <w:rPr>
          <w:rFonts w:hint="eastAsia" w:ascii="方正小标宋简体" w:hAnsi="宋体" w:eastAsia="方正小标宋简体"/>
          <w:b/>
          <w:color w:val="000000"/>
          <w:sz w:val="36"/>
          <w:szCs w:val="36"/>
        </w:rPr>
        <w:t>电子商务集聚区企业汇总表</w:t>
      </w:r>
    </w:p>
    <w:p>
      <w:pPr>
        <w:rPr>
          <w:color w:val="000000"/>
        </w:rPr>
      </w:pPr>
      <w:r>
        <w:rPr>
          <w:rFonts w:hint="eastAsia" w:eastAsia="仿宋_GB2312"/>
          <w:color w:val="000000"/>
          <w:sz w:val="32"/>
          <w:szCs w:val="32"/>
        </w:rPr>
        <w:t>填报单位（盖章）：</w:t>
      </w:r>
    </w:p>
    <w:tbl>
      <w:tblPr>
        <w:tblStyle w:val="7"/>
        <w:tblW w:w="14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00"/>
        <w:gridCol w:w="1320"/>
        <w:gridCol w:w="1440"/>
        <w:gridCol w:w="1440"/>
        <w:gridCol w:w="1800"/>
        <w:gridCol w:w="2160"/>
        <w:gridCol w:w="144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序号</w:t>
            </w:r>
          </w:p>
        </w:tc>
        <w:tc>
          <w:tcPr>
            <w:tcW w:w="24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企业名称</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联系人</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联系电话</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传真</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邮箱</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租用楼层或房间号</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仿宋_GB2312" w:eastAsia="仿宋_GB2312"/>
                <w:color w:val="000000"/>
                <w:sz w:val="24"/>
              </w:rPr>
            </w:pPr>
            <w:r>
              <w:rPr>
                <w:rFonts w:hint="eastAsia" w:ascii="仿宋_GB2312" w:eastAsia="仿宋_GB2312"/>
                <w:color w:val="000000"/>
                <w:sz w:val="24"/>
              </w:rPr>
              <w:t>租用面积</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4"/>
              </w:rPr>
            </w:pPr>
            <w:r>
              <w:rPr>
                <w:rFonts w:hint="eastAsia" w:ascii="仿宋_GB2312" w:eastAsia="仿宋_GB2312"/>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4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32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216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44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c>
          <w:tcPr>
            <w:tcW w:w="1200" w:type="dxa"/>
            <w:tcBorders>
              <w:top w:val="single" w:color="auto" w:sz="4" w:space="0"/>
              <w:left w:val="single" w:color="auto" w:sz="4" w:space="0"/>
              <w:bottom w:val="single" w:color="auto" w:sz="4" w:space="0"/>
              <w:right w:val="single" w:color="auto" w:sz="4" w:space="0"/>
            </w:tcBorders>
          </w:tcPr>
          <w:p>
            <w:pPr>
              <w:rPr>
                <w:rFonts w:ascii="仿宋_GB2312" w:eastAsia="仿宋_GB2312"/>
                <w:color w:val="000000"/>
                <w:sz w:val="24"/>
              </w:rPr>
            </w:pPr>
          </w:p>
        </w:tc>
      </w:tr>
    </w:tbl>
    <w:p>
      <w:pPr>
        <w:rPr>
          <w:rFonts w:eastAsia="仿宋_GB2312"/>
          <w:b/>
          <w:color w:val="000000"/>
          <w:sz w:val="24"/>
        </w:rPr>
      </w:pPr>
    </w:p>
    <w:p>
      <w:pPr>
        <w:rPr>
          <w:rFonts w:eastAsia="仿宋_GB2312"/>
          <w:color w:val="000000"/>
          <w:sz w:val="24"/>
        </w:rPr>
      </w:pPr>
      <w:r>
        <w:rPr>
          <w:rFonts w:hint="eastAsia" w:eastAsia="仿宋_GB2312"/>
          <w:b/>
          <w:color w:val="000000"/>
          <w:sz w:val="24"/>
        </w:rPr>
        <w:t>说明</w:t>
      </w:r>
      <w:r>
        <w:rPr>
          <w:rFonts w:hint="eastAsia" w:eastAsia="仿宋_GB2312"/>
          <w:color w:val="000000"/>
          <w:sz w:val="24"/>
        </w:rPr>
        <w:t>：</w:t>
      </w:r>
      <w:r>
        <w:rPr>
          <w:rFonts w:eastAsia="仿宋_GB2312"/>
          <w:color w:val="000000"/>
          <w:sz w:val="24"/>
        </w:rPr>
        <w:t>1</w:t>
      </w:r>
      <w:r>
        <w:rPr>
          <w:rFonts w:hint="eastAsia" w:eastAsia="仿宋_GB2312"/>
          <w:color w:val="000000"/>
          <w:sz w:val="24"/>
        </w:rPr>
        <w:t>、电子商务企业在备注栏中标注；</w:t>
      </w:r>
    </w:p>
    <w:p>
      <w:pPr>
        <w:spacing w:line="220" w:lineRule="atLeast"/>
      </w:pPr>
      <w:r>
        <w:rPr>
          <w:rFonts w:eastAsia="仿宋_GB2312"/>
          <w:color w:val="000000"/>
          <w:sz w:val="24"/>
        </w:rPr>
        <w:t>2</w:t>
      </w:r>
      <w:r>
        <w:rPr>
          <w:rFonts w:hint="eastAsia" w:eastAsia="仿宋_GB2312"/>
          <w:color w:val="000000"/>
          <w:sz w:val="24"/>
        </w:rPr>
        <w:t>、</w:t>
      </w:r>
      <w:r>
        <w:rPr>
          <w:rFonts w:hint="eastAsia" w:ascii="仿宋_GB2312" w:eastAsia="仿宋_GB2312"/>
          <w:color w:val="000000"/>
          <w:sz w:val="24"/>
        </w:rPr>
        <w:t>总建筑面积    平方米，电子商务企业及必要的配套设施共租用   平方米，占园区总面积的</w:t>
      </w:r>
      <w:r>
        <w:rPr>
          <w:rFonts w:hint="eastAsia" w:ascii="仿宋_GB2312" w:eastAsia="仿宋_GB2312"/>
          <w:color w:val="000000"/>
          <w:sz w:val="32"/>
          <w:szCs w:val="32"/>
        </w:rPr>
        <w:t xml:space="preserve">  %。  </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sectPr>
          <w:pgSz w:w="16838" w:h="11906" w:orient="landscape"/>
          <w:pgMar w:top="1797" w:right="1440" w:bottom="1797" w:left="1440" w:header="709" w:footer="709" w:gutter="0"/>
          <w:cols w:space="708" w:num="1"/>
          <w:docGrid w:linePitch="360" w:charSpace="0"/>
        </w:sectPr>
      </w:pPr>
    </w:p>
    <w:p>
      <w:pPr>
        <w:rPr>
          <w:rFonts w:ascii="仿宋_GB2312" w:hAnsi="宋体" w:eastAsia="仿宋_GB2312"/>
          <w:color w:val="000000"/>
          <w:sz w:val="32"/>
          <w:szCs w:val="32"/>
        </w:rPr>
      </w:pPr>
      <w:r>
        <w:rPr>
          <w:rFonts w:hint="eastAsia" w:ascii="仿宋_GB2312" w:hAnsi="宋体" w:eastAsia="仿宋_GB2312"/>
          <w:color w:val="000000"/>
          <w:sz w:val="32"/>
          <w:szCs w:val="32"/>
        </w:rPr>
        <w:t>附件3：</w:t>
      </w:r>
    </w:p>
    <w:p>
      <w:pPr>
        <w:jc w:val="center"/>
        <w:rPr>
          <w:rFonts w:ascii="方正小标宋简体" w:hAnsi="宋体" w:eastAsia="方正小标宋简体"/>
          <w:b/>
          <w:color w:val="000000"/>
          <w:sz w:val="36"/>
          <w:szCs w:val="36"/>
        </w:rPr>
      </w:pPr>
      <w:r>
        <w:rPr>
          <w:rFonts w:hint="eastAsia" w:ascii="方正小标宋简体" w:hAnsi="宋体" w:eastAsia="方正小标宋简体"/>
          <w:b/>
          <w:color w:val="000000"/>
          <w:sz w:val="36"/>
          <w:szCs w:val="36"/>
        </w:rPr>
        <w:t>集聚区入驻电子商务企业基本情况表</w:t>
      </w:r>
    </w:p>
    <w:p>
      <w:pPr>
        <w:spacing w:line="220" w:lineRule="atLeast"/>
        <w:rPr>
          <w:rFonts w:ascii="宋体" w:hAnsi="宋体"/>
          <w:color w:val="000000"/>
          <w:sz w:val="28"/>
          <w:szCs w:val="28"/>
        </w:rPr>
      </w:pPr>
      <w:r>
        <w:rPr>
          <w:rFonts w:hint="eastAsia" w:ascii="宋体" w:hAnsi="宋体"/>
          <w:color w:val="000000"/>
          <w:sz w:val="28"/>
          <w:szCs w:val="28"/>
        </w:rPr>
        <w:t xml:space="preserve">填报单位（盖章）：         </w:t>
      </w:r>
    </w:p>
    <w:tbl>
      <w:tblPr>
        <w:tblStyle w:val="7"/>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28"/>
        <w:gridCol w:w="1440"/>
        <w:gridCol w:w="1417"/>
        <w:gridCol w:w="1274"/>
        <w:gridCol w:w="146"/>
        <w:gridCol w:w="112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企业名称</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15"/>
                <w:szCs w:val="15"/>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组织机构代码</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法定代表人</w:t>
            </w:r>
          </w:p>
        </w:tc>
        <w:tc>
          <w:tcPr>
            <w:tcW w:w="15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企业网址</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15"/>
                <w:szCs w:val="15"/>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注册资本</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注册类型</w:t>
            </w:r>
          </w:p>
        </w:tc>
        <w:tc>
          <w:tcPr>
            <w:tcW w:w="15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注册时间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000000"/>
                <w:sz w:val="15"/>
                <w:szCs w:val="15"/>
              </w:rPr>
            </w:pPr>
          </w:p>
        </w:tc>
        <w:tc>
          <w:tcPr>
            <w:tcW w:w="2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电子商务业务开始时间</w:t>
            </w:r>
          </w:p>
        </w:tc>
        <w:tc>
          <w:tcPr>
            <w:tcW w:w="283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企业联系人</w:t>
            </w:r>
          </w:p>
        </w:tc>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职务</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工作电话</w:t>
            </w:r>
          </w:p>
        </w:tc>
        <w:tc>
          <w:tcPr>
            <w:tcW w:w="15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b/>
                <w:color w:val="000000"/>
                <w:sz w:val="18"/>
                <w:szCs w:val="18"/>
              </w:rPr>
            </w:pPr>
          </w:p>
        </w:tc>
        <w:tc>
          <w:tcPr>
            <w:tcW w:w="8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18"/>
                <w:szCs w:val="18"/>
              </w:rPr>
            </w:pPr>
            <w:r>
              <w:rPr>
                <w:rFonts w:hint="eastAsia" w:ascii="宋体" w:hAnsi="宋体"/>
                <w:color w:val="000000"/>
                <w:sz w:val="18"/>
                <w:szCs w:val="18"/>
              </w:rPr>
              <w:t>手机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18"/>
                <w:szCs w:val="18"/>
              </w:rPr>
            </w:pPr>
            <w:r>
              <w:rPr>
                <w:rFonts w:hint="eastAsia" w:ascii="宋体" w:hAnsi="宋体"/>
                <w:color w:val="000000"/>
                <w:sz w:val="18"/>
                <w:szCs w:val="18"/>
              </w:rPr>
              <w:t>传真</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18"/>
                <w:szCs w:val="18"/>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18"/>
                <w:szCs w:val="18"/>
              </w:rPr>
            </w:pPr>
            <w:r>
              <w:rPr>
                <w:rFonts w:hint="eastAsia" w:ascii="宋体" w:hAnsi="宋体"/>
                <w:color w:val="000000"/>
                <w:sz w:val="18"/>
                <w:szCs w:val="18"/>
              </w:rPr>
              <w:t>电子邮件</w:t>
            </w:r>
          </w:p>
        </w:tc>
        <w:tc>
          <w:tcPr>
            <w:tcW w:w="15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bCs/>
                <w:color w:val="000000"/>
                <w:sz w:val="18"/>
                <w:szCs w:val="18"/>
              </w:rPr>
            </w:pPr>
            <w:r>
              <w:rPr>
                <w:rFonts w:hint="eastAsia" w:ascii="宋体" w:hAnsi="宋体"/>
                <w:bCs/>
                <w:color w:val="000000"/>
                <w:sz w:val="18"/>
                <w:szCs w:val="18"/>
              </w:rPr>
              <w:t>申报示范</w:t>
            </w:r>
          </w:p>
          <w:p>
            <w:pPr>
              <w:spacing w:line="276" w:lineRule="auto"/>
              <w:jc w:val="center"/>
              <w:rPr>
                <w:rFonts w:ascii="宋体" w:hAnsi="宋体"/>
                <w:bCs/>
                <w:color w:val="000000"/>
                <w:sz w:val="18"/>
                <w:szCs w:val="18"/>
              </w:rPr>
            </w:pPr>
            <w:r>
              <w:rPr>
                <w:rFonts w:hint="eastAsia" w:ascii="宋体" w:hAnsi="宋体"/>
                <w:bCs/>
                <w:color w:val="000000"/>
                <w:sz w:val="18"/>
                <w:szCs w:val="18"/>
              </w:rPr>
              <w:t>类型</w:t>
            </w:r>
          </w:p>
        </w:tc>
        <w:tc>
          <w:tcPr>
            <w:tcW w:w="779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Cs/>
                <w:color w:val="000000"/>
                <w:sz w:val="18"/>
                <w:szCs w:val="18"/>
              </w:rPr>
            </w:pPr>
            <w:r>
              <w:rPr>
                <w:rFonts w:hint="eastAsia" w:ascii="宋体" w:hAnsi="宋体"/>
                <w:bCs/>
                <w:color w:val="000000"/>
                <w:sz w:val="18"/>
                <w:szCs w:val="18"/>
              </w:rPr>
              <w:t>一、网络零售类：</w:t>
            </w:r>
            <w:r>
              <w:rPr>
                <w:rFonts w:hint="eastAsia" w:ascii="宋体" w:hAnsi="宋体"/>
                <w:bCs/>
                <w:color w:val="000000"/>
                <w:szCs w:val="21"/>
              </w:rPr>
              <w:t>□</w:t>
            </w:r>
            <w:r>
              <w:rPr>
                <w:rFonts w:hint="eastAsia" w:ascii="宋体" w:hAnsi="宋体"/>
                <w:bCs/>
                <w:color w:val="000000"/>
                <w:sz w:val="18"/>
                <w:szCs w:val="18"/>
              </w:rPr>
              <w:t xml:space="preserve">传统品牌网络零售企业     </w:t>
            </w:r>
            <w:r>
              <w:rPr>
                <w:rFonts w:hint="eastAsia" w:ascii="宋体" w:hAnsi="宋体"/>
                <w:bCs/>
                <w:color w:val="000000"/>
                <w:szCs w:val="21"/>
              </w:rPr>
              <w:t>□</w:t>
            </w:r>
            <w:r>
              <w:rPr>
                <w:rFonts w:hint="eastAsia" w:ascii="宋体" w:hAnsi="宋体"/>
                <w:bCs/>
                <w:color w:val="000000"/>
                <w:sz w:val="18"/>
                <w:szCs w:val="18"/>
              </w:rPr>
              <w:t>网络品牌网络零售企业</w:t>
            </w:r>
          </w:p>
          <w:p>
            <w:pPr>
              <w:spacing w:line="300" w:lineRule="exact"/>
              <w:ind w:firstLine="1470" w:firstLineChars="700"/>
              <w:rPr>
                <w:rFonts w:ascii="宋体" w:hAnsi="宋体"/>
                <w:bCs/>
                <w:color w:val="000000"/>
                <w:sz w:val="18"/>
                <w:szCs w:val="18"/>
              </w:rPr>
            </w:pPr>
            <w:r>
              <w:rPr>
                <w:rFonts w:hint="eastAsia" w:ascii="宋体" w:hAnsi="宋体"/>
                <w:bCs/>
                <w:color w:val="000000"/>
                <w:szCs w:val="21"/>
              </w:rPr>
              <w:t>□</w:t>
            </w:r>
            <w:r>
              <w:rPr>
                <w:rFonts w:hint="eastAsia" w:ascii="宋体" w:hAnsi="宋体"/>
                <w:bCs/>
                <w:color w:val="000000"/>
                <w:sz w:val="18"/>
                <w:szCs w:val="18"/>
              </w:rPr>
              <w:t xml:space="preserve">经销型网络零售企业       </w:t>
            </w:r>
            <w:r>
              <w:rPr>
                <w:rFonts w:hint="eastAsia" w:ascii="宋体" w:hAnsi="宋体"/>
                <w:bCs/>
                <w:color w:val="000000"/>
                <w:szCs w:val="21"/>
              </w:rPr>
              <w:t>□</w:t>
            </w:r>
            <w:r>
              <w:rPr>
                <w:rFonts w:hint="eastAsia" w:ascii="宋体" w:hAnsi="宋体"/>
                <w:bCs/>
                <w:color w:val="000000"/>
                <w:sz w:val="18"/>
                <w:szCs w:val="18"/>
              </w:rPr>
              <w:t>经销型网络店铺企业</w:t>
            </w:r>
          </w:p>
          <w:p>
            <w:pPr>
              <w:spacing w:line="300" w:lineRule="exact"/>
              <w:rPr>
                <w:rFonts w:ascii="宋体" w:hAnsi="宋体"/>
                <w:bCs/>
                <w:color w:val="000000"/>
                <w:sz w:val="18"/>
                <w:szCs w:val="18"/>
              </w:rPr>
            </w:pPr>
            <w:r>
              <w:rPr>
                <w:rFonts w:hint="eastAsia" w:ascii="宋体" w:hAnsi="宋体"/>
                <w:bCs/>
                <w:color w:val="000000"/>
                <w:sz w:val="18"/>
                <w:szCs w:val="18"/>
              </w:rPr>
              <w:t>二、网络批发类：</w:t>
            </w:r>
            <w:r>
              <w:rPr>
                <w:rFonts w:hint="eastAsia" w:ascii="宋体" w:hAnsi="宋体"/>
                <w:bCs/>
                <w:color w:val="000000"/>
                <w:szCs w:val="21"/>
              </w:rPr>
              <w:t>□</w:t>
            </w:r>
            <w:r>
              <w:rPr>
                <w:rFonts w:hint="eastAsia" w:ascii="宋体" w:hAnsi="宋体"/>
                <w:bCs/>
                <w:color w:val="000000"/>
                <w:sz w:val="18"/>
                <w:szCs w:val="18"/>
              </w:rPr>
              <w:t xml:space="preserve">生产型网络批发企业       </w:t>
            </w:r>
            <w:r>
              <w:rPr>
                <w:rFonts w:hint="eastAsia" w:ascii="宋体" w:hAnsi="宋体"/>
                <w:bCs/>
                <w:color w:val="000000"/>
                <w:szCs w:val="21"/>
              </w:rPr>
              <w:t>□</w:t>
            </w:r>
            <w:r>
              <w:rPr>
                <w:rFonts w:hint="eastAsia" w:ascii="宋体" w:hAnsi="宋体"/>
                <w:bCs/>
                <w:color w:val="000000"/>
                <w:sz w:val="18"/>
                <w:szCs w:val="18"/>
              </w:rPr>
              <w:t>贸易型网络批发企业</w:t>
            </w:r>
          </w:p>
          <w:p>
            <w:pPr>
              <w:spacing w:line="300" w:lineRule="exact"/>
              <w:rPr>
                <w:rFonts w:ascii="宋体" w:hAnsi="宋体"/>
                <w:bCs/>
                <w:color w:val="000000"/>
                <w:sz w:val="18"/>
                <w:szCs w:val="18"/>
              </w:rPr>
            </w:pPr>
            <w:r>
              <w:rPr>
                <w:rFonts w:hint="eastAsia" w:ascii="宋体" w:hAnsi="宋体"/>
                <w:bCs/>
                <w:color w:val="000000"/>
                <w:sz w:val="18"/>
                <w:szCs w:val="18"/>
              </w:rPr>
              <w:t>三、电商服务类：</w:t>
            </w:r>
            <w:r>
              <w:rPr>
                <w:rFonts w:hint="eastAsia" w:ascii="宋体" w:hAnsi="宋体"/>
                <w:bCs/>
                <w:color w:val="000000"/>
                <w:szCs w:val="21"/>
              </w:rPr>
              <w:t>□</w:t>
            </w:r>
            <w:r>
              <w:rPr>
                <w:rFonts w:hint="eastAsia" w:ascii="宋体" w:hAnsi="宋体"/>
                <w:bCs/>
                <w:color w:val="000000"/>
                <w:sz w:val="18"/>
                <w:szCs w:val="18"/>
              </w:rPr>
              <w:t xml:space="preserve">平台型电子商务服务企业   </w:t>
            </w:r>
            <w:r>
              <w:rPr>
                <w:rFonts w:hint="eastAsia" w:ascii="宋体" w:hAnsi="宋体"/>
                <w:bCs/>
                <w:color w:val="000000"/>
                <w:szCs w:val="21"/>
              </w:rPr>
              <w:t>□</w:t>
            </w:r>
            <w:r>
              <w:rPr>
                <w:rFonts w:hint="eastAsia" w:ascii="宋体" w:hAnsi="宋体"/>
                <w:bCs/>
                <w:color w:val="000000"/>
                <w:sz w:val="18"/>
                <w:szCs w:val="18"/>
              </w:rPr>
              <w:t>支撑型电子商务服务企业</w:t>
            </w:r>
          </w:p>
          <w:p>
            <w:pPr>
              <w:spacing w:line="300" w:lineRule="exact"/>
              <w:rPr>
                <w:rFonts w:ascii="宋体" w:hAnsi="宋体"/>
                <w:bCs/>
                <w:color w:val="000000"/>
                <w:sz w:val="18"/>
                <w:szCs w:val="18"/>
              </w:rPr>
            </w:pPr>
            <w:r>
              <w:rPr>
                <w:rFonts w:hint="eastAsia" w:ascii="宋体" w:hAnsi="宋体"/>
                <w:bCs/>
                <w:color w:val="000000"/>
                <w:sz w:val="18"/>
                <w:szCs w:val="18"/>
              </w:rPr>
              <w:t>四、生活服务类：</w:t>
            </w:r>
            <w:r>
              <w:rPr>
                <w:rFonts w:hint="eastAsia" w:ascii="宋体" w:hAnsi="宋体"/>
                <w:bCs/>
                <w:color w:val="000000"/>
                <w:szCs w:val="21"/>
              </w:rPr>
              <w:t>□</w:t>
            </w:r>
            <w:r>
              <w:rPr>
                <w:rFonts w:hint="eastAsia" w:ascii="宋体" w:hAnsi="宋体"/>
                <w:bCs/>
                <w:color w:val="000000"/>
                <w:sz w:val="18"/>
                <w:szCs w:val="18"/>
              </w:rPr>
              <w:t>网络化生活服务企业</w:t>
            </w:r>
          </w:p>
          <w:p>
            <w:pPr>
              <w:spacing w:line="300" w:lineRule="exact"/>
              <w:rPr>
                <w:rFonts w:ascii="宋体" w:hAnsi="宋体"/>
                <w:bCs/>
                <w:color w:val="000000"/>
                <w:sz w:val="18"/>
                <w:szCs w:val="18"/>
              </w:rPr>
            </w:pPr>
            <w:r>
              <w:rPr>
                <w:rFonts w:hint="eastAsia" w:ascii="宋体" w:hAnsi="宋体"/>
                <w:bCs/>
                <w:color w:val="000000"/>
                <w:sz w:val="18"/>
                <w:szCs w:val="18"/>
              </w:rPr>
              <w:t>五、跨境电商类：</w:t>
            </w:r>
            <w:r>
              <w:rPr>
                <w:rFonts w:hint="eastAsia" w:ascii="宋体" w:hAnsi="宋体"/>
                <w:bCs/>
                <w:color w:val="000000"/>
                <w:szCs w:val="21"/>
              </w:rPr>
              <w:t>□</w:t>
            </w:r>
            <w:r>
              <w:rPr>
                <w:rFonts w:hint="eastAsia" w:ascii="宋体" w:hAnsi="宋体"/>
                <w:bCs/>
                <w:color w:val="000000"/>
                <w:sz w:val="18"/>
                <w:szCs w:val="18"/>
              </w:rPr>
              <w:t>跨境电子商务交易企业</w:t>
            </w:r>
          </w:p>
          <w:p>
            <w:pPr>
              <w:spacing w:line="300" w:lineRule="exact"/>
              <w:rPr>
                <w:rFonts w:ascii="宋体" w:hAnsi="宋体"/>
                <w:bCs/>
                <w:color w:val="000000"/>
                <w:sz w:val="18"/>
                <w:szCs w:val="18"/>
              </w:rPr>
            </w:pPr>
            <w:r>
              <w:rPr>
                <w:rFonts w:hint="eastAsia" w:ascii="宋体" w:hAnsi="宋体"/>
                <w:bCs/>
                <w:color w:val="000000"/>
                <w:sz w:val="18"/>
                <w:szCs w:val="18"/>
              </w:rPr>
              <w:t xml:space="preserve">六、综合类：    </w:t>
            </w:r>
            <w:r>
              <w:rPr>
                <w:rFonts w:hint="eastAsia" w:ascii="宋体" w:hAnsi="宋体"/>
                <w:bCs/>
                <w:color w:val="000000"/>
                <w:szCs w:val="21"/>
              </w:rPr>
              <w:t>□</w:t>
            </w:r>
            <w:r>
              <w:rPr>
                <w:rFonts w:hint="eastAsia" w:ascii="宋体" w:hAnsi="宋体"/>
                <w:bCs/>
                <w:color w:val="000000"/>
                <w:sz w:val="18"/>
                <w:szCs w:val="18"/>
              </w:rPr>
              <w:t>综合型电子商务企业</w:t>
            </w:r>
          </w:p>
          <w:p>
            <w:pPr>
              <w:spacing w:line="300" w:lineRule="exact"/>
              <w:rPr>
                <w:rFonts w:ascii="宋体" w:hAnsi="宋体"/>
                <w:bCs/>
                <w:color w:val="000000"/>
                <w:sz w:val="18"/>
                <w:szCs w:val="18"/>
              </w:rPr>
            </w:pPr>
            <w:r>
              <w:rPr>
                <w:rFonts w:hint="eastAsia" w:ascii="宋体" w:hAnsi="宋体"/>
                <w:bCs/>
                <w:color w:val="000000"/>
                <w:sz w:val="18"/>
                <w:szCs w:val="18"/>
              </w:rPr>
              <w:t xml:space="preserve">七、创新类：    </w:t>
            </w:r>
            <w:r>
              <w:rPr>
                <w:rFonts w:hint="eastAsia" w:ascii="宋体" w:hAnsi="宋体"/>
                <w:bCs/>
                <w:color w:val="000000"/>
                <w:szCs w:val="21"/>
              </w:rPr>
              <w:t>□</w:t>
            </w:r>
            <w:r>
              <w:rPr>
                <w:rFonts w:hint="eastAsia" w:ascii="宋体" w:hAnsi="宋体"/>
                <w:bCs/>
                <w:color w:val="000000"/>
                <w:sz w:val="18"/>
                <w:szCs w:val="18"/>
              </w:rPr>
              <w:t>创新型电子商务企业</w:t>
            </w:r>
          </w:p>
          <w:p>
            <w:pPr>
              <w:spacing w:line="300" w:lineRule="exact"/>
              <w:rPr>
                <w:rFonts w:ascii="宋体" w:hAnsi="宋体"/>
                <w:bCs/>
                <w:color w:val="000000"/>
                <w:sz w:val="18"/>
                <w:szCs w:val="18"/>
              </w:rPr>
            </w:pPr>
            <w:r>
              <w:rPr>
                <w:rFonts w:hint="eastAsia" w:ascii="宋体" w:hAnsi="宋体"/>
                <w:bCs/>
                <w:color w:val="000000"/>
                <w:sz w:val="18"/>
                <w:szCs w:val="18"/>
              </w:rPr>
              <w:t>说明：一个企业只能选择一个类型申报。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18"/>
                <w:szCs w:val="18"/>
              </w:rPr>
            </w:pPr>
            <w:r>
              <w:rPr>
                <w:rFonts w:hint="eastAsia" w:ascii="宋体" w:hAnsi="宋体"/>
                <w:bCs/>
                <w:color w:val="000000"/>
                <w:sz w:val="18"/>
                <w:szCs w:val="18"/>
              </w:rPr>
              <w:t>网站</w:t>
            </w:r>
            <w:r>
              <w:rPr>
                <w:rFonts w:hint="eastAsia" w:ascii="宋体" w:hAnsi="宋体" w:cs="Damascus"/>
                <w:bCs/>
                <w:color w:val="000000"/>
                <w:sz w:val="18"/>
                <w:szCs w:val="18"/>
              </w:rPr>
              <w:t>情况</w:t>
            </w:r>
          </w:p>
        </w:tc>
        <w:tc>
          <w:tcPr>
            <w:tcW w:w="779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bCs/>
                <w:color w:val="000000"/>
                <w:sz w:val="18"/>
                <w:szCs w:val="18"/>
              </w:rPr>
            </w:pPr>
            <w:r>
              <w:rPr>
                <w:rFonts w:hint="eastAsia" w:ascii="宋体" w:hAnsi="宋体" w:cs="宋体"/>
                <w:bCs/>
                <w:color w:val="000000"/>
                <w:sz w:val="18"/>
                <w:szCs w:val="18"/>
              </w:rPr>
              <w:t>日均浏览量（PV）________， 年增速_______；</w:t>
            </w:r>
          </w:p>
          <w:p>
            <w:pPr>
              <w:spacing w:line="300" w:lineRule="exact"/>
              <w:rPr>
                <w:rFonts w:ascii="宋体" w:hAnsi="宋体" w:cs="宋体"/>
                <w:bCs/>
                <w:color w:val="000000"/>
                <w:sz w:val="18"/>
                <w:szCs w:val="18"/>
              </w:rPr>
            </w:pPr>
            <w:r>
              <w:rPr>
                <w:rFonts w:hint="eastAsia" w:ascii="宋体" w:hAnsi="宋体" w:cs="宋体"/>
                <w:bCs/>
                <w:color w:val="000000"/>
                <w:sz w:val="18"/>
                <w:szCs w:val="18"/>
              </w:rPr>
              <w:t>网站注册个人用户数_________，年增速_____%；</w:t>
            </w:r>
          </w:p>
          <w:p>
            <w:pPr>
              <w:spacing w:line="300" w:lineRule="exact"/>
              <w:rPr>
                <w:rFonts w:ascii="宋体" w:hAnsi="宋体" w:cs="宋体"/>
                <w:bCs/>
                <w:color w:val="000000"/>
                <w:sz w:val="18"/>
                <w:szCs w:val="18"/>
              </w:rPr>
            </w:pPr>
            <w:r>
              <w:rPr>
                <w:rFonts w:hint="eastAsia" w:ascii="宋体" w:hAnsi="宋体" w:cs="宋体"/>
                <w:bCs/>
                <w:color w:val="000000"/>
                <w:sz w:val="18"/>
                <w:szCs w:val="18"/>
              </w:rPr>
              <w:t xml:space="preserve">企业用户数_________，年增速_____%；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18"/>
                <w:szCs w:val="18"/>
              </w:rPr>
            </w:pPr>
            <w:r>
              <w:rPr>
                <w:rFonts w:hint="eastAsia" w:ascii="宋体" w:hAnsi="宋体"/>
                <w:bCs/>
                <w:color w:val="000000"/>
                <w:sz w:val="18"/>
                <w:szCs w:val="18"/>
              </w:rPr>
              <w:t>物流配送</w:t>
            </w:r>
          </w:p>
          <w:p>
            <w:pPr>
              <w:jc w:val="center"/>
              <w:rPr>
                <w:rFonts w:ascii="宋体" w:hAnsi="宋体"/>
                <w:bCs/>
                <w:color w:val="000000"/>
                <w:sz w:val="18"/>
                <w:szCs w:val="18"/>
              </w:rPr>
            </w:pPr>
            <w:r>
              <w:rPr>
                <w:rFonts w:hint="eastAsia" w:ascii="宋体" w:hAnsi="宋体"/>
                <w:bCs/>
                <w:color w:val="000000"/>
                <w:sz w:val="18"/>
                <w:szCs w:val="18"/>
              </w:rPr>
              <w:t>方式</w:t>
            </w:r>
          </w:p>
        </w:tc>
        <w:tc>
          <w:tcPr>
            <w:tcW w:w="36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Cs/>
                <w:color w:val="000000"/>
                <w:sz w:val="18"/>
                <w:szCs w:val="18"/>
              </w:rPr>
            </w:pPr>
            <w:r>
              <w:rPr>
                <w:rFonts w:hint="eastAsia" w:ascii="宋体" w:hAnsi="宋体"/>
                <w:bCs/>
                <w:color w:val="000000"/>
                <w:szCs w:val="21"/>
              </w:rPr>
              <w:t>□</w:t>
            </w:r>
            <w:r>
              <w:rPr>
                <w:rFonts w:hint="eastAsia" w:ascii="宋体" w:hAnsi="宋体"/>
                <w:bCs/>
                <w:color w:val="000000"/>
                <w:sz w:val="18"/>
                <w:szCs w:val="18"/>
              </w:rPr>
              <w:t>自营，占所有物流配送比重______%</w:t>
            </w:r>
          </w:p>
          <w:p>
            <w:pPr>
              <w:spacing w:line="300" w:lineRule="exact"/>
              <w:rPr>
                <w:rFonts w:ascii="宋体" w:hAnsi="宋体"/>
                <w:bCs/>
                <w:color w:val="000000"/>
                <w:sz w:val="18"/>
                <w:szCs w:val="18"/>
              </w:rPr>
            </w:pPr>
            <w:r>
              <w:rPr>
                <w:rFonts w:hint="eastAsia" w:ascii="宋体" w:hAnsi="宋体"/>
                <w:bCs/>
                <w:color w:val="000000"/>
                <w:szCs w:val="21"/>
              </w:rPr>
              <w:t>□</w:t>
            </w:r>
            <w:r>
              <w:rPr>
                <w:rFonts w:hint="eastAsia" w:ascii="宋体" w:hAnsi="宋体"/>
                <w:bCs/>
                <w:color w:val="000000"/>
                <w:sz w:val="18"/>
                <w:szCs w:val="18"/>
              </w:rPr>
              <w:t>外包，占所有物流配送比重______%</w:t>
            </w:r>
          </w:p>
        </w:tc>
        <w:tc>
          <w:tcPr>
            <w:tcW w:w="142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sz w:val="18"/>
                <w:szCs w:val="18"/>
              </w:rPr>
            </w:pPr>
            <w:r>
              <w:rPr>
                <w:rFonts w:hint="eastAsia" w:ascii="宋体" w:hAnsi="宋体"/>
                <w:bCs/>
                <w:color w:val="000000"/>
                <w:sz w:val="18"/>
                <w:szCs w:val="18"/>
              </w:rPr>
              <w:t>支付情况</w:t>
            </w:r>
          </w:p>
        </w:tc>
        <w:tc>
          <w:tcPr>
            <w:tcW w:w="269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Cs/>
                <w:color w:val="000000"/>
                <w:sz w:val="18"/>
                <w:szCs w:val="18"/>
              </w:rPr>
            </w:pPr>
            <w:r>
              <w:rPr>
                <w:rFonts w:hint="eastAsia" w:ascii="宋体" w:hAnsi="宋体"/>
                <w:bCs/>
                <w:color w:val="000000"/>
                <w:sz w:val="18"/>
                <w:szCs w:val="18"/>
              </w:rPr>
              <w:t>网上支付占总交易额比重____%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sz w:val="18"/>
                <w:szCs w:val="18"/>
              </w:rPr>
            </w:pPr>
            <w:r>
              <w:rPr>
                <w:rFonts w:hint="eastAsia" w:ascii="宋体" w:hAnsi="宋体"/>
                <w:bCs/>
                <w:color w:val="000000"/>
                <w:sz w:val="18"/>
                <w:szCs w:val="18"/>
              </w:rPr>
              <w:t>上年度收入情况</w:t>
            </w:r>
          </w:p>
        </w:tc>
        <w:tc>
          <w:tcPr>
            <w:tcW w:w="779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Cs/>
                <w:color w:val="000000"/>
                <w:sz w:val="18"/>
                <w:szCs w:val="18"/>
              </w:rPr>
            </w:pPr>
          </w:p>
          <w:p>
            <w:pPr>
              <w:spacing w:line="300" w:lineRule="exact"/>
              <w:rPr>
                <w:rFonts w:ascii="宋体" w:hAnsi="宋体"/>
                <w:bCs/>
                <w:color w:val="000000"/>
                <w:sz w:val="18"/>
                <w:szCs w:val="18"/>
              </w:rPr>
            </w:pPr>
            <w:r>
              <w:rPr>
                <w:rFonts w:hint="eastAsia" w:ascii="宋体" w:hAnsi="宋体"/>
                <w:bCs/>
                <w:color w:val="000000"/>
                <w:sz w:val="18"/>
                <w:szCs w:val="18"/>
              </w:rPr>
              <w:t>所运营平台交易额________万元，  或年服务收入________万元。</w:t>
            </w:r>
          </w:p>
          <w:p>
            <w:pPr>
              <w:spacing w:line="300" w:lineRule="exact"/>
              <w:rPr>
                <w:rFonts w:ascii="宋体" w:hAnsi="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18"/>
                <w:szCs w:val="18"/>
              </w:rPr>
            </w:pPr>
            <w:r>
              <w:rPr>
                <w:rFonts w:hint="eastAsia" w:ascii="宋体" w:hAnsi="宋体"/>
                <w:bCs/>
                <w:color w:val="000000"/>
                <w:sz w:val="18"/>
                <w:szCs w:val="18"/>
              </w:rPr>
              <w:t xml:space="preserve"> 交易模式</w:t>
            </w:r>
          </w:p>
        </w:tc>
        <w:tc>
          <w:tcPr>
            <w:tcW w:w="779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Cs/>
                <w:color w:val="000000"/>
                <w:sz w:val="18"/>
                <w:szCs w:val="18"/>
              </w:rPr>
            </w:pPr>
            <w:r>
              <w:rPr>
                <w:rFonts w:hint="eastAsia" w:ascii="宋体" w:hAnsi="宋体"/>
                <w:bCs/>
                <w:color w:val="000000"/>
                <w:sz w:val="18"/>
                <w:szCs w:val="18"/>
              </w:rPr>
              <w:t xml:space="preserve">□B2C（商家对客户）    □C2C（个人对个人）    □B2B（企业对企业）   </w:t>
            </w:r>
          </w:p>
          <w:p>
            <w:pPr>
              <w:spacing w:line="300" w:lineRule="exact"/>
              <w:rPr>
                <w:rFonts w:ascii="宋体" w:hAnsi="宋体" w:cs="宋体"/>
                <w:bCs/>
                <w:color w:val="000000"/>
                <w:sz w:val="18"/>
                <w:szCs w:val="18"/>
              </w:rPr>
            </w:pPr>
            <w:r>
              <w:rPr>
                <w:rFonts w:hint="eastAsia" w:ascii="宋体" w:hAnsi="宋体" w:cs="宋体"/>
                <w:bCs/>
                <w:color w:val="000000"/>
                <w:sz w:val="18"/>
                <w:szCs w:val="18"/>
              </w:rPr>
              <w:t>□O2O</w:t>
            </w:r>
            <w:r>
              <w:rPr>
                <w:rFonts w:hint="eastAsia" w:ascii="宋体" w:hAnsi="宋体"/>
                <w:bCs/>
                <w:color w:val="000000"/>
                <w:sz w:val="18"/>
                <w:szCs w:val="18"/>
              </w:rPr>
              <w:t xml:space="preserve">（线上线下）      </w:t>
            </w:r>
            <w:r>
              <w:rPr>
                <w:rFonts w:hint="eastAsia" w:ascii="宋体" w:hAnsi="宋体" w:cs="宋体"/>
                <w:bCs/>
                <w:color w:val="000000"/>
                <w:sz w:val="18"/>
                <w:szCs w:val="18"/>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ind w:firstLine="176" w:firstLineChars="98"/>
              <w:rPr>
                <w:rFonts w:ascii="宋体" w:hAnsi="宋体"/>
                <w:bCs/>
                <w:color w:val="000000"/>
                <w:sz w:val="18"/>
                <w:szCs w:val="18"/>
              </w:rPr>
            </w:pPr>
            <w:r>
              <w:rPr>
                <w:rFonts w:hint="eastAsia" w:ascii="宋体" w:hAnsi="宋体"/>
                <w:bCs/>
                <w:color w:val="000000"/>
                <w:sz w:val="18"/>
                <w:szCs w:val="18"/>
              </w:rPr>
              <w:t>交易平台</w:t>
            </w:r>
          </w:p>
        </w:tc>
        <w:tc>
          <w:tcPr>
            <w:tcW w:w="779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Cs/>
                <w:color w:val="000000"/>
                <w:sz w:val="18"/>
                <w:szCs w:val="18"/>
              </w:rPr>
            </w:pPr>
            <w:r>
              <w:rPr>
                <w:rFonts w:hint="eastAsia" w:ascii="宋体" w:hAnsi="宋体"/>
                <w:bCs/>
                <w:color w:val="000000"/>
                <w:sz w:val="18"/>
                <w:szCs w:val="18"/>
              </w:rPr>
              <w:t xml:space="preserve">□通过自营电子商务平台进行    □通过第三方电子商务平台进行    </w:t>
            </w:r>
          </w:p>
          <w:p>
            <w:pPr>
              <w:spacing w:line="300" w:lineRule="exact"/>
              <w:rPr>
                <w:rFonts w:ascii="宋体" w:hAnsi="宋体"/>
                <w:bCs/>
                <w:color w:val="000000"/>
                <w:sz w:val="18"/>
                <w:szCs w:val="18"/>
              </w:rPr>
            </w:pPr>
            <w:r>
              <w:rPr>
                <w:rFonts w:hint="eastAsia" w:ascii="宋体" w:hAnsi="宋体"/>
                <w:bCs/>
                <w:color w:val="000000"/>
                <w:sz w:val="18"/>
                <w:szCs w:val="18"/>
              </w:rPr>
              <w:t xml:space="preserve">□提供第三方平台服务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ind w:firstLine="176" w:firstLineChars="98"/>
              <w:rPr>
                <w:rFonts w:ascii="宋体" w:hAnsi="宋体"/>
                <w:bCs/>
                <w:color w:val="000000"/>
                <w:sz w:val="18"/>
                <w:szCs w:val="18"/>
              </w:rPr>
            </w:pPr>
            <w:r>
              <w:rPr>
                <w:rFonts w:hint="eastAsia" w:ascii="宋体" w:hAnsi="宋体"/>
                <w:bCs/>
                <w:color w:val="000000"/>
                <w:sz w:val="18"/>
                <w:szCs w:val="18"/>
              </w:rPr>
              <w:t>从业人员</w:t>
            </w:r>
          </w:p>
        </w:tc>
        <w:tc>
          <w:tcPr>
            <w:tcW w:w="779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Cs/>
                <w:color w:val="000000"/>
                <w:sz w:val="18"/>
                <w:szCs w:val="18"/>
              </w:rPr>
            </w:pPr>
            <w:r>
              <w:rPr>
                <w:rFonts w:hint="eastAsia" w:ascii="宋体" w:hAnsi="宋体"/>
                <w:bCs/>
                <w:color w:val="000000"/>
                <w:sz w:val="18"/>
                <w:szCs w:val="18"/>
              </w:rPr>
              <w:t>合计_______人，其中管理人员____人，营销人员____人，技术人员____人，物流人员____人。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4" w:hRule="atLeast"/>
          <w:jc w:val="center"/>
        </w:trPr>
        <w:tc>
          <w:tcPr>
            <w:tcW w:w="1276" w:type="dxa"/>
            <w:tcBorders>
              <w:top w:val="single" w:color="auto" w:sz="4" w:space="0"/>
              <w:left w:val="single" w:color="auto" w:sz="4" w:space="0"/>
              <w:bottom w:val="single" w:color="auto" w:sz="4" w:space="0"/>
              <w:right w:val="single" w:color="auto" w:sz="4" w:space="0"/>
            </w:tcBorders>
            <w:vAlign w:val="center"/>
          </w:tcPr>
          <w:p>
            <w:pPr>
              <w:ind w:firstLine="177" w:firstLineChars="98"/>
              <w:rPr>
                <w:rFonts w:ascii="宋体" w:hAnsi="宋体"/>
                <w:b/>
                <w:color w:val="000000"/>
                <w:sz w:val="18"/>
                <w:szCs w:val="18"/>
              </w:rPr>
            </w:pPr>
          </w:p>
          <w:p>
            <w:pPr>
              <w:ind w:firstLine="177" w:firstLineChars="98"/>
              <w:rPr>
                <w:b/>
                <w:color w:val="000000"/>
                <w:sz w:val="18"/>
                <w:szCs w:val="18"/>
              </w:rPr>
            </w:pPr>
            <w:r>
              <w:rPr>
                <w:rFonts w:hint="eastAsia"/>
                <w:b/>
                <w:color w:val="000000"/>
                <w:sz w:val="18"/>
                <w:szCs w:val="18"/>
              </w:rPr>
              <w:t>企业简介</w:t>
            </w:r>
          </w:p>
          <w:p>
            <w:pPr>
              <w:rPr>
                <w:rFonts w:ascii="宋体" w:hAnsi="宋体"/>
                <w:b/>
                <w:color w:val="000000"/>
                <w:sz w:val="18"/>
                <w:szCs w:val="18"/>
              </w:rPr>
            </w:pPr>
            <w:r>
              <w:rPr>
                <w:rFonts w:hint="eastAsia"/>
                <w:color w:val="000000"/>
                <w:sz w:val="18"/>
                <w:szCs w:val="18"/>
              </w:rPr>
              <w:t>（主要叙述企业概况、成长性、业绩发展、服务特色、社会贡献等。可附页）</w:t>
            </w:r>
          </w:p>
          <w:p>
            <w:pPr>
              <w:ind w:firstLine="177" w:firstLineChars="98"/>
              <w:rPr>
                <w:rFonts w:ascii="宋体" w:hAnsi="宋体"/>
                <w:b/>
                <w:color w:val="000000"/>
                <w:sz w:val="18"/>
                <w:szCs w:val="18"/>
              </w:rPr>
            </w:pPr>
          </w:p>
        </w:tc>
        <w:tc>
          <w:tcPr>
            <w:tcW w:w="7797" w:type="dxa"/>
            <w:gridSpan w:val="7"/>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color w:val="000000"/>
                <w:sz w:val="18"/>
                <w:szCs w:val="18"/>
              </w:rPr>
            </w:pPr>
          </w:p>
        </w:tc>
      </w:tr>
    </w:tbl>
    <w:p>
      <w:pPr>
        <w:spacing w:line="220" w:lineRule="atLeast"/>
      </w:pPr>
    </w:p>
    <w:p>
      <w:pPr>
        <w:spacing w:line="220" w:lineRule="atLeast"/>
      </w:pPr>
    </w:p>
    <w:p>
      <w:pPr>
        <w:spacing w:line="220" w:lineRule="atLeast"/>
      </w:pPr>
    </w:p>
    <w:p>
      <w:pPr>
        <w:spacing w:line="220" w:lineRule="atLeast"/>
      </w:pPr>
    </w:p>
    <w:p>
      <w:pPr>
        <w:rPr>
          <w:rFonts w:ascii="仿宋_GB2312" w:eastAsia="仿宋_GB2312"/>
          <w:color w:val="000000"/>
          <w:sz w:val="32"/>
          <w:szCs w:val="32"/>
        </w:rPr>
      </w:pPr>
    </w:p>
    <w:p>
      <w:pPr>
        <w:rPr>
          <w:rFonts w:ascii="仿宋_GB2312" w:eastAsia="仿宋_GB2312"/>
          <w:color w:val="000000"/>
          <w:sz w:val="32"/>
          <w:szCs w:val="32"/>
        </w:rPr>
      </w:pPr>
      <w:r>
        <w:rPr>
          <w:rFonts w:hint="eastAsia" w:ascii="仿宋_GB2312" w:eastAsia="仿宋_GB2312"/>
          <w:color w:val="000000"/>
          <w:sz w:val="32"/>
          <w:szCs w:val="32"/>
        </w:rPr>
        <w:t>附件4：</w:t>
      </w:r>
    </w:p>
    <w:p>
      <w:pPr>
        <w:rPr>
          <w:rFonts w:ascii="仿宋_GB2312" w:eastAsia="仿宋_GB2312"/>
          <w:color w:val="000000"/>
          <w:sz w:val="32"/>
          <w:szCs w:val="32"/>
        </w:rPr>
      </w:pPr>
    </w:p>
    <w:p>
      <w:pPr>
        <w:spacing w:line="600" w:lineRule="exact"/>
        <w:jc w:val="center"/>
        <w:rPr>
          <w:rFonts w:ascii="方正小标宋简体" w:hAnsi="宋体" w:eastAsia="方正小标宋简体"/>
          <w:b/>
          <w:color w:val="000000"/>
          <w:sz w:val="36"/>
          <w:szCs w:val="36"/>
        </w:rPr>
      </w:pPr>
      <w:r>
        <w:rPr>
          <w:rFonts w:hint="eastAsia" w:ascii="方正小标宋简体" w:hAnsi="宋体" w:eastAsia="方正小标宋简体"/>
          <w:b/>
          <w:color w:val="000000"/>
          <w:sz w:val="36"/>
          <w:szCs w:val="36"/>
        </w:rPr>
        <w:t>慈溪市电子商务集聚区认定申请承诺书</w:t>
      </w:r>
    </w:p>
    <w:p>
      <w:pPr>
        <w:spacing w:line="600" w:lineRule="exact"/>
        <w:jc w:val="center"/>
        <w:rPr>
          <w:rFonts w:ascii="仿宋_GB2312" w:eastAsia="仿宋_GB2312"/>
          <w:color w:val="000000"/>
          <w:sz w:val="32"/>
        </w:rPr>
      </w:pP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对 （集聚区名称）申请认定为慈溪市电子商务集聚区的有关事宜，我单位郑重承诺：</w:t>
      </w:r>
    </w:p>
    <w:p>
      <w:pPr>
        <w:spacing w:line="600" w:lineRule="exact"/>
        <w:ind w:firstLine="640"/>
        <w:rPr>
          <w:rFonts w:ascii="仿宋_GB2312" w:eastAsia="仿宋_GB2312" w:cs="仿宋_GB2312"/>
          <w:color w:val="000000"/>
          <w:sz w:val="32"/>
          <w:szCs w:val="32"/>
        </w:rPr>
      </w:pPr>
      <w:r>
        <w:rPr>
          <w:rFonts w:hint="eastAsia" w:ascii="仿宋_GB2312" w:eastAsia="仿宋_GB2312"/>
          <w:color w:val="000000"/>
          <w:sz w:val="32"/>
          <w:szCs w:val="32"/>
        </w:rPr>
        <w:t>对提交的各项申请材料的真实性、有效性负责，复印件与原件是一致的，愿意</w:t>
      </w:r>
      <w:r>
        <w:rPr>
          <w:rFonts w:hint="eastAsia" w:eastAsia="仿宋_GB2312"/>
          <w:color w:val="000000"/>
          <w:sz w:val="32"/>
          <w:szCs w:val="32"/>
        </w:rPr>
        <w:t>随时接受有关部门的监督检查，愿意指导</w:t>
      </w:r>
      <w:r>
        <w:rPr>
          <w:rFonts w:hint="eastAsia" w:ascii="仿宋_GB2312" w:eastAsia="仿宋_GB2312" w:cs="仿宋_GB2312"/>
          <w:color w:val="000000"/>
          <w:sz w:val="32"/>
          <w:szCs w:val="32"/>
        </w:rPr>
        <w:t>入驻集聚区的电子商务企业进入商务部门电商监测统计系统，定期上报各项报表</w:t>
      </w:r>
      <w:r>
        <w:rPr>
          <w:rFonts w:hint="eastAsia" w:eastAsia="仿宋_GB2312"/>
          <w:color w:val="000000"/>
          <w:sz w:val="32"/>
          <w:szCs w:val="32"/>
        </w:rPr>
        <w:t>。</w:t>
      </w:r>
      <w:r>
        <w:rPr>
          <w:rFonts w:hint="eastAsia" w:ascii="仿宋_GB2312" w:eastAsia="仿宋_GB2312" w:cs="仿宋_GB2312"/>
          <w:color w:val="000000"/>
          <w:sz w:val="32"/>
          <w:szCs w:val="32"/>
        </w:rPr>
        <w:t>申请人隐瞒有关情况或提供任何虚假材料，愿意承担一切法律后果。</w:t>
      </w:r>
    </w:p>
    <w:p>
      <w:pPr>
        <w:spacing w:line="600" w:lineRule="exact"/>
        <w:ind w:firstLine="640"/>
        <w:rPr>
          <w:rFonts w:ascii="仿宋_GB2312" w:eastAsia="仿宋_GB2312" w:cs="仿宋_GB2312"/>
          <w:color w:val="000000"/>
          <w:sz w:val="32"/>
          <w:szCs w:val="32"/>
        </w:rPr>
      </w:pPr>
    </w:p>
    <w:p>
      <w:pPr>
        <w:spacing w:line="600" w:lineRule="exact"/>
        <w:ind w:firstLine="4320" w:firstLineChars="1350"/>
        <w:rPr>
          <w:rFonts w:ascii="仿宋_GB2312" w:eastAsia="仿宋_GB2312" w:cs="仿宋_GB2312"/>
          <w:color w:val="000000"/>
          <w:sz w:val="32"/>
          <w:szCs w:val="32"/>
        </w:rPr>
      </w:pPr>
    </w:p>
    <w:p>
      <w:pPr>
        <w:spacing w:line="600" w:lineRule="exact"/>
        <w:ind w:firstLine="4320" w:firstLineChars="1350"/>
        <w:rPr>
          <w:rFonts w:ascii="仿宋_GB2312" w:eastAsia="仿宋_GB2312"/>
          <w:color w:val="000000"/>
          <w:sz w:val="32"/>
          <w:szCs w:val="32"/>
        </w:rPr>
      </w:pPr>
      <w:r>
        <w:rPr>
          <w:rFonts w:hint="eastAsia" w:ascii="仿宋_GB2312" w:eastAsia="仿宋_GB2312"/>
          <w:color w:val="000000"/>
          <w:sz w:val="32"/>
          <w:szCs w:val="32"/>
        </w:rPr>
        <w:t>单位名称（盖章）</w:t>
      </w:r>
    </w:p>
    <w:p>
      <w:pPr>
        <w:spacing w:line="600" w:lineRule="exact"/>
        <w:jc w:val="right"/>
        <w:rPr>
          <w:rFonts w:ascii="仿宋_GB2312" w:eastAsia="仿宋_GB2312"/>
          <w:color w:val="000000"/>
          <w:sz w:val="32"/>
          <w:szCs w:val="32"/>
        </w:rPr>
      </w:pPr>
    </w:p>
    <w:p>
      <w:pPr>
        <w:spacing w:line="600" w:lineRule="exact"/>
        <w:ind w:right="640" w:firstLine="4320" w:firstLineChars="1350"/>
        <w:rPr>
          <w:rFonts w:ascii="仿宋_GB2312" w:eastAsia="仿宋_GB2312"/>
          <w:color w:val="000000"/>
          <w:sz w:val="32"/>
          <w:szCs w:val="32"/>
        </w:rPr>
      </w:pPr>
      <w:r>
        <w:rPr>
          <w:rFonts w:hint="eastAsia" w:ascii="仿宋_GB2312" w:eastAsia="仿宋_GB2312"/>
          <w:color w:val="000000"/>
          <w:sz w:val="32"/>
          <w:szCs w:val="32"/>
        </w:rPr>
        <w:t xml:space="preserve">单位法人代表签名：          </w:t>
      </w:r>
    </w:p>
    <w:p>
      <w:pPr>
        <w:wordWrap w:val="0"/>
        <w:spacing w:line="600" w:lineRule="exact"/>
        <w:ind w:right="640" w:firstLine="3840"/>
        <w:rPr>
          <w:rFonts w:ascii="仿宋_GB2312" w:eastAsia="仿宋_GB2312"/>
          <w:color w:val="000000"/>
          <w:sz w:val="32"/>
          <w:szCs w:val="32"/>
        </w:rPr>
      </w:pPr>
    </w:p>
    <w:p>
      <w:pPr>
        <w:wordWrap w:val="0"/>
        <w:spacing w:line="600" w:lineRule="exact"/>
        <w:ind w:right="640" w:firstLine="4480" w:firstLineChars="1400"/>
        <w:rPr>
          <w:rFonts w:ascii="仿宋_GB2312" w:eastAsia="仿宋_GB2312"/>
          <w:color w:val="000000"/>
          <w:sz w:val="32"/>
          <w:szCs w:val="32"/>
        </w:rPr>
      </w:pPr>
      <w:r>
        <w:rPr>
          <w:rFonts w:hint="eastAsia" w:ascii="仿宋_GB2312" w:eastAsia="仿宋_GB2312"/>
          <w:color w:val="000000"/>
          <w:sz w:val="32"/>
          <w:szCs w:val="32"/>
        </w:rPr>
        <w:t xml:space="preserve">年  月   日    </w:t>
      </w:r>
    </w:p>
    <w:p>
      <w:pPr>
        <w:spacing w:line="600" w:lineRule="exact"/>
        <w:ind w:left="1500" w:hanging="1500" w:hangingChars="500"/>
        <w:rPr>
          <w:rFonts w:ascii="仿宋_GB2312" w:eastAsia="仿宋_GB2312"/>
          <w:color w:val="000000"/>
          <w:sz w:val="30"/>
          <w:szCs w:val="30"/>
        </w:rPr>
      </w:pPr>
    </w:p>
    <w:p>
      <w:pPr>
        <w:spacing w:line="600" w:lineRule="exact"/>
        <w:ind w:left="1500" w:hanging="1500" w:hangingChars="500"/>
        <w:rPr>
          <w:rFonts w:ascii="仿宋_GB2312" w:eastAsia="仿宋_GB2312"/>
          <w:color w:val="000000"/>
          <w:sz w:val="30"/>
          <w:szCs w:val="30"/>
        </w:rPr>
      </w:pPr>
    </w:p>
    <w:p>
      <w:pPr>
        <w:spacing w:line="600" w:lineRule="exact"/>
        <w:ind w:left="1500" w:hanging="1500" w:hangingChars="500"/>
        <w:rPr>
          <w:rFonts w:ascii="仿宋_GB2312" w:eastAsia="仿宋_GB2312"/>
          <w:color w:val="000000"/>
          <w:sz w:val="30"/>
          <w:szCs w:val="30"/>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hAnsi="黑体" w:eastAsia="仿宋_GB2312"/>
          <w:b/>
          <w:bCs/>
          <w:color w:val="000000"/>
          <w:sz w:val="32"/>
          <w:szCs w:val="32"/>
        </w:rPr>
      </w:pPr>
      <w:r>
        <w:rPr>
          <w:rFonts w:hint="eastAsia" w:ascii="仿宋_GB2312" w:eastAsia="仿宋_GB2312"/>
          <w:color w:val="000000"/>
          <w:sz w:val="32"/>
          <w:szCs w:val="32"/>
        </w:rPr>
        <w:t>附件5：</w:t>
      </w:r>
    </w:p>
    <w:p>
      <w:pPr>
        <w:jc w:val="center"/>
        <w:rPr>
          <w:rFonts w:ascii="方正小标宋简体" w:hAnsi="宋体" w:eastAsia="方正小标宋简体"/>
          <w:b/>
          <w:bCs/>
          <w:color w:val="000000"/>
          <w:sz w:val="36"/>
          <w:szCs w:val="36"/>
        </w:rPr>
      </w:pPr>
      <w:r>
        <w:rPr>
          <w:rFonts w:hint="eastAsia" w:ascii="方正小标宋简体" w:hAnsi="宋体" w:eastAsia="方正小标宋简体"/>
          <w:b/>
          <w:bCs/>
          <w:color w:val="000000"/>
          <w:sz w:val="36"/>
          <w:szCs w:val="36"/>
        </w:rPr>
        <w:t>电子商务企业认定规范</w:t>
      </w:r>
    </w:p>
    <w:p>
      <w:pPr>
        <w:jc w:val="center"/>
        <w:rPr>
          <w:rFonts w:ascii="宋体" w:hAnsi="宋体"/>
          <w:b/>
          <w:bCs/>
          <w:color w:val="000000"/>
          <w:sz w:val="44"/>
          <w:szCs w:val="44"/>
        </w:rPr>
      </w:pP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为促进电子商务集聚区认定工作的开展，方便确认入驻企业类型，特制定本规范。</w:t>
      </w:r>
    </w:p>
    <w:p>
      <w:pPr>
        <w:autoSpaceDN w:val="0"/>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本规范所称的电子商务企业，是指在慈溪市内进行工商注册、税务登记、独立核算，并以互联网为主要渠道，实现消费者网上购物、商户之间网上交易和在线电子支付等商务活动的企业。主要包括以下几类企业：</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一、电子商务平台运营企业。主要指在电子商务活动中为交易双方或多方提供交易撮合及相关服务的网络交易平台的企业。该类型企业具备以下特点：</w:t>
      </w:r>
    </w:p>
    <w:p>
      <w:pPr>
        <w:ind w:firstLine="800" w:firstLineChars="250"/>
        <w:rPr>
          <w:rFonts w:ascii="仿宋_GB2312" w:hAnsi="黑体" w:eastAsia="仿宋_GB2312"/>
          <w:color w:val="000000"/>
          <w:sz w:val="32"/>
          <w:szCs w:val="32"/>
        </w:rPr>
      </w:pPr>
      <w:r>
        <w:rPr>
          <w:rFonts w:hint="eastAsia" w:ascii="仿宋_GB2312" w:hAnsi="黑体" w:eastAsia="仿宋_GB2312"/>
          <w:color w:val="000000"/>
          <w:sz w:val="32"/>
          <w:szCs w:val="32"/>
        </w:rPr>
        <w:t>1、自身并不直接开展网上交易，而是为其他企业、单位或个人开展电子商务提供专业的公共与增值服务；</w:t>
      </w:r>
    </w:p>
    <w:p>
      <w:pPr>
        <w:ind w:firstLine="800" w:firstLineChars="250"/>
        <w:rPr>
          <w:rFonts w:ascii="仿宋_GB2312" w:hAnsi="黑体" w:eastAsia="仿宋_GB2312"/>
          <w:color w:val="000000"/>
          <w:sz w:val="32"/>
          <w:szCs w:val="32"/>
        </w:rPr>
      </w:pPr>
      <w:r>
        <w:rPr>
          <w:rFonts w:hint="eastAsia" w:ascii="仿宋_GB2312" w:hAnsi="黑体" w:eastAsia="仿宋_GB2312"/>
          <w:color w:val="000000"/>
          <w:sz w:val="32"/>
          <w:szCs w:val="32"/>
        </w:rPr>
        <w:t>2、电子商务平台运营企业服务涉及客服、金融、商品售后等多项领域；</w:t>
      </w:r>
    </w:p>
    <w:p>
      <w:pPr>
        <w:ind w:firstLine="800" w:firstLineChars="250"/>
        <w:rPr>
          <w:rFonts w:ascii="仿宋_GB2312" w:hAnsi="黑体" w:eastAsia="仿宋_GB2312"/>
          <w:color w:val="000000"/>
          <w:sz w:val="32"/>
          <w:szCs w:val="32"/>
        </w:rPr>
      </w:pPr>
      <w:r>
        <w:rPr>
          <w:rFonts w:hint="eastAsia" w:ascii="仿宋_GB2312" w:hAnsi="黑体" w:eastAsia="仿宋_GB2312"/>
          <w:color w:val="000000"/>
          <w:sz w:val="32"/>
          <w:szCs w:val="32"/>
        </w:rPr>
        <w:t>3、拥有通信行业主管部门批准的经营或备案资质。</w:t>
      </w:r>
    </w:p>
    <w:p>
      <w:pPr>
        <w:autoSpaceDN w:val="0"/>
        <w:ind w:firstLine="640" w:firstLineChars="200"/>
        <w:rPr>
          <w:rFonts w:ascii="仿宋_GB2312" w:hAnsi="仿宋_GB2312" w:eastAsia="仿宋_GB2312"/>
          <w:color w:val="000000"/>
          <w:sz w:val="32"/>
          <w:szCs w:val="32"/>
        </w:rPr>
      </w:pPr>
      <w:r>
        <w:rPr>
          <w:rFonts w:hint="eastAsia" w:ascii="仿宋_GB2312" w:hAnsi="黑体" w:eastAsia="仿宋_GB2312"/>
          <w:color w:val="000000"/>
          <w:sz w:val="32"/>
          <w:szCs w:val="32"/>
        </w:rPr>
        <w:t>二、电子商务应用企业。主要指运用电子商务进行网络交易的企业。该类型企业具备以下特点：</w:t>
      </w:r>
    </w:p>
    <w:p>
      <w:pPr>
        <w:autoSpaceDN w:val="0"/>
        <w:ind w:firstLine="640" w:firstLineChars="200"/>
        <w:rPr>
          <w:rFonts w:ascii="仿宋_GB2312" w:hAnsi="仿宋_GB2312" w:eastAsia="仿宋_GB2312"/>
          <w:color w:val="000000"/>
          <w:sz w:val="32"/>
          <w:szCs w:val="32"/>
        </w:rPr>
      </w:pPr>
      <w:r>
        <w:rPr>
          <w:rFonts w:hint="eastAsia" w:ascii="仿宋_GB2312" w:hAnsi="黑体" w:eastAsia="仿宋_GB2312"/>
          <w:color w:val="000000"/>
          <w:sz w:val="32"/>
          <w:szCs w:val="32"/>
        </w:rPr>
        <w:t>1、利用第三方交易平台或自建平台进行网络营销活动；</w:t>
      </w:r>
    </w:p>
    <w:p>
      <w:pPr>
        <w:ind w:firstLine="640"/>
        <w:rPr>
          <w:rFonts w:ascii="仿宋_GB2312" w:hAnsi="黑体" w:eastAsia="仿宋_GB2312"/>
          <w:color w:val="000000"/>
          <w:sz w:val="32"/>
          <w:szCs w:val="32"/>
        </w:rPr>
      </w:pPr>
      <w:r>
        <w:rPr>
          <w:rFonts w:hint="eastAsia" w:ascii="仿宋_GB2312" w:hAnsi="黑体" w:eastAsia="仿宋_GB2312"/>
          <w:color w:val="000000"/>
          <w:sz w:val="32"/>
          <w:szCs w:val="32"/>
        </w:rPr>
        <w:t xml:space="preserve">2、业务模式以B2B或B2C为主。 </w:t>
      </w:r>
    </w:p>
    <w:p>
      <w:pPr>
        <w:ind w:firstLine="640"/>
        <w:rPr>
          <w:rFonts w:ascii="仿宋_GB2312" w:hAnsi="黑体" w:eastAsia="仿宋_GB2312"/>
          <w:color w:val="000000"/>
          <w:sz w:val="32"/>
          <w:szCs w:val="32"/>
        </w:rPr>
      </w:pPr>
      <w:r>
        <w:rPr>
          <w:rFonts w:hint="eastAsia" w:ascii="仿宋_GB2312" w:hAnsi="黑体" w:eastAsia="仿宋_GB2312"/>
          <w:color w:val="000000"/>
          <w:sz w:val="32"/>
          <w:szCs w:val="32"/>
        </w:rPr>
        <w:t>三、电子商务服务(支撑)企业。主要指为电子商务企业提供配套服务的企业，如交易服务、业务外包服务、信息技术外包服务等。该类型企业具备以下特点：</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1、围绕电子商务开展各类基础服务，服务对象为各类型电子商务企业；</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2、电子商务服务(支撑)企业业务涉及技术研发、认证、支付、物流配送、培训、营销、移动商务等多项领域。</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四、其它类型电子商务企业。主要指通过整合创新，形成电子商务新型商务运作模式，依法取得互联网经营资质并具有一定规模的电子商务企业。该类型企业具备以下特点：</w:t>
      </w:r>
    </w:p>
    <w:p>
      <w:pPr>
        <w:ind w:firstLine="645"/>
        <w:rPr>
          <w:rFonts w:ascii="仿宋_GB2312" w:hAnsi="黑体" w:eastAsia="仿宋_GB2312"/>
          <w:color w:val="000000"/>
          <w:sz w:val="32"/>
          <w:szCs w:val="32"/>
        </w:rPr>
      </w:pPr>
      <w:r>
        <w:rPr>
          <w:rFonts w:hint="eastAsia" w:ascii="仿宋_GB2312" w:hAnsi="黑体" w:eastAsia="仿宋_GB2312"/>
          <w:color w:val="000000"/>
          <w:sz w:val="32"/>
          <w:szCs w:val="32"/>
        </w:rPr>
        <w:t>1、运用B2B、B2C、B2A、B2M、020、C2M以及文化、教育、创意产业衍生出的新型网营模式；</w:t>
      </w:r>
    </w:p>
    <w:p>
      <w:pPr>
        <w:ind w:firstLine="645"/>
        <w:rPr>
          <w:rFonts w:ascii="仿宋_GB2312" w:hAnsi="黑体" w:eastAsia="仿宋_GB2312"/>
          <w:color w:val="000000"/>
          <w:sz w:val="32"/>
          <w:szCs w:val="32"/>
        </w:rPr>
      </w:pPr>
      <w:r>
        <w:rPr>
          <w:rFonts w:hint="eastAsia" w:ascii="仿宋_GB2312" w:hAnsi="黑体" w:eastAsia="仿宋_GB2312"/>
          <w:color w:val="000000"/>
          <w:sz w:val="32"/>
          <w:szCs w:val="32"/>
        </w:rPr>
        <w:t>2、基于互联网不断开发和完善新的商务模式，服务及时、高效。</w:t>
      </w:r>
    </w:p>
    <w:p>
      <w:pPr>
        <w:ind w:firstLine="1760" w:firstLineChars="550"/>
        <w:rPr>
          <w:rFonts w:ascii="仿宋_GB2312" w:hAnsi="宋体" w:eastAsia="仿宋_GB2312"/>
          <w:sz w:val="32"/>
          <w:szCs w:val="32"/>
        </w:rPr>
      </w:pPr>
    </w:p>
    <w:p>
      <w:pPr>
        <w:spacing w:line="220" w:lineRule="atLeast"/>
      </w:pPr>
    </w:p>
    <w:p>
      <w:pPr>
        <w:spacing w:line="220" w:lineRule="atLeast"/>
      </w:pPr>
    </w:p>
    <w:p>
      <w:pPr>
        <w:spacing w:line="220" w:lineRule="atLeast"/>
      </w:pPr>
    </w:p>
    <w:p>
      <w:pPr>
        <w:spacing w:line="220" w:lineRule="atLeast"/>
      </w:pPr>
    </w:p>
    <w:p>
      <w:pPr>
        <w:spacing w:after="100" w:afterAutospacing="1" w:line="580" w:lineRule="exact"/>
        <w:rPr>
          <w:rFonts w:ascii="仿宋" w:hAnsi="仿宋" w:eastAsia="仿宋"/>
          <w:b/>
          <w:spacing w:val="-16"/>
          <w:sz w:val="32"/>
          <w:szCs w:val="32"/>
        </w:rPr>
      </w:pPr>
    </w:p>
    <w:p>
      <w:pPr>
        <w:spacing w:after="100" w:afterAutospacing="1" w:line="580" w:lineRule="exact"/>
        <w:rPr>
          <w:rFonts w:ascii="仿宋" w:hAnsi="仿宋" w:eastAsia="仿宋"/>
          <w:b/>
          <w:spacing w:val="-16"/>
          <w:sz w:val="32"/>
          <w:szCs w:val="32"/>
        </w:rPr>
      </w:pPr>
    </w:p>
    <w:p>
      <w:pPr>
        <w:spacing w:after="100" w:afterAutospacing="1" w:line="580" w:lineRule="exact"/>
        <w:rPr>
          <w:rFonts w:ascii="仿宋" w:hAnsi="仿宋" w:eastAsia="仿宋"/>
          <w:b/>
          <w:spacing w:val="-16"/>
          <w:sz w:val="32"/>
          <w:szCs w:val="32"/>
        </w:rPr>
      </w:pPr>
    </w:p>
    <w:p>
      <w:pPr>
        <w:spacing w:after="100" w:afterAutospacing="1" w:line="580" w:lineRule="exact"/>
        <w:rPr>
          <w:rFonts w:ascii="仿宋" w:hAnsi="仿宋" w:eastAsia="仿宋"/>
          <w:b/>
          <w:spacing w:val="-16"/>
          <w:sz w:val="32"/>
          <w:szCs w:val="32"/>
        </w:rPr>
      </w:pPr>
    </w:p>
    <w:p>
      <w:pPr>
        <w:spacing w:after="100" w:afterAutospacing="1" w:line="580" w:lineRule="exact"/>
        <w:rPr>
          <w:rFonts w:ascii="仿宋" w:hAnsi="仿宋" w:eastAsia="仿宋" w:cs="宋体"/>
          <w:b/>
          <w:sz w:val="32"/>
          <w:szCs w:val="32"/>
        </w:rPr>
      </w:pPr>
      <w:r>
        <w:rPr>
          <w:rFonts w:hint="eastAsia" w:ascii="仿宋" w:hAnsi="仿宋" w:eastAsia="仿宋"/>
          <w:b/>
          <w:spacing w:val="-16"/>
          <w:sz w:val="32"/>
          <w:szCs w:val="32"/>
        </w:rPr>
        <w:t xml:space="preserve">附件二： </w:t>
      </w:r>
      <w:r>
        <w:rPr>
          <w:rFonts w:hint="eastAsia" w:ascii="仿宋" w:hAnsi="仿宋" w:eastAsia="仿宋" w:cs="宋体"/>
          <w:b/>
          <w:sz w:val="32"/>
          <w:szCs w:val="32"/>
        </w:rPr>
        <w:t>慈溪市电子商务公共服务中心考核办法</w:t>
      </w:r>
    </w:p>
    <w:p>
      <w:pPr>
        <w:spacing w:line="480" w:lineRule="exact"/>
        <w:ind w:firstLine="640"/>
        <w:rPr>
          <w:rFonts w:ascii="仿宋" w:hAnsi="仿宋" w:eastAsia="仿宋" w:cs="宋体"/>
          <w:color w:val="000000"/>
          <w:sz w:val="30"/>
          <w:szCs w:val="30"/>
        </w:rPr>
      </w:pPr>
      <w:r>
        <w:rPr>
          <w:rFonts w:hint="eastAsia" w:ascii="仿宋" w:hAnsi="仿宋" w:eastAsia="仿宋" w:cs="宋体"/>
          <w:color w:val="000000"/>
          <w:sz w:val="30"/>
          <w:szCs w:val="30"/>
        </w:rPr>
        <w:t>一、慈溪市商务局对慈溪市电子商务公共服务中心（以下简称“中心”）运营管理情况采用动态管理和定期考核模式。</w:t>
      </w:r>
    </w:p>
    <w:p>
      <w:pPr>
        <w:spacing w:line="480" w:lineRule="exact"/>
        <w:ind w:firstLine="640"/>
        <w:rPr>
          <w:rFonts w:ascii="仿宋" w:hAnsi="仿宋" w:eastAsia="仿宋" w:cs="宋体"/>
          <w:color w:val="000000"/>
          <w:sz w:val="30"/>
          <w:szCs w:val="30"/>
        </w:rPr>
      </w:pPr>
      <w:r>
        <w:rPr>
          <w:rFonts w:hint="eastAsia" w:ascii="仿宋" w:hAnsi="仿宋" w:eastAsia="仿宋" w:cs="宋体"/>
          <w:color w:val="000000"/>
          <w:sz w:val="30"/>
          <w:szCs w:val="30"/>
        </w:rPr>
        <w:t>二、“中心”运营机构在合同签订后顺延年截止前应按要求提交年度考核资料，市商务局将组织专家进行书面及实地审核并以书面形式出具考核结果。</w:t>
      </w:r>
    </w:p>
    <w:p>
      <w:pPr>
        <w:spacing w:line="480" w:lineRule="exact"/>
        <w:ind w:firstLine="640"/>
        <w:rPr>
          <w:rFonts w:ascii="仿宋" w:hAnsi="仿宋" w:eastAsia="仿宋" w:cs="宋体"/>
          <w:sz w:val="30"/>
          <w:szCs w:val="30"/>
        </w:rPr>
      </w:pPr>
      <w:r>
        <w:rPr>
          <w:rFonts w:hint="eastAsia" w:ascii="仿宋" w:hAnsi="仿宋" w:eastAsia="仿宋" w:cs="宋体"/>
          <w:color w:val="000000"/>
          <w:sz w:val="30"/>
          <w:szCs w:val="30"/>
        </w:rPr>
        <w:t>三、年度考核资料包括考核指标完成情况、当年度工作总结、“中心”财务报表、</w:t>
      </w:r>
      <w:r>
        <w:rPr>
          <w:rFonts w:hint="eastAsia" w:ascii="仿宋" w:hAnsi="仿宋" w:eastAsia="仿宋" w:cs="宋体"/>
          <w:sz w:val="30"/>
          <w:szCs w:val="30"/>
        </w:rPr>
        <w:t>业务开展情况、补贴使用情况及其他有关材料等。</w:t>
      </w:r>
    </w:p>
    <w:p>
      <w:pPr>
        <w:spacing w:line="480" w:lineRule="exact"/>
        <w:ind w:firstLine="640"/>
        <w:rPr>
          <w:rFonts w:ascii="仿宋" w:hAnsi="仿宋" w:eastAsia="仿宋" w:cs="宋体"/>
          <w:color w:val="000000"/>
          <w:sz w:val="30"/>
          <w:szCs w:val="30"/>
        </w:rPr>
      </w:pPr>
      <w:r>
        <w:rPr>
          <w:rFonts w:hint="eastAsia" w:ascii="仿宋" w:hAnsi="仿宋" w:eastAsia="仿宋" w:cs="宋体"/>
          <w:color w:val="000000"/>
          <w:sz w:val="30"/>
          <w:szCs w:val="30"/>
        </w:rPr>
        <w:t>四、年度考核实行百分制，按照各项考核指标进行评分。考核分三个等次，分别为80分（含）以上，60（含）-80（不含），60分（不含）以下。</w:t>
      </w:r>
    </w:p>
    <w:p>
      <w:pPr>
        <w:spacing w:line="480" w:lineRule="exact"/>
        <w:ind w:firstLine="640"/>
        <w:rPr>
          <w:rFonts w:ascii="宋体" w:hAnsi="宋体" w:cs="宋体"/>
          <w:color w:val="000000"/>
          <w:szCs w:val="21"/>
        </w:rPr>
      </w:pPr>
      <w:r>
        <w:rPr>
          <w:rFonts w:hint="eastAsia" w:ascii="仿宋" w:hAnsi="仿宋" w:eastAsia="仿宋" w:cs="宋体"/>
          <w:color w:val="000000"/>
          <w:sz w:val="30"/>
          <w:szCs w:val="30"/>
        </w:rPr>
        <w:t>五、运营机构年度考核不合格，限期整改；复核仍不合格或直接不参与考核，则终止与运营机构的合作协议，同时取消运营机构运营管理补贴</w:t>
      </w:r>
      <w:r>
        <w:rPr>
          <w:rFonts w:hint="eastAsia" w:ascii="宋体" w:hAnsi="宋体" w:cs="宋体"/>
          <w:color w:val="000000"/>
          <w:szCs w:val="21"/>
        </w:rPr>
        <w:t>。</w:t>
      </w:r>
    </w:p>
    <w:p>
      <w:pPr>
        <w:pStyle w:val="2"/>
        <w:ind w:firstLine="1687" w:firstLineChars="800"/>
        <w:rPr>
          <w:rFonts w:ascii="宋体" w:hAnsi="宋体" w:eastAsia="宋体" w:cs="宋体"/>
          <w:sz w:val="21"/>
          <w:szCs w:val="21"/>
        </w:rPr>
      </w:pPr>
      <w:r>
        <w:rPr>
          <w:rFonts w:hint="eastAsia" w:ascii="宋体" w:hAnsi="宋体" w:eastAsia="宋体" w:cs="宋体"/>
          <w:sz w:val="21"/>
          <w:szCs w:val="21"/>
        </w:rPr>
        <w:t>慈溪市电子商务公共服务中心考核评分细则</w:t>
      </w:r>
    </w:p>
    <w:tbl>
      <w:tblPr>
        <w:tblStyle w:val="7"/>
        <w:tblW w:w="10095" w:type="dxa"/>
        <w:tblInd w:w="-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25"/>
        <w:gridCol w:w="2925"/>
        <w:gridCol w:w="660"/>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50" w:type="dxa"/>
            <w:vAlign w:val="center"/>
          </w:tcPr>
          <w:p>
            <w:pPr>
              <w:jc w:val="center"/>
              <w:rPr>
                <w:rFonts w:ascii="宋体" w:hAnsi="宋体" w:cs="宋体"/>
                <w:b/>
                <w:bCs/>
                <w:szCs w:val="21"/>
              </w:rPr>
            </w:pPr>
            <w:r>
              <w:rPr>
                <w:rFonts w:hint="eastAsia" w:ascii="宋体" w:hAnsi="宋体" w:cs="宋体"/>
                <w:b/>
                <w:bCs/>
                <w:szCs w:val="21"/>
              </w:rPr>
              <w:t>序号</w:t>
            </w:r>
          </w:p>
        </w:tc>
        <w:tc>
          <w:tcPr>
            <w:tcW w:w="725" w:type="dxa"/>
            <w:vAlign w:val="center"/>
          </w:tcPr>
          <w:p>
            <w:pPr>
              <w:jc w:val="center"/>
              <w:rPr>
                <w:rFonts w:ascii="宋体" w:hAnsi="宋体" w:cs="宋体"/>
                <w:b/>
                <w:bCs/>
                <w:szCs w:val="21"/>
              </w:rPr>
            </w:pPr>
            <w:r>
              <w:rPr>
                <w:rFonts w:hint="eastAsia" w:ascii="宋体" w:hAnsi="宋体" w:cs="宋体"/>
                <w:b/>
                <w:bCs/>
                <w:szCs w:val="21"/>
              </w:rPr>
              <w:t>考核项目</w:t>
            </w:r>
          </w:p>
        </w:tc>
        <w:tc>
          <w:tcPr>
            <w:tcW w:w="2925" w:type="dxa"/>
            <w:vAlign w:val="center"/>
          </w:tcPr>
          <w:p>
            <w:pPr>
              <w:jc w:val="center"/>
              <w:rPr>
                <w:rFonts w:ascii="宋体" w:hAnsi="宋体" w:cs="宋体"/>
                <w:b/>
                <w:bCs/>
                <w:szCs w:val="21"/>
              </w:rPr>
            </w:pPr>
            <w:r>
              <w:rPr>
                <w:rFonts w:hint="eastAsia" w:ascii="宋体" w:hAnsi="宋体" w:cs="宋体"/>
                <w:b/>
                <w:bCs/>
                <w:szCs w:val="21"/>
              </w:rPr>
              <w:t>考核指标内容</w:t>
            </w:r>
          </w:p>
        </w:tc>
        <w:tc>
          <w:tcPr>
            <w:tcW w:w="660" w:type="dxa"/>
            <w:vAlign w:val="center"/>
          </w:tcPr>
          <w:p>
            <w:pPr>
              <w:jc w:val="center"/>
              <w:rPr>
                <w:rFonts w:ascii="宋体" w:hAnsi="宋体" w:cs="宋体"/>
                <w:b/>
                <w:bCs/>
                <w:szCs w:val="21"/>
              </w:rPr>
            </w:pPr>
            <w:r>
              <w:rPr>
                <w:rFonts w:hint="eastAsia" w:ascii="宋体" w:hAnsi="宋体" w:cs="宋体"/>
                <w:b/>
                <w:bCs/>
                <w:szCs w:val="21"/>
              </w:rPr>
              <w:t>分值</w:t>
            </w:r>
          </w:p>
        </w:tc>
        <w:tc>
          <w:tcPr>
            <w:tcW w:w="5035" w:type="dxa"/>
            <w:vAlign w:val="center"/>
          </w:tcPr>
          <w:p>
            <w:pPr>
              <w:jc w:val="center"/>
              <w:rPr>
                <w:rFonts w:ascii="宋体" w:hAnsi="宋体" w:cs="宋体"/>
                <w:b/>
                <w:bCs/>
                <w:szCs w:val="21"/>
              </w:rPr>
            </w:pPr>
            <w:r>
              <w:rPr>
                <w:rFonts w:hint="eastAsia" w:ascii="宋体" w:hAnsi="宋体" w:cs="宋体"/>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750" w:type="dxa"/>
            <w:vAlign w:val="center"/>
          </w:tcPr>
          <w:p>
            <w:pPr>
              <w:jc w:val="center"/>
              <w:rPr>
                <w:rFonts w:ascii="宋体" w:hAnsi="宋体" w:cs="宋体"/>
                <w:szCs w:val="21"/>
              </w:rPr>
            </w:pPr>
            <w:r>
              <w:rPr>
                <w:rFonts w:hint="eastAsia" w:ascii="宋体" w:hAnsi="宋体" w:cs="宋体"/>
                <w:szCs w:val="21"/>
              </w:rPr>
              <w:t>1</w:t>
            </w:r>
          </w:p>
        </w:tc>
        <w:tc>
          <w:tcPr>
            <w:tcW w:w="725" w:type="dxa"/>
            <w:vMerge w:val="restart"/>
            <w:vAlign w:val="center"/>
          </w:tcPr>
          <w:p>
            <w:pPr>
              <w:rPr>
                <w:rFonts w:ascii="宋体" w:hAnsi="宋体" w:cs="宋体"/>
                <w:szCs w:val="21"/>
              </w:rPr>
            </w:pPr>
            <w:r>
              <w:rPr>
                <w:rFonts w:hint="eastAsia" w:ascii="宋体" w:hAnsi="宋体" w:cs="宋体"/>
                <w:szCs w:val="21"/>
              </w:rPr>
              <w:t>基本</w:t>
            </w:r>
          </w:p>
          <w:p>
            <w:pPr>
              <w:rPr>
                <w:rFonts w:ascii="宋体" w:hAnsi="宋体" w:cs="宋体"/>
                <w:szCs w:val="21"/>
              </w:rPr>
            </w:pPr>
            <w:r>
              <w:rPr>
                <w:rFonts w:hint="eastAsia" w:ascii="宋体" w:hAnsi="宋体" w:cs="宋体"/>
                <w:szCs w:val="21"/>
              </w:rPr>
              <w:t>条件</w:t>
            </w:r>
          </w:p>
        </w:tc>
        <w:tc>
          <w:tcPr>
            <w:tcW w:w="2925" w:type="dxa"/>
            <w:vAlign w:val="center"/>
          </w:tcPr>
          <w:p>
            <w:pPr>
              <w:rPr>
                <w:rFonts w:ascii="宋体" w:hAnsi="宋体" w:cs="宋体"/>
                <w:szCs w:val="21"/>
              </w:rPr>
            </w:pPr>
            <w:r>
              <w:rPr>
                <w:rFonts w:hint="eastAsia" w:ascii="宋体" w:hAnsi="宋体" w:cs="宋体"/>
                <w:szCs w:val="21"/>
              </w:rPr>
              <w:t>拥有固定办公场所及相应配套设施</w:t>
            </w:r>
          </w:p>
        </w:tc>
        <w:tc>
          <w:tcPr>
            <w:tcW w:w="660" w:type="dxa"/>
            <w:vAlign w:val="center"/>
          </w:tcPr>
          <w:p>
            <w:pPr>
              <w:jc w:val="center"/>
              <w:rPr>
                <w:rFonts w:ascii="宋体" w:hAnsi="宋体" w:cs="宋体"/>
                <w:szCs w:val="21"/>
              </w:rPr>
            </w:pPr>
            <w:r>
              <w:rPr>
                <w:rFonts w:hint="eastAsia" w:ascii="宋体" w:hAnsi="宋体" w:cs="宋体"/>
                <w:szCs w:val="21"/>
              </w:rPr>
              <w:t>6</w:t>
            </w:r>
          </w:p>
        </w:tc>
        <w:tc>
          <w:tcPr>
            <w:tcW w:w="5035" w:type="dxa"/>
            <w:vAlign w:val="center"/>
          </w:tcPr>
          <w:p>
            <w:pPr>
              <w:rPr>
                <w:rFonts w:ascii="宋体" w:hAnsi="宋体" w:cs="宋体"/>
                <w:szCs w:val="21"/>
              </w:rPr>
            </w:pPr>
            <w:r>
              <w:rPr>
                <w:rFonts w:hint="eastAsia" w:ascii="宋体" w:hAnsi="宋体" w:cs="宋体"/>
                <w:szCs w:val="21"/>
              </w:rPr>
              <w:t>电子商务公共服务中心无固定办公场所，得0分；凡有固定办公场所，得基本分3分，</w:t>
            </w:r>
            <w:r>
              <w:rPr>
                <w:rFonts w:hint="eastAsia" w:ascii="宋体" w:hAnsi="宋体" w:cs="宋体"/>
                <w:color w:val="000000"/>
                <w:szCs w:val="21"/>
              </w:rPr>
              <w:t>根据平台运营数据展示墙、活动沙龙（路演）区、创业孵化器区设置情况</w:t>
            </w:r>
            <w:r>
              <w:rPr>
                <w:rFonts w:hint="eastAsia" w:ascii="宋体" w:hAnsi="宋体" w:cs="宋体"/>
                <w:szCs w:val="21"/>
              </w:rPr>
              <w:t>，给予1-3分的加分。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750" w:type="dxa"/>
            <w:vAlign w:val="center"/>
          </w:tcPr>
          <w:p>
            <w:pPr>
              <w:jc w:val="center"/>
              <w:rPr>
                <w:rFonts w:ascii="宋体" w:hAnsi="宋体" w:cs="宋体"/>
                <w:szCs w:val="21"/>
              </w:rPr>
            </w:pPr>
            <w:r>
              <w:rPr>
                <w:rFonts w:hint="eastAsia" w:ascii="宋体" w:hAnsi="宋体" w:cs="宋体"/>
                <w:szCs w:val="21"/>
              </w:rPr>
              <w:t>2</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配备有专职工作人员开展日常工作</w:t>
            </w:r>
          </w:p>
        </w:tc>
        <w:tc>
          <w:tcPr>
            <w:tcW w:w="660" w:type="dxa"/>
            <w:vAlign w:val="center"/>
          </w:tcPr>
          <w:p>
            <w:pPr>
              <w:jc w:val="center"/>
              <w:rPr>
                <w:rFonts w:ascii="宋体" w:hAnsi="宋体" w:cs="宋体"/>
                <w:szCs w:val="21"/>
              </w:rPr>
            </w:pPr>
            <w:r>
              <w:rPr>
                <w:rFonts w:hint="eastAsia" w:ascii="宋体" w:hAnsi="宋体" w:cs="宋体"/>
                <w:szCs w:val="21"/>
              </w:rPr>
              <w:t>6</w:t>
            </w:r>
          </w:p>
        </w:tc>
        <w:tc>
          <w:tcPr>
            <w:tcW w:w="5035" w:type="dxa"/>
            <w:vAlign w:val="center"/>
          </w:tcPr>
          <w:p>
            <w:pPr>
              <w:rPr>
                <w:rFonts w:ascii="宋体" w:hAnsi="宋体" w:cs="宋体"/>
                <w:szCs w:val="21"/>
              </w:rPr>
            </w:pPr>
            <w:r>
              <w:rPr>
                <w:rFonts w:hint="eastAsia" w:ascii="宋体" w:hAnsi="宋体" w:cs="宋体"/>
                <w:szCs w:val="21"/>
              </w:rPr>
              <w:t>电子商务公共服务中心无专职工作人员，得0分；若有1-2个专职工作人员，得3分；若有3-5个专职工作人员，得4分；若有5个以上专职工作人员，得6分。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3</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编制服务与服务商名录，并有明确的服务商介绍、服务内容、服务价格等信息</w:t>
            </w:r>
          </w:p>
        </w:tc>
        <w:tc>
          <w:tcPr>
            <w:tcW w:w="660" w:type="dxa"/>
            <w:vAlign w:val="center"/>
          </w:tcPr>
          <w:p>
            <w:pPr>
              <w:jc w:val="center"/>
              <w:rPr>
                <w:rFonts w:ascii="宋体" w:hAnsi="宋体" w:cs="宋体"/>
                <w:szCs w:val="21"/>
              </w:rPr>
            </w:pPr>
            <w:r>
              <w:rPr>
                <w:rFonts w:hint="eastAsia" w:ascii="宋体" w:hAnsi="宋体" w:cs="宋体"/>
                <w:szCs w:val="21"/>
              </w:rPr>
              <w:t>6</w:t>
            </w:r>
          </w:p>
        </w:tc>
        <w:tc>
          <w:tcPr>
            <w:tcW w:w="5035" w:type="dxa"/>
            <w:vAlign w:val="center"/>
          </w:tcPr>
          <w:p>
            <w:pPr>
              <w:rPr>
                <w:rFonts w:ascii="宋体" w:hAnsi="宋体" w:cs="宋体"/>
                <w:szCs w:val="21"/>
              </w:rPr>
            </w:pPr>
            <w:r>
              <w:rPr>
                <w:rFonts w:hint="eastAsia" w:ascii="宋体" w:hAnsi="宋体" w:cs="宋体"/>
                <w:szCs w:val="21"/>
              </w:rPr>
              <w:t>电子商务公共服务中心未编制服务与服务商名录，得0分；已编制服务与服务商名录，得基本分3分，并根据名录内服务与服务商数量、内容详细程度等情况，给予1-3分的加分。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4</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在乡镇、街道、工业园区、专业市场、电子商务产业基地等场合设立电子商务服务联络点</w:t>
            </w:r>
          </w:p>
        </w:tc>
        <w:tc>
          <w:tcPr>
            <w:tcW w:w="660" w:type="dxa"/>
            <w:vAlign w:val="center"/>
          </w:tcPr>
          <w:p>
            <w:pPr>
              <w:jc w:val="center"/>
              <w:rPr>
                <w:rFonts w:ascii="宋体" w:hAnsi="宋体" w:cs="宋体"/>
                <w:szCs w:val="21"/>
              </w:rPr>
            </w:pPr>
            <w:r>
              <w:rPr>
                <w:rFonts w:hint="eastAsia" w:ascii="宋体" w:hAnsi="宋体" w:cs="宋体"/>
                <w:szCs w:val="21"/>
              </w:rPr>
              <w:t>6</w:t>
            </w:r>
          </w:p>
        </w:tc>
        <w:tc>
          <w:tcPr>
            <w:tcW w:w="5035" w:type="dxa"/>
            <w:vAlign w:val="center"/>
          </w:tcPr>
          <w:p>
            <w:pPr>
              <w:rPr>
                <w:rFonts w:ascii="宋体" w:hAnsi="宋体" w:cs="宋体"/>
                <w:szCs w:val="21"/>
              </w:rPr>
            </w:pPr>
            <w:r>
              <w:rPr>
                <w:rFonts w:hint="eastAsia" w:ascii="宋体" w:hAnsi="宋体" w:cs="宋体"/>
                <w:szCs w:val="21"/>
              </w:rPr>
              <w:t>电子商务公共服务中心未设立电子商务服务联络点，得0分；若已设立1-5个电子商务服务联络点，得3分；若已设立6-10个电子商务服务联络点，得4分；若已设立11-15个电子商务服务联络点，得5分；若已设立15个以上电子商务服务联络点，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50" w:type="dxa"/>
            <w:vAlign w:val="center"/>
          </w:tcPr>
          <w:p>
            <w:pPr>
              <w:jc w:val="center"/>
              <w:rPr>
                <w:rFonts w:ascii="宋体" w:hAnsi="宋体" w:cs="宋体"/>
                <w:szCs w:val="21"/>
              </w:rPr>
            </w:pPr>
            <w:r>
              <w:rPr>
                <w:rFonts w:hint="eastAsia" w:ascii="宋体" w:hAnsi="宋体" w:cs="宋体"/>
                <w:szCs w:val="21"/>
              </w:rPr>
              <w:t>5</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建立内部管理制度、服务商准入退出机制、服务反馈和监督机制等各类管理制度</w:t>
            </w:r>
          </w:p>
        </w:tc>
        <w:tc>
          <w:tcPr>
            <w:tcW w:w="660" w:type="dxa"/>
            <w:vAlign w:val="center"/>
          </w:tcPr>
          <w:p>
            <w:pPr>
              <w:jc w:val="center"/>
              <w:rPr>
                <w:rFonts w:ascii="宋体" w:hAnsi="宋体" w:cs="宋体"/>
                <w:szCs w:val="21"/>
              </w:rPr>
            </w:pPr>
            <w:r>
              <w:rPr>
                <w:rFonts w:hint="eastAsia" w:ascii="宋体" w:hAnsi="宋体" w:cs="宋体"/>
                <w:szCs w:val="21"/>
              </w:rPr>
              <w:t>6</w:t>
            </w:r>
          </w:p>
        </w:tc>
        <w:tc>
          <w:tcPr>
            <w:tcW w:w="5035" w:type="dxa"/>
            <w:vAlign w:val="center"/>
          </w:tcPr>
          <w:p>
            <w:pPr>
              <w:rPr>
                <w:rFonts w:ascii="宋体" w:hAnsi="宋体" w:cs="宋体"/>
                <w:szCs w:val="21"/>
              </w:rPr>
            </w:pPr>
            <w:r>
              <w:rPr>
                <w:rFonts w:hint="eastAsia" w:ascii="宋体" w:hAnsi="宋体" w:cs="宋体"/>
                <w:szCs w:val="21"/>
              </w:rPr>
              <w:t>电子商务公共服务中心未建立内部管理制度、服务商准入退出机制、服务反馈和监督机制，得0分；已建立内部管理制度、服务商准入退出机制、服务反馈和监督机制等，得基本分3分，并根据管理制度详细程度、管理制度创新性等情况，给予1-3分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6</w:t>
            </w:r>
          </w:p>
        </w:tc>
        <w:tc>
          <w:tcPr>
            <w:tcW w:w="725" w:type="dxa"/>
            <w:vMerge w:val="restart"/>
            <w:vAlign w:val="center"/>
          </w:tcPr>
          <w:p>
            <w:pPr>
              <w:rPr>
                <w:rFonts w:ascii="宋体" w:hAnsi="宋体" w:cs="宋体"/>
                <w:szCs w:val="21"/>
              </w:rPr>
            </w:pPr>
            <w:r>
              <w:rPr>
                <w:rFonts w:hint="eastAsia" w:ascii="宋体" w:hAnsi="宋体" w:cs="宋体"/>
                <w:szCs w:val="21"/>
              </w:rPr>
              <w:t xml:space="preserve"> 服务</w:t>
            </w:r>
          </w:p>
          <w:p>
            <w:pPr>
              <w:jc w:val="center"/>
              <w:rPr>
                <w:rFonts w:ascii="宋体" w:hAnsi="宋体" w:cs="宋体"/>
                <w:szCs w:val="21"/>
              </w:rPr>
            </w:pPr>
            <w:r>
              <w:rPr>
                <w:rFonts w:hint="eastAsia" w:ascii="宋体" w:hAnsi="宋体" w:cs="宋体"/>
                <w:szCs w:val="21"/>
              </w:rPr>
              <w:t>能力</w:t>
            </w:r>
          </w:p>
        </w:tc>
        <w:tc>
          <w:tcPr>
            <w:tcW w:w="2925" w:type="dxa"/>
            <w:vAlign w:val="center"/>
          </w:tcPr>
          <w:p>
            <w:pPr>
              <w:rPr>
                <w:rFonts w:ascii="宋体" w:hAnsi="宋体" w:cs="宋体"/>
                <w:szCs w:val="21"/>
              </w:rPr>
            </w:pPr>
            <w:r>
              <w:rPr>
                <w:rFonts w:hint="eastAsia" w:ascii="宋体" w:hAnsi="宋体" w:cs="宋体"/>
                <w:szCs w:val="21"/>
              </w:rPr>
              <w:t>开展各类电子商务公益培训</w:t>
            </w:r>
          </w:p>
        </w:tc>
        <w:tc>
          <w:tcPr>
            <w:tcW w:w="660" w:type="dxa"/>
            <w:vAlign w:val="center"/>
          </w:tcPr>
          <w:p>
            <w:pPr>
              <w:jc w:val="center"/>
              <w:rPr>
                <w:rFonts w:ascii="宋体" w:hAnsi="宋体" w:cs="宋体"/>
                <w:szCs w:val="21"/>
              </w:rPr>
            </w:pPr>
            <w:r>
              <w:rPr>
                <w:rFonts w:hint="eastAsia" w:ascii="宋体" w:hAnsi="宋体" w:cs="宋体"/>
                <w:szCs w:val="21"/>
              </w:rPr>
              <w:t>10</w:t>
            </w:r>
          </w:p>
        </w:tc>
        <w:tc>
          <w:tcPr>
            <w:tcW w:w="5035" w:type="dxa"/>
            <w:vAlign w:val="center"/>
          </w:tcPr>
          <w:p>
            <w:pPr>
              <w:rPr>
                <w:rFonts w:ascii="宋体" w:hAnsi="宋体" w:cs="宋体"/>
                <w:szCs w:val="21"/>
              </w:rPr>
            </w:pPr>
            <w:r>
              <w:rPr>
                <w:rFonts w:hint="eastAsia" w:ascii="宋体" w:hAnsi="宋体" w:cs="宋体"/>
                <w:szCs w:val="21"/>
              </w:rPr>
              <w:t>电子商务公共服务中心未举办电子商务公益培训，得0分；若举办1-3场电子商务公益培训，得5分；若举办4-7场电子商务公益培训，得8分；若举办8场以上电子商务公益培训，得10分。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7</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承办各类电子商务活动</w:t>
            </w:r>
          </w:p>
        </w:tc>
        <w:tc>
          <w:tcPr>
            <w:tcW w:w="660" w:type="dxa"/>
            <w:vAlign w:val="center"/>
          </w:tcPr>
          <w:p>
            <w:pPr>
              <w:jc w:val="center"/>
              <w:rPr>
                <w:rFonts w:ascii="宋体" w:hAnsi="宋体" w:cs="宋体"/>
                <w:szCs w:val="21"/>
              </w:rPr>
            </w:pPr>
            <w:r>
              <w:rPr>
                <w:rFonts w:hint="eastAsia" w:ascii="宋体" w:hAnsi="宋体" w:cs="宋体"/>
                <w:szCs w:val="21"/>
              </w:rPr>
              <w:t>10</w:t>
            </w:r>
          </w:p>
        </w:tc>
        <w:tc>
          <w:tcPr>
            <w:tcW w:w="5035" w:type="dxa"/>
            <w:vAlign w:val="center"/>
          </w:tcPr>
          <w:p>
            <w:pPr>
              <w:rPr>
                <w:rFonts w:ascii="宋体" w:hAnsi="宋体" w:cs="宋体"/>
                <w:szCs w:val="21"/>
              </w:rPr>
            </w:pPr>
            <w:r>
              <w:rPr>
                <w:rFonts w:hint="eastAsia" w:ascii="宋体" w:hAnsi="宋体" w:cs="宋体"/>
                <w:szCs w:val="21"/>
              </w:rPr>
              <w:t>电子商务公共服务中心未承办电子商务公共服务资源对接会等活动，得0分；若承办2场活动，得5分；若承办4场（含）以上活动，得10分。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50" w:type="dxa"/>
            <w:vAlign w:val="center"/>
          </w:tcPr>
          <w:p>
            <w:pPr>
              <w:jc w:val="center"/>
              <w:rPr>
                <w:rFonts w:ascii="宋体" w:hAnsi="宋体" w:cs="宋体"/>
                <w:szCs w:val="21"/>
              </w:rPr>
            </w:pPr>
            <w:r>
              <w:rPr>
                <w:rFonts w:hint="eastAsia" w:ascii="宋体" w:hAnsi="宋体" w:cs="宋体"/>
                <w:szCs w:val="21"/>
              </w:rPr>
              <w:t>8</w:t>
            </w:r>
          </w:p>
        </w:tc>
        <w:tc>
          <w:tcPr>
            <w:tcW w:w="725" w:type="dxa"/>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加强宣传引导、拥有宣传平台</w:t>
            </w:r>
          </w:p>
        </w:tc>
        <w:tc>
          <w:tcPr>
            <w:tcW w:w="660" w:type="dxa"/>
            <w:vAlign w:val="center"/>
          </w:tcPr>
          <w:p>
            <w:pPr>
              <w:jc w:val="center"/>
              <w:rPr>
                <w:rFonts w:ascii="宋体" w:hAnsi="宋体" w:cs="宋体"/>
                <w:szCs w:val="21"/>
              </w:rPr>
            </w:pPr>
            <w:r>
              <w:rPr>
                <w:rFonts w:hint="eastAsia" w:ascii="宋体" w:hAnsi="宋体" w:cs="宋体"/>
                <w:szCs w:val="21"/>
              </w:rPr>
              <w:t>10</w:t>
            </w:r>
          </w:p>
        </w:tc>
        <w:tc>
          <w:tcPr>
            <w:tcW w:w="5035" w:type="dxa"/>
            <w:vAlign w:val="center"/>
          </w:tcPr>
          <w:p>
            <w:pPr>
              <w:rPr>
                <w:rFonts w:ascii="宋体" w:hAnsi="宋体" w:cs="宋体"/>
                <w:szCs w:val="21"/>
              </w:rPr>
            </w:pPr>
            <w:r>
              <w:rPr>
                <w:rFonts w:hint="eastAsia" w:ascii="宋体" w:hAnsi="宋体" w:cs="宋体"/>
                <w:szCs w:val="21"/>
              </w:rPr>
              <w:t>电子商务公共服务中心无宣传平台，得0分；</w:t>
            </w:r>
            <w:r>
              <w:rPr>
                <w:rFonts w:hint="eastAsia" w:ascii="宋体" w:hAnsi="宋体" w:cs="宋体"/>
                <w:color w:val="000000"/>
                <w:szCs w:val="21"/>
              </w:rPr>
              <w:t>建成运营“慈溪市电子商务公共服务中心”网站</w:t>
            </w:r>
            <w:r>
              <w:rPr>
                <w:rFonts w:hint="eastAsia" w:ascii="宋体" w:hAnsi="宋体" w:cs="宋体"/>
                <w:szCs w:val="21"/>
              </w:rPr>
              <w:t>，得3分，</w:t>
            </w:r>
            <w:r>
              <w:rPr>
                <w:rFonts w:hint="eastAsia" w:ascii="宋体" w:hAnsi="宋体" w:cs="宋体"/>
                <w:color w:val="000000"/>
                <w:szCs w:val="21"/>
              </w:rPr>
              <w:t>建成运营“慈溪市电子商务公共服务中心”微信公众号</w:t>
            </w:r>
            <w:r>
              <w:rPr>
                <w:rFonts w:hint="eastAsia" w:ascii="宋体" w:hAnsi="宋体" w:cs="宋体"/>
                <w:szCs w:val="21"/>
              </w:rPr>
              <w:t>得3分，并根据平台形式、运营情况、平台用户数量等情况，给予1-4分加分。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9</w:t>
            </w:r>
          </w:p>
        </w:tc>
        <w:tc>
          <w:tcPr>
            <w:tcW w:w="725" w:type="dxa"/>
            <w:vMerge w:val="restart"/>
            <w:vAlign w:val="center"/>
          </w:tcPr>
          <w:p>
            <w:pPr>
              <w:ind w:firstLine="105" w:firstLineChars="50"/>
              <w:rPr>
                <w:rFonts w:ascii="宋体" w:hAnsi="宋体" w:cs="宋体"/>
                <w:szCs w:val="21"/>
              </w:rPr>
            </w:pPr>
            <w:r>
              <w:rPr>
                <w:rFonts w:hint="eastAsia" w:ascii="宋体" w:hAnsi="宋体" w:cs="宋体"/>
                <w:szCs w:val="21"/>
              </w:rPr>
              <w:t>配套</w:t>
            </w:r>
          </w:p>
          <w:p>
            <w:pPr>
              <w:jc w:val="center"/>
              <w:rPr>
                <w:rFonts w:ascii="宋体" w:hAnsi="宋体" w:cs="宋体"/>
                <w:szCs w:val="21"/>
              </w:rPr>
            </w:pPr>
            <w:r>
              <w:rPr>
                <w:rFonts w:hint="eastAsia" w:ascii="宋体" w:hAnsi="宋体" w:cs="宋体"/>
                <w:szCs w:val="21"/>
              </w:rPr>
              <w:t>保障</w:t>
            </w:r>
          </w:p>
        </w:tc>
        <w:tc>
          <w:tcPr>
            <w:tcW w:w="2925" w:type="dxa"/>
            <w:vAlign w:val="center"/>
          </w:tcPr>
          <w:p>
            <w:pPr>
              <w:rPr>
                <w:rFonts w:ascii="宋体" w:hAnsi="宋体" w:cs="宋体"/>
                <w:szCs w:val="21"/>
              </w:rPr>
            </w:pPr>
            <w:r>
              <w:rPr>
                <w:rFonts w:hint="eastAsia" w:ascii="宋体" w:hAnsi="宋体" w:cs="宋体"/>
                <w:szCs w:val="21"/>
              </w:rPr>
              <w:t>建立内部考核责任细则</w:t>
            </w:r>
          </w:p>
        </w:tc>
        <w:tc>
          <w:tcPr>
            <w:tcW w:w="660" w:type="dxa"/>
            <w:vAlign w:val="center"/>
          </w:tcPr>
          <w:p>
            <w:pPr>
              <w:jc w:val="center"/>
              <w:rPr>
                <w:rFonts w:ascii="宋体" w:hAnsi="宋体" w:cs="宋体"/>
                <w:szCs w:val="21"/>
              </w:rPr>
            </w:pPr>
            <w:r>
              <w:rPr>
                <w:rFonts w:hint="eastAsia" w:ascii="宋体" w:hAnsi="宋体" w:cs="宋体"/>
                <w:szCs w:val="21"/>
              </w:rPr>
              <w:t>5</w:t>
            </w:r>
          </w:p>
        </w:tc>
        <w:tc>
          <w:tcPr>
            <w:tcW w:w="5035" w:type="dxa"/>
            <w:vAlign w:val="center"/>
          </w:tcPr>
          <w:p>
            <w:pPr>
              <w:rPr>
                <w:rFonts w:ascii="宋体" w:hAnsi="宋体" w:cs="宋体"/>
                <w:szCs w:val="21"/>
              </w:rPr>
            </w:pPr>
            <w:r>
              <w:rPr>
                <w:rFonts w:hint="eastAsia" w:ascii="宋体" w:hAnsi="宋体" w:cs="宋体"/>
                <w:szCs w:val="21"/>
              </w:rPr>
              <w:t>电子商务公共服务中心未制定内部考核责任细则，得0分；已制定内部考核责任细则，得基本分3分，并根据考核制度详细程度、考核制度执行程度等情况，给予1-2分的加分。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10</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制定工作实施计划</w:t>
            </w:r>
          </w:p>
        </w:tc>
        <w:tc>
          <w:tcPr>
            <w:tcW w:w="660" w:type="dxa"/>
            <w:vAlign w:val="center"/>
          </w:tcPr>
          <w:p>
            <w:pPr>
              <w:jc w:val="center"/>
              <w:rPr>
                <w:rFonts w:ascii="宋体" w:hAnsi="宋体" w:cs="宋体"/>
                <w:szCs w:val="21"/>
              </w:rPr>
            </w:pPr>
            <w:r>
              <w:rPr>
                <w:rFonts w:hint="eastAsia" w:ascii="宋体" w:hAnsi="宋体" w:cs="宋体"/>
                <w:szCs w:val="21"/>
              </w:rPr>
              <w:t>5</w:t>
            </w:r>
          </w:p>
        </w:tc>
        <w:tc>
          <w:tcPr>
            <w:tcW w:w="5035" w:type="dxa"/>
            <w:vAlign w:val="center"/>
          </w:tcPr>
          <w:p>
            <w:pPr>
              <w:rPr>
                <w:rFonts w:ascii="宋体" w:hAnsi="宋体" w:cs="宋体"/>
                <w:szCs w:val="21"/>
              </w:rPr>
            </w:pPr>
            <w:r>
              <w:rPr>
                <w:rFonts w:hint="eastAsia" w:ascii="宋体" w:hAnsi="宋体" w:cs="宋体"/>
                <w:szCs w:val="21"/>
              </w:rPr>
              <w:t>电子商务公共服务中心未制定工作实施计划，得0分；已制定工作实施计划，得基本分3分，并根据工作计划内容实用性、重点工作落实效果等情况，给予1-2分加分。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50" w:type="dxa"/>
            <w:vAlign w:val="center"/>
          </w:tcPr>
          <w:p>
            <w:pPr>
              <w:jc w:val="center"/>
              <w:rPr>
                <w:rFonts w:ascii="宋体" w:hAnsi="宋体" w:cs="宋体"/>
                <w:szCs w:val="21"/>
              </w:rPr>
            </w:pPr>
            <w:r>
              <w:rPr>
                <w:rFonts w:hint="eastAsia" w:ascii="宋体" w:hAnsi="宋体" w:cs="宋体"/>
                <w:szCs w:val="21"/>
              </w:rPr>
              <w:t>11</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组建电子商务专家库</w:t>
            </w:r>
          </w:p>
        </w:tc>
        <w:tc>
          <w:tcPr>
            <w:tcW w:w="660" w:type="dxa"/>
            <w:vAlign w:val="center"/>
          </w:tcPr>
          <w:p>
            <w:pPr>
              <w:jc w:val="center"/>
              <w:rPr>
                <w:rFonts w:ascii="宋体" w:hAnsi="宋体" w:cs="宋体"/>
                <w:szCs w:val="21"/>
              </w:rPr>
            </w:pPr>
            <w:r>
              <w:rPr>
                <w:rFonts w:hint="eastAsia" w:ascii="宋体" w:hAnsi="宋体" w:cs="宋体"/>
                <w:szCs w:val="21"/>
              </w:rPr>
              <w:t>10</w:t>
            </w:r>
          </w:p>
        </w:tc>
        <w:tc>
          <w:tcPr>
            <w:tcW w:w="5035" w:type="dxa"/>
            <w:vAlign w:val="center"/>
          </w:tcPr>
          <w:p>
            <w:pPr>
              <w:rPr>
                <w:rFonts w:ascii="宋体" w:hAnsi="宋体" w:cs="宋体"/>
                <w:szCs w:val="21"/>
              </w:rPr>
            </w:pPr>
            <w:r>
              <w:rPr>
                <w:rFonts w:hint="eastAsia" w:ascii="宋体" w:hAnsi="宋体" w:cs="宋体"/>
                <w:szCs w:val="21"/>
              </w:rPr>
              <w:t>未组建慈溪市电子商务专家库得0分；完成组建慈溪市电子商务专家库得3分；每年发布慈溪市电子商务发展报告得3分；围绕电子商务等商务经济发展中遇到的困难和瓶颈，每年开展1-2项的课题研究，每开展一项得2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12</w:t>
            </w:r>
          </w:p>
        </w:tc>
        <w:tc>
          <w:tcPr>
            <w:tcW w:w="725" w:type="dxa"/>
            <w:vMerge w:val="restart"/>
            <w:vAlign w:val="center"/>
          </w:tcPr>
          <w:p>
            <w:pPr>
              <w:rPr>
                <w:rFonts w:ascii="宋体" w:hAnsi="宋体" w:cs="宋体"/>
                <w:szCs w:val="21"/>
              </w:rPr>
            </w:pPr>
          </w:p>
          <w:p>
            <w:pPr>
              <w:jc w:val="center"/>
              <w:rPr>
                <w:rFonts w:ascii="宋体" w:hAnsi="宋体" w:cs="宋体"/>
                <w:szCs w:val="21"/>
              </w:rPr>
            </w:pPr>
            <w:r>
              <w:rPr>
                <w:rFonts w:hint="eastAsia" w:ascii="宋体" w:hAnsi="宋体" w:cs="宋体"/>
                <w:szCs w:val="21"/>
              </w:rPr>
              <w:t>沟通</w:t>
            </w:r>
          </w:p>
          <w:p>
            <w:pPr>
              <w:jc w:val="center"/>
              <w:rPr>
                <w:rFonts w:ascii="宋体" w:hAnsi="宋体" w:cs="宋体"/>
                <w:szCs w:val="21"/>
              </w:rPr>
            </w:pPr>
            <w:r>
              <w:rPr>
                <w:rFonts w:hint="eastAsia" w:ascii="宋体" w:hAnsi="宋体" w:cs="宋体"/>
                <w:szCs w:val="21"/>
              </w:rPr>
              <w:t>联络</w:t>
            </w:r>
          </w:p>
        </w:tc>
        <w:tc>
          <w:tcPr>
            <w:tcW w:w="2925" w:type="dxa"/>
            <w:vAlign w:val="center"/>
          </w:tcPr>
          <w:p>
            <w:pPr>
              <w:rPr>
                <w:rFonts w:ascii="宋体" w:hAnsi="宋体" w:cs="宋体"/>
                <w:szCs w:val="21"/>
              </w:rPr>
            </w:pPr>
            <w:r>
              <w:rPr>
                <w:rFonts w:hint="eastAsia" w:ascii="宋体" w:hAnsi="宋体" w:cs="宋体"/>
                <w:szCs w:val="21"/>
              </w:rPr>
              <w:t>定期报送统计数据</w:t>
            </w:r>
          </w:p>
        </w:tc>
        <w:tc>
          <w:tcPr>
            <w:tcW w:w="660" w:type="dxa"/>
            <w:vAlign w:val="center"/>
          </w:tcPr>
          <w:p>
            <w:pPr>
              <w:jc w:val="center"/>
              <w:rPr>
                <w:rFonts w:ascii="宋体" w:hAnsi="宋体" w:cs="宋体"/>
                <w:szCs w:val="21"/>
              </w:rPr>
            </w:pPr>
            <w:r>
              <w:rPr>
                <w:rFonts w:hint="eastAsia" w:ascii="宋体" w:hAnsi="宋体" w:cs="宋体"/>
                <w:szCs w:val="21"/>
              </w:rPr>
              <w:t>5</w:t>
            </w:r>
          </w:p>
        </w:tc>
        <w:tc>
          <w:tcPr>
            <w:tcW w:w="5035" w:type="dxa"/>
            <w:vAlign w:val="center"/>
          </w:tcPr>
          <w:p>
            <w:pPr>
              <w:rPr>
                <w:rFonts w:ascii="宋体" w:hAnsi="宋体" w:cs="宋体"/>
                <w:szCs w:val="21"/>
              </w:rPr>
            </w:pPr>
            <w:r>
              <w:rPr>
                <w:rFonts w:hint="eastAsia" w:ascii="宋体" w:hAnsi="宋体" w:cs="宋体"/>
                <w:szCs w:val="21"/>
              </w:rPr>
              <w:t>未按要求报送统计数据，得0分；按时报送，得基本分3分，并根据上报真实性，给予1-2分加分。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13</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规范使用统一标识</w:t>
            </w:r>
          </w:p>
        </w:tc>
        <w:tc>
          <w:tcPr>
            <w:tcW w:w="660" w:type="dxa"/>
            <w:vAlign w:val="center"/>
          </w:tcPr>
          <w:p>
            <w:pPr>
              <w:jc w:val="center"/>
              <w:rPr>
                <w:rFonts w:ascii="宋体" w:hAnsi="宋体" w:cs="宋体"/>
                <w:szCs w:val="21"/>
              </w:rPr>
            </w:pPr>
            <w:r>
              <w:rPr>
                <w:rFonts w:hint="eastAsia" w:ascii="宋体" w:hAnsi="宋体" w:cs="宋体"/>
                <w:szCs w:val="21"/>
              </w:rPr>
              <w:t>5</w:t>
            </w:r>
          </w:p>
        </w:tc>
        <w:tc>
          <w:tcPr>
            <w:tcW w:w="5035" w:type="dxa"/>
            <w:vAlign w:val="center"/>
          </w:tcPr>
          <w:p>
            <w:pPr>
              <w:rPr>
                <w:rFonts w:ascii="宋体" w:hAnsi="宋体" w:cs="宋体"/>
                <w:szCs w:val="21"/>
              </w:rPr>
            </w:pPr>
            <w:r>
              <w:rPr>
                <w:rFonts w:hint="eastAsia" w:ascii="宋体" w:hAnsi="宋体" w:cs="宋体"/>
                <w:szCs w:val="21"/>
              </w:rPr>
              <w:t>电子商务公共服务中心未规范使用统一标识，得0分；规范使用统一标识，得基本分3分，并根据标识使用规范程度、频率、范围等情况，给予1-2分加分。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14</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及时向商务主管部门报送信息及总结</w:t>
            </w:r>
          </w:p>
        </w:tc>
        <w:tc>
          <w:tcPr>
            <w:tcW w:w="660" w:type="dxa"/>
            <w:vAlign w:val="center"/>
          </w:tcPr>
          <w:p>
            <w:pPr>
              <w:jc w:val="center"/>
              <w:rPr>
                <w:rFonts w:ascii="宋体" w:hAnsi="宋体" w:cs="宋体"/>
                <w:szCs w:val="21"/>
              </w:rPr>
            </w:pPr>
            <w:r>
              <w:rPr>
                <w:rFonts w:hint="eastAsia" w:ascii="宋体" w:hAnsi="宋体" w:cs="宋体"/>
                <w:szCs w:val="21"/>
              </w:rPr>
              <w:t>8</w:t>
            </w:r>
          </w:p>
        </w:tc>
        <w:tc>
          <w:tcPr>
            <w:tcW w:w="5035" w:type="dxa"/>
            <w:vAlign w:val="center"/>
          </w:tcPr>
          <w:p>
            <w:pPr>
              <w:rPr>
                <w:rFonts w:ascii="宋体" w:hAnsi="宋体" w:cs="宋体"/>
                <w:szCs w:val="21"/>
              </w:rPr>
            </w:pPr>
            <w:r>
              <w:rPr>
                <w:rFonts w:hint="eastAsia" w:ascii="宋体" w:hAnsi="宋体" w:cs="宋体"/>
                <w:szCs w:val="21"/>
              </w:rPr>
              <w:t>电子商务公共服务中心未报送总结，得0分；报送总结，得基本分3分；平均每月报送2则以上信息得3分；每月报送4则以上信息得5分。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15</w:t>
            </w:r>
          </w:p>
        </w:tc>
        <w:tc>
          <w:tcPr>
            <w:tcW w:w="725" w:type="dxa"/>
            <w:vMerge w:val="continue"/>
            <w:vAlign w:val="center"/>
          </w:tcPr>
          <w:p>
            <w:pPr>
              <w:jc w:val="center"/>
              <w:rPr>
                <w:rFonts w:ascii="宋体" w:hAnsi="宋体" w:cs="宋体"/>
                <w:szCs w:val="21"/>
              </w:rPr>
            </w:pPr>
          </w:p>
        </w:tc>
        <w:tc>
          <w:tcPr>
            <w:tcW w:w="2925" w:type="dxa"/>
            <w:vAlign w:val="center"/>
          </w:tcPr>
          <w:p>
            <w:pPr>
              <w:rPr>
                <w:rFonts w:ascii="宋体" w:hAnsi="宋体" w:cs="宋体"/>
                <w:szCs w:val="21"/>
              </w:rPr>
            </w:pPr>
            <w:r>
              <w:rPr>
                <w:rFonts w:hint="eastAsia" w:ascii="宋体" w:hAnsi="宋体" w:cs="宋体"/>
                <w:szCs w:val="21"/>
              </w:rPr>
              <w:t>参加省市等组织的电子商务公共服务中心相关会议</w:t>
            </w:r>
          </w:p>
        </w:tc>
        <w:tc>
          <w:tcPr>
            <w:tcW w:w="660" w:type="dxa"/>
            <w:vAlign w:val="center"/>
          </w:tcPr>
          <w:p>
            <w:pPr>
              <w:jc w:val="center"/>
              <w:rPr>
                <w:rFonts w:ascii="宋体" w:hAnsi="宋体" w:cs="宋体"/>
                <w:szCs w:val="21"/>
              </w:rPr>
            </w:pPr>
            <w:r>
              <w:rPr>
                <w:rFonts w:hint="eastAsia" w:ascii="宋体" w:hAnsi="宋体" w:cs="宋体"/>
                <w:szCs w:val="21"/>
              </w:rPr>
              <w:t>2</w:t>
            </w:r>
          </w:p>
        </w:tc>
        <w:tc>
          <w:tcPr>
            <w:tcW w:w="5035" w:type="dxa"/>
            <w:vAlign w:val="center"/>
          </w:tcPr>
          <w:p>
            <w:pPr>
              <w:rPr>
                <w:rFonts w:ascii="宋体" w:hAnsi="宋体" w:cs="宋体"/>
                <w:szCs w:val="21"/>
              </w:rPr>
            </w:pPr>
            <w:r>
              <w:rPr>
                <w:rFonts w:hint="eastAsia" w:ascii="宋体" w:hAnsi="宋体" w:cs="宋体"/>
                <w:szCs w:val="21"/>
              </w:rPr>
              <w:t>电子商务公共服务中心未参加相关会议，得0分；参加相关会议，得基本分2分。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jc w:val="center"/>
              <w:rPr>
                <w:rFonts w:ascii="宋体" w:hAnsi="宋体" w:cs="宋体"/>
                <w:szCs w:val="21"/>
              </w:rPr>
            </w:pPr>
            <w:r>
              <w:rPr>
                <w:rFonts w:hint="eastAsia" w:ascii="宋体" w:hAnsi="宋体" w:cs="宋体"/>
                <w:szCs w:val="21"/>
              </w:rPr>
              <w:t>16</w:t>
            </w:r>
          </w:p>
        </w:tc>
        <w:tc>
          <w:tcPr>
            <w:tcW w:w="725" w:type="dxa"/>
            <w:vAlign w:val="center"/>
          </w:tcPr>
          <w:p>
            <w:pPr>
              <w:jc w:val="center"/>
              <w:rPr>
                <w:rFonts w:ascii="宋体" w:hAnsi="宋体" w:cs="宋体"/>
                <w:szCs w:val="21"/>
              </w:rPr>
            </w:pPr>
            <w:r>
              <w:rPr>
                <w:rFonts w:hint="eastAsia" w:ascii="宋体" w:hAnsi="宋体" w:cs="宋体"/>
                <w:szCs w:val="21"/>
              </w:rPr>
              <w:t>加分项目</w:t>
            </w:r>
          </w:p>
        </w:tc>
        <w:tc>
          <w:tcPr>
            <w:tcW w:w="2925" w:type="dxa"/>
            <w:vAlign w:val="center"/>
          </w:tcPr>
          <w:p>
            <w:pPr>
              <w:rPr>
                <w:rFonts w:ascii="宋体" w:hAnsi="宋体" w:cs="宋体"/>
                <w:szCs w:val="21"/>
              </w:rPr>
            </w:pPr>
            <w:r>
              <w:rPr>
                <w:rFonts w:hint="eastAsia" w:ascii="宋体" w:hAnsi="宋体" w:cs="宋体"/>
                <w:szCs w:val="21"/>
              </w:rPr>
              <w:t>获得各级政府荣誉、称号、表彰</w:t>
            </w:r>
          </w:p>
        </w:tc>
        <w:tc>
          <w:tcPr>
            <w:tcW w:w="660" w:type="dxa"/>
            <w:vAlign w:val="center"/>
          </w:tcPr>
          <w:p>
            <w:pPr>
              <w:ind w:firstLine="210" w:firstLineChars="100"/>
              <w:rPr>
                <w:rFonts w:ascii="宋体" w:hAnsi="宋体" w:cs="宋体"/>
                <w:szCs w:val="21"/>
              </w:rPr>
            </w:pPr>
            <w:r>
              <w:rPr>
                <w:rFonts w:hint="eastAsia" w:ascii="宋体" w:hAnsi="宋体" w:cs="宋体"/>
                <w:szCs w:val="21"/>
              </w:rPr>
              <w:t>5</w:t>
            </w:r>
          </w:p>
        </w:tc>
        <w:tc>
          <w:tcPr>
            <w:tcW w:w="5035" w:type="dxa"/>
            <w:vAlign w:val="center"/>
          </w:tcPr>
          <w:p>
            <w:pPr>
              <w:rPr>
                <w:rFonts w:ascii="宋体" w:hAnsi="宋体" w:cs="宋体"/>
                <w:szCs w:val="21"/>
              </w:rPr>
            </w:pPr>
            <w:r>
              <w:rPr>
                <w:rFonts w:hint="eastAsia" w:ascii="宋体" w:hAnsi="宋体" w:cs="宋体"/>
                <w:szCs w:val="21"/>
              </w:rPr>
              <w:t>获得慈溪、宁波、省、全国级别荣誉、称号、表彰的分别得1分、2分、3分、5分。</w:t>
            </w:r>
          </w:p>
        </w:tc>
      </w:tr>
    </w:tbl>
    <w:p/>
    <w:p>
      <w:pPr>
        <w:spacing w:line="560" w:lineRule="exact"/>
        <w:rPr>
          <w:rFonts w:hint="eastAsia" w:ascii="仿宋" w:hAnsi="仿宋" w:eastAsia="仿宋"/>
          <w:sz w:val="32"/>
          <w:szCs w:val="25"/>
          <w:lang w:eastAsia="zh-CN"/>
        </w:rPr>
      </w:pPr>
      <w:r>
        <w:rPr>
          <w:rFonts w:hint="eastAsia" w:ascii="仿宋" w:hAnsi="仿宋" w:eastAsia="仿宋"/>
          <w:sz w:val="32"/>
          <w:szCs w:val="25"/>
          <w:lang w:eastAsia="zh-CN"/>
        </w:rPr>
        <w:t>附件三：</w:t>
      </w:r>
    </w:p>
    <w:p>
      <w:pPr>
        <w:spacing w:line="560" w:lineRule="exact"/>
        <w:ind w:firstLine="1084" w:firstLineChars="300"/>
        <w:jc w:val="both"/>
        <w:rPr>
          <w:rFonts w:hint="eastAsia" w:ascii="方正小标宋简体" w:hAnsi="方正大标宋简体" w:eastAsia="方正小标宋简体" w:cs="方正大标宋简体"/>
          <w:b/>
          <w:bCs/>
          <w:sz w:val="36"/>
          <w:szCs w:val="36"/>
        </w:rPr>
      </w:pPr>
      <w:r>
        <w:rPr>
          <w:rFonts w:hint="eastAsia" w:ascii="方正小标宋简体" w:hAnsi="方正大标宋简体" w:eastAsia="方正小标宋简体" w:cs="方正大标宋简体"/>
          <w:b/>
          <w:bCs/>
          <w:sz w:val="36"/>
          <w:szCs w:val="36"/>
        </w:rPr>
        <w:t>慈溪市商贸流通领域扶持政策资金申请表</w:t>
      </w:r>
    </w:p>
    <w:p>
      <w:pPr>
        <w:spacing w:line="560" w:lineRule="exact"/>
        <w:jc w:val="center"/>
        <w:rPr>
          <w:rFonts w:hint="eastAsia" w:ascii="方正小标宋简体" w:hAnsi="方正小标宋简体" w:eastAsia="方正小标宋简体" w:cs="方正小标宋简体"/>
          <w:b/>
          <w:bCs/>
          <w:sz w:val="36"/>
          <w:szCs w:val="36"/>
        </w:rPr>
      </w:pPr>
    </w:p>
    <w:tbl>
      <w:tblPr>
        <w:tblStyle w:val="7"/>
        <w:tblpPr w:leftFromText="180" w:rightFromText="180" w:vertAnchor="text" w:horzAnchor="page" w:tblpXSpec="center" w:tblpY="3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409"/>
        <w:gridCol w:w="1111"/>
        <w:gridCol w:w="2309"/>
        <w:gridCol w:w="144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65" w:type="dxa"/>
            <w:noWrap w:val="0"/>
            <w:vAlign w:val="center"/>
          </w:tcPr>
          <w:p>
            <w:pPr>
              <w:spacing w:line="320" w:lineRule="exact"/>
              <w:jc w:val="center"/>
              <w:rPr>
                <w:rFonts w:hint="eastAsia" w:ascii="仿宋_GB2312" w:eastAsia="仿宋_GB2312"/>
                <w:spacing w:val="-20"/>
                <w:sz w:val="24"/>
              </w:rPr>
            </w:pPr>
            <w:r>
              <w:rPr>
                <w:rFonts w:hint="eastAsia" w:ascii="仿宋_GB2312" w:eastAsia="仿宋_GB2312"/>
                <w:spacing w:val="-20"/>
                <w:sz w:val="24"/>
              </w:rPr>
              <w:t>申报单位</w:t>
            </w:r>
          </w:p>
        </w:tc>
        <w:tc>
          <w:tcPr>
            <w:tcW w:w="7815" w:type="dxa"/>
            <w:gridSpan w:val="5"/>
            <w:noWrap w:val="0"/>
            <w:vAlign w:val="center"/>
          </w:tcPr>
          <w:p>
            <w:pPr>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5" w:type="dxa"/>
            <w:noWrap w:val="0"/>
            <w:vAlign w:val="center"/>
          </w:tcPr>
          <w:p>
            <w:pPr>
              <w:spacing w:line="320" w:lineRule="exact"/>
              <w:jc w:val="center"/>
              <w:rPr>
                <w:rFonts w:hint="eastAsia" w:ascii="仿宋_GB2312" w:eastAsia="仿宋_GB2312"/>
                <w:spacing w:val="-20"/>
                <w:sz w:val="24"/>
              </w:rPr>
            </w:pPr>
            <w:r>
              <w:rPr>
                <w:rFonts w:hint="eastAsia" w:ascii="仿宋_GB2312" w:eastAsia="仿宋_GB2312"/>
                <w:spacing w:val="-20"/>
                <w:sz w:val="24"/>
              </w:rPr>
              <w:t>单位地址</w:t>
            </w:r>
          </w:p>
        </w:tc>
        <w:tc>
          <w:tcPr>
            <w:tcW w:w="4829" w:type="dxa"/>
            <w:gridSpan w:val="3"/>
            <w:noWrap w:val="0"/>
            <w:vAlign w:val="center"/>
          </w:tcPr>
          <w:p>
            <w:pPr>
              <w:spacing w:line="320" w:lineRule="exact"/>
              <w:rPr>
                <w:rFonts w:hint="eastAsia" w:ascii="仿宋_GB2312" w:eastAsia="仿宋_GB2312"/>
                <w:sz w:val="24"/>
              </w:rPr>
            </w:pPr>
          </w:p>
        </w:tc>
        <w:tc>
          <w:tcPr>
            <w:tcW w:w="1440"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所属镇</w:t>
            </w:r>
          </w:p>
          <w:p>
            <w:pPr>
              <w:spacing w:line="320" w:lineRule="exact"/>
              <w:jc w:val="center"/>
              <w:rPr>
                <w:rFonts w:hint="eastAsia" w:ascii="仿宋_GB2312" w:eastAsia="仿宋_GB2312"/>
                <w:sz w:val="24"/>
              </w:rPr>
            </w:pPr>
            <w:r>
              <w:rPr>
                <w:rFonts w:hint="eastAsia" w:ascii="仿宋_GB2312" w:eastAsia="仿宋_GB2312"/>
                <w:sz w:val="24"/>
              </w:rPr>
              <w:t>（街道）</w:t>
            </w:r>
          </w:p>
        </w:tc>
        <w:tc>
          <w:tcPr>
            <w:tcW w:w="1546" w:type="dxa"/>
            <w:noWrap w:val="0"/>
            <w:vAlign w:val="center"/>
          </w:tcPr>
          <w:p>
            <w:pPr>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5"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法 定</w:t>
            </w:r>
          </w:p>
          <w:p>
            <w:pPr>
              <w:spacing w:line="320" w:lineRule="exact"/>
              <w:jc w:val="center"/>
              <w:rPr>
                <w:rFonts w:hint="eastAsia" w:ascii="仿宋_GB2312" w:eastAsia="仿宋_GB2312"/>
                <w:sz w:val="24"/>
              </w:rPr>
            </w:pPr>
            <w:r>
              <w:rPr>
                <w:rFonts w:hint="eastAsia" w:ascii="仿宋_GB2312" w:eastAsia="仿宋_GB2312"/>
                <w:sz w:val="24"/>
              </w:rPr>
              <w:t>代表人</w:t>
            </w:r>
          </w:p>
        </w:tc>
        <w:tc>
          <w:tcPr>
            <w:tcW w:w="1409" w:type="dxa"/>
            <w:noWrap w:val="0"/>
            <w:vAlign w:val="center"/>
          </w:tcPr>
          <w:p>
            <w:pPr>
              <w:spacing w:line="320" w:lineRule="exact"/>
              <w:rPr>
                <w:rFonts w:hint="eastAsia" w:ascii="仿宋_GB2312" w:eastAsia="仿宋_GB2312"/>
                <w:sz w:val="24"/>
              </w:rPr>
            </w:pPr>
          </w:p>
        </w:tc>
        <w:tc>
          <w:tcPr>
            <w:tcW w:w="1111"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身份证号 码</w:t>
            </w:r>
          </w:p>
        </w:tc>
        <w:tc>
          <w:tcPr>
            <w:tcW w:w="2309" w:type="dxa"/>
            <w:noWrap w:val="0"/>
            <w:vAlign w:val="center"/>
          </w:tcPr>
          <w:p>
            <w:pPr>
              <w:spacing w:line="320" w:lineRule="exact"/>
              <w:rPr>
                <w:rFonts w:hint="eastAsia" w:ascii="仿宋_GB2312" w:eastAsia="仿宋_GB2312"/>
                <w:sz w:val="24"/>
              </w:rPr>
            </w:pPr>
          </w:p>
        </w:tc>
        <w:tc>
          <w:tcPr>
            <w:tcW w:w="1440"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联系电话</w:t>
            </w:r>
          </w:p>
        </w:tc>
        <w:tc>
          <w:tcPr>
            <w:tcW w:w="1546" w:type="dxa"/>
            <w:noWrap w:val="0"/>
            <w:vAlign w:val="center"/>
          </w:tcPr>
          <w:p>
            <w:pPr>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65" w:type="dxa"/>
            <w:vMerge w:val="restart"/>
            <w:noWrap w:val="0"/>
            <w:vAlign w:val="center"/>
          </w:tcPr>
          <w:p>
            <w:pPr>
              <w:spacing w:line="320" w:lineRule="exact"/>
              <w:rPr>
                <w:rFonts w:hint="eastAsia" w:ascii="仿宋_GB2312" w:eastAsia="仿宋_GB2312"/>
                <w:sz w:val="24"/>
              </w:rPr>
            </w:pPr>
            <w:r>
              <w:rPr>
                <w:rFonts w:hint="eastAsia" w:ascii="仿宋_GB2312" w:eastAsia="仿宋_GB2312"/>
                <w:sz w:val="24"/>
              </w:rPr>
              <w:t>开户银行（具体到支行）</w:t>
            </w:r>
          </w:p>
          <w:p>
            <w:pPr>
              <w:spacing w:line="320" w:lineRule="exact"/>
              <w:rPr>
                <w:rFonts w:hint="eastAsia" w:ascii="仿宋_GB2312" w:eastAsia="仿宋_GB2312"/>
                <w:sz w:val="24"/>
              </w:rPr>
            </w:pPr>
          </w:p>
        </w:tc>
        <w:tc>
          <w:tcPr>
            <w:tcW w:w="1409" w:type="dxa"/>
            <w:vMerge w:val="restart"/>
            <w:noWrap w:val="0"/>
            <w:vAlign w:val="center"/>
          </w:tcPr>
          <w:p>
            <w:pPr>
              <w:spacing w:line="320" w:lineRule="exact"/>
              <w:rPr>
                <w:rFonts w:hint="eastAsia" w:ascii="仿宋_GB2312" w:eastAsia="仿宋_GB2312"/>
                <w:sz w:val="24"/>
              </w:rPr>
            </w:pPr>
          </w:p>
        </w:tc>
        <w:tc>
          <w:tcPr>
            <w:tcW w:w="1111" w:type="dxa"/>
            <w:noWrap w:val="0"/>
            <w:vAlign w:val="center"/>
          </w:tcPr>
          <w:p>
            <w:pPr>
              <w:spacing w:line="320" w:lineRule="exact"/>
              <w:rPr>
                <w:rFonts w:hint="eastAsia" w:ascii="仿宋_GB2312" w:eastAsia="仿宋_GB2312"/>
                <w:sz w:val="24"/>
              </w:rPr>
            </w:pPr>
            <w:r>
              <w:rPr>
                <w:rFonts w:hint="eastAsia" w:ascii="仿宋_GB2312" w:eastAsia="仿宋_GB2312"/>
                <w:sz w:val="24"/>
              </w:rPr>
              <w:t>开户名</w:t>
            </w:r>
          </w:p>
        </w:tc>
        <w:tc>
          <w:tcPr>
            <w:tcW w:w="2309" w:type="dxa"/>
            <w:noWrap w:val="0"/>
            <w:vAlign w:val="center"/>
          </w:tcPr>
          <w:p>
            <w:pPr>
              <w:spacing w:line="320" w:lineRule="exact"/>
              <w:rPr>
                <w:rFonts w:hint="eastAsia" w:ascii="仿宋_GB2312" w:eastAsia="仿宋_GB2312"/>
                <w:sz w:val="24"/>
              </w:rPr>
            </w:pPr>
          </w:p>
        </w:tc>
        <w:tc>
          <w:tcPr>
            <w:tcW w:w="1440" w:type="dxa"/>
            <w:vMerge w:val="restart"/>
            <w:noWrap w:val="0"/>
            <w:vAlign w:val="center"/>
          </w:tcPr>
          <w:p>
            <w:pPr>
              <w:spacing w:line="320" w:lineRule="exact"/>
              <w:jc w:val="center"/>
              <w:rPr>
                <w:rFonts w:hint="eastAsia" w:ascii="仿宋_GB2312" w:eastAsia="仿宋_GB2312"/>
                <w:sz w:val="24"/>
              </w:rPr>
            </w:pPr>
            <w:r>
              <w:rPr>
                <w:rFonts w:hint="eastAsia" w:ascii="仿宋_GB2312" w:eastAsia="仿宋_GB2312"/>
                <w:sz w:val="24"/>
              </w:rPr>
              <w:t>申报奖励</w:t>
            </w:r>
          </w:p>
          <w:p>
            <w:pPr>
              <w:spacing w:line="320" w:lineRule="exact"/>
              <w:jc w:val="center"/>
              <w:rPr>
                <w:rFonts w:hint="eastAsia" w:ascii="仿宋_GB2312" w:eastAsia="仿宋_GB2312"/>
                <w:sz w:val="24"/>
              </w:rPr>
            </w:pPr>
            <w:r>
              <w:rPr>
                <w:rFonts w:hint="eastAsia" w:ascii="仿宋_GB2312" w:eastAsia="仿宋_GB2312"/>
                <w:sz w:val="24"/>
              </w:rPr>
              <w:t>(补助)金额</w:t>
            </w:r>
          </w:p>
        </w:tc>
        <w:tc>
          <w:tcPr>
            <w:tcW w:w="1546" w:type="dxa"/>
            <w:vMerge w:val="restart"/>
            <w:noWrap w:val="0"/>
            <w:vAlign w:val="center"/>
          </w:tcPr>
          <w:p>
            <w:pPr>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5" w:type="dxa"/>
            <w:vMerge w:val="continue"/>
            <w:noWrap w:val="0"/>
            <w:vAlign w:val="center"/>
          </w:tcPr>
          <w:p>
            <w:pPr>
              <w:spacing w:line="320" w:lineRule="exact"/>
              <w:rPr>
                <w:rFonts w:hint="eastAsia" w:ascii="仿宋_GB2312" w:eastAsia="仿宋_GB2312"/>
                <w:sz w:val="24"/>
              </w:rPr>
            </w:pPr>
          </w:p>
        </w:tc>
        <w:tc>
          <w:tcPr>
            <w:tcW w:w="1409" w:type="dxa"/>
            <w:vMerge w:val="continue"/>
            <w:noWrap w:val="0"/>
            <w:vAlign w:val="center"/>
          </w:tcPr>
          <w:p>
            <w:pPr>
              <w:spacing w:line="320" w:lineRule="exact"/>
              <w:jc w:val="center"/>
              <w:rPr>
                <w:rFonts w:hint="eastAsia" w:ascii="仿宋_GB2312" w:eastAsia="仿宋_GB2312"/>
                <w:sz w:val="24"/>
              </w:rPr>
            </w:pPr>
          </w:p>
        </w:tc>
        <w:tc>
          <w:tcPr>
            <w:tcW w:w="1111"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帐 号</w:t>
            </w:r>
          </w:p>
        </w:tc>
        <w:tc>
          <w:tcPr>
            <w:tcW w:w="2309" w:type="dxa"/>
            <w:noWrap w:val="0"/>
            <w:vAlign w:val="center"/>
          </w:tcPr>
          <w:p>
            <w:pPr>
              <w:spacing w:line="320" w:lineRule="exact"/>
              <w:rPr>
                <w:rFonts w:hint="eastAsia" w:ascii="仿宋_GB2312" w:eastAsia="仿宋_GB2312"/>
                <w:sz w:val="24"/>
              </w:rPr>
            </w:pPr>
          </w:p>
        </w:tc>
        <w:tc>
          <w:tcPr>
            <w:tcW w:w="1440" w:type="dxa"/>
            <w:vMerge w:val="continue"/>
            <w:noWrap w:val="0"/>
            <w:vAlign w:val="center"/>
          </w:tcPr>
          <w:p>
            <w:pPr>
              <w:spacing w:line="320" w:lineRule="exact"/>
              <w:jc w:val="center"/>
              <w:rPr>
                <w:rFonts w:hint="eastAsia" w:ascii="仿宋_GB2312" w:eastAsia="仿宋_GB2312"/>
                <w:sz w:val="24"/>
              </w:rPr>
            </w:pPr>
          </w:p>
        </w:tc>
        <w:tc>
          <w:tcPr>
            <w:tcW w:w="1546" w:type="dxa"/>
            <w:vMerge w:val="continue"/>
            <w:noWrap w:val="0"/>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5" w:type="dxa"/>
            <w:noWrap w:val="0"/>
            <w:vAlign w:val="center"/>
          </w:tcPr>
          <w:p>
            <w:pPr>
              <w:spacing w:line="320" w:lineRule="exact"/>
              <w:ind w:firstLine="240" w:firstLineChars="100"/>
              <w:rPr>
                <w:rFonts w:hint="eastAsia" w:ascii="仿宋_GB2312" w:eastAsia="仿宋_GB2312"/>
                <w:sz w:val="24"/>
              </w:rPr>
            </w:pPr>
            <w:r>
              <w:rPr>
                <w:rFonts w:hint="eastAsia" w:eastAsia="仿宋_GB2312"/>
                <w:sz w:val="24"/>
              </w:rPr>
              <w:t xml:space="preserve">填表人     </w:t>
            </w:r>
          </w:p>
        </w:tc>
        <w:tc>
          <w:tcPr>
            <w:tcW w:w="2520" w:type="dxa"/>
            <w:gridSpan w:val="2"/>
            <w:noWrap w:val="0"/>
            <w:vAlign w:val="center"/>
          </w:tcPr>
          <w:p>
            <w:pPr>
              <w:spacing w:line="320" w:lineRule="exact"/>
              <w:jc w:val="center"/>
              <w:rPr>
                <w:rFonts w:hint="eastAsia" w:ascii="仿宋_GB2312" w:eastAsia="仿宋_GB2312"/>
                <w:sz w:val="24"/>
              </w:rPr>
            </w:pPr>
          </w:p>
        </w:tc>
        <w:tc>
          <w:tcPr>
            <w:tcW w:w="2309" w:type="dxa"/>
            <w:noWrap w:val="0"/>
            <w:vAlign w:val="center"/>
          </w:tcPr>
          <w:p>
            <w:pPr>
              <w:spacing w:line="440" w:lineRule="exact"/>
              <w:rPr>
                <w:rFonts w:hint="eastAsia" w:ascii="仿宋_GB2312" w:eastAsia="仿宋_GB2312"/>
                <w:sz w:val="24"/>
              </w:rPr>
            </w:pPr>
            <w:r>
              <w:rPr>
                <w:rFonts w:hint="eastAsia" w:eastAsia="仿宋_GB2312"/>
                <w:sz w:val="24"/>
              </w:rPr>
              <w:t xml:space="preserve">     联系电话</w:t>
            </w:r>
          </w:p>
        </w:tc>
        <w:tc>
          <w:tcPr>
            <w:tcW w:w="2986" w:type="dxa"/>
            <w:gridSpan w:val="2"/>
            <w:noWrap w:val="0"/>
            <w:vAlign w:val="center"/>
          </w:tcPr>
          <w:p>
            <w:pPr>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trPr>
        <w:tc>
          <w:tcPr>
            <w:tcW w:w="1365"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项目类</w:t>
            </w:r>
          </w:p>
          <w:p>
            <w:pPr>
              <w:spacing w:line="320" w:lineRule="exact"/>
              <w:jc w:val="center"/>
              <w:rPr>
                <w:rFonts w:hint="eastAsia" w:ascii="仿宋_GB2312" w:eastAsia="仿宋_GB2312"/>
                <w:sz w:val="24"/>
              </w:rPr>
            </w:pPr>
            <w:r>
              <w:rPr>
                <w:rFonts w:hint="eastAsia" w:ascii="仿宋_GB2312" w:eastAsia="仿宋_GB2312"/>
                <w:sz w:val="24"/>
              </w:rPr>
              <w:t>型及内容概述</w:t>
            </w:r>
          </w:p>
        </w:tc>
        <w:tc>
          <w:tcPr>
            <w:tcW w:w="7815" w:type="dxa"/>
            <w:gridSpan w:val="5"/>
            <w:noWrap w:val="0"/>
            <w:vAlign w:val="center"/>
          </w:tcPr>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p>
            <w:pPr>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1" w:hRule="atLeast"/>
        </w:trPr>
        <w:tc>
          <w:tcPr>
            <w:tcW w:w="1365"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申</w:t>
            </w:r>
          </w:p>
          <w:p>
            <w:pPr>
              <w:spacing w:line="320" w:lineRule="exact"/>
              <w:jc w:val="center"/>
              <w:rPr>
                <w:rFonts w:hint="eastAsia" w:ascii="仿宋_GB2312" w:eastAsia="仿宋_GB2312"/>
                <w:sz w:val="24"/>
              </w:rPr>
            </w:pPr>
            <w:r>
              <w:rPr>
                <w:rFonts w:hint="eastAsia" w:ascii="仿宋_GB2312" w:eastAsia="仿宋_GB2312"/>
                <w:sz w:val="24"/>
              </w:rPr>
              <w:t>报</w:t>
            </w:r>
          </w:p>
          <w:p>
            <w:pPr>
              <w:spacing w:line="320" w:lineRule="exact"/>
              <w:jc w:val="center"/>
              <w:rPr>
                <w:rFonts w:hint="eastAsia" w:ascii="仿宋_GB2312" w:eastAsia="仿宋_GB2312"/>
                <w:sz w:val="24"/>
              </w:rPr>
            </w:pPr>
            <w:r>
              <w:rPr>
                <w:rFonts w:hint="eastAsia" w:ascii="仿宋_GB2312" w:eastAsia="仿宋_GB2312"/>
                <w:sz w:val="24"/>
              </w:rPr>
              <w:t>承</w:t>
            </w:r>
          </w:p>
          <w:p>
            <w:pPr>
              <w:spacing w:line="320" w:lineRule="exact"/>
              <w:jc w:val="center"/>
              <w:rPr>
                <w:rFonts w:hint="eastAsia" w:ascii="仿宋_GB2312" w:eastAsia="仿宋_GB2312"/>
                <w:sz w:val="24"/>
              </w:rPr>
            </w:pPr>
            <w:r>
              <w:rPr>
                <w:rFonts w:hint="eastAsia" w:ascii="仿宋_GB2312" w:eastAsia="仿宋_GB2312"/>
                <w:sz w:val="24"/>
              </w:rPr>
              <w:t>诺</w:t>
            </w:r>
          </w:p>
        </w:tc>
        <w:tc>
          <w:tcPr>
            <w:tcW w:w="7815" w:type="dxa"/>
            <w:gridSpan w:val="5"/>
            <w:noWrap w:val="0"/>
            <w:vAlign w:val="center"/>
          </w:tcPr>
          <w:p>
            <w:pPr>
              <w:spacing w:line="240" w:lineRule="exact"/>
              <w:ind w:firstLine="480" w:firstLineChars="200"/>
              <w:rPr>
                <w:rFonts w:hint="eastAsia" w:ascii="仿宋_GB2312" w:eastAsia="仿宋_GB2312"/>
                <w:sz w:val="24"/>
              </w:rPr>
            </w:pPr>
          </w:p>
          <w:p>
            <w:pPr>
              <w:spacing w:line="240" w:lineRule="exact"/>
              <w:ind w:firstLine="480" w:firstLineChars="200"/>
              <w:rPr>
                <w:rFonts w:hint="eastAsia" w:ascii="仿宋_GB2312" w:eastAsia="仿宋_GB2312"/>
                <w:sz w:val="24"/>
              </w:rPr>
            </w:pPr>
            <w:r>
              <w:rPr>
                <w:rFonts w:hint="eastAsia" w:ascii="仿宋_GB2312" w:eastAsia="仿宋_GB2312"/>
                <w:sz w:val="24"/>
              </w:rPr>
              <w:t>本单位确认并承诺申报材料均为真实，不存在弄虚作假行为；如发现有隐瞒违法违规情况、提供虚假材料行为，本单位愿承担全部责任。</w:t>
            </w:r>
          </w:p>
          <w:p>
            <w:pPr>
              <w:spacing w:line="240" w:lineRule="exact"/>
              <w:ind w:firstLine="240" w:firstLineChars="100"/>
              <w:rPr>
                <w:rFonts w:hint="eastAsia" w:ascii="仿宋_GB2312" w:eastAsia="仿宋_GB2312"/>
                <w:sz w:val="24"/>
              </w:rPr>
            </w:pPr>
            <w:r>
              <w:rPr>
                <w:rFonts w:hint="eastAsia" w:ascii="仿宋_GB2312" w:eastAsia="仿宋_GB2312"/>
                <w:sz w:val="24"/>
              </w:rPr>
              <w:t xml:space="preserve">  </w:t>
            </w:r>
          </w:p>
          <w:p>
            <w:pPr>
              <w:spacing w:line="240" w:lineRule="exact"/>
              <w:ind w:firstLine="240" w:firstLineChars="100"/>
              <w:rPr>
                <w:rFonts w:hint="eastAsia" w:ascii="仿宋_GB2312" w:eastAsia="仿宋_GB2312"/>
                <w:sz w:val="24"/>
              </w:rPr>
            </w:pPr>
            <w:r>
              <w:rPr>
                <w:rFonts w:hint="eastAsia" w:ascii="仿宋_GB2312" w:eastAsia="仿宋_GB2312"/>
                <w:sz w:val="24"/>
              </w:rPr>
              <w:t xml:space="preserve">  </w:t>
            </w:r>
          </w:p>
          <w:p>
            <w:pPr>
              <w:spacing w:line="240" w:lineRule="exact"/>
              <w:ind w:firstLine="4080" w:firstLineChars="1700"/>
              <w:rPr>
                <w:rFonts w:hint="eastAsia" w:ascii="仿宋_GB2312" w:eastAsia="仿宋_GB2312"/>
                <w:sz w:val="24"/>
              </w:rPr>
            </w:pPr>
            <w:r>
              <w:rPr>
                <w:rFonts w:hint="eastAsia" w:ascii="仿宋_GB2312" w:eastAsia="仿宋_GB2312"/>
                <w:sz w:val="24"/>
              </w:rPr>
              <w:t>申报单位（盖章）</w:t>
            </w:r>
          </w:p>
          <w:p>
            <w:pPr>
              <w:spacing w:line="240" w:lineRule="exact"/>
              <w:ind w:firstLine="4080" w:firstLineChars="1700"/>
              <w:rPr>
                <w:rFonts w:hint="eastAsia" w:ascii="仿宋_GB2312" w:eastAsia="仿宋_GB2312"/>
                <w:sz w:val="24"/>
              </w:rPr>
            </w:pPr>
            <w:r>
              <w:rPr>
                <w:rFonts w:hint="eastAsia" w:ascii="仿宋_GB2312" w:eastAsia="仿宋_GB2312"/>
                <w:sz w:val="24"/>
              </w:rPr>
              <w:t>法定代表人签名：</w:t>
            </w:r>
          </w:p>
          <w:p>
            <w:pPr>
              <w:spacing w:line="240" w:lineRule="exact"/>
              <w:ind w:firstLine="5520" w:firstLineChars="2300"/>
              <w:rPr>
                <w:rFonts w:hint="eastAsia"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trPr>
        <w:tc>
          <w:tcPr>
            <w:tcW w:w="1365" w:type="dxa"/>
            <w:noWrap w:val="0"/>
            <w:vAlign w:val="center"/>
          </w:tcPr>
          <w:p>
            <w:pPr>
              <w:spacing w:line="320" w:lineRule="exact"/>
              <w:jc w:val="center"/>
              <w:rPr>
                <w:rFonts w:hint="eastAsia" w:ascii="仿宋_GB2312" w:eastAsia="仿宋_GB2312"/>
                <w:sz w:val="24"/>
              </w:rPr>
            </w:pPr>
            <w:r>
              <w:rPr>
                <w:rFonts w:hint="eastAsia" w:ascii="仿宋_GB2312" w:eastAsia="仿宋_GB2312"/>
                <w:sz w:val="24"/>
              </w:rPr>
              <w:t>镇(街</w:t>
            </w:r>
          </w:p>
          <w:p>
            <w:pPr>
              <w:spacing w:line="320" w:lineRule="exact"/>
              <w:jc w:val="center"/>
              <w:rPr>
                <w:rFonts w:hint="eastAsia" w:ascii="仿宋_GB2312" w:eastAsia="仿宋_GB2312"/>
                <w:sz w:val="24"/>
              </w:rPr>
            </w:pPr>
            <w:r>
              <w:rPr>
                <w:rFonts w:hint="eastAsia" w:ascii="仿宋_GB2312" w:eastAsia="仿宋_GB2312"/>
                <w:sz w:val="24"/>
              </w:rPr>
              <w:t>道)、市</w:t>
            </w:r>
          </w:p>
          <w:p>
            <w:pPr>
              <w:spacing w:line="320" w:lineRule="exact"/>
              <w:jc w:val="center"/>
              <w:rPr>
                <w:rFonts w:hint="eastAsia" w:ascii="仿宋_GB2312" w:eastAsia="仿宋_GB2312"/>
                <w:sz w:val="24"/>
              </w:rPr>
            </w:pPr>
            <w:r>
              <w:rPr>
                <w:rFonts w:hint="eastAsia" w:ascii="仿宋_GB2312" w:eastAsia="仿宋_GB2312"/>
                <w:sz w:val="24"/>
              </w:rPr>
              <w:t>级有关</w:t>
            </w:r>
          </w:p>
          <w:p>
            <w:pPr>
              <w:spacing w:line="320" w:lineRule="exact"/>
              <w:jc w:val="center"/>
              <w:rPr>
                <w:rFonts w:hint="eastAsia" w:ascii="仿宋_GB2312" w:eastAsia="仿宋_GB2312"/>
                <w:sz w:val="24"/>
              </w:rPr>
            </w:pPr>
            <w:r>
              <w:rPr>
                <w:rFonts w:hint="eastAsia" w:ascii="仿宋_GB2312" w:eastAsia="仿宋_GB2312"/>
                <w:sz w:val="24"/>
              </w:rPr>
              <w:t>部门初</w:t>
            </w:r>
          </w:p>
          <w:p>
            <w:pPr>
              <w:spacing w:line="320" w:lineRule="exact"/>
              <w:jc w:val="center"/>
              <w:rPr>
                <w:rFonts w:hint="eastAsia" w:ascii="仿宋_GB2312" w:eastAsia="仿宋_GB2312"/>
                <w:sz w:val="24"/>
              </w:rPr>
            </w:pPr>
            <w:r>
              <w:rPr>
                <w:rFonts w:hint="eastAsia" w:ascii="仿宋_GB2312" w:eastAsia="仿宋_GB2312"/>
                <w:sz w:val="24"/>
              </w:rPr>
              <w:t>审意见</w:t>
            </w:r>
          </w:p>
        </w:tc>
        <w:tc>
          <w:tcPr>
            <w:tcW w:w="7815" w:type="dxa"/>
            <w:gridSpan w:val="5"/>
            <w:noWrap w:val="0"/>
            <w:vAlign w:val="center"/>
          </w:tcPr>
          <w:p>
            <w:pPr>
              <w:spacing w:line="320" w:lineRule="exact"/>
              <w:jc w:val="center"/>
              <w:rPr>
                <w:rFonts w:hint="eastAsia" w:ascii="仿宋_GB2312" w:eastAsia="仿宋_GB2312"/>
                <w:sz w:val="24"/>
              </w:rPr>
            </w:pPr>
          </w:p>
          <w:p>
            <w:pPr>
              <w:spacing w:line="320" w:lineRule="exact"/>
              <w:jc w:val="center"/>
              <w:rPr>
                <w:rFonts w:hint="eastAsia" w:ascii="仿宋_GB2312" w:eastAsia="仿宋_GB2312"/>
                <w:sz w:val="24"/>
              </w:rPr>
            </w:pPr>
          </w:p>
          <w:p>
            <w:pPr>
              <w:spacing w:line="320" w:lineRule="exact"/>
              <w:jc w:val="center"/>
              <w:rPr>
                <w:rFonts w:hint="eastAsia" w:ascii="仿宋_GB2312" w:eastAsia="仿宋_GB2312"/>
                <w:sz w:val="24"/>
              </w:rPr>
            </w:pPr>
            <w:r>
              <w:rPr>
                <w:rFonts w:hint="eastAsia" w:ascii="仿宋_GB2312" w:eastAsia="仿宋_GB2312"/>
                <w:sz w:val="24"/>
              </w:rPr>
              <w:t xml:space="preserve">                                 （盖  章）</w:t>
            </w:r>
          </w:p>
          <w:p>
            <w:pPr>
              <w:spacing w:line="320" w:lineRule="exact"/>
              <w:jc w:val="center"/>
              <w:rPr>
                <w:rFonts w:hint="eastAsia" w:ascii="仿宋_GB2312" w:eastAsia="仿宋_GB2312"/>
                <w:sz w:val="24"/>
              </w:rPr>
            </w:pPr>
            <w:r>
              <w:rPr>
                <w:rFonts w:hint="eastAsia" w:ascii="仿宋_GB2312" w:eastAsia="仿宋_GB2312"/>
                <w:sz w:val="24"/>
              </w:rPr>
              <w:t xml:space="preserve">                               年     月     日</w:t>
            </w:r>
          </w:p>
        </w:tc>
      </w:tr>
    </w:tbl>
    <w:p>
      <w:pP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此表一式一份。</w:t>
      </w:r>
    </w:p>
    <w:p>
      <w:pPr>
        <w:spacing w:line="560" w:lineRule="exact"/>
        <w:rPr>
          <w:rFonts w:hint="eastAsia" w:ascii="仿宋" w:hAnsi="仿宋" w:eastAsia="仿宋"/>
          <w:sz w:val="32"/>
          <w:szCs w:val="25"/>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Damascus">
    <w:altName w:val="MS Gothic"/>
    <w:panose1 w:val="00000000000000000000"/>
    <w:charset w:val="00"/>
    <w:family w:val="auto"/>
    <w:pitch w:val="default"/>
    <w:sig w:usb0="00000000" w:usb1="00000000" w:usb2="14000008" w:usb3="00000000" w:csb0="00000001" w:csb1="00000000"/>
  </w:font>
  <w:font w:name="方正大标宋简体">
    <w:altName w:val="Arial Unicode MS"/>
    <w:panose1 w:val="03000509000000000000"/>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CC910E4"/>
    <w:rsid w:val="001B4CD9"/>
    <w:rsid w:val="001D13A8"/>
    <w:rsid w:val="00312E02"/>
    <w:rsid w:val="00340242"/>
    <w:rsid w:val="003B2222"/>
    <w:rsid w:val="004A2CA9"/>
    <w:rsid w:val="004A3278"/>
    <w:rsid w:val="00503E79"/>
    <w:rsid w:val="00527D9C"/>
    <w:rsid w:val="00652D06"/>
    <w:rsid w:val="007C4D26"/>
    <w:rsid w:val="007D77F0"/>
    <w:rsid w:val="00877D3D"/>
    <w:rsid w:val="00953CAE"/>
    <w:rsid w:val="0097452C"/>
    <w:rsid w:val="00AE44A7"/>
    <w:rsid w:val="00B42620"/>
    <w:rsid w:val="00BB1260"/>
    <w:rsid w:val="00C026C1"/>
    <w:rsid w:val="00CE6140"/>
    <w:rsid w:val="00D27B93"/>
    <w:rsid w:val="00E97654"/>
    <w:rsid w:val="00EA6823"/>
    <w:rsid w:val="03B61CAE"/>
    <w:rsid w:val="0567012F"/>
    <w:rsid w:val="05BF77DC"/>
    <w:rsid w:val="06C81E92"/>
    <w:rsid w:val="0788215B"/>
    <w:rsid w:val="07AD0297"/>
    <w:rsid w:val="07D1478E"/>
    <w:rsid w:val="087F1EFD"/>
    <w:rsid w:val="08FD34B2"/>
    <w:rsid w:val="097F6E2E"/>
    <w:rsid w:val="0A4559AC"/>
    <w:rsid w:val="0A4C425C"/>
    <w:rsid w:val="0C6A69D2"/>
    <w:rsid w:val="0CAF62D9"/>
    <w:rsid w:val="0FAE3FB5"/>
    <w:rsid w:val="15FA04F5"/>
    <w:rsid w:val="16CD13B8"/>
    <w:rsid w:val="1B4740D8"/>
    <w:rsid w:val="1CC910E4"/>
    <w:rsid w:val="1D206040"/>
    <w:rsid w:val="1D55055A"/>
    <w:rsid w:val="1E024049"/>
    <w:rsid w:val="1FEA6D81"/>
    <w:rsid w:val="219340AF"/>
    <w:rsid w:val="23F06E36"/>
    <w:rsid w:val="25042BCF"/>
    <w:rsid w:val="28BD1824"/>
    <w:rsid w:val="2B867FC2"/>
    <w:rsid w:val="2DB10F32"/>
    <w:rsid w:val="2E1D5598"/>
    <w:rsid w:val="302D5A3E"/>
    <w:rsid w:val="307F40C0"/>
    <w:rsid w:val="310521F2"/>
    <w:rsid w:val="31DB7411"/>
    <w:rsid w:val="32FE4A4D"/>
    <w:rsid w:val="33E068F7"/>
    <w:rsid w:val="35240BB6"/>
    <w:rsid w:val="36081961"/>
    <w:rsid w:val="3813643A"/>
    <w:rsid w:val="39585ACC"/>
    <w:rsid w:val="39777E20"/>
    <w:rsid w:val="39D9267A"/>
    <w:rsid w:val="3B280156"/>
    <w:rsid w:val="3CD437AC"/>
    <w:rsid w:val="3EB37B1D"/>
    <w:rsid w:val="3EED339E"/>
    <w:rsid w:val="3FB62E22"/>
    <w:rsid w:val="42063AE6"/>
    <w:rsid w:val="42F74DEB"/>
    <w:rsid w:val="45C86ECE"/>
    <w:rsid w:val="48A160DA"/>
    <w:rsid w:val="4AC5731F"/>
    <w:rsid w:val="4CCD024C"/>
    <w:rsid w:val="4E400C26"/>
    <w:rsid w:val="4F086422"/>
    <w:rsid w:val="51D82C57"/>
    <w:rsid w:val="55065857"/>
    <w:rsid w:val="55DE6FDC"/>
    <w:rsid w:val="59286A2F"/>
    <w:rsid w:val="5A433317"/>
    <w:rsid w:val="5AB7685E"/>
    <w:rsid w:val="5C727091"/>
    <w:rsid w:val="6136788A"/>
    <w:rsid w:val="628C30E2"/>
    <w:rsid w:val="62E33087"/>
    <w:rsid w:val="66407BEE"/>
    <w:rsid w:val="66C843F7"/>
    <w:rsid w:val="688F0518"/>
    <w:rsid w:val="69657011"/>
    <w:rsid w:val="6CDE7302"/>
    <w:rsid w:val="6DB725DD"/>
    <w:rsid w:val="6E4C0D4B"/>
    <w:rsid w:val="6F6B46A6"/>
    <w:rsid w:val="732005DE"/>
    <w:rsid w:val="735E1E83"/>
    <w:rsid w:val="736B2150"/>
    <w:rsid w:val="747B12DB"/>
    <w:rsid w:val="7849656D"/>
    <w:rsid w:val="78C05B29"/>
    <w:rsid w:val="79350976"/>
    <w:rsid w:val="79760134"/>
    <w:rsid w:val="79993BDA"/>
    <w:rsid w:val="7B2E1B7C"/>
    <w:rsid w:val="7B586BF0"/>
    <w:rsid w:val="7EEF0968"/>
    <w:rsid w:val="7F5D4858"/>
    <w:rsid w:val="7FCD13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qFormat/>
    <w:uiPriority w:val="0"/>
    <w:pPr>
      <w:ind w:firstLine="630"/>
    </w:pPr>
    <w:rPr>
      <w:kern w:val="0"/>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List Paragraph1"/>
    <w:basedOn w:val="1"/>
    <w:qFormat/>
    <w:uiPriority w:val="99"/>
    <w:pPr>
      <w:ind w:firstLine="420" w:firstLineChars="200"/>
    </w:pPr>
    <w:rPr>
      <w:szCs w:val="24"/>
    </w:rPr>
  </w:style>
  <w:style w:type="character" w:customStyle="1" w:styleId="10">
    <w:name w:val="页眉 Char"/>
    <w:basedOn w:val="8"/>
    <w:link w:val="6"/>
    <w:qFormat/>
    <w:uiPriority w:val="0"/>
    <w:rPr>
      <w:rFonts w:ascii="Calibri" w:hAnsi="Calibri" w:eastAsia="宋体" w:cs="Times New Roman"/>
      <w:kern w:val="2"/>
      <w:sz w:val="18"/>
      <w:szCs w:val="18"/>
    </w:rPr>
  </w:style>
  <w:style w:type="character" w:customStyle="1" w:styleId="11">
    <w:name w:val="页脚 Char"/>
    <w:basedOn w:val="8"/>
    <w:link w:val="5"/>
    <w:qFormat/>
    <w:uiPriority w:val="0"/>
    <w:rPr>
      <w:rFonts w:ascii="Calibri" w:hAnsi="Calibri" w:eastAsia="宋体" w:cs="Times New Roman"/>
      <w:kern w:val="2"/>
      <w:sz w:val="18"/>
      <w:szCs w:val="18"/>
    </w:rPr>
  </w:style>
  <w:style w:type="character" w:customStyle="1" w:styleId="12">
    <w:name w:val="批注框文本 Char"/>
    <w:basedOn w:val="8"/>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1453</Words>
  <Characters>8286</Characters>
  <Lines>69</Lines>
  <Paragraphs>19</Paragraphs>
  <TotalTime>3</TotalTime>
  <ScaleCrop>false</ScaleCrop>
  <LinksUpToDate>false</LinksUpToDate>
  <CharactersWithSpaces>9720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2020-08-03T07:08:00Z</dcterms:created>
  <dc:creator>老大</dc:creator>
  <cp:lastModifiedBy>user</cp:lastModifiedBy>
  <cp:lastPrinted>2020-08-06T08:08:24Z</cp:lastPrinted>
  <dcterms:modified xsi:type="dcterms:W3CDTF">2020-08-06T09:27:58Z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