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pacing w:line="560" w:lineRule="exact"/>
        <w:ind w:left="0" w:leftChars="0" w:right="0" w:rightChars="0"/>
        <w:jc w:val="left"/>
        <w:textAlignment w:val="auto"/>
        <w:outlineLvl w:val="9"/>
        <w:rPr>
          <w:rFonts w:ascii="黑体" w:hAnsi="黑体" w:eastAsia="黑体" w:cs="仿宋_GB2312"/>
          <w:color w:val="000000"/>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绍兴市</w:t>
      </w:r>
      <w:r>
        <w:rPr>
          <w:rFonts w:hint="eastAsia" w:ascii="方正小标宋简体" w:eastAsia="方正小标宋简体"/>
          <w:sz w:val="44"/>
          <w:szCs w:val="44"/>
          <w:lang w:eastAsia="zh-CN"/>
        </w:rPr>
        <w:t>上虞</w:t>
      </w:r>
      <w:r>
        <w:rPr>
          <w:rFonts w:hint="eastAsia" w:ascii="方正小标宋简体" w:eastAsia="方正小标宋简体"/>
          <w:sz w:val="44"/>
          <w:szCs w:val="44"/>
        </w:rPr>
        <w:t>区职业技能提升行动实施方案</w:t>
      </w:r>
    </w:p>
    <w:p>
      <w:pPr>
        <w:pStyle w:val="2"/>
        <w:jc w:val="center"/>
        <w:rPr>
          <w:rFonts w:hint="eastAsia" w:ascii="仿宋" w:hAnsi="仿宋" w:eastAsia="仿宋" w:cs="仿宋"/>
          <w:sz w:val="32"/>
          <w:szCs w:val="32"/>
          <w:lang w:eastAsia="zh-CN"/>
        </w:rPr>
      </w:pPr>
    </w:p>
    <w:p>
      <w:pPr>
        <w:pStyle w:val="2"/>
        <w:jc w:val="center"/>
        <w:rPr>
          <w:rFonts w:hint="eastAsia" w:eastAsia="方正小标宋简体"/>
          <w:lang w:eastAsia="zh-CN"/>
        </w:rPr>
      </w:pPr>
      <w:r>
        <w:rPr>
          <w:rFonts w:hint="eastAsia" w:ascii="仿宋" w:hAnsi="仿宋" w:eastAsia="仿宋" w:cs="仿宋"/>
          <w:sz w:val="32"/>
          <w:szCs w:val="32"/>
          <w:lang w:eastAsia="zh-CN"/>
        </w:rPr>
        <w:t>（送审稿）</w:t>
      </w:r>
    </w:p>
    <w:p>
      <w:pPr>
        <w:keepNext w:val="0"/>
        <w:keepLines w:val="0"/>
        <w:pageBreakBefore w:val="0"/>
        <w:kinsoku/>
        <w:wordWrap/>
        <w:overflowPunct/>
        <w:topLinePunct w:val="0"/>
        <w:bidi w:val="0"/>
        <w:spacing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为贯彻</w:t>
      </w:r>
      <w:r>
        <w:rPr>
          <w:rFonts w:hint="eastAsia" w:ascii="仿宋_GB2312" w:eastAsia="仿宋_GB2312"/>
          <w:sz w:val="32"/>
          <w:szCs w:val="32"/>
          <w:lang w:eastAsia="zh-CN"/>
        </w:rPr>
        <w:t>落实</w:t>
      </w:r>
      <w:r>
        <w:rPr>
          <w:rFonts w:hint="eastAsia" w:ascii="仿宋_GB2312" w:eastAsia="仿宋_GB2312"/>
          <w:sz w:val="32"/>
          <w:szCs w:val="32"/>
        </w:rPr>
        <w:t>国家、省、市职业技能提升行动部署要求，</w:t>
      </w:r>
      <w:r>
        <w:rPr>
          <w:rFonts w:hint="eastAsia" w:ascii="仿宋_GB2312" w:eastAsia="仿宋_GB2312"/>
          <w:sz w:val="32"/>
          <w:szCs w:val="32"/>
          <w:lang w:eastAsia="zh-CN"/>
        </w:rPr>
        <w:t>深入推进职业技能培训工作</w:t>
      </w:r>
      <w:r>
        <w:rPr>
          <w:rFonts w:hint="eastAsia" w:ascii="仿宋_GB2312" w:eastAsia="仿宋_GB2312"/>
          <w:sz w:val="32"/>
          <w:szCs w:val="32"/>
        </w:rPr>
        <w:t>，着力培养一支高素质的技能人才队伍，结合我区实际，制定本实施方案。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黑体" w:eastAsia="黑体"/>
          <w:sz w:val="32"/>
          <w:szCs w:val="32"/>
        </w:rPr>
      </w:pPr>
      <w:r>
        <w:rPr>
          <w:rFonts w:hint="eastAsia" w:ascii="黑体" w:eastAsia="黑体"/>
          <w:sz w:val="32"/>
          <w:szCs w:val="32"/>
        </w:rPr>
        <w:t>一、目标任务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2019年至2021年，持续开展职业技能提升行动，</w:t>
      </w:r>
      <w:r>
        <w:rPr>
          <w:rFonts w:hint="eastAsia" w:ascii="仿宋_GB2312" w:eastAsia="仿宋_GB2312"/>
          <w:sz w:val="32"/>
          <w:szCs w:val="32"/>
          <w:lang w:eastAsia="zh-CN"/>
        </w:rPr>
        <w:t>以“提标、扩面、增效”为导向，</w:t>
      </w:r>
      <w:r>
        <w:rPr>
          <w:rFonts w:hint="eastAsia" w:ascii="仿宋_GB2312" w:eastAsia="仿宋_GB2312"/>
          <w:sz w:val="32"/>
          <w:szCs w:val="32"/>
        </w:rPr>
        <w:t>大规模</w:t>
      </w:r>
      <w:r>
        <w:rPr>
          <w:rFonts w:hint="eastAsia" w:ascii="仿宋_GB2312" w:eastAsia="仿宋_GB2312"/>
          <w:sz w:val="32"/>
          <w:szCs w:val="32"/>
          <w:lang w:eastAsia="zh-CN"/>
        </w:rPr>
        <w:t>开展职业培训，</w:t>
      </w:r>
      <w:r>
        <w:rPr>
          <w:rFonts w:hint="eastAsia" w:ascii="仿宋_GB2312" w:eastAsia="仿宋_GB2312"/>
          <w:sz w:val="32"/>
          <w:szCs w:val="32"/>
        </w:rPr>
        <w:t>加大对职工等重点群体的职业技能培训力度，有效增加培训供给，加强组织保障和激励引导，全</w:t>
      </w:r>
      <w:r>
        <w:rPr>
          <w:rFonts w:hint="eastAsia" w:ascii="仿宋_GB2312" w:eastAsia="仿宋_GB2312"/>
          <w:sz w:val="32"/>
          <w:szCs w:val="32"/>
          <w:lang w:eastAsia="zh-CN"/>
        </w:rPr>
        <w:t>区</w:t>
      </w:r>
      <w:r>
        <w:rPr>
          <w:rFonts w:hint="eastAsia" w:ascii="仿宋_GB2312" w:eastAsia="仿宋_GB2312"/>
          <w:sz w:val="32"/>
          <w:szCs w:val="32"/>
        </w:rPr>
        <w:t>三年内开展各类补贴性职业技能培训</w:t>
      </w:r>
      <w:r>
        <w:rPr>
          <w:rFonts w:hint="eastAsia" w:ascii="仿宋_GB2312" w:eastAsia="仿宋_GB2312"/>
          <w:sz w:val="32"/>
          <w:szCs w:val="32"/>
          <w:lang w:val="en-US" w:eastAsia="zh-CN"/>
        </w:rPr>
        <w:t>4</w:t>
      </w:r>
      <w:r>
        <w:rPr>
          <w:rFonts w:hint="eastAsia" w:ascii="仿宋_GB2312" w:eastAsia="仿宋_GB2312"/>
          <w:sz w:val="32"/>
          <w:szCs w:val="32"/>
        </w:rPr>
        <w:t>万人次以上；到2021年末，技能劳动者占从业人员比例保持在30%以上，高技能人才占技能劳动者比例超过33%，为推动</w:t>
      </w:r>
      <w:r>
        <w:rPr>
          <w:rFonts w:hint="eastAsia" w:ascii="仿宋_GB2312" w:eastAsia="仿宋_GB2312"/>
          <w:sz w:val="32"/>
          <w:szCs w:val="32"/>
          <w:lang w:eastAsia="zh-CN"/>
        </w:rPr>
        <w:t>上虞</w:t>
      </w:r>
      <w:r>
        <w:rPr>
          <w:rFonts w:hint="eastAsia" w:ascii="仿宋_GB2312" w:eastAsia="仿宋_GB2312"/>
          <w:sz w:val="32"/>
          <w:szCs w:val="32"/>
        </w:rPr>
        <w:t>经济高质量发展提供强有力的技能人才保障和智力支持。</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黑体" w:eastAsia="黑体"/>
          <w:sz w:val="32"/>
          <w:szCs w:val="32"/>
        </w:rPr>
      </w:pPr>
      <w:r>
        <w:rPr>
          <w:rFonts w:hint="eastAsia" w:ascii="黑体" w:eastAsia="黑体"/>
          <w:sz w:val="32"/>
          <w:szCs w:val="32"/>
        </w:rPr>
        <w:t>二、</w:t>
      </w:r>
      <w:r>
        <w:rPr>
          <w:rFonts w:hint="eastAsia" w:ascii="黑体" w:eastAsia="黑体"/>
          <w:sz w:val="32"/>
          <w:szCs w:val="32"/>
          <w:lang w:eastAsia="zh-CN"/>
        </w:rPr>
        <w:t>广泛</w:t>
      </w:r>
      <w:r>
        <w:rPr>
          <w:rFonts w:hint="eastAsia" w:ascii="黑体" w:eastAsia="黑体"/>
          <w:sz w:val="32"/>
          <w:szCs w:val="32"/>
        </w:rPr>
        <w:t>开展各类职业技能培训</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eastAsia="仿宋_GB2312"/>
          <w:sz w:val="32"/>
          <w:szCs w:val="32"/>
        </w:rPr>
      </w:pPr>
      <w:r>
        <w:rPr>
          <w:rFonts w:ascii="楷体_GB2312" w:eastAsia="楷体_GB2312"/>
          <w:b/>
          <w:sz w:val="32"/>
          <w:szCs w:val="32"/>
        </w:rPr>
        <w:t>1.</w:t>
      </w:r>
      <w:r>
        <w:rPr>
          <w:rFonts w:hint="eastAsia" w:ascii="楷体_GB2312" w:eastAsia="楷体_GB2312"/>
          <w:b/>
          <w:sz w:val="32"/>
          <w:szCs w:val="32"/>
        </w:rPr>
        <w:t>做强做大职工技能培训</w:t>
      </w:r>
      <w:r>
        <w:rPr>
          <w:rFonts w:hint="eastAsia" w:ascii="仿宋_GB2312" w:eastAsia="仿宋_GB2312"/>
          <w:sz w:val="32"/>
          <w:szCs w:val="32"/>
        </w:rPr>
        <w:t>。通过多种方式扩大涉补职工培训渠道和人群。三年行动期间，</w:t>
      </w:r>
      <w:r>
        <w:rPr>
          <w:rFonts w:hint="eastAsia" w:ascii="仿宋" w:hAnsi="仿宋" w:eastAsia="仿宋" w:cs="仿宋"/>
          <w:b w:val="0"/>
          <w:bCs/>
          <w:sz w:val="32"/>
          <w:szCs w:val="32"/>
          <w:lang w:eastAsia="zh-CN"/>
        </w:rPr>
        <w:t>对企业职工、农村转移就业劳动者、城乡未继续升学的初高中毕业生（简称“两后生”）、失业人员、退役军人、就业困难人员（含残疾人）、有培训需求的高校毕业生、职业农民</w:t>
      </w:r>
      <w:r>
        <w:rPr>
          <w:rFonts w:hint="eastAsia" w:ascii="仿宋" w:hAnsi="仿宋" w:eastAsia="仿宋" w:cs="仿宋"/>
          <w:sz w:val="32"/>
          <w:szCs w:val="32"/>
        </w:rPr>
        <w:t>参加经人力社保部门备案</w:t>
      </w:r>
      <w:r>
        <w:rPr>
          <w:rFonts w:hint="eastAsia" w:ascii="仿宋_GB2312" w:eastAsia="仿宋_GB2312"/>
          <w:sz w:val="32"/>
          <w:szCs w:val="32"/>
        </w:rPr>
        <w:t>确定的培训机构举办的职业技</w:t>
      </w:r>
      <w:r>
        <w:rPr>
          <w:rFonts w:hint="eastAsia" w:ascii="仿宋_GB2312" w:eastAsia="仿宋_GB2312"/>
          <w:sz w:val="32"/>
          <w:szCs w:val="32"/>
          <w:lang w:eastAsia="zh-CN"/>
        </w:rPr>
        <w:t>能</w:t>
      </w:r>
      <w:r>
        <w:rPr>
          <w:rFonts w:hint="eastAsia" w:ascii="仿宋_GB2312" w:eastAsia="仿宋_GB2312"/>
          <w:sz w:val="32"/>
          <w:szCs w:val="32"/>
        </w:rPr>
        <w:t>培训，</w:t>
      </w:r>
      <w:r>
        <w:rPr>
          <w:rFonts w:hint="eastAsia" w:ascii="仿宋_GB2312" w:eastAsia="仿宋_GB2312"/>
          <w:sz w:val="32"/>
          <w:szCs w:val="32"/>
          <w:lang w:eastAsia="zh-CN"/>
        </w:rPr>
        <w:t>经考核鉴定合格后，获得高级工及以下职业资格（技能等级、专项能力，下同）证的</w:t>
      </w:r>
      <w:r>
        <w:rPr>
          <w:rFonts w:ascii="仿宋_GB2312" w:eastAsia="仿宋_GB2312"/>
          <w:sz w:val="32"/>
          <w:szCs w:val="32"/>
        </w:rPr>
        <w:t>，</w:t>
      </w:r>
      <w:r>
        <w:rPr>
          <w:rFonts w:hint="eastAsia" w:ascii="仿宋_GB2312" w:eastAsia="仿宋_GB2312"/>
          <w:sz w:val="32"/>
          <w:szCs w:val="32"/>
        </w:rPr>
        <w:t>按照每人不超过</w:t>
      </w:r>
      <w:r>
        <w:rPr>
          <w:rFonts w:ascii="仿宋_GB2312" w:eastAsia="仿宋_GB2312"/>
          <w:sz w:val="32"/>
          <w:szCs w:val="32"/>
        </w:rPr>
        <w:t>3500</w:t>
      </w:r>
      <w:r>
        <w:rPr>
          <w:rFonts w:hint="eastAsia" w:ascii="仿宋_GB2312" w:eastAsia="仿宋_GB2312"/>
          <w:sz w:val="32"/>
          <w:szCs w:val="32"/>
        </w:rPr>
        <w:t>元标准给予培训补贴和一次性鉴定补贴。通过政府购买服务形式，试行项目制（职业资格外）培训新模式，以培训合格证书为依据进行补贴，补贴标准按不超过相同相近职业资格培训补贴标准的50%</w:t>
      </w:r>
      <w:r>
        <w:rPr>
          <w:rFonts w:hint="eastAsia" w:ascii="仿宋_GB2312" w:eastAsia="仿宋_GB2312"/>
          <w:sz w:val="32"/>
          <w:szCs w:val="32"/>
          <w:lang w:eastAsia="zh-CN"/>
        </w:rPr>
        <w:t>内按实结算</w:t>
      </w:r>
      <w:r>
        <w:rPr>
          <w:rFonts w:hint="eastAsia" w:ascii="仿宋_GB2312" w:eastAsia="仿宋_GB2312"/>
          <w:sz w:val="32"/>
          <w:szCs w:val="32"/>
        </w:rPr>
        <w:t>。</w:t>
      </w:r>
      <w:r>
        <w:rPr>
          <w:rFonts w:hint="eastAsia" w:ascii="仿宋_GB2312" w:eastAsia="仿宋_GB2312"/>
          <w:sz w:val="32"/>
          <w:szCs w:val="32"/>
          <w:lang w:eastAsia="zh-CN"/>
        </w:rPr>
        <w:t>（责任单位：人力社保局、经信局、教体局、民政局、建筑业管理服务中心、农业农村局、卫生健康局、退役军人事务局、应急管理局、财政局、市场监管局、团区委、红十字会、商务局、供销总社、残联）</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eastAsia="仿宋_GB2312"/>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bCs/>
          <w:color w:val="0D0D0D" w:themeColor="text1" w:themeTint="F2"/>
          <w:sz w:val="32"/>
          <w:szCs w:val="32"/>
          <w:lang w:val="en-US" w:eastAsia="zh-CN"/>
          <w14:textFill>
            <w14:solidFill>
              <w14:schemeClr w14:val="tx1">
                <w14:lumMod w14:val="95000"/>
                <w14:lumOff w14:val="5000"/>
              </w14:schemeClr>
            </w14:solidFill>
          </w14:textFill>
        </w:rPr>
        <w:t>2.大力推进安全技能培训。</w:t>
      </w:r>
      <w:r>
        <w:rPr>
          <w:rFonts w:hint="eastAsia" w:ascii="仿宋" w:hAnsi="仿宋" w:eastAsia="仿宋" w:cs="仿宋"/>
          <w:sz w:val="32"/>
          <w:szCs w:val="32"/>
        </w:rPr>
        <w:t>为全面落实企业安全生产主体责任，切实提高企业安全生产管理水平和从业人员安全素质，</w:t>
      </w:r>
      <w:r>
        <w:rPr>
          <w:rFonts w:hint="eastAsia" w:ascii="仿宋" w:hAnsi="仿宋" w:eastAsia="仿宋" w:cs="仿宋"/>
          <w:sz w:val="32"/>
          <w:szCs w:val="32"/>
          <w:lang w:eastAsia="zh-CN"/>
        </w:rPr>
        <w:t>大力开展安全技能普及性培训，通过政府购买服务形式，试行安全技能项目制（职业资格外）培训，以培训合格证书为依据，按不超过相同相近职业资格培训补贴标准的</w:t>
      </w:r>
      <w:r>
        <w:rPr>
          <w:rFonts w:hint="eastAsia" w:ascii="仿宋" w:hAnsi="仿宋" w:eastAsia="仿宋" w:cs="仿宋"/>
          <w:sz w:val="32"/>
          <w:szCs w:val="32"/>
          <w:lang w:val="en-US" w:eastAsia="zh-CN"/>
        </w:rPr>
        <w:t>50%进行补贴。</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对于高危行业和特种作业人员</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、特种设备作业人员</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安全技能培训以主管部门核发证书为依据，给予新证培训最高每人5</w:t>
      </w:r>
      <w:r>
        <w:rPr>
          <w:rFonts w:ascii="仿宋_GB2312" w:eastAsia="仿宋_GB2312"/>
          <w:color w:val="0D0D0D" w:themeColor="text1" w:themeTint="F2"/>
          <w:sz w:val="32"/>
          <w:szCs w:val="32"/>
          <w14:textFill>
            <w14:solidFill>
              <w14:schemeClr w14:val="tx1">
                <w14:lumMod w14:val="95000"/>
                <w14:lumOff w14:val="5000"/>
              </w14:schemeClr>
            </w14:solidFill>
          </w14:textFill>
        </w:rPr>
        <w:t>00</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元、复审培训最高每人100元的补贴。</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（责任单位：应急管理局、建筑业管理服务中心、市场监管局）</w:t>
      </w:r>
    </w:p>
    <w:p>
      <w:pPr>
        <w:keepNext w:val="0"/>
        <w:keepLines w:val="0"/>
        <w:pageBreakBefore w:val="0"/>
        <w:kinsoku/>
        <w:wordWrap/>
        <w:overflowPunct/>
        <w:autoSpaceDE/>
        <w:autoSpaceDN/>
        <w:bidi w:val="0"/>
        <w:spacing w:line="560" w:lineRule="exact"/>
        <w:ind w:left="0" w:leftChars="0" w:right="0" w:rightChars="0" w:firstLine="643" w:firstLineChars="200"/>
        <w:textAlignment w:val="auto"/>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b/>
          <w:bCs/>
          <w:color w:val="0D0D0D" w:themeColor="text1" w:themeTint="F2"/>
          <w:sz w:val="32"/>
          <w:szCs w:val="32"/>
          <w:lang w:val="en-US" w:eastAsia="zh-CN"/>
          <w14:textFill>
            <w14:solidFill>
              <w14:schemeClr w14:val="tx1">
                <w14:lumMod w14:val="95000"/>
                <w14:lumOff w14:val="5000"/>
              </w14:schemeClr>
            </w14:solidFill>
          </w14:textFill>
        </w:rPr>
        <w:t>3.全面助推“双证制”培训。</w:t>
      </w:r>
      <w:r>
        <w:rPr>
          <w:rFonts w:hint="eastAsia" w:ascii="仿宋" w:hAnsi="仿宋" w:eastAsia="仿宋" w:cs="仿宋"/>
          <w:sz w:val="32"/>
          <w:szCs w:val="32"/>
          <w:lang w:eastAsia="zh-CN"/>
        </w:rPr>
        <w:t>针对我区产业特色，大力助推化工企业“双证制”培训，全面提升化工企业员工岗位技能水平，</w:t>
      </w:r>
      <w:r>
        <w:rPr>
          <w:rFonts w:hint="eastAsia" w:ascii="仿宋" w:hAnsi="仿宋" w:eastAsia="仿宋" w:cs="仿宋"/>
          <w:sz w:val="32"/>
          <w:szCs w:val="32"/>
        </w:rPr>
        <w:t>提高安全操作技能，使化工企业员工</w:t>
      </w:r>
      <w:r>
        <w:rPr>
          <w:rFonts w:hint="eastAsia" w:ascii="仿宋" w:hAnsi="仿宋" w:eastAsia="仿宋" w:cs="仿宋"/>
          <w:sz w:val="32"/>
          <w:szCs w:val="32"/>
          <w:lang w:eastAsia="zh-CN"/>
        </w:rPr>
        <w:t>在提高文化水平和学历层次的同时，</w:t>
      </w:r>
      <w:r>
        <w:rPr>
          <w:rFonts w:hint="eastAsia" w:ascii="仿宋" w:hAnsi="仿宋" w:eastAsia="仿宋" w:cs="仿宋"/>
          <w:sz w:val="32"/>
          <w:szCs w:val="32"/>
        </w:rPr>
        <w:t>掌握一技之长。</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化工企业开展“双证制”培训，经鉴定合格，获得高级工及以下专项能力证书的，按照每人不超过</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1000元标准进行补贴。（责任单位：应急管理局、教体局、人社局）</w:t>
      </w:r>
    </w:p>
    <w:p>
      <w:pPr>
        <w:pStyle w:val="2"/>
        <w:keepNext w:val="0"/>
        <w:keepLines w:val="0"/>
        <w:pageBreakBefore w:val="0"/>
        <w:kinsoku/>
        <w:wordWrap/>
        <w:overflowPunct/>
        <w:autoSpaceDE/>
        <w:autoSpaceDN/>
        <w:bidi w:val="0"/>
        <w:spacing w:after="0" w:line="560" w:lineRule="exact"/>
        <w:ind w:left="0" w:leftChars="0" w:right="0" w:rightChars="0" w:firstLine="643" w:firstLineChars="200"/>
        <w:textAlignment w:val="auto"/>
        <w:rPr>
          <w:rFonts w:hint="eastAsia" w:ascii="仿宋" w:hAnsi="仿宋" w:eastAsia="仿宋" w:cs="仿宋"/>
          <w:b w:val="0"/>
          <w:bCs/>
          <w:sz w:val="32"/>
          <w:szCs w:val="32"/>
          <w:lang w:val="en-US" w:eastAsia="zh-CN"/>
        </w:rPr>
      </w:pPr>
      <w:r>
        <w:rPr>
          <w:rFonts w:hint="eastAsia" w:ascii="楷体" w:hAnsi="楷体" w:eastAsia="楷体" w:cs="楷体"/>
          <w:b/>
          <w:bCs w:val="0"/>
          <w:sz w:val="32"/>
          <w:szCs w:val="32"/>
          <w:lang w:val="en-US" w:eastAsia="zh-CN"/>
        </w:rPr>
        <w:t>4.启动上市企业职业技能提升“领航计划”。</w:t>
      </w:r>
      <w:r>
        <w:rPr>
          <w:rFonts w:hint="eastAsia" w:ascii="仿宋" w:hAnsi="仿宋" w:eastAsia="仿宋" w:cs="仿宋"/>
          <w:b w:val="0"/>
          <w:bCs/>
          <w:sz w:val="32"/>
          <w:szCs w:val="32"/>
          <w:lang w:val="en-US" w:eastAsia="zh-CN"/>
        </w:rPr>
        <w:t>为进一步解决上市企业对技能人才的需求，采用校企合作模式，</w:t>
      </w:r>
      <w:r>
        <w:rPr>
          <w:rFonts w:hint="eastAsia" w:ascii="仿宋" w:hAnsi="仿宋" w:eastAsia="仿宋" w:cs="仿宋"/>
          <w:sz w:val="32"/>
          <w:szCs w:val="32"/>
          <w:lang w:eastAsia="zh-CN"/>
        </w:rPr>
        <w:t>通过政府购买服务形式，</w:t>
      </w:r>
      <w:r>
        <w:rPr>
          <w:rFonts w:hint="eastAsia" w:ascii="仿宋" w:hAnsi="仿宋" w:eastAsia="仿宋" w:cs="仿宋"/>
          <w:b w:val="0"/>
          <w:bCs/>
          <w:sz w:val="32"/>
          <w:szCs w:val="32"/>
          <w:lang w:val="en-US" w:eastAsia="zh-CN"/>
        </w:rPr>
        <w:t>启动我区上市企业职业技能提升“领航计划”，2021年前，</w:t>
      </w:r>
      <w:r>
        <w:rPr>
          <w:rFonts w:hint="eastAsia" w:ascii="仿宋" w:hAnsi="仿宋" w:eastAsia="仿宋" w:cs="仿宋"/>
          <w:sz w:val="32"/>
          <w:szCs w:val="32"/>
          <w:lang w:eastAsia="zh-CN"/>
        </w:rPr>
        <w:t>对我区上市企业开展针对性职业技能提升培训。（</w:t>
      </w:r>
      <w:r>
        <w:rPr>
          <w:rFonts w:hint="eastAsia" w:ascii="仿宋_GB2312" w:eastAsia="仿宋_GB2312"/>
          <w:sz w:val="32"/>
          <w:szCs w:val="32"/>
        </w:rPr>
        <w:t>责任单位：</w:t>
      </w:r>
      <w:r>
        <w:rPr>
          <w:rFonts w:hint="eastAsia" w:ascii="仿宋" w:hAnsi="仿宋" w:eastAsia="仿宋" w:cs="仿宋"/>
          <w:sz w:val="32"/>
          <w:szCs w:val="32"/>
          <w:lang w:eastAsia="zh-CN"/>
        </w:rPr>
        <w:t>人社局、教体局）</w:t>
      </w:r>
    </w:p>
    <w:p>
      <w:pPr>
        <w:pStyle w:val="2"/>
        <w:keepNext w:val="0"/>
        <w:keepLines w:val="0"/>
        <w:pageBreakBefore w:val="0"/>
        <w:kinsoku/>
        <w:wordWrap/>
        <w:overflowPunct/>
        <w:autoSpaceDE/>
        <w:autoSpaceDN/>
        <w:bidi w:val="0"/>
        <w:spacing w:after="0" w:line="560" w:lineRule="exact"/>
        <w:ind w:left="0" w:leftChars="0"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lang w:val="en-US" w:eastAsia="zh-CN"/>
        </w:rPr>
        <w:t>5</w:t>
      </w:r>
      <w:r>
        <w:rPr>
          <w:rFonts w:ascii="楷体_GB2312" w:eastAsia="楷体_GB2312"/>
          <w:b/>
          <w:sz w:val="32"/>
          <w:szCs w:val="32"/>
        </w:rPr>
        <w:t>.</w:t>
      </w:r>
      <w:r>
        <w:rPr>
          <w:rFonts w:hint="eastAsia" w:ascii="楷体_GB2312" w:eastAsia="楷体_GB2312"/>
          <w:b/>
          <w:sz w:val="32"/>
          <w:szCs w:val="32"/>
        </w:rPr>
        <w:t>广泛开展农民职业培训</w:t>
      </w:r>
      <w:r>
        <w:rPr>
          <w:rFonts w:hint="eastAsia" w:ascii="仿宋_GB2312" w:eastAsia="仿宋_GB2312"/>
          <w:sz w:val="32"/>
          <w:szCs w:val="32"/>
        </w:rPr>
        <w:t>。</w:t>
      </w:r>
      <w:r>
        <w:rPr>
          <w:rFonts w:hint="eastAsia" w:ascii="仿宋_GB2312" w:eastAsia="仿宋_GB2312"/>
          <w:sz w:val="32"/>
          <w:szCs w:val="32"/>
          <w:lang w:eastAsia="zh-CN"/>
        </w:rPr>
        <w:t>依托“千万农民素质提升工程”，</w:t>
      </w:r>
      <w:r>
        <w:rPr>
          <w:rFonts w:hint="eastAsia" w:ascii="仿宋_GB2312" w:eastAsia="仿宋_GB2312"/>
          <w:sz w:val="32"/>
          <w:szCs w:val="32"/>
        </w:rPr>
        <w:t>推行农村实用人才培训和新型职业农民培育，全面建立职业农民制度，培养现代农业发展和</w:t>
      </w:r>
      <w:r>
        <w:rPr>
          <w:rFonts w:hint="eastAsia" w:ascii="仿宋_GB2312" w:eastAsia="仿宋_GB2312"/>
          <w:sz w:val="32"/>
          <w:szCs w:val="32"/>
          <w:lang w:eastAsia="zh-CN"/>
        </w:rPr>
        <w:t>新时代美丽乡村</w:t>
      </w:r>
      <w:r>
        <w:rPr>
          <w:rFonts w:hint="eastAsia" w:ascii="仿宋_GB2312" w:eastAsia="仿宋_GB2312"/>
          <w:sz w:val="32"/>
          <w:szCs w:val="32"/>
        </w:rPr>
        <w:t>建设需要的农村实用人才和新型职业农民。重点实施“</w:t>
      </w:r>
      <w:r>
        <w:rPr>
          <w:rFonts w:hint="eastAsia" w:ascii="仿宋_GB2312" w:eastAsia="仿宋_GB2312"/>
          <w:sz w:val="32"/>
          <w:szCs w:val="32"/>
          <w:lang w:eastAsia="zh-CN"/>
        </w:rPr>
        <w:t>高素质农民培育计划</w:t>
      </w:r>
      <w:r>
        <w:rPr>
          <w:rFonts w:hint="eastAsia" w:ascii="仿宋_GB2312" w:eastAsia="仿宋_GB2312"/>
          <w:sz w:val="32"/>
          <w:szCs w:val="32"/>
        </w:rPr>
        <w:t>”、“</w:t>
      </w:r>
      <w:r>
        <w:rPr>
          <w:rFonts w:hint="eastAsia" w:ascii="仿宋_GB2312" w:eastAsia="仿宋_GB2312"/>
          <w:sz w:val="32"/>
          <w:szCs w:val="32"/>
          <w:lang w:eastAsia="zh-CN"/>
        </w:rPr>
        <w:t>农村实用人才培训计划</w:t>
      </w:r>
      <w:r>
        <w:rPr>
          <w:rFonts w:hint="eastAsia" w:ascii="仿宋_GB2312" w:eastAsia="仿宋_GB2312"/>
          <w:sz w:val="32"/>
          <w:szCs w:val="32"/>
        </w:rPr>
        <w:t>”和“新型农业经营主体带头人轮训计划”，分类型、分产业、分等级开展农村新兴产业创业培训。</w:t>
      </w:r>
      <w:r>
        <w:rPr>
          <w:rFonts w:hint="eastAsia" w:ascii="仿宋_GB2312" w:eastAsia="仿宋_GB2312"/>
          <w:sz w:val="32"/>
          <w:szCs w:val="32"/>
          <w:lang w:eastAsia="zh-CN"/>
        </w:rPr>
        <w:t>（责任单位：农业农村局、人社局、教体局、供销总社）</w:t>
      </w:r>
    </w:p>
    <w:p>
      <w:pPr>
        <w:pStyle w:val="2"/>
        <w:keepNext w:val="0"/>
        <w:keepLines w:val="0"/>
        <w:pageBreakBefore w:val="0"/>
        <w:kinsoku/>
        <w:wordWrap/>
        <w:overflowPunct/>
        <w:autoSpaceDE/>
        <w:autoSpaceDN/>
        <w:bidi w:val="0"/>
        <w:spacing w:after="0" w:line="560" w:lineRule="exact"/>
        <w:ind w:left="0" w:leftChars="0"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lang w:val="en-US" w:eastAsia="zh-CN"/>
        </w:rPr>
        <w:t>6</w:t>
      </w:r>
      <w:r>
        <w:rPr>
          <w:rFonts w:ascii="楷体_GB2312" w:eastAsia="楷体_GB2312"/>
          <w:b/>
          <w:sz w:val="32"/>
          <w:szCs w:val="32"/>
        </w:rPr>
        <w:t>.</w:t>
      </w:r>
      <w:r>
        <w:rPr>
          <w:rFonts w:hint="eastAsia" w:ascii="楷体_GB2312" w:eastAsia="楷体_GB2312"/>
          <w:b/>
          <w:sz w:val="32"/>
          <w:szCs w:val="32"/>
        </w:rPr>
        <w:t>拓展丰富就业创业培训</w:t>
      </w:r>
      <w:r>
        <w:rPr>
          <w:rFonts w:hint="eastAsia" w:ascii="仿宋_GB2312" w:eastAsia="仿宋_GB2312"/>
          <w:sz w:val="32"/>
          <w:szCs w:val="32"/>
        </w:rPr>
        <w:t>。按不超过每人1000元的标准，进一步推进农民工、</w:t>
      </w:r>
      <w:r>
        <w:rPr>
          <w:rFonts w:hint="eastAsia" w:ascii="仿宋_GB2312" w:eastAsia="仿宋_GB2312"/>
          <w:sz w:val="32"/>
          <w:szCs w:val="32"/>
          <w:lang w:eastAsia="zh-CN"/>
        </w:rPr>
        <w:t>低收入农户</w:t>
      </w:r>
      <w:r>
        <w:rPr>
          <w:rFonts w:hint="eastAsia" w:ascii="仿宋_GB2312" w:eastAsia="仿宋_GB2312"/>
          <w:sz w:val="32"/>
          <w:szCs w:val="32"/>
        </w:rPr>
        <w:t>、在校大学生（含技工院校高级工班及以上学生）和退役军人等人员返乡创业培训工作，对有创业</w:t>
      </w:r>
      <w:r>
        <w:rPr>
          <w:rFonts w:hint="eastAsia" w:ascii="仿宋_GB2312" w:eastAsia="仿宋_GB2312"/>
          <w:sz w:val="32"/>
          <w:szCs w:val="32"/>
          <w:lang w:eastAsia="zh-CN"/>
        </w:rPr>
        <w:t>意愿</w:t>
      </w:r>
      <w:r>
        <w:rPr>
          <w:rFonts w:hint="eastAsia" w:ascii="仿宋_GB2312" w:eastAsia="仿宋_GB2312"/>
          <w:sz w:val="32"/>
          <w:szCs w:val="32"/>
        </w:rPr>
        <w:t>的劳动者开展创业指导培训。每年</w:t>
      </w:r>
      <w:r>
        <w:rPr>
          <w:rFonts w:hint="eastAsia" w:ascii="仿宋_GB2312" w:eastAsia="仿宋_GB2312"/>
          <w:sz w:val="32"/>
          <w:szCs w:val="32"/>
          <w:lang w:eastAsia="zh-CN"/>
        </w:rPr>
        <w:t>对我区高校返乡及在虞高校毕业生</w:t>
      </w:r>
      <w:r>
        <w:rPr>
          <w:rFonts w:hint="eastAsia" w:ascii="仿宋_GB2312" w:eastAsia="仿宋_GB2312"/>
          <w:sz w:val="32"/>
          <w:szCs w:val="32"/>
        </w:rPr>
        <w:t>（含技工院校高级工班及以上毕业生）进行就业创业培训，重点围绕通用职业素质、求职能力、</w:t>
      </w:r>
      <w:r>
        <w:rPr>
          <w:rFonts w:hint="eastAsia" w:ascii="仿宋_GB2312" w:eastAsia="仿宋_GB2312"/>
          <w:sz w:val="32"/>
          <w:szCs w:val="32"/>
          <w:lang w:eastAsia="zh-CN"/>
        </w:rPr>
        <w:t>上虞</w:t>
      </w:r>
      <w:r>
        <w:rPr>
          <w:rFonts w:hint="eastAsia" w:ascii="仿宋_GB2312" w:eastAsia="仿宋_GB2312"/>
          <w:sz w:val="32"/>
          <w:szCs w:val="32"/>
        </w:rPr>
        <w:t>产业状况和大学生人才政策等</w:t>
      </w:r>
      <w:r>
        <w:rPr>
          <w:rFonts w:hint="eastAsia" w:ascii="仿宋_GB2312" w:eastAsia="仿宋_GB2312"/>
          <w:sz w:val="32"/>
          <w:szCs w:val="32"/>
          <w:lang w:eastAsia="zh-CN"/>
        </w:rPr>
        <w:t>促进就业创业</w:t>
      </w:r>
      <w:r>
        <w:rPr>
          <w:rFonts w:hint="eastAsia" w:ascii="仿宋_GB2312" w:eastAsia="仿宋_GB2312"/>
          <w:sz w:val="32"/>
          <w:szCs w:val="32"/>
        </w:rPr>
        <w:t>内容进行指导</w:t>
      </w:r>
      <w:bookmarkStart w:id="0" w:name="_Hlk11013095"/>
      <w:r>
        <w:rPr>
          <w:rFonts w:hint="eastAsia" w:ascii="仿宋_GB2312" w:eastAsia="仿宋_GB2312"/>
          <w:sz w:val="32"/>
          <w:szCs w:val="32"/>
        </w:rPr>
        <w:t>。</w:t>
      </w:r>
      <w:r>
        <w:rPr>
          <w:rFonts w:hint="eastAsia" w:ascii="仿宋_GB2312" w:eastAsia="仿宋_GB2312"/>
          <w:sz w:val="32"/>
          <w:szCs w:val="32"/>
          <w:lang w:eastAsia="zh-CN"/>
        </w:rPr>
        <w:t>（责任单位：人社局、农业农村局、团区委、商务局、退役军人事务局、供销总社）</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 w:hAnsi="仿宋" w:eastAsia="仿宋"/>
          <w:sz w:val="32"/>
          <w:szCs w:val="32"/>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.精准实施重点群体培训。</w:t>
      </w:r>
      <w:r>
        <w:rPr>
          <w:rFonts w:hint="eastAsia" w:ascii="仿宋" w:hAnsi="仿宋" w:eastAsia="仿宋"/>
          <w:sz w:val="32"/>
          <w:szCs w:val="32"/>
        </w:rPr>
        <w:t>推广“一地一人一策技能扶贫”。对东西扶贫、对口支援、山海协作地区，每年以项目化或补贴式为当地贫困劳动力提供免费职业培训；针对有需求的退役军人，开展不少于3个月的专业技能培训，给予每人最高5000元的培训补助；针对下岗失业人员、就业困难人员（含残疾人，下同）和未升学初高中毕业生（“两后生”）等群体，推出免费单项就业实用技能培训。对</w:t>
      </w:r>
      <w:r>
        <w:rPr>
          <w:rFonts w:hint="eastAsia" w:ascii="仿宋" w:hAnsi="仿宋" w:eastAsia="仿宋"/>
          <w:sz w:val="32"/>
          <w:szCs w:val="32"/>
          <w:lang w:eastAsia="zh-CN"/>
        </w:rPr>
        <w:t>建档立卡</w:t>
      </w:r>
      <w:bookmarkStart w:id="2" w:name="_GoBack"/>
      <w:bookmarkEnd w:id="2"/>
      <w:r>
        <w:rPr>
          <w:rFonts w:hint="eastAsia" w:ascii="仿宋" w:hAnsi="仿宋" w:eastAsia="仿宋"/>
          <w:sz w:val="32"/>
          <w:szCs w:val="32"/>
        </w:rPr>
        <w:t>低收入农户家庭劳动力、就业困难人员、零就业家庭成员、“两后生”中的农村学员和城市低保家庭学员，在培训期间按每人每天50元标准给予生活费补贴。</w:t>
      </w:r>
      <w:r>
        <w:rPr>
          <w:rFonts w:hint="eastAsia" w:ascii="仿宋" w:hAnsi="仿宋" w:eastAsia="仿宋"/>
          <w:sz w:val="32"/>
          <w:szCs w:val="32"/>
          <w:lang w:eastAsia="zh-CN"/>
        </w:rPr>
        <w:t>（</w:t>
      </w:r>
      <w:r>
        <w:rPr>
          <w:rFonts w:hint="eastAsia" w:ascii="仿宋_GB2312" w:eastAsia="仿宋_GB2312"/>
          <w:sz w:val="32"/>
          <w:szCs w:val="32"/>
        </w:rPr>
        <w:t>责任单位：</w:t>
      </w:r>
      <w:r>
        <w:rPr>
          <w:rFonts w:hint="eastAsia" w:ascii="仿宋" w:hAnsi="仿宋" w:eastAsia="仿宋"/>
          <w:sz w:val="32"/>
          <w:szCs w:val="32"/>
          <w:lang w:eastAsia="zh-CN"/>
        </w:rPr>
        <w:t>发改局、退役军人事务局、人社局、农业农村局、残联、教体局）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.积极组织精英提升培训。</w:t>
      </w:r>
      <w:r>
        <w:rPr>
          <w:rFonts w:hint="eastAsia" w:ascii="仿宋" w:hAnsi="仿宋" w:eastAsia="仿宋"/>
          <w:sz w:val="32"/>
          <w:szCs w:val="32"/>
        </w:rPr>
        <w:t>启动“</w:t>
      </w:r>
      <w:r>
        <w:rPr>
          <w:rFonts w:hint="eastAsia" w:ascii="仿宋" w:hAnsi="仿宋" w:eastAsia="仿宋"/>
          <w:sz w:val="32"/>
          <w:szCs w:val="32"/>
          <w:lang w:eastAsia="zh-CN"/>
        </w:rPr>
        <w:t>娥江</w:t>
      </w:r>
      <w:r>
        <w:rPr>
          <w:rFonts w:hint="eastAsia" w:ascii="仿宋" w:hAnsi="仿宋" w:eastAsia="仿宋"/>
          <w:sz w:val="32"/>
          <w:szCs w:val="32"/>
        </w:rPr>
        <w:t>英才三年提升规划”，开设面向生产教学一线初中级技术骨干，以培养具有较高个人技术造诣的高级技工为目标的“技工班”；面向各企事业单位优秀高级技工，以培养能带动本单位（行业）技能人才成长的技师、高级技师为目标的“巧匠班”；面向各行业领域成绩突出的技师、高级技师，以培养能引领产业发展的高技能领军人才为目标的“大师班”，分梯次开展技能人才研修，三年累计研修200人左右。技工班、巧匠班主要省内研修，大师班主要省外研修，标准按省内每人最高1万元，省外每人最高2万元执行。</w:t>
      </w:r>
      <w:r>
        <w:rPr>
          <w:rFonts w:hint="eastAsia" w:ascii="仿宋" w:hAnsi="仿宋" w:eastAsia="仿宋"/>
          <w:sz w:val="32"/>
          <w:szCs w:val="32"/>
          <w:lang w:eastAsia="zh-CN"/>
        </w:rPr>
        <w:t>（责任单位：人社局、教体局）</w:t>
      </w:r>
    </w:p>
    <w:bookmarkEnd w:id="0"/>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黑体" w:eastAsia="黑体"/>
          <w:sz w:val="32"/>
          <w:szCs w:val="32"/>
        </w:rPr>
      </w:pPr>
      <w:r>
        <w:rPr>
          <w:rFonts w:hint="eastAsia" w:ascii="黑体" w:eastAsia="黑体"/>
          <w:sz w:val="32"/>
          <w:szCs w:val="32"/>
        </w:rPr>
        <w:t>三、</w:t>
      </w:r>
      <w:r>
        <w:rPr>
          <w:rFonts w:hint="eastAsia" w:ascii="黑体" w:eastAsia="黑体"/>
          <w:sz w:val="32"/>
          <w:szCs w:val="32"/>
          <w:lang w:eastAsia="zh-CN"/>
        </w:rPr>
        <w:t>积极鼓励企业和劳动者自主培训</w:t>
      </w:r>
    </w:p>
    <w:p>
      <w:pPr>
        <w:pStyle w:val="2"/>
        <w:keepNext w:val="0"/>
        <w:keepLines w:val="0"/>
        <w:pageBreakBefore w:val="0"/>
        <w:kinsoku/>
        <w:wordWrap/>
        <w:overflowPunct/>
        <w:autoSpaceDE/>
        <w:autoSpaceDN/>
        <w:bidi w:val="0"/>
        <w:spacing w:after="0" w:line="560" w:lineRule="exact"/>
        <w:ind w:left="0" w:leftChars="0" w:right="0" w:rightChars="0" w:firstLine="643" w:firstLineChars="200"/>
        <w:textAlignment w:val="auto"/>
        <w:rPr>
          <w:rFonts w:ascii="仿宋_GB2312" w:eastAsia="仿宋_GB2312"/>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w:t>
      </w:r>
      <w:r>
        <w:rPr>
          <w:rFonts w:hint="eastAsia" w:ascii="楷体_GB2312" w:eastAsia="楷体_GB2312"/>
          <w:b/>
          <w:sz w:val="32"/>
          <w:szCs w:val="32"/>
        </w:rPr>
        <w:t>深化</w:t>
      </w:r>
      <w:r>
        <w:rPr>
          <w:rFonts w:hint="eastAsia" w:ascii="楷体_GB2312" w:eastAsia="楷体_GB2312"/>
          <w:b/>
          <w:sz w:val="32"/>
          <w:szCs w:val="32"/>
          <w:lang w:eastAsia="zh-CN"/>
        </w:rPr>
        <w:t>职业教育</w:t>
      </w:r>
      <w:r>
        <w:rPr>
          <w:rFonts w:hint="eastAsia" w:ascii="楷体_GB2312" w:eastAsia="楷体_GB2312"/>
          <w:b/>
          <w:sz w:val="32"/>
          <w:szCs w:val="32"/>
        </w:rPr>
        <w:t>校企合作培养</w:t>
      </w:r>
      <w:r>
        <w:rPr>
          <w:rFonts w:hint="eastAsia" w:ascii="仿宋_GB2312" w:eastAsia="仿宋_GB2312"/>
          <w:sz w:val="32"/>
          <w:szCs w:val="32"/>
        </w:rPr>
        <w:t>。深化产教融合，支持企业采用新型学徒制</w:t>
      </w:r>
      <w:r>
        <w:rPr>
          <w:rFonts w:hint="eastAsia" w:ascii="仿宋_GB2312" w:eastAsia="仿宋_GB2312"/>
          <w:sz w:val="32"/>
          <w:szCs w:val="32"/>
          <w:lang w:eastAsia="zh-CN"/>
        </w:rPr>
        <w:t>、现代学徒制</w:t>
      </w:r>
      <w:r>
        <w:rPr>
          <w:rFonts w:hint="eastAsia" w:ascii="仿宋_GB2312" w:eastAsia="仿宋_GB2312"/>
          <w:sz w:val="32"/>
          <w:szCs w:val="32"/>
        </w:rPr>
        <w:t>等形式培养适合企业需求、贴近岗位实际的技能人才</w:t>
      </w:r>
      <w:bookmarkStart w:id="1" w:name="_Hlk11014340"/>
      <w:r>
        <w:rPr>
          <w:rFonts w:hint="eastAsia" w:ascii="仿宋_GB2312" w:eastAsia="仿宋_GB2312"/>
          <w:sz w:val="32"/>
          <w:szCs w:val="32"/>
        </w:rPr>
        <w:t>。实行新型学徒制，职工学徒按每人每年不高于6000元的标准按实补助，补助不超过2年；学生学徒补贴一般可按学徒月实习津贴标准确定，每人每年不高于3000元，补助不超过1年。对招聘校企合作定向培养毕业生的企业，按每人5000元标准给予补助，补助不超过2年。</w:t>
      </w:r>
      <w:bookmarkEnd w:id="1"/>
      <w:r>
        <w:rPr>
          <w:rFonts w:hint="eastAsia" w:ascii="仿宋" w:hAnsi="仿宋" w:eastAsia="仿宋"/>
          <w:sz w:val="32"/>
          <w:szCs w:val="32"/>
          <w:lang w:eastAsia="zh-CN"/>
        </w:rPr>
        <w:t>（责任单位：人社局、教体局）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9" w:firstLineChars="199"/>
        <w:textAlignment w:val="auto"/>
        <w:outlineLvl w:val="9"/>
        <w:rPr>
          <w:rFonts w:ascii="仿宋_GB2312" w:eastAsia="仿宋_GB2312"/>
          <w:sz w:val="32"/>
          <w:szCs w:val="32"/>
        </w:rPr>
      </w:pPr>
      <w:r>
        <w:rPr>
          <w:rFonts w:hint="eastAsia" w:ascii="楷体_GB2312" w:eastAsia="楷体_GB2312"/>
          <w:b/>
          <w:sz w:val="32"/>
          <w:szCs w:val="32"/>
          <w:lang w:val="en-US" w:eastAsia="zh-CN"/>
        </w:rPr>
        <w:t>10</w:t>
      </w:r>
      <w:r>
        <w:rPr>
          <w:rFonts w:ascii="楷体_GB2312" w:eastAsia="楷体_GB2312"/>
          <w:b/>
          <w:sz w:val="32"/>
          <w:szCs w:val="32"/>
        </w:rPr>
        <w:t>.</w:t>
      </w:r>
      <w:r>
        <w:rPr>
          <w:rFonts w:hint="eastAsia" w:ascii="楷体_GB2312" w:eastAsia="楷体_GB2312"/>
          <w:b/>
          <w:sz w:val="32"/>
          <w:szCs w:val="32"/>
        </w:rPr>
        <w:t>发挥企业人才评价主体地位</w:t>
      </w:r>
      <w:r>
        <w:rPr>
          <w:rFonts w:hint="eastAsia" w:ascii="仿宋_GB2312" w:eastAsia="仿宋_GB2312"/>
          <w:sz w:val="32"/>
          <w:szCs w:val="32"/>
        </w:rPr>
        <w:t>。深化“企业自主评价支持政策”，切实发挥企业评价、使用技能人才主体地位</w:t>
      </w:r>
      <w:r>
        <w:rPr>
          <w:rFonts w:hint="eastAsia" w:ascii="仿宋_GB2312" w:eastAsia="仿宋_GB2312"/>
          <w:sz w:val="32"/>
          <w:szCs w:val="32"/>
          <w:lang w:eastAsia="zh-CN"/>
        </w:rPr>
        <w:t>。加快推动我区职业技能等级认定试点工作，在新和成被评为全省首批</w:t>
      </w:r>
      <w:r>
        <w:rPr>
          <w:rFonts w:hint="eastAsia" w:ascii="仿宋_GB2312" w:eastAsia="仿宋_GB2312"/>
          <w:sz w:val="32"/>
          <w:szCs w:val="32"/>
          <w:lang w:val="en-US" w:eastAsia="zh-CN"/>
        </w:rPr>
        <w:t>职业技能等级认定试点企业基础上，逐年新增3-4家企业开展技能等级认定</w:t>
      </w:r>
      <w:r>
        <w:rPr>
          <w:rFonts w:hint="eastAsia" w:ascii="仿宋_GB2312" w:eastAsia="仿宋_GB2312"/>
          <w:color w:val="002060"/>
          <w:sz w:val="32"/>
          <w:szCs w:val="32"/>
          <w:lang w:val="en-US" w:eastAsia="zh-CN"/>
        </w:rPr>
        <w:t>。</w:t>
      </w:r>
      <w:r>
        <w:rPr>
          <w:rFonts w:hint="eastAsia" w:ascii="仿宋_GB2312" w:eastAsia="仿宋_GB2312"/>
          <w:sz w:val="32"/>
          <w:szCs w:val="32"/>
        </w:rPr>
        <w:t>企业职工</w:t>
      </w:r>
      <w:r>
        <w:rPr>
          <w:rFonts w:hint="eastAsia" w:ascii="仿宋_GB2312" w:eastAsia="仿宋_GB2312"/>
          <w:sz w:val="32"/>
          <w:szCs w:val="32"/>
          <w:lang w:eastAsia="zh-CN"/>
        </w:rPr>
        <w:t>经</w:t>
      </w:r>
      <w:r>
        <w:rPr>
          <w:rFonts w:hint="eastAsia" w:ascii="仿宋_GB2312" w:eastAsia="仿宋_GB2312"/>
          <w:sz w:val="32"/>
          <w:szCs w:val="32"/>
        </w:rPr>
        <w:t>培训后，</w:t>
      </w:r>
      <w:r>
        <w:rPr>
          <w:rFonts w:hint="eastAsia" w:ascii="仿宋_GB2312" w:eastAsia="仿宋_GB2312"/>
          <w:sz w:val="32"/>
          <w:szCs w:val="32"/>
          <w:lang w:eastAsia="zh-CN"/>
        </w:rPr>
        <w:t>对</w:t>
      </w:r>
      <w:r>
        <w:rPr>
          <w:rFonts w:hint="eastAsia" w:ascii="仿宋_GB2312" w:eastAsia="仿宋_GB2312"/>
          <w:sz w:val="32"/>
          <w:szCs w:val="32"/>
        </w:rPr>
        <w:t>企业自主或由第三方评价机构产生的技能人才，按照初、中、高级每人</w:t>
      </w:r>
      <w:r>
        <w:rPr>
          <w:rFonts w:hint="eastAsia" w:ascii="仿宋_GB2312" w:eastAsia="仿宋_GB2312"/>
          <w:sz w:val="32"/>
          <w:szCs w:val="32"/>
          <w:lang w:val="en-US" w:eastAsia="zh-CN"/>
        </w:rPr>
        <w:t>5</w:t>
      </w:r>
      <w:r>
        <w:rPr>
          <w:rFonts w:hint="eastAsia" w:ascii="仿宋_GB2312" w:eastAsia="仿宋_GB2312"/>
          <w:sz w:val="32"/>
          <w:szCs w:val="32"/>
        </w:rPr>
        <w:t>00元、</w:t>
      </w:r>
      <w:r>
        <w:rPr>
          <w:rFonts w:hint="eastAsia" w:ascii="仿宋_GB2312" w:eastAsia="仿宋_GB2312"/>
          <w:sz w:val="32"/>
          <w:szCs w:val="32"/>
          <w:lang w:val="en-US" w:eastAsia="zh-CN"/>
        </w:rPr>
        <w:t>6</w:t>
      </w:r>
      <w:r>
        <w:rPr>
          <w:rFonts w:hint="eastAsia" w:ascii="仿宋_GB2312" w:eastAsia="仿宋_GB2312"/>
          <w:sz w:val="32"/>
          <w:szCs w:val="32"/>
        </w:rPr>
        <w:t>00元、800元的标准予以支持。对高技能人才集聚示范企业，鼓励其自行选拔评价产生本企业首席技师，对经过备案的企业首席技师，给予每人每月1000元的技能岗位津贴，最多补助3年。</w:t>
      </w:r>
      <w:r>
        <w:rPr>
          <w:rFonts w:hint="eastAsia" w:ascii="仿宋" w:hAnsi="仿宋" w:eastAsia="仿宋"/>
          <w:sz w:val="32"/>
          <w:szCs w:val="32"/>
          <w:lang w:eastAsia="zh-CN"/>
        </w:rPr>
        <w:t>（责任单位：人社局）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9" w:firstLineChars="199"/>
        <w:textAlignment w:val="auto"/>
        <w:outlineLvl w:val="9"/>
        <w:rPr>
          <w:rFonts w:ascii="仿宋_GB2312" w:eastAsia="仿宋_GB2312"/>
          <w:sz w:val="32"/>
          <w:szCs w:val="32"/>
        </w:rPr>
      </w:pPr>
      <w:r>
        <w:rPr>
          <w:rFonts w:hint="eastAsia" w:ascii="楷体_GB2312" w:eastAsia="楷体_GB2312"/>
          <w:b/>
          <w:sz w:val="32"/>
          <w:szCs w:val="32"/>
          <w:lang w:val="en-US" w:eastAsia="zh-CN"/>
        </w:rPr>
        <w:t>11</w:t>
      </w:r>
      <w:r>
        <w:rPr>
          <w:rFonts w:ascii="楷体_GB2312" w:eastAsia="楷体_GB2312"/>
          <w:b/>
          <w:sz w:val="32"/>
          <w:szCs w:val="32"/>
        </w:rPr>
        <w:t>.</w:t>
      </w:r>
      <w:r>
        <w:rPr>
          <w:rFonts w:hint="eastAsia" w:ascii="楷体_GB2312" w:eastAsia="楷体_GB2312"/>
          <w:b/>
          <w:sz w:val="32"/>
          <w:szCs w:val="32"/>
        </w:rPr>
        <w:t>支持困难企业组织内训</w:t>
      </w:r>
      <w:r>
        <w:rPr>
          <w:rFonts w:hint="eastAsia" w:ascii="仿宋_GB2312" w:eastAsia="仿宋_GB2312"/>
          <w:sz w:val="32"/>
          <w:szCs w:val="32"/>
        </w:rPr>
        <w:t>。发起“困难企业技能扶持行动”，扶持困难企业开展职工在岗培训、转岗转业培训。困难企业组织开展职工在岗培训的，职工教育经费列支后不足部分经审核予以补助，最高不超过该企业上年度实际缴纳的失业保险费。2021年底前，组织受经贸摩擦影响的企业职工培训，补贴标准可参照同类职业（工种）补贴标准上浮，上浮幅度不超过30%。</w:t>
      </w:r>
      <w:r>
        <w:rPr>
          <w:rFonts w:hint="eastAsia" w:ascii="仿宋_GB2312" w:eastAsia="仿宋_GB2312"/>
          <w:sz w:val="32"/>
          <w:szCs w:val="32"/>
          <w:lang w:eastAsia="zh-CN"/>
        </w:rPr>
        <w:t>（责任单位：人社局、经信局、商务局）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9" w:firstLineChars="199"/>
        <w:textAlignment w:val="auto"/>
        <w:outlineLvl w:val="9"/>
        <w:rPr>
          <w:rFonts w:ascii="仿宋_GB2312" w:eastAsia="仿宋_GB2312"/>
          <w:sz w:val="32"/>
          <w:szCs w:val="32"/>
        </w:rPr>
      </w:pPr>
      <w:r>
        <w:rPr>
          <w:rFonts w:hint="eastAsia" w:ascii="楷体_GB2312" w:eastAsia="楷体_GB2312"/>
          <w:b/>
          <w:sz w:val="32"/>
          <w:szCs w:val="32"/>
          <w:lang w:val="en-US" w:eastAsia="zh-CN"/>
        </w:rPr>
        <w:t>12</w:t>
      </w:r>
      <w:r>
        <w:rPr>
          <w:rFonts w:ascii="楷体_GB2312" w:eastAsia="楷体_GB2312"/>
          <w:b/>
          <w:sz w:val="32"/>
          <w:szCs w:val="32"/>
        </w:rPr>
        <w:t>.</w:t>
      </w:r>
      <w:r>
        <w:rPr>
          <w:rFonts w:hint="eastAsia" w:ascii="楷体_GB2312" w:eastAsia="楷体_GB2312"/>
          <w:b/>
          <w:sz w:val="32"/>
          <w:szCs w:val="32"/>
        </w:rPr>
        <w:t>鼓励企业岗位练兵以赛代训</w:t>
      </w:r>
      <w:r>
        <w:rPr>
          <w:rFonts w:hint="eastAsia" w:ascii="仿宋_GB2312" w:eastAsia="仿宋_GB2312"/>
          <w:sz w:val="32"/>
          <w:szCs w:val="32"/>
        </w:rPr>
        <w:t>。鼓励企业开展岗位练兵、技能竞赛活动，通过企业岗位练兵方式提升员工职业技能水平。对符合条件的企业给予最高</w:t>
      </w:r>
      <w:r>
        <w:rPr>
          <w:rFonts w:hint="eastAsia" w:ascii="仿宋_GB2312" w:eastAsia="仿宋_GB2312"/>
          <w:sz w:val="32"/>
          <w:szCs w:val="32"/>
          <w:lang w:val="en-US" w:eastAsia="zh-CN"/>
        </w:rPr>
        <w:t>3</w:t>
      </w:r>
      <w:r>
        <w:rPr>
          <w:rFonts w:hint="eastAsia" w:ascii="仿宋_GB2312" w:eastAsia="仿宋_GB2312"/>
          <w:sz w:val="32"/>
          <w:szCs w:val="32"/>
        </w:rPr>
        <w:t>万元补贴，对经企业岗位练兵、技能竞赛活动产生的高级工，可按个人获证方式领取补贴。出台《绍兴市</w:t>
      </w:r>
      <w:r>
        <w:rPr>
          <w:rFonts w:hint="eastAsia" w:ascii="仿宋_GB2312" w:eastAsia="仿宋_GB2312"/>
          <w:sz w:val="32"/>
          <w:szCs w:val="32"/>
          <w:lang w:eastAsia="zh-CN"/>
        </w:rPr>
        <w:t>上虞</w:t>
      </w:r>
      <w:r>
        <w:rPr>
          <w:rFonts w:hint="eastAsia" w:ascii="仿宋_GB2312" w:eastAsia="仿宋_GB2312"/>
          <w:sz w:val="32"/>
          <w:szCs w:val="32"/>
        </w:rPr>
        <w:t>区技能竞赛管理办法》，区级职业竞赛项目给予最高</w:t>
      </w:r>
      <w:r>
        <w:rPr>
          <w:rFonts w:hint="eastAsia" w:ascii="仿宋_GB2312" w:eastAsia="仿宋_GB2312"/>
          <w:sz w:val="32"/>
          <w:szCs w:val="32"/>
          <w:lang w:val="en-US" w:eastAsia="zh-CN"/>
        </w:rPr>
        <w:t>5</w:t>
      </w:r>
      <w:r>
        <w:rPr>
          <w:rFonts w:hint="eastAsia" w:ascii="仿宋_GB2312" w:eastAsia="仿宋_GB2312"/>
          <w:sz w:val="32"/>
          <w:szCs w:val="32"/>
        </w:rPr>
        <w:t>万元资助，参加</w:t>
      </w:r>
      <w:r>
        <w:rPr>
          <w:rFonts w:hint="eastAsia" w:ascii="仿宋_GB2312" w:eastAsia="仿宋_GB2312"/>
          <w:sz w:val="32"/>
          <w:szCs w:val="32"/>
          <w:lang w:eastAsia="zh-CN"/>
        </w:rPr>
        <w:t>区</w:t>
      </w:r>
      <w:r>
        <w:rPr>
          <w:rFonts w:hint="eastAsia" w:ascii="仿宋_GB2312" w:eastAsia="仿宋_GB2312"/>
          <w:sz w:val="32"/>
          <w:szCs w:val="32"/>
        </w:rPr>
        <w:t>级以上职业技能竞赛的选手给予相应补贴。</w:t>
      </w:r>
      <w:r>
        <w:rPr>
          <w:rFonts w:hint="eastAsia" w:ascii="仿宋_GB2312" w:eastAsia="仿宋_GB2312"/>
          <w:sz w:val="32"/>
          <w:szCs w:val="32"/>
          <w:lang w:eastAsia="zh-CN"/>
        </w:rPr>
        <w:t>（责任单位：人社局、团区委、总工会）</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9" w:firstLineChars="199"/>
        <w:textAlignment w:val="auto"/>
        <w:outlineLvl w:val="9"/>
        <w:rPr>
          <w:rFonts w:hint="eastAsia" w:ascii="仿宋_GB2312" w:eastAsia="仿宋_GB2312"/>
          <w:sz w:val="32"/>
          <w:szCs w:val="32"/>
        </w:rPr>
      </w:pPr>
      <w:r>
        <w:rPr>
          <w:rFonts w:hint="eastAsia" w:ascii="楷体_GB2312" w:eastAsia="楷体_GB2312"/>
          <w:b/>
          <w:sz w:val="32"/>
          <w:szCs w:val="32"/>
          <w:lang w:val="en-US" w:eastAsia="zh-CN"/>
        </w:rPr>
        <w:t>13</w:t>
      </w:r>
      <w:r>
        <w:rPr>
          <w:rFonts w:ascii="楷体_GB2312" w:eastAsia="楷体_GB2312"/>
          <w:b/>
          <w:sz w:val="32"/>
          <w:szCs w:val="32"/>
        </w:rPr>
        <w:t>.</w:t>
      </w:r>
      <w:r>
        <w:rPr>
          <w:rFonts w:hint="eastAsia" w:ascii="楷体_GB2312" w:eastAsia="楷体_GB2312"/>
          <w:b/>
          <w:sz w:val="32"/>
          <w:szCs w:val="32"/>
        </w:rPr>
        <w:t>加大个人获证补贴力度</w:t>
      </w:r>
      <w:r>
        <w:rPr>
          <w:rFonts w:hint="eastAsia" w:ascii="仿宋_GB2312" w:eastAsia="仿宋_GB2312"/>
          <w:sz w:val="32"/>
          <w:szCs w:val="32"/>
        </w:rPr>
        <w:t>。推行“技术技能人才学习奖励制度”，对经备案的行业技能鉴定证书</w:t>
      </w:r>
      <w:r>
        <w:rPr>
          <w:rFonts w:hint="eastAsia" w:ascii="仿宋_GB2312" w:eastAsia="仿宋_GB2312"/>
          <w:sz w:val="32"/>
          <w:szCs w:val="32"/>
          <w:lang w:eastAsia="zh-CN"/>
        </w:rPr>
        <w:t>持有人员分别</w:t>
      </w:r>
      <w:r>
        <w:rPr>
          <w:rFonts w:hint="eastAsia" w:ascii="仿宋_GB2312" w:eastAsia="仿宋_GB2312"/>
          <w:sz w:val="32"/>
          <w:szCs w:val="32"/>
        </w:rPr>
        <w:t>给予初级工、中级工、高级工1000元、1500元、2000元的失业保险提升技能补贴。发放高技能人才培训资助，三年行动期间大幅提升高技能人才培训资助标准，技师从原来的2000元提高到4500元，高级技师从原来的3000元提高到6000元。</w:t>
      </w:r>
      <w:r>
        <w:rPr>
          <w:rFonts w:hint="eastAsia" w:eastAsia="仿宋"/>
          <w:sz w:val="32"/>
          <w:szCs w:val="32"/>
        </w:rPr>
        <w:t>对参加培训考评取得高级工、技师、高级技师职业资格证书，分别给予个人</w:t>
      </w:r>
      <w:r>
        <w:rPr>
          <w:rFonts w:hint="eastAsia" w:eastAsia="仿宋"/>
          <w:sz w:val="32"/>
          <w:szCs w:val="32"/>
          <w:lang w:val="en-US" w:eastAsia="zh-CN"/>
        </w:rPr>
        <w:t>5000</w:t>
      </w:r>
      <w:r>
        <w:rPr>
          <w:rFonts w:hint="eastAsia" w:eastAsia="仿宋"/>
          <w:sz w:val="32"/>
          <w:szCs w:val="32"/>
        </w:rPr>
        <w:t>元、</w:t>
      </w:r>
      <w:r>
        <w:rPr>
          <w:rFonts w:hint="eastAsia" w:eastAsia="仿宋"/>
          <w:sz w:val="32"/>
          <w:szCs w:val="32"/>
          <w:lang w:val="en-US" w:eastAsia="zh-CN"/>
        </w:rPr>
        <w:t>10000</w:t>
      </w:r>
      <w:r>
        <w:rPr>
          <w:rFonts w:hint="eastAsia" w:eastAsia="仿宋"/>
          <w:sz w:val="32"/>
          <w:szCs w:val="32"/>
        </w:rPr>
        <w:t>元、</w:t>
      </w:r>
      <w:r>
        <w:rPr>
          <w:rFonts w:hint="eastAsia" w:eastAsia="仿宋"/>
          <w:sz w:val="32"/>
          <w:szCs w:val="32"/>
          <w:lang w:val="en-US" w:eastAsia="zh-CN"/>
        </w:rPr>
        <w:t>20000</w:t>
      </w:r>
      <w:r>
        <w:rPr>
          <w:rFonts w:hint="eastAsia" w:eastAsia="仿宋"/>
          <w:sz w:val="32"/>
          <w:szCs w:val="32"/>
        </w:rPr>
        <w:t>元技能晋升补助</w:t>
      </w:r>
      <w:r>
        <w:rPr>
          <w:rFonts w:hint="eastAsia" w:eastAsia="仿宋"/>
          <w:sz w:val="32"/>
          <w:szCs w:val="32"/>
          <w:lang w:eastAsia="zh-CN"/>
        </w:rPr>
        <w:t>。（责任单位：人社局）</w:t>
      </w:r>
    </w:p>
    <w:p>
      <w:pPr>
        <w:adjustRightInd w:val="0"/>
        <w:snapToGrid w:val="0"/>
        <w:spacing w:line="560" w:lineRule="exact"/>
        <w:ind w:firstLine="639" w:firstLineChars="199"/>
        <w:rPr>
          <w:rFonts w:ascii="仿宋_GB2312" w:eastAsia="仿宋_GB2312"/>
          <w:sz w:val="32"/>
          <w:szCs w:val="32"/>
        </w:rPr>
      </w:pPr>
      <w:r>
        <w:rPr>
          <w:rFonts w:ascii="楷体_GB2312" w:eastAsia="楷体_GB2312"/>
          <w:b/>
          <w:sz w:val="32"/>
          <w:szCs w:val="32"/>
        </w:rPr>
        <w:t>1</w:t>
      </w:r>
      <w:r>
        <w:rPr>
          <w:rFonts w:hint="eastAsia" w:ascii="楷体_GB2312" w:eastAsia="楷体_GB2312"/>
          <w:b/>
          <w:sz w:val="32"/>
          <w:szCs w:val="32"/>
          <w:lang w:val="en-US" w:eastAsia="zh-CN"/>
        </w:rPr>
        <w:t>4</w:t>
      </w:r>
      <w:r>
        <w:rPr>
          <w:rFonts w:ascii="楷体_GB2312" w:eastAsia="楷体_GB2312"/>
          <w:b/>
          <w:sz w:val="32"/>
          <w:szCs w:val="32"/>
        </w:rPr>
        <w:t>.</w:t>
      </w:r>
      <w:r>
        <w:rPr>
          <w:rFonts w:hint="eastAsia" w:ascii="楷体_GB2312" w:eastAsia="楷体_GB2312"/>
          <w:b/>
          <w:sz w:val="32"/>
          <w:szCs w:val="32"/>
        </w:rPr>
        <w:t>推动终身培训</w:t>
      </w:r>
      <w:r>
        <w:rPr>
          <w:rFonts w:hint="eastAsia" w:ascii="楷体_GB2312" w:eastAsia="楷体_GB2312"/>
          <w:b/>
          <w:color w:val="0D0D0D" w:themeColor="text1" w:themeTint="F2"/>
          <w:sz w:val="32"/>
          <w:szCs w:val="32"/>
          <w:lang w:eastAsia="zh-CN"/>
          <w14:textFill>
            <w14:solidFill>
              <w14:schemeClr w14:val="tx1">
                <w14:lumMod w14:val="95000"/>
                <w14:lumOff w14:val="5000"/>
              </w14:schemeClr>
            </w14:solidFill>
          </w14:textFill>
        </w:rPr>
        <w:t>标准化</w:t>
      </w:r>
      <w:r>
        <w:rPr>
          <w:rFonts w:hint="eastAsia" w:ascii="楷体_GB2312" w:eastAsia="楷体_GB2312"/>
          <w:b/>
          <w:sz w:val="32"/>
          <w:szCs w:val="32"/>
        </w:rPr>
        <w:t>建设</w:t>
      </w:r>
      <w:r>
        <w:rPr>
          <w:rFonts w:hint="eastAsia" w:ascii="仿宋_GB2312" w:eastAsia="仿宋_GB2312"/>
          <w:sz w:val="32"/>
          <w:szCs w:val="32"/>
        </w:rPr>
        <w:t>。</w:t>
      </w:r>
      <w:r>
        <w:rPr>
          <w:rFonts w:hint="eastAsia" w:ascii="仿宋_GB2312" w:eastAsia="仿宋_GB2312"/>
          <w:sz w:val="32"/>
          <w:szCs w:val="32"/>
          <w:lang w:eastAsia="zh-CN"/>
        </w:rPr>
        <w:t>探索</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标准化</w:t>
      </w:r>
      <w:r>
        <w:rPr>
          <w:rFonts w:hint="eastAsia" w:ascii="仿宋_GB2312" w:eastAsia="仿宋_GB2312"/>
          <w:sz w:val="32"/>
          <w:szCs w:val="32"/>
          <w:lang w:eastAsia="zh-CN"/>
        </w:rPr>
        <w:t>监管手段，建设</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标准化</w:t>
      </w:r>
      <w:r>
        <w:rPr>
          <w:rFonts w:hint="eastAsia" w:ascii="仿宋_GB2312" w:eastAsia="仿宋_GB2312"/>
          <w:sz w:val="32"/>
          <w:szCs w:val="32"/>
          <w:lang w:eastAsia="zh-CN"/>
        </w:rPr>
        <w:t>监管系统，加强职业培训事前、事中、事后监管。</w:t>
      </w:r>
      <w:r>
        <w:rPr>
          <w:rFonts w:hint="eastAsia" w:ascii="仿宋_GB2312" w:eastAsia="仿宋_GB2312"/>
          <w:sz w:val="32"/>
          <w:szCs w:val="32"/>
        </w:rPr>
        <w:t>依托现有职业培训信息化平台，运用“绍兴个人职业培训记录数据库”，实行终身学习管理，逐步形成“工作一生、培训一生、记录一生”的终生职业培训信息</w:t>
      </w:r>
      <w:r>
        <w:rPr>
          <w:rFonts w:hint="eastAsia" w:ascii="仿宋_GB2312" w:eastAsia="仿宋_GB2312"/>
          <w:sz w:val="32"/>
          <w:szCs w:val="32"/>
          <w:lang w:eastAsia="zh-CN"/>
        </w:rPr>
        <w:t>体系</w:t>
      </w:r>
      <w:r>
        <w:rPr>
          <w:rFonts w:hint="eastAsia" w:ascii="仿宋_GB2312" w:eastAsia="仿宋_GB2312"/>
          <w:sz w:val="32"/>
          <w:szCs w:val="32"/>
        </w:rPr>
        <w:t>。对超过退休年龄，不具有按月领取养老金资格，但确有培训需求的人员，根据经济社会发展实际需要，可纳入培训政策范围。</w:t>
      </w:r>
      <w:r>
        <w:rPr>
          <w:rFonts w:hint="eastAsia" w:ascii="仿宋_GB2312" w:eastAsia="仿宋_GB2312"/>
          <w:sz w:val="32"/>
          <w:szCs w:val="32"/>
          <w:lang w:eastAsia="zh-CN"/>
        </w:rPr>
        <w:t>（责任单位：人社局、财政局）</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黑体" w:eastAsia="黑体"/>
          <w:sz w:val="32"/>
          <w:szCs w:val="32"/>
        </w:rPr>
      </w:pPr>
      <w:r>
        <w:rPr>
          <w:rFonts w:hint="eastAsia" w:ascii="黑体" w:eastAsia="黑体"/>
          <w:sz w:val="32"/>
          <w:szCs w:val="32"/>
          <w:lang w:eastAsia="zh-CN"/>
        </w:rPr>
        <w:t>四</w:t>
      </w:r>
      <w:r>
        <w:rPr>
          <w:rFonts w:hint="eastAsia" w:ascii="黑体" w:eastAsia="黑体"/>
          <w:sz w:val="32"/>
          <w:szCs w:val="32"/>
        </w:rPr>
        <w:t>、</w:t>
      </w:r>
      <w:r>
        <w:rPr>
          <w:rFonts w:hint="eastAsia" w:ascii="黑体" w:eastAsia="黑体"/>
          <w:sz w:val="32"/>
          <w:szCs w:val="32"/>
          <w:lang w:eastAsia="zh-CN"/>
        </w:rPr>
        <w:t>构建全覆盖培训平台体系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9" w:firstLineChars="199"/>
        <w:textAlignment w:val="auto"/>
        <w:outlineLvl w:val="9"/>
        <w:rPr>
          <w:rFonts w:ascii="仿宋_GB2312" w:eastAsia="仿宋_GB2312"/>
          <w:sz w:val="32"/>
          <w:szCs w:val="32"/>
        </w:rPr>
      </w:pPr>
      <w:r>
        <w:rPr>
          <w:rFonts w:hint="eastAsia" w:ascii="楷体_GB2312" w:eastAsia="楷体_GB2312"/>
          <w:b/>
          <w:sz w:val="32"/>
          <w:szCs w:val="32"/>
          <w:lang w:val="en-US" w:eastAsia="zh-CN"/>
        </w:rPr>
        <w:t>15</w:t>
      </w:r>
      <w:r>
        <w:rPr>
          <w:rFonts w:ascii="楷体_GB2312" w:eastAsia="楷体_GB2312"/>
          <w:b/>
          <w:sz w:val="32"/>
          <w:szCs w:val="32"/>
        </w:rPr>
        <w:t>.</w:t>
      </w:r>
      <w:r>
        <w:rPr>
          <w:rFonts w:hint="eastAsia" w:ascii="楷体_GB2312" w:eastAsia="楷体_GB2312"/>
          <w:b/>
          <w:sz w:val="32"/>
          <w:szCs w:val="32"/>
        </w:rPr>
        <w:t>大力</w:t>
      </w:r>
      <w:r>
        <w:rPr>
          <w:rFonts w:hint="eastAsia" w:ascii="楷体_GB2312" w:eastAsia="楷体_GB2312"/>
          <w:b/>
          <w:sz w:val="32"/>
          <w:szCs w:val="32"/>
          <w:lang w:eastAsia="zh-CN"/>
        </w:rPr>
        <w:t>鼓励</w:t>
      </w:r>
      <w:r>
        <w:rPr>
          <w:rFonts w:hint="eastAsia" w:ascii="楷体_GB2312" w:eastAsia="楷体_GB2312"/>
          <w:b/>
          <w:sz w:val="32"/>
          <w:szCs w:val="32"/>
        </w:rPr>
        <w:t>兴办各类培训主体</w:t>
      </w:r>
      <w:r>
        <w:rPr>
          <w:rFonts w:hint="eastAsia" w:ascii="仿宋_GB2312" w:eastAsia="仿宋_GB2312"/>
          <w:sz w:val="32"/>
          <w:szCs w:val="32"/>
        </w:rPr>
        <w:t>。支持企业设立职工培训中心</w:t>
      </w:r>
      <w:r>
        <w:rPr>
          <w:rFonts w:hint="eastAsia" w:ascii="仿宋_GB2312" w:eastAsia="仿宋_GB2312"/>
          <w:sz w:val="32"/>
          <w:szCs w:val="32"/>
          <w:lang w:eastAsia="zh-CN"/>
        </w:rPr>
        <w:t>或培训学校，大力开展面向企业内部在岗职工技能提升培训，鼓励社会组织举办职业技能培训机构。</w:t>
      </w:r>
      <w:r>
        <w:rPr>
          <w:rFonts w:hint="eastAsia" w:ascii="仿宋_GB2312" w:eastAsia="仿宋_GB2312"/>
          <w:sz w:val="32"/>
          <w:szCs w:val="32"/>
        </w:rPr>
        <w:t>激发公立职技院校培训积极性，对完成培训任务的，在核定绩效工资总量时可以适当倾斜，允许职技院校将一定比例的培训收入纳入学校公用经费。具体奖励办法由培训单位主管部门会同人力社保、财政部门另行制订。</w:t>
      </w:r>
      <w:r>
        <w:rPr>
          <w:rFonts w:hint="eastAsia" w:ascii="仿宋_GB2312" w:eastAsia="仿宋_GB2312"/>
          <w:sz w:val="32"/>
          <w:szCs w:val="32"/>
          <w:lang w:eastAsia="zh-CN"/>
        </w:rPr>
        <w:t>（责任单位：人社局、教体局、财政局）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9" w:firstLineChars="199"/>
        <w:textAlignment w:val="auto"/>
        <w:outlineLvl w:val="9"/>
        <w:rPr>
          <w:rFonts w:ascii="仿宋_GB2312" w:eastAsia="仿宋_GB2312"/>
          <w:sz w:val="32"/>
          <w:szCs w:val="32"/>
        </w:rPr>
      </w:pPr>
      <w:r>
        <w:rPr>
          <w:rFonts w:ascii="楷体_GB2312" w:eastAsia="楷体_GB2312"/>
          <w:b/>
          <w:sz w:val="32"/>
          <w:szCs w:val="32"/>
        </w:rPr>
        <w:t>1</w:t>
      </w:r>
      <w:r>
        <w:rPr>
          <w:rFonts w:hint="eastAsia" w:ascii="楷体_GB2312" w:eastAsia="楷体_GB2312"/>
          <w:b/>
          <w:sz w:val="32"/>
          <w:szCs w:val="32"/>
          <w:lang w:val="en-US" w:eastAsia="zh-CN"/>
        </w:rPr>
        <w:t>6</w:t>
      </w:r>
      <w:r>
        <w:rPr>
          <w:rFonts w:hint="eastAsia" w:ascii="楷体_GB2312" w:eastAsia="楷体_GB2312"/>
          <w:b/>
          <w:sz w:val="32"/>
          <w:szCs w:val="32"/>
        </w:rPr>
        <w:t>.创新公共实训基地建设</w:t>
      </w:r>
      <w:r>
        <w:rPr>
          <w:rFonts w:hint="eastAsia" w:ascii="仿宋_GB2312" w:eastAsia="仿宋_GB2312"/>
          <w:sz w:val="32"/>
          <w:szCs w:val="32"/>
        </w:rPr>
        <w:t>。以省、市级公共实训基地为标杆，整合</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上虞</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区</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公共职业能力建设基地、各企业专业性基地资源，统盘建立“高起点、一体化、产业型、有特色”的上虞区域公共实训平台体系，</w:t>
      </w:r>
      <w:r>
        <w:rPr>
          <w:rFonts w:hint="eastAsia" w:ascii="仿宋_GB2312" w:eastAsia="仿宋_GB2312"/>
          <w:sz w:val="32"/>
          <w:szCs w:val="32"/>
        </w:rPr>
        <w:t>根据绩效对实训基地进行常态化建设投入。三年内，力争将技工</w:t>
      </w:r>
      <w:r>
        <w:rPr>
          <w:rFonts w:hint="eastAsia" w:ascii="仿宋_GB2312" w:eastAsia="仿宋_GB2312"/>
          <w:sz w:val="32"/>
          <w:szCs w:val="32"/>
          <w:lang w:eastAsia="zh-CN"/>
        </w:rPr>
        <w:t>学校</w:t>
      </w:r>
      <w:r>
        <w:rPr>
          <w:rFonts w:hint="eastAsia" w:ascii="仿宋_GB2312" w:eastAsia="仿宋_GB2312"/>
          <w:sz w:val="32"/>
          <w:szCs w:val="32"/>
        </w:rPr>
        <w:t>实训教师轮训一次。鼓励职技院校和培训机构招聘企业高技能人才担任专兼职教师。</w:t>
      </w:r>
      <w:r>
        <w:rPr>
          <w:rFonts w:hint="eastAsia" w:ascii="仿宋_GB2312" w:eastAsia="仿宋_GB2312"/>
          <w:sz w:val="32"/>
          <w:szCs w:val="32"/>
          <w:lang w:eastAsia="zh-CN"/>
        </w:rPr>
        <w:t>（</w:t>
      </w:r>
      <w:r>
        <w:rPr>
          <w:rFonts w:hint="eastAsia" w:ascii="仿宋_GB2312" w:eastAsia="仿宋_GB2312"/>
          <w:sz w:val="32"/>
          <w:szCs w:val="32"/>
        </w:rPr>
        <w:t>责任单位：</w:t>
      </w:r>
      <w:r>
        <w:rPr>
          <w:rFonts w:hint="eastAsia" w:ascii="仿宋_GB2312" w:eastAsia="仿宋_GB2312"/>
          <w:sz w:val="32"/>
          <w:szCs w:val="32"/>
          <w:lang w:eastAsia="zh-CN"/>
        </w:rPr>
        <w:t>人社局、教体局、财政局）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10" w:firstLineChars="190"/>
        <w:textAlignment w:val="auto"/>
        <w:outlineLvl w:val="9"/>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pPr>
      <w:r>
        <w:rPr>
          <w:rFonts w:hint="eastAsia" w:ascii="楷体_GB2312" w:eastAsia="楷体_GB2312"/>
          <w:b/>
          <w:color w:val="0D0D0D" w:themeColor="text1" w:themeTint="F2"/>
          <w:sz w:val="32"/>
          <w:szCs w:val="32"/>
          <w14:textFill>
            <w14:solidFill>
              <w14:schemeClr w14:val="tx1">
                <w14:lumMod w14:val="95000"/>
                <w14:lumOff w14:val="5000"/>
              </w14:schemeClr>
            </w14:solidFill>
          </w14:textFill>
        </w:rPr>
        <w:t>1</w:t>
      </w:r>
      <w:r>
        <w:rPr>
          <w:rFonts w:hint="eastAsia" w:ascii="楷体_GB2312" w:eastAsia="楷体_GB2312"/>
          <w:b/>
          <w:color w:val="0D0D0D" w:themeColor="text1" w:themeTint="F2"/>
          <w:sz w:val="32"/>
          <w:szCs w:val="32"/>
          <w:lang w:val="en-US" w:eastAsia="zh-CN"/>
          <w14:textFill>
            <w14:solidFill>
              <w14:schemeClr w14:val="tx1">
                <w14:lumMod w14:val="95000"/>
                <w14:lumOff w14:val="5000"/>
              </w14:schemeClr>
            </w14:solidFill>
          </w14:textFill>
        </w:rPr>
        <w:t>7</w:t>
      </w:r>
      <w:r>
        <w:rPr>
          <w:rFonts w:ascii="楷体_GB2312" w:eastAsia="楷体_GB2312"/>
          <w:b/>
          <w:color w:val="0D0D0D" w:themeColor="text1" w:themeTint="F2"/>
          <w:sz w:val="32"/>
          <w:szCs w:val="32"/>
          <w14:textFill>
            <w14:solidFill>
              <w14:schemeClr w14:val="tx1">
                <w14:lumMod w14:val="95000"/>
                <w14:lumOff w14:val="5000"/>
              </w14:schemeClr>
            </w14:solidFill>
          </w14:textFill>
        </w:rPr>
        <w:t>.</w:t>
      </w:r>
      <w:r>
        <w:rPr>
          <w:rFonts w:hint="eastAsia" w:ascii="楷体_GB2312" w:eastAsia="楷体_GB2312"/>
          <w:b/>
          <w:color w:val="0D0D0D" w:themeColor="text1" w:themeTint="F2"/>
          <w:sz w:val="32"/>
          <w:szCs w:val="32"/>
          <w14:textFill>
            <w14:solidFill>
              <w14:schemeClr w14:val="tx1">
                <w14:lumMod w14:val="95000"/>
                <w14:lumOff w14:val="5000"/>
              </w14:schemeClr>
            </w14:solidFill>
          </w14:textFill>
        </w:rPr>
        <w:t>充分挖掘现有平台力量</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_GB2312" w:eastAsia="仿宋_GB2312"/>
          <w:sz w:val="32"/>
          <w:szCs w:val="32"/>
          <w:lang w:eastAsia="zh-CN"/>
        </w:rPr>
        <w:t>探索以政府购买服务方式，推动开展工种标准及培训课程开发、职业技能培训</w:t>
      </w:r>
      <w:r>
        <w:rPr>
          <w:rFonts w:hint="eastAsia" w:ascii="仿宋_GB2312" w:eastAsia="仿宋_GB2312"/>
          <w:sz w:val="32"/>
          <w:szCs w:val="32"/>
        </w:rPr>
        <w:t>、师资培训交流以及资源信息共享，积极促进培训项目互补、培养模式创新</w:t>
      </w:r>
      <w:r>
        <w:rPr>
          <w:rFonts w:hint="eastAsia" w:ascii="仿宋_GB2312" w:eastAsia="仿宋_GB2312"/>
          <w:sz w:val="32"/>
          <w:szCs w:val="32"/>
          <w:lang w:eastAsia="zh-CN"/>
        </w:rPr>
        <w:t>，</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开设</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网上</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培训超市</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培训拼多多</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，直接在网上发起拼单培训</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t>解决个人职业技能培训需求和职业技能培训机构信息不对称问题</w:t>
      </w:r>
      <w:r>
        <w:rPr>
          <w:rFonts w:hint="eastAsia" w:ascii="仿宋" w:hAnsi="仿宋" w:eastAsia="仿宋" w:cs="仿宋"/>
          <w:b w:val="0"/>
          <w:bCs w:val="0"/>
          <w:color w:val="0D0D0D" w:themeColor="text1" w:themeTint="F2"/>
          <w:sz w:val="32"/>
          <w:szCs w:val="32"/>
          <w14:textFill>
            <w14:solidFill>
              <w14:schemeClr w14:val="tx1">
                <w14:lumMod w14:val="95000"/>
                <w14:lumOff w14:val="5000"/>
              </w14:schemeClr>
            </w14:solidFill>
          </w14:textFill>
        </w:rPr>
        <w:t>，促进我区技能培训行业</w:t>
      </w:r>
      <w:r>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t>有序健康</w:t>
      </w:r>
      <w:r>
        <w:rPr>
          <w:rFonts w:hint="eastAsia" w:ascii="仿宋" w:hAnsi="仿宋" w:eastAsia="仿宋" w:cs="仿宋"/>
          <w:b w:val="0"/>
          <w:bCs w:val="0"/>
          <w:color w:val="0D0D0D" w:themeColor="text1" w:themeTint="F2"/>
          <w:sz w:val="32"/>
          <w:szCs w:val="32"/>
          <w14:textFill>
            <w14:solidFill>
              <w14:schemeClr w14:val="tx1">
                <w14:lumMod w14:val="95000"/>
                <w14:lumOff w14:val="5000"/>
              </w14:schemeClr>
            </w14:solidFill>
          </w14:textFill>
        </w:rPr>
        <w:t>发展。</w:t>
      </w:r>
      <w:r>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t>（责任单位：人社局）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10" w:firstLineChars="190"/>
        <w:textAlignment w:val="auto"/>
        <w:outlineLvl w:val="9"/>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bCs/>
          <w:sz w:val="32"/>
          <w:szCs w:val="32"/>
          <w:lang w:val="en-US" w:eastAsia="zh-CN"/>
        </w:rPr>
        <w:t>18</w:t>
      </w:r>
      <w:r>
        <w:rPr>
          <w:rFonts w:hint="eastAsia" w:ascii="楷体" w:hAnsi="楷体" w:eastAsia="楷体" w:cs="楷体"/>
          <w:b/>
          <w:bCs/>
          <w:sz w:val="32"/>
          <w:szCs w:val="32"/>
        </w:rPr>
        <w:t>.</w:t>
      </w:r>
      <w:r>
        <w:rPr>
          <w:rFonts w:hint="eastAsia" w:ascii="楷体" w:hAnsi="楷体" w:eastAsia="楷体" w:cs="楷体"/>
          <w:b/>
          <w:bCs/>
          <w:color w:val="262626" w:themeColor="text1" w:themeTint="D9"/>
          <w:sz w:val="32"/>
          <w:szCs w:val="32"/>
          <w14:textFill>
            <w14:solidFill>
              <w14:schemeClr w14:val="tx1">
                <w14:lumMod w14:val="85000"/>
                <w14:lumOff w14:val="15000"/>
              </w14:schemeClr>
            </w14:solidFill>
          </w14:textFill>
        </w:rPr>
        <w:t>深化</w:t>
      </w:r>
      <w:r>
        <w:rPr>
          <w:rFonts w:hint="eastAsia" w:ascii="楷体" w:hAnsi="楷体" w:eastAsia="楷体" w:cs="楷体"/>
          <w:b/>
          <w:bCs/>
          <w:color w:val="262626" w:themeColor="text1" w:themeTint="D9"/>
          <w:sz w:val="32"/>
          <w:szCs w:val="32"/>
          <w:lang w:eastAsia="zh-CN"/>
          <w14:textFill>
            <w14:solidFill>
              <w14:schemeClr w14:val="tx1">
                <w14:lumMod w14:val="85000"/>
                <w14:lumOff w14:val="15000"/>
              </w14:schemeClr>
            </w14:solidFill>
          </w14:textFill>
        </w:rPr>
        <w:t>技能</w:t>
      </w:r>
      <w:r>
        <w:rPr>
          <w:rFonts w:hint="eastAsia" w:ascii="楷体" w:hAnsi="楷体" w:eastAsia="楷体" w:cs="楷体"/>
          <w:b/>
          <w:bCs/>
          <w:color w:val="262626" w:themeColor="text1" w:themeTint="D9"/>
          <w:sz w:val="32"/>
          <w:szCs w:val="32"/>
          <w14:textFill>
            <w14:solidFill>
              <w14:schemeClr w14:val="tx1">
                <w14:lumMod w14:val="85000"/>
                <w14:lumOff w14:val="15000"/>
              </w14:schemeClr>
            </w14:solidFill>
          </w14:textFill>
        </w:rPr>
        <w:t>大师工作室</w:t>
      </w:r>
      <w:r>
        <w:rPr>
          <w:rFonts w:hint="eastAsia" w:ascii="楷体" w:hAnsi="楷体" w:eastAsia="楷体" w:cs="楷体"/>
          <w:b/>
          <w:bCs/>
          <w:color w:val="262626" w:themeColor="text1" w:themeTint="D9"/>
          <w:sz w:val="32"/>
          <w:szCs w:val="32"/>
          <w:lang w:eastAsia="zh-CN"/>
          <w14:textFill>
            <w14:solidFill>
              <w14:schemeClr w14:val="tx1">
                <w14:lumMod w14:val="85000"/>
                <w14:lumOff w14:val="15000"/>
              </w14:schemeClr>
            </w14:solidFill>
          </w14:textFill>
        </w:rPr>
        <w:t>创建。</w:t>
      </w:r>
      <w:r>
        <w:rPr>
          <w:rFonts w:hint="eastAsia" w:ascii="仿宋_GB2312" w:eastAsia="仿宋_GB2312"/>
          <w:sz w:val="32"/>
          <w:szCs w:val="32"/>
        </w:rPr>
        <w:t>切实发挥技能大师工作室等已建技能项目的传承、攻关、推广、交流作用，深挖潜力，对考核优秀的给予奖励。</w:t>
      </w:r>
      <w:r>
        <w:rPr>
          <w:rFonts w:hint="eastAsia" w:ascii="仿宋" w:hAnsi="仿宋" w:eastAsia="仿宋" w:cs="仿宋"/>
          <w:b w:val="0"/>
          <w:bCs w:val="0"/>
          <w:color w:val="0D0D0D" w:themeColor="text1" w:themeTint="F2"/>
          <w:sz w:val="32"/>
          <w:szCs w:val="32"/>
          <w14:textFill>
            <w14:solidFill>
              <w14:schemeClr w14:val="tx1">
                <w14:lumMod w14:val="95000"/>
                <w14:lumOff w14:val="5000"/>
              </w14:schemeClr>
            </w14:solidFill>
          </w14:textFill>
        </w:rPr>
        <w:t>创新</w:t>
      </w:r>
      <w:r>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t>开展</w:t>
      </w:r>
      <w:r>
        <w:rPr>
          <w:rFonts w:hint="eastAsia" w:ascii="仿宋" w:hAnsi="仿宋" w:eastAsia="仿宋" w:cs="仿宋"/>
          <w:b w:val="0"/>
          <w:bCs w:val="0"/>
          <w:color w:val="0D0D0D" w:themeColor="text1" w:themeTint="F2"/>
          <w:sz w:val="32"/>
          <w:szCs w:val="32"/>
          <w14:textFill>
            <w14:solidFill>
              <w14:schemeClr w14:val="tx1">
                <w14:lumMod w14:val="95000"/>
                <w14:lumOff w14:val="5000"/>
              </w14:schemeClr>
            </w14:solidFill>
          </w14:textFill>
        </w:rPr>
        <w:t>企业级</w:t>
      </w:r>
      <w:r>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t>技能</w:t>
      </w:r>
      <w:r>
        <w:rPr>
          <w:rFonts w:hint="eastAsia" w:ascii="仿宋" w:hAnsi="仿宋" w:eastAsia="仿宋" w:cs="仿宋"/>
          <w:b w:val="0"/>
          <w:bCs w:val="0"/>
          <w:color w:val="0D0D0D" w:themeColor="text1" w:themeTint="F2"/>
          <w:sz w:val="32"/>
          <w:szCs w:val="32"/>
          <w14:textFill>
            <w14:solidFill>
              <w14:schemeClr w14:val="tx1">
                <w14:lumMod w14:val="95000"/>
                <w14:lumOff w14:val="5000"/>
              </w14:schemeClr>
            </w14:solidFill>
          </w14:textFill>
        </w:rPr>
        <w:t>大师工作室试点，</w:t>
      </w:r>
      <w:r>
        <w:rPr>
          <w:rFonts w:hint="eastAsia" w:ascii="仿宋" w:hAnsi="仿宋" w:eastAsia="仿宋" w:cs="仿宋"/>
          <w:sz w:val="32"/>
          <w:szCs w:val="32"/>
        </w:rPr>
        <w:t>结合省</w:t>
      </w:r>
      <w:r>
        <w:rPr>
          <w:rFonts w:hint="eastAsia" w:ascii="仿宋" w:hAnsi="仿宋" w:eastAsia="仿宋" w:cs="仿宋"/>
          <w:sz w:val="32"/>
          <w:szCs w:val="32"/>
          <w:lang w:eastAsia="zh-CN"/>
        </w:rPr>
        <w:t>、</w:t>
      </w:r>
      <w:r>
        <w:rPr>
          <w:rFonts w:hint="eastAsia" w:ascii="仿宋" w:hAnsi="仿宋" w:eastAsia="仿宋" w:cs="仿宋"/>
          <w:sz w:val="32"/>
          <w:szCs w:val="32"/>
        </w:rPr>
        <w:t>市、区三级</w:t>
      </w:r>
      <w:r>
        <w:rPr>
          <w:rFonts w:hint="eastAsia" w:ascii="仿宋" w:hAnsi="仿宋" w:eastAsia="仿宋" w:cs="仿宋"/>
          <w:sz w:val="32"/>
          <w:szCs w:val="32"/>
          <w:lang w:eastAsia="zh-CN"/>
        </w:rPr>
        <w:t>技能</w:t>
      </w:r>
      <w:r>
        <w:rPr>
          <w:rFonts w:hint="eastAsia" w:ascii="仿宋" w:hAnsi="仿宋" w:eastAsia="仿宋" w:cs="仿宋"/>
          <w:sz w:val="32"/>
          <w:szCs w:val="32"/>
        </w:rPr>
        <w:t>大师工作室创建工作，</w:t>
      </w:r>
      <w:r>
        <w:rPr>
          <w:rFonts w:hint="eastAsia" w:ascii="仿宋" w:hAnsi="仿宋" w:eastAsia="仿宋" w:cs="仿宋"/>
          <w:b w:val="0"/>
          <w:bCs w:val="0"/>
          <w:color w:val="0D0D0D" w:themeColor="text1" w:themeTint="F2"/>
          <w:sz w:val="32"/>
          <w:szCs w:val="32"/>
          <w14:textFill>
            <w14:solidFill>
              <w14:schemeClr w14:val="tx1">
                <w14:lumMod w14:val="95000"/>
                <w14:lumOff w14:val="5000"/>
              </w14:schemeClr>
            </w14:solidFill>
          </w14:textFill>
        </w:rPr>
        <w:t>统筹高技能人才集聚示范企业、首席技师、新型学徒制、大学生见习实习工作</w:t>
      </w:r>
      <w:r>
        <w:rPr>
          <w:rFonts w:hint="eastAsia" w:ascii="仿宋" w:hAnsi="仿宋" w:eastAsia="仿宋" w:cs="仿宋"/>
          <w:b w:val="0"/>
          <w:bCs w:val="0"/>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构建企业技能人才</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队伍</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全方位、立体式、</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阶梯</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级培养体系，</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进一步推动企业技能人才不断壮大。（责任单位：人才办、人社局）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08" w:firstLineChars="190"/>
        <w:jc w:val="left"/>
        <w:textAlignment w:val="auto"/>
        <w:outlineLvl w:val="9"/>
        <w:rPr>
          <w:rFonts w:ascii="黑体" w:hAnsi="黑体" w:eastAsia="黑体"/>
          <w:bCs/>
          <w:sz w:val="32"/>
          <w:szCs w:val="32"/>
        </w:rPr>
      </w:pPr>
      <w:r>
        <w:rPr>
          <w:rFonts w:hint="eastAsia" w:ascii="黑体" w:hAnsi="黑体" w:eastAsia="黑体"/>
          <w:bCs/>
          <w:sz w:val="32"/>
          <w:szCs w:val="32"/>
          <w:lang w:eastAsia="zh-CN"/>
        </w:rPr>
        <w:t>五</w:t>
      </w:r>
      <w:r>
        <w:rPr>
          <w:rFonts w:hint="eastAsia" w:ascii="黑体" w:hAnsi="黑体" w:eastAsia="黑体"/>
          <w:bCs/>
          <w:sz w:val="32"/>
          <w:szCs w:val="32"/>
        </w:rPr>
        <w:t>、加强组织保障和激励引导</w:t>
      </w:r>
    </w:p>
    <w:p>
      <w:pPr>
        <w:keepNext w:val="0"/>
        <w:keepLines w:val="0"/>
        <w:pageBreakBefore w:val="0"/>
        <w:kinsoku/>
        <w:wordWrap/>
        <w:overflowPunct/>
        <w:topLinePunct w:val="0"/>
        <w:autoSpaceDE/>
        <w:autoSpaceDN/>
        <w:bidi w:val="0"/>
        <w:spacing w:line="560" w:lineRule="exact"/>
        <w:ind w:left="0" w:leftChars="0" w:right="0" w:rightChars="0" w:firstLine="596" w:firstLineChars="198"/>
        <w:textAlignment w:val="auto"/>
        <w:outlineLvl w:val="9"/>
        <w:rPr>
          <w:rFonts w:ascii="仿宋_GB2312" w:eastAsia="仿宋_GB2312"/>
          <w:sz w:val="32"/>
          <w:szCs w:val="32"/>
        </w:rPr>
      </w:pPr>
      <w:r>
        <w:rPr>
          <w:rFonts w:hint="eastAsia" w:ascii="楷体_GB2312" w:eastAsia="楷体_GB2312"/>
          <w:b/>
          <w:sz w:val="30"/>
          <w:szCs w:val="30"/>
        </w:rPr>
        <w:t>1</w:t>
      </w:r>
      <w:r>
        <w:rPr>
          <w:rFonts w:hint="eastAsia" w:ascii="楷体_GB2312" w:eastAsia="楷体_GB2312"/>
          <w:b/>
          <w:sz w:val="30"/>
          <w:szCs w:val="30"/>
          <w:lang w:val="en-US" w:eastAsia="zh-CN"/>
        </w:rPr>
        <w:t>9</w:t>
      </w:r>
      <w:r>
        <w:rPr>
          <w:rFonts w:hint="eastAsia" w:ascii="楷体_GB2312" w:eastAsia="楷体_GB2312"/>
          <w:b/>
          <w:sz w:val="30"/>
          <w:szCs w:val="30"/>
        </w:rPr>
        <w:t>.夯实职业培训工作基础</w:t>
      </w:r>
      <w:r>
        <w:rPr>
          <w:rFonts w:hint="eastAsia" w:ascii="仿宋_GB2312" w:eastAsia="仿宋_GB2312"/>
          <w:sz w:val="32"/>
          <w:szCs w:val="32"/>
        </w:rPr>
        <w:t>。</w:t>
      </w:r>
      <w:r>
        <w:rPr>
          <w:rFonts w:hint="eastAsia" w:ascii="仿宋_GB2312" w:eastAsia="仿宋_GB2312"/>
          <w:sz w:val="32"/>
          <w:szCs w:val="32"/>
          <w:lang w:eastAsia="zh-CN"/>
        </w:rPr>
        <w:t>健全职业技能提升行动工作协调机制，</w:t>
      </w:r>
      <w:r>
        <w:rPr>
          <w:rFonts w:hint="eastAsia" w:ascii="仿宋_GB2312" w:eastAsia="仿宋_GB2312"/>
          <w:sz w:val="32"/>
          <w:szCs w:val="32"/>
        </w:rPr>
        <w:t>建立区就业工作领导小组，牵头协调职能技能提升行动相关工作，办公室设在区人力社保局。健全工作月报和年报制度，相关成员单位每月5日前将本部门</w:t>
      </w:r>
      <w:r>
        <w:rPr>
          <w:rFonts w:hint="eastAsia" w:ascii="仿宋_GB2312" w:eastAsia="仿宋_GB2312"/>
          <w:sz w:val="32"/>
          <w:szCs w:val="32"/>
          <w:lang w:eastAsia="zh-CN"/>
        </w:rPr>
        <w:t>上月提升行动</w:t>
      </w:r>
      <w:r>
        <w:rPr>
          <w:rFonts w:hint="eastAsia" w:ascii="仿宋_GB2312" w:eastAsia="仿宋_GB2312"/>
          <w:sz w:val="32"/>
          <w:szCs w:val="32"/>
        </w:rPr>
        <w:t>情况报送至领导小组办公室。区人力社保局负责相关政策制订、标准开发、资源整合、统筹协调、督促落实等工作；区发改局负责统筹推进职业技能培训基础能力建设；区经信局负责数字经济产业职工的技能培训工作；区财政局负责相关资金拨付发放，协调组织国有和国有控股企业职工的职业技能培训工作；区教体局负责组织</w:t>
      </w:r>
      <w:r>
        <w:rPr>
          <w:rFonts w:hint="eastAsia" w:ascii="仿宋_GB2312" w:eastAsia="仿宋_GB2312"/>
          <w:sz w:val="32"/>
          <w:szCs w:val="32"/>
          <w:lang w:eastAsia="zh-CN"/>
        </w:rPr>
        <w:t>各类学校</w:t>
      </w:r>
      <w:r>
        <w:rPr>
          <w:rFonts w:hint="eastAsia" w:ascii="仿宋_GB2312" w:eastAsia="仿宋_GB2312"/>
          <w:sz w:val="32"/>
          <w:szCs w:val="32"/>
        </w:rPr>
        <w:t>承担职业技能培训任务，协调组织“两后生”和高校毕业生的职业技能培训工作；区民政局、区</w:t>
      </w:r>
      <w:r>
        <w:rPr>
          <w:rFonts w:hint="eastAsia" w:ascii="仿宋_GB2312" w:eastAsia="仿宋_GB2312"/>
          <w:sz w:val="32"/>
          <w:szCs w:val="32"/>
          <w:lang w:eastAsia="zh-CN"/>
        </w:rPr>
        <w:t>建筑业管理服务中心</w:t>
      </w:r>
      <w:r>
        <w:rPr>
          <w:rFonts w:hint="eastAsia" w:ascii="仿宋_GB2312" w:eastAsia="仿宋_GB2312"/>
          <w:sz w:val="32"/>
          <w:szCs w:val="32"/>
        </w:rPr>
        <w:t>、区农业农村局、区卫生健康局、区退役军人事务局、区应急管理局、区市场监管局</w:t>
      </w:r>
      <w:r>
        <w:rPr>
          <w:rFonts w:hint="eastAsia" w:ascii="仿宋_GB2312" w:eastAsia="仿宋_GB2312"/>
          <w:sz w:val="32"/>
          <w:szCs w:val="32"/>
          <w:lang w:eastAsia="zh-CN"/>
        </w:rPr>
        <w:t>、团区委、区红十字会、区商务局、区供销总社</w:t>
      </w:r>
      <w:r>
        <w:rPr>
          <w:rFonts w:hint="eastAsia" w:ascii="仿宋_GB2312" w:eastAsia="仿宋_GB2312"/>
          <w:sz w:val="32"/>
          <w:szCs w:val="32"/>
        </w:rPr>
        <w:t>以及区残联等部门负责本行业本领域职业技能培训工作；其他有关部门和单位配合做好职业技能培训工作。</w:t>
      </w:r>
      <w:r>
        <w:rPr>
          <w:rFonts w:hint="eastAsia" w:ascii="仿宋_GB2312" w:eastAsia="仿宋_GB2312"/>
          <w:sz w:val="32"/>
          <w:szCs w:val="32"/>
          <w:lang w:eastAsia="zh-CN"/>
        </w:rPr>
        <w:t>（责任单位：区府办）</w:t>
      </w:r>
    </w:p>
    <w:p>
      <w:pPr>
        <w:keepNext w:val="0"/>
        <w:keepLines w:val="0"/>
        <w:pageBreakBefore w:val="0"/>
        <w:kinsoku/>
        <w:wordWrap/>
        <w:overflowPunct/>
        <w:topLinePunct w:val="0"/>
        <w:autoSpaceDE/>
        <w:autoSpaceDN/>
        <w:bidi w:val="0"/>
        <w:spacing w:line="560" w:lineRule="exact"/>
        <w:ind w:left="0" w:leftChars="0" w:right="0" w:rightChars="0" w:firstLine="596" w:firstLineChars="198"/>
        <w:textAlignment w:val="auto"/>
        <w:outlineLvl w:val="9"/>
        <w:rPr>
          <w:rFonts w:ascii="仿宋_GB2312" w:hAnsi="Times New Roman" w:eastAsia="仿宋_GB2312" w:cs="Times New Roman"/>
          <w:kern w:val="2"/>
          <w:sz w:val="32"/>
          <w:szCs w:val="32"/>
        </w:rPr>
      </w:pPr>
      <w:r>
        <w:rPr>
          <w:rFonts w:hint="eastAsia" w:ascii="楷体_GB2312" w:eastAsia="楷体_GB2312"/>
          <w:b/>
          <w:sz w:val="30"/>
          <w:szCs w:val="30"/>
          <w:lang w:val="en-US" w:eastAsia="zh-CN"/>
        </w:rPr>
        <w:t>20</w:t>
      </w:r>
      <w:r>
        <w:rPr>
          <w:rFonts w:hint="eastAsia" w:ascii="楷体_GB2312" w:eastAsia="楷体_GB2312"/>
          <w:b/>
          <w:sz w:val="30"/>
          <w:szCs w:val="30"/>
        </w:rPr>
        <w:t>.</w:t>
      </w:r>
      <w:r>
        <w:rPr>
          <w:rFonts w:hint="eastAsia" w:ascii="楷体_GB2312" w:hAnsi="Times New Roman" w:eastAsia="楷体_GB2312" w:cs="Times New Roman"/>
          <w:b/>
          <w:kern w:val="2"/>
          <w:sz w:val="30"/>
          <w:szCs w:val="30"/>
        </w:rPr>
        <w:t>强化行动专账和资金监管</w:t>
      </w:r>
      <w:r>
        <w:rPr>
          <w:rFonts w:hint="eastAsia"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lang w:eastAsia="zh-CN"/>
        </w:rPr>
        <w:t>职业技能提升行动专项资金主要用于</w:t>
      </w:r>
      <w:r>
        <w:rPr>
          <w:rFonts w:hint="eastAsia" w:ascii="仿宋_GB2312" w:hAnsi="Times New Roman" w:eastAsia="仿宋_GB2312" w:cs="Times New Roman"/>
          <w:color w:val="181717" w:themeColor="background2" w:themeShade="1A"/>
          <w:kern w:val="2"/>
          <w:sz w:val="32"/>
          <w:szCs w:val="32"/>
        </w:rPr>
        <w:t>职工等人员职业培训，专账资金在原有失业保险基金支出户下分账核算、专款专用，不得单独开设专户，不得违规投资运营，不得平衡其他政府预算，不得直接用于兴建、改建办公场所和支付人员经费、运行经费、管理费用，或者违反法律行政法规规定挪作其他用途。</w:t>
      </w:r>
      <w:r>
        <w:rPr>
          <w:rFonts w:hint="eastAsia" w:ascii="仿宋_GB2312" w:hAnsi="Times New Roman" w:eastAsia="仿宋_GB2312" w:cs="Times New Roman"/>
          <w:kern w:val="2"/>
          <w:sz w:val="32"/>
          <w:szCs w:val="32"/>
        </w:rPr>
        <w:t>加大资金支持和筹集整合力度，将就业补助资金、人才经费和行业产业发展经费中用于职业培训的资金，统筹用于职业技能提升行动。</w:t>
      </w:r>
      <w:r>
        <w:rPr>
          <w:rFonts w:hint="eastAsia" w:ascii="仿宋_GB2312" w:hAnsi="Times New Roman" w:eastAsia="仿宋_GB2312" w:cs="Times New Roman"/>
          <w:color w:val="0D0D0D" w:themeColor="text1" w:themeTint="F2"/>
          <w:kern w:val="2"/>
          <w:sz w:val="32"/>
          <w:szCs w:val="32"/>
          <w14:textFill>
            <w14:solidFill>
              <w14:schemeClr w14:val="tx1">
                <w14:lumMod w14:val="95000"/>
                <w14:lumOff w14:val="5000"/>
              </w14:schemeClr>
            </w14:solidFill>
          </w14:textFill>
        </w:rPr>
        <w:t>各有关行业</w:t>
      </w:r>
      <w:r>
        <w:rPr>
          <w:rFonts w:hint="eastAsia" w:ascii="仿宋_GB2312" w:eastAsia="仿宋_GB2312" w:cs="Times New Roman"/>
          <w:color w:val="0D0D0D" w:themeColor="text1" w:themeTint="F2"/>
          <w:kern w:val="2"/>
          <w:sz w:val="32"/>
          <w:szCs w:val="32"/>
          <w:lang w:eastAsia="zh-CN"/>
          <w14:textFill>
            <w14:solidFill>
              <w14:schemeClr w14:val="tx1">
                <w14:lumMod w14:val="95000"/>
                <w14:lumOff w14:val="5000"/>
              </w14:schemeClr>
            </w14:solidFill>
          </w14:textFill>
        </w:rPr>
        <w:t>主管</w:t>
      </w:r>
      <w:r>
        <w:rPr>
          <w:rFonts w:hint="eastAsia" w:ascii="仿宋_GB2312" w:hAnsi="Times New Roman" w:eastAsia="仿宋_GB2312" w:cs="Times New Roman"/>
          <w:color w:val="0D0D0D" w:themeColor="text1" w:themeTint="F2"/>
          <w:kern w:val="2"/>
          <w:sz w:val="32"/>
          <w:szCs w:val="32"/>
          <w14:textFill>
            <w14:solidFill>
              <w14:schemeClr w14:val="tx1">
                <w14:lumMod w14:val="95000"/>
                <w14:lumOff w14:val="5000"/>
              </w14:schemeClr>
            </w14:solidFill>
          </w14:textFill>
        </w:rPr>
        <w:t>部门</w:t>
      </w:r>
      <w:r>
        <w:rPr>
          <w:rFonts w:hint="eastAsia" w:ascii="仿宋_GB2312" w:eastAsia="仿宋_GB2312" w:cs="Times New Roman"/>
          <w:color w:val="0D0D0D" w:themeColor="text1" w:themeTint="F2"/>
          <w:kern w:val="2"/>
          <w:sz w:val="32"/>
          <w:szCs w:val="32"/>
          <w:lang w:eastAsia="zh-CN"/>
          <w14:textFill>
            <w14:solidFill>
              <w14:schemeClr w14:val="tx1">
                <w14:lumMod w14:val="95000"/>
                <w14:lumOff w14:val="5000"/>
              </w14:schemeClr>
            </w14:solidFill>
          </w14:textFill>
        </w:rPr>
        <w:t>依照职业技能提升行动要求和“谁主管、谁培训、谁负责”的原则，组织开展行业培训，按标准或项目给予补贴，并对其职业培训的真实有效以及资金使用合规负责，培训补贴资金按资金管理规定进行管理拨付；</w:t>
      </w:r>
      <w:r>
        <w:rPr>
          <w:rFonts w:hint="eastAsia" w:ascii="仿宋_GB2312" w:hAnsi="Times New Roman" w:eastAsia="仿宋_GB2312" w:cs="Times New Roman"/>
          <w:kern w:val="2"/>
          <w:sz w:val="32"/>
          <w:szCs w:val="32"/>
        </w:rPr>
        <w:t>同时，各行业</w:t>
      </w:r>
      <w:r>
        <w:rPr>
          <w:rFonts w:hint="eastAsia" w:ascii="仿宋_GB2312" w:eastAsia="仿宋_GB2312" w:cs="Times New Roman"/>
          <w:kern w:val="2"/>
          <w:sz w:val="32"/>
          <w:szCs w:val="32"/>
          <w:lang w:eastAsia="zh-CN"/>
        </w:rPr>
        <w:t>主管</w:t>
      </w:r>
      <w:r>
        <w:rPr>
          <w:rFonts w:hint="eastAsia" w:ascii="仿宋_GB2312" w:hAnsi="Times New Roman" w:eastAsia="仿宋_GB2312" w:cs="Times New Roman"/>
          <w:kern w:val="2"/>
          <w:sz w:val="32"/>
          <w:szCs w:val="32"/>
        </w:rPr>
        <w:t>部门应当在年初制订培训计划，明确补贴标准和培训经费数额，报人力社保局</w:t>
      </w:r>
      <w:r>
        <w:rPr>
          <w:rFonts w:hint="eastAsia" w:ascii="仿宋_GB2312" w:hAnsi="Times New Roman" w:eastAsia="仿宋_GB2312" w:cs="Times New Roman"/>
          <w:kern w:val="2"/>
          <w:sz w:val="32"/>
          <w:szCs w:val="32"/>
          <w:lang w:eastAsia="zh-CN"/>
        </w:rPr>
        <w:t>、财政局</w:t>
      </w:r>
      <w:r>
        <w:rPr>
          <w:rFonts w:hint="eastAsia" w:ascii="仿宋_GB2312" w:hAnsi="Times New Roman" w:eastAsia="仿宋_GB2312" w:cs="Times New Roman"/>
          <w:kern w:val="2"/>
          <w:sz w:val="32"/>
          <w:szCs w:val="32"/>
        </w:rPr>
        <w:t>备案。职业培训补贴原则上每人每年可享受不超过3次，但同一职业（项目）同一等级不可重复享受。属于专账资金范围的在专账资金中列支，其余资金按原渠道列支。</w:t>
      </w:r>
      <w:r>
        <w:rPr>
          <w:rFonts w:hint="eastAsia" w:ascii="仿宋_GB2312" w:hAnsi="Times New Roman" w:eastAsia="仿宋_GB2312" w:cs="Times New Roman"/>
          <w:kern w:val="2"/>
          <w:sz w:val="32"/>
          <w:szCs w:val="32"/>
          <w:lang w:eastAsia="zh-CN"/>
        </w:rPr>
        <w:t>鼓励通过市民卡等便捷方式统一支付各类培训补贴，并作为预防资金支付风险的重要保障。建立绩效评价机制，按照上级绩效评价办法和相关规定，实行分系统绩效评价。</w:t>
      </w:r>
      <w:r>
        <w:rPr>
          <w:rFonts w:hint="eastAsia" w:ascii="仿宋_GB2312" w:hAnsi="Times New Roman" w:eastAsia="仿宋_GB2312" w:cs="Times New Roman"/>
          <w:kern w:val="2"/>
          <w:sz w:val="32"/>
          <w:szCs w:val="32"/>
        </w:rPr>
        <w:t>对以虚假培训等套取、骗取资金的依法依纪严肃查处，对培训工作中出现的失误和问题要区分不同情况对待，保护工作落实层面干事担当的积极性。</w:t>
      </w:r>
      <w:r>
        <w:rPr>
          <w:rFonts w:hint="eastAsia" w:ascii="仿宋_GB2312" w:eastAsia="仿宋_GB2312"/>
          <w:sz w:val="32"/>
          <w:szCs w:val="32"/>
          <w:lang w:eastAsia="zh-CN"/>
        </w:rPr>
        <w:t>（责任单位：人社局、发改局、经信局、财政局、教体局、民政局、建筑业管理服务中心、农业农村局、卫生健康局、退役军人事务局、应急管理局、市场监管局、团区委、红十字会、商务局、供销总社、残联）</w:t>
      </w:r>
    </w:p>
    <w:p>
      <w:pPr>
        <w:keepNext w:val="0"/>
        <w:keepLines w:val="0"/>
        <w:pageBreakBefore w:val="0"/>
        <w:kinsoku/>
        <w:wordWrap/>
        <w:overflowPunct/>
        <w:topLinePunct w:val="0"/>
        <w:autoSpaceDE/>
        <w:autoSpaceDN/>
        <w:bidi w:val="0"/>
        <w:spacing w:line="560" w:lineRule="exact"/>
        <w:ind w:left="0" w:leftChars="0" w:right="0" w:rightChars="0" w:firstLine="596" w:firstLineChars="198"/>
        <w:textAlignment w:val="auto"/>
        <w:outlineLvl w:val="9"/>
        <w:rPr>
          <w:rFonts w:ascii="仿宋_GB2312" w:eastAsia="仿宋_GB2312"/>
          <w:sz w:val="32"/>
          <w:szCs w:val="32"/>
        </w:rPr>
      </w:pPr>
      <w:r>
        <w:rPr>
          <w:rFonts w:hint="eastAsia" w:ascii="楷体_GB2312" w:hAnsi="Times New Roman" w:eastAsia="楷体_GB2312" w:cs="Times New Roman"/>
          <w:b/>
          <w:kern w:val="2"/>
          <w:sz w:val="30"/>
          <w:szCs w:val="30"/>
          <w:lang w:val="en-US" w:eastAsia="zh-CN"/>
        </w:rPr>
        <w:t>2</w:t>
      </w:r>
      <w:r>
        <w:rPr>
          <w:rFonts w:hint="eastAsia" w:ascii="楷体_GB2312" w:eastAsia="楷体_GB2312" w:cs="Times New Roman"/>
          <w:b/>
          <w:kern w:val="2"/>
          <w:sz w:val="30"/>
          <w:szCs w:val="30"/>
          <w:lang w:val="en-US" w:eastAsia="zh-CN"/>
        </w:rPr>
        <w:t>1</w:t>
      </w:r>
      <w:r>
        <w:rPr>
          <w:rFonts w:hint="eastAsia" w:ascii="楷体_GB2312" w:hAnsi="Times New Roman" w:eastAsia="楷体_GB2312" w:cs="Times New Roman"/>
          <w:b/>
          <w:kern w:val="2"/>
          <w:sz w:val="30"/>
          <w:szCs w:val="30"/>
        </w:rPr>
        <w:t>.营造活动开展良好氛围</w:t>
      </w:r>
      <w:r>
        <w:rPr>
          <w:rFonts w:hint="eastAsia" w:ascii="仿宋_GB2312" w:hAnsi="Times New Roman" w:eastAsia="仿宋_GB2312" w:cs="Times New Roman"/>
          <w:kern w:val="2"/>
          <w:sz w:val="32"/>
          <w:szCs w:val="32"/>
        </w:rPr>
        <w:t>。推进职业技能培训与评价有机衔接，完善技能人才职业资格评价，探索开展技能等级认定试点，规范专项职业能力考核，继续推动工程领域高技能人才与工程技术人才职业发展贯通。做到“放管服”改革与“精细化”监管并重，在积极利用互联网、信息化方便劳动者参加培训、申领补贴的同时，利用第三方评估、大数据科技等方式加强培训质量监管。鼓励各行业主管部门在职责范围内出台对高技能人才的优惠政策。推行突出贡献高技能人才疗休养制度。试行技术工人薪酬单独集体协商。加强政策解读和舆论宣传，提升政策公众知晓度，帮助企业、培训机构和劳动者熟悉了解、用足用好政策，共同促进职业技能培训工作开展。大力弘扬和培育工匠精神，广泛宣传高技能人才先进事迹，努力在全社会形成尊重和争做优秀高技能人才的良好风尚。</w:t>
      </w:r>
      <w:r>
        <w:rPr>
          <w:rFonts w:hint="eastAsia" w:ascii="仿宋_GB2312" w:eastAsia="仿宋_GB2312"/>
          <w:sz w:val="32"/>
          <w:szCs w:val="32"/>
          <w:lang w:eastAsia="zh-CN"/>
        </w:rPr>
        <w:t>（责任单位：人社局、发改局、经信局、财政局、教体局、民政局、建筑业管理服务中心、农业农村局、卫生健康局、退役军人事务局、应急管理局、市场监管局、团区委、总工会、商务局、供销总社、残联）</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本实施方案自印发之日起施行，至2021年12月31日止。期间原政策规定与本实施方案不一致的，按本实施方案执行；上级有新政策精神的，按新政策执行。印发之前符合专账资金列支范围但尚未结报支付的，按原补贴标准在专账资金中列支。</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上虞区职业技能提升行动分部门培训任务</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2、上虞区职业技能提升行动培训补贴标准指导目录</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3、上虞区职业技能提升行动工作推进机制</w:t>
      </w:r>
    </w:p>
    <w:p>
      <w:pPr>
        <w:pStyle w:val="2"/>
        <w:rPr>
          <w:rFonts w:hint="eastAsia" w:ascii="仿宋" w:hAnsi="仿宋" w:eastAsia="仿宋" w:cs="仿宋"/>
          <w:b w:val="0"/>
          <w:bCs/>
          <w:spacing w:val="-28"/>
          <w:sz w:val="32"/>
          <w:szCs w:val="32"/>
          <w:lang w:val="en-US" w:eastAsia="zh-CN"/>
        </w:rPr>
      </w:pPr>
    </w:p>
    <w:p>
      <w:pPr>
        <w:pStyle w:val="2"/>
        <w:rPr>
          <w:rFonts w:hint="eastAsia" w:ascii="仿宋" w:hAnsi="仿宋" w:eastAsia="仿宋" w:cs="仿宋"/>
          <w:b w:val="0"/>
          <w:bCs/>
          <w:spacing w:val="-28"/>
          <w:sz w:val="32"/>
          <w:szCs w:val="32"/>
          <w:lang w:val="en-US" w:eastAsia="zh-CN"/>
        </w:rPr>
      </w:pPr>
    </w:p>
    <w:p>
      <w:pPr>
        <w:keepNext w:val="0"/>
        <w:keepLines w:val="0"/>
        <w:pageBreakBefore w:val="0"/>
        <w:kinsoku/>
        <w:wordWrap/>
        <w:overflowPunct/>
        <w:autoSpaceDE/>
        <w:autoSpaceDN/>
        <w:bidi w:val="0"/>
        <w:adjustRightInd w:val="0"/>
        <w:snapToGrid w:val="0"/>
        <w:spacing w:line="560" w:lineRule="exact"/>
        <w:ind w:left="0" w:leftChars="0" w:right="0" w:rightChars="0"/>
        <w:jc w:val="both"/>
        <w:textAlignment w:val="auto"/>
        <w:rPr>
          <w:rFonts w:hint="eastAsia" w:ascii="方正小标宋简体" w:eastAsia="方正小标宋简体"/>
          <w:w w:val="90"/>
          <w:sz w:val="44"/>
          <w:szCs w:val="44"/>
          <w:lang w:val="en-US" w:eastAsia="zh-CN"/>
        </w:rPr>
      </w:pPr>
    </w:p>
    <w:p>
      <w:pPr>
        <w:pStyle w:val="2"/>
        <w:rPr>
          <w:rFonts w:hint="eastAsia" w:ascii="方正小标宋简体" w:eastAsia="方正小标宋简体"/>
          <w:w w:val="90"/>
          <w:sz w:val="44"/>
          <w:szCs w:val="44"/>
          <w:lang w:val="en-US" w:eastAsia="zh-CN"/>
        </w:rPr>
      </w:pPr>
    </w:p>
    <w:p>
      <w:pPr>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附件：1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上虞区职业技能提升行动分部门培训</w:t>
      </w:r>
      <w:r>
        <w:rPr>
          <w:rFonts w:hint="eastAsia" w:ascii="宋体" w:hAnsi="宋体" w:cs="宋体"/>
          <w:b/>
          <w:bCs/>
          <w:sz w:val="44"/>
          <w:szCs w:val="44"/>
          <w:lang w:val="en-US" w:eastAsia="zh-CN"/>
        </w:rPr>
        <w:t>任务</w:t>
      </w:r>
    </w:p>
    <w:tbl>
      <w:tblPr>
        <w:tblStyle w:val="9"/>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867"/>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867"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部门</w:t>
            </w:r>
          </w:p>
        </w:tc>
        <w:tc>
          <w:tcPr>
            <w:tcW w:w="6165"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培训重点任务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区经信局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发挥行业主管部门的作用，重点协调组织数字经济产业的职业技能培训工作。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区教体局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组织院校承担职业技能培训任务，重点协调组织“两后生”和高校毕业生进行就业创业培训的职业技能培训工作。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区建筑业管理服务中心</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协调组织建筑领域技能劳动者的职业技能培训工作。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区农业农村局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协调组织农村实用人才、新型职业农民和建档立卡低收入农户家庭劳动力的职业技能培训工作。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区退役军人</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事务局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协调组织退役军人的职业技能培训工作。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区应急管理局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协调组织高危行业领域安全技能培训和特种作用人员安全作业培训工作。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区民政局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协调组织养老护理人员的职业技能培训工作。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区卫生健康局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协调组织卫生健康行业的职业技能培训工作。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区财政局</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（区国资委）</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协调组织国有和国有控股企业职工的职业技能培训工作。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区市场监督局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协调组织小微企业职工、</w:t>
            </w:r>
            <w:r>
              <w:rPr>
                <w:rFonts w:hint="eastAsia" w:ascii="仿宋" w:hAnsi="仿宋" w:eastAsia="仿宋" w:cs="仿宋"/>
                <w:color w:val="0D0D0D" w:themeColor="text1" w:themeTint="F2"/>
                <w:sz w:val="24"/>
                <w:szCs w:val="24"/>
                <w:vertAlign w:val="baseline"/>
                <w:lang w:val="en-US" w:eastAsia="zh-CN"/>
                <w14:textFill>
                  <w14:solidFill>
                    <w14:schemeClr w14:val="tx1">
                      <w14:lumMod w14:val="95000"/>
                      <w14:lumOff w14:val="5000"/>
                    </w14:schemeClr>
                  </w14:solidFill>
                </w14:textFill>
              </w:rPr>
              <w:t>特种设备作业人员安全作业</w:t>
            </w:r>
            <w:r>
              <w:rPr>
                <w:rFonts w:hint="eastAsia" w:ascii="仿宋" w:hAnsi="仿宋" w:eastAsia="仿宋" w:cs="仿宋"/>
                <w:sz w:val="24"/>
                <w:szCs w:val="24"/>
                <w:vertAlign w:val="baseline"/>
                <w:lang w:val="en-US" w:eastAsia="zh-CN"/>
              </w:rPr>
              <w:t>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区残联</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协调组织残疾人的职业技能培训工作。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团区委</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协调组织农民（大学生）创业培训工作。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红十字会</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协调组织应急救护的职业技能培训工作。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区供销总社</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协调组织农村实用人才培训工作。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186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区商务局</w:t>
            </w:r>
          </w:p>
        </w:tc>
        <w:tc>
          <w:tcPr>
            <w:tcW w:w="616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协调组织外贸企业、电商的职业技能培训工作。</w:t>
            </w:r>
          </w:p>
        </w:tc>
      </w:tr>
    </w:tbl>
    <w:p>
      <w:pPr>
        <w:widowControl/>
        <w:adjustRightInd w:val="0"/>
        <w:snapToGrid w:val="0"/>
        <w:rPr>
          <w:rFonts w:hint="eastAsia" w:ascii="仿宋_GB2312"/>
          <w:spacing w:val="-6"/>
          <w:sz w:val="28"/>
          <w:szCs w:val="28"/>
        </w:rPr>
      </w:pPr>
    </w:p>
    <w:p>
      <w:pPr>
        <w:widowControl/>
        <w:adjustRightInd w:val="0"/>
        <w:snapToGrid w:val="0"/>
        <w:rPr>
          <w:rFonts w:hint="eastAsia" w:ascii="仿宋_GB2312"/>
          <w:spacing w:val="-6"/>
          <w:sz w:val="28"/>
          <w:szCs w:val="28"/>
        </w:rPr>
      </w:pPr>
    </w:p>
    <w:p>
      <w:pPr>
        <w:widowControl/>
        <w:adjustRightInd w:val="0"/>
        <w:snapToGrid w:val="0"/>
        <w:rPr>
          <w:rFonts w:hint="eastAsia" w:ascii="仿宋_GB2312"/>
          <w:spacing w:val="-6"/>
          <w:sz w:val="28"/>
          <w:szCs w:val="28"/>
        </w:rPr>
      </w:pPr>
    </w:p>
    <w:p>
      <w:pPr>
        <w:widowControl/>
        <w:adjustRightInd w:val="0"/>
        <w:snapToGrid w:val="0"/>
        <w:rPr>
          <w:rFonts w:hint="eastAsia" w:ascii="仿宋_GB2312"/>
          <w:spacing w:val="-6"/>
          <w:sz w:val="28"/>
          <w:szCs w:val="28"/>
        </w:rPr>
      </w:pPr>
      <w:r>
        <w:rPr>
          <w:rFonts w:hint="eastAsia" w:ascii="仿宋_GB2312"/>
          <w:spacing w:val="-6"/>
          <w:sz w:val="28"/>
          <w:szCs w:val="28"/>
        </w:rPr>
        <w:t>附件</w:t>
      </w:r>
      <w:r>
        <w:rPr>
          <w:rFonts w:hint="eastAsia" w:ascii="仿宋_GB2312"/>
          <w:spacing w:val="-6"/>
          <w:sz w:val="28"/>
          <w:szCs w:val="28"/>
          <w:lang w:eastAsia="zh-CN"/>
        </w:rPr>
        <w:t>：</w:t>
      </w:r>
      <w:r>
        <w:rPr>
          <w:rFonts w:hint="eastAsia" w:ascii="仿宋_GB2312"/>
          <w:spacing w:val="-6"/>
          <w:sz w:val="28"/>
          <w:szCs w:val="28"/>
          <w:lang w:val="en-US" w:eastAsia="zh-CN"/>
        </w:rPr>
        <w:t>2</w:t>
      </w:r>
    </w:p>
    <w:p>
      <w:pPr>
        <w:widowControl/>
        <w:adjustRightInd w:val="0"/>
        <w:snapToGrid w:val="0"/>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lang w:eastAsia="zh-CN"/>
        </w:rPr>
        <w:t>上虞区</w:t>
      </w:r>
      <w:r>
        <w:rPr>
          <w:rFonts w:hint="eastAsia" w:ascii="宋体" w:hAnsi="宋体" w:eastAsia="宋体" w:cs="宋体"/>
          <w:b/>
          <w:bCs/>
          <w:color w:val="000000"/>
          <w:kern w:val="0"/>
          <w:sz w:val="36"/>
          <w:szCs w:val="36"/>
        </w:rPr>
        <w:t>职业技能提升行动培训补贴标准指导目录</w:t>
      </w:r>
    </w:p>
    <w:tbl>
      <w:tblPr>
        <w:tblStyle w:val="8"/>
        <w:tblW w:w="8867" w:type="dxa"/>
        <w:jc w:val="center"/>
        <w:tblInd w:w="-122" w:type="dxa"/>
        <w:tblLayout w:type="fixed"/>
        <w:tblCellMar>
          <w:top w:w="0" w:type="dxa"/>
          <w:left w:w="108" w:type="dxa"/>
          <w:bottom w:w="0" w:type="dxa"/>
          <w:right w:w="108" w:type="dxa"/>
        </w:tblCellMar>
      </w:tblPr>
      <w:tblGrid>
        <w:gridCol w:w="711"/>
        <w:gridCol w:w="669"/>
        <w:gridCol w:w="417"/>
        <w:gridCol w:w="4410"/>
        <w:gridCol w:w="1080"/>
        <w:gridCol w:w="699"/>
        <w:gridCol w:w="6"/>
        <w:gridCol w:w="875"/>
      </w:tblGrid>
      <w:tr>
        <w:tblPrEx>
          <w:tblLayout w:type="fixed"/>
          <w:tblCellMar>
            <w:top w:w="0" w:type="dxa"/>
            <w:left w:w="108" w:type="dxa"/>
            <w:bottom w:w="0" w:type="dxa"/>
            <w:right w:w="108" w:type="dxa"/>
          </w:tblCellMar>
        </w:tblPrEx>
        <w:trPr>
          <w:trHeight w:val="199" w:hRule="atLeast"/>
          <w:tblHeader/>
          <w:jc w:val="center"/>
        </w:trPr>
        <w:tc>
          <w:tcPr>
            <w:tcW w:w="71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类别</w:t>
            </w:r>
          </w:p>
        </w:tc>
        <w:tc>
          <w:tcPr>
            <w:tcW w:w="5496" w:type="dxa"/>
            <w:gridSpan w:val="3"/>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工种（职业、项目）</w:t>
            </w:r>
          </w:p>
        </w:tc>
        <w:tc>
          <w:tcPr>
            <w:tcW w:w="2660" w:type="dxa"/>
            <w:gridSpan w:val="4"/>
            <w:tcBorders>
              <w:top w:val="single" w:color="auto" w:sz="4" w:space="0"/>
              <w:left w:val="single" w:color="auto" w:sz="4" w:space="0"/>
              <w:bottom w:val="nil"/>
              <w:right w:val="single" w:color="auto" w:sz="4" w:space="0"/>
            </w:tcBorders>
            <w:vAlign w:val="center"/>
          </w:tcPr>
          <w:p>
            <w:pPr>
              <w:adjustRightInd w:val="0"/>
              <w:snapToGrid w:val="0"/>
              <w:jc w:val="center"/>
              <w:rPr>
                <w:rFonts w:ascii="楷体_GB2312" w:hAnsi="楷体_GB2312" w:eastAsia="楷体_GB2312" w:cs="楷体_GB2312"/>
                <w:color w:val="000000"/>
                <w:spacing w:val="-8"/>
                <w:kern w:val="0"/>
                <w:sz w:val="21"/>
                <w:szCs w:val="21"/>
              </w:rPr>
            </w:pPr>
            <w:r>
              <w:rPr>
                <w:rFonts w:hint="eastAsia" w:ascii="楷体_GB2312" w:hAnsi="楷体_GB2312" w:eastAsia="楷体_GB2312" w:cs="楷体_GB2312"/>
                <w:color w:val="000000"/>
                <w:spacing w:val="-8"/>
                <w:kern w:val="0"/>
                <w:sz w:val="21"/>
                <w:szCs w:val="21"/>
              </w:rPr>
              <w:t>补贴标准</w:t>
            </w:r>
          </w:p>
        </w:tc>
      </w:tr>
      <w:tr>
        <w:tblPrEx>
          <w:tblLayout w:type="fixed"/>
          <w:tblCellMar>
            <w:top w:w="0" w:type="dxa"/>
            <w:left w:w="108" w:type="dxa"/>
            <w:bottom w:w="0" w:type="dxa"/>
            <w:right w:w="108" w:type="dxa"/>
          </w:tblCellMar>
        </w:tblPrEx>
        <w:trPr>
          <w:trHeight w:val="255" w:hRule="atLeast"/>
          <w:tblHeader/>
          <w:jc w:val="center"/>
        </w:trPr>
        <w:tc>
          <w:tcPr>
            <w:tcW w:w="711"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5496" w:type="dxa"/>
            <w:gridSpan w:val="3"/>
            <w:vMerge w:val="continue"/>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级别</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课时</w:t>
            </w:r>
          </w:p>
        </w:tc>
        <w:tc>
          <w:tcPr>
            <w:tcW w:w="88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金额（元）</w:t>
            </w:r>
          </w:p>
        </w:tc>
      </w:tr>
      <w:tr>
        <w:tblPrEx>
          <w:tblLayout w:type="fixed"/>
          <w:tblCellMar>
            <w:top w:w="0" w:type="dxa"/>
            <w:left w:w="108" w:type="dxa"/>
            <w:bottom w:w="0" w:type="dxa"/>
            <w:right w:w="108" w:type="dxa"/>
          </w:tblCellMar>
        </w:tblPrEx>
        <w:trPr>
          <w:trHeight w:val="328" w:hRule="atLeast"/>
          <w:jc w:val="center"/>
        </w:trPr>
        <w:tc>
          <w:tcPr>
            <w:tcW w:w="71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职业证书培训</w:t>
            </w:r>
          </w:p>
        </w:tc>
        <w:tc>
          <w:tcPr>
            <w:tcW w:w="66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就业</w:t>
            </w:r>
          </w:p>
          <w:p>
            <w:pPr>
              <w:adjustRightInd w:val="0"/>
              <w:snapToGrid w:val="0"/>
              <w:jc w:val="center"/>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技能</w:t>
            </w:r>
          </w:p>
        </w:tc>
        <w:tc>
          <w:tcPr>
            <w:tcW w:w="41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ascii="楷体_GB2312" w:hAnsi="楷体_GB2312" w:eastAsia="楷体_GB2312" w:cs="楷体_GB2312"/>
                <w:color w:val="000000"/>
                <w:kern w:val="0"/>
                <w:sz w:val="21"/>
                <w:szCs w:val="21"/>
              </w:rPr>
              <w:t>A</w:t>
            </w:r>
          </w:p>
        </w:tc>
        <w:tc>
          <w:tcPr>
            <w:tcW w:w="4410" w:type="dxa"/>
            <w:vMerge w:val="restart"/>
            <w:tcBorders>
              <w:top w:val="single" w:color="auto" w:sz="4" w:space="0"/>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r>
              <w:rPr>
                <w:rFonts w:hint="eastAsia" w:ascii="楷体_GB2312" w:hAnsi="楷体_GB2312" w:eastAsia="楷体_GB2312" w:cs="楷体_GB2312"/>
                <w:sz w:val="21"/>
                <w:szCs w:val="21"/>
              </w:rPr>
              <w:t>车工、铣工、焊工、电工、铸造工、锻造工、钳工、磨工、汽车维修工、电梯安装维修工、机床装调维修工、模具工</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初级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70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2100</w:t>
            </w:r>
          </w:p>
        </w:tc>
      </w:tr>
      <w:tr>
        <w:tblPrEx>
          <w:tblLayout w:type="fixed"/>
          <w:tblCellMar>
            <w:top w:w="0" w:type="dxa"/>
            <w:left w:w="108" w:type="dxa"/>
            <w:bottom w:w="0" w:type="dxa"/>
            <w:right w:w="108" w:type="dxa"/>
          </w:tblCellMar>
        </w:tblPrEx>
        <w:trPr>
          <w:trHeight w:val="187"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中级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80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2400</w:t>
            </w:r>
          </w:p>
        </w:tc>
      </w:tr>
      <w:tr>
        <w:tblPrEx>
          <w:tblLayout w:type="fixed"/>
          <w:tblCellMar>
            <w:top w:w="0" w:type="dxa"/>
            <w:left w:w="108" w:type="dxa"/>
            <w:bottom w:w="0" w:type="dxa"/>
            <w:right w:w="108" w:type="dxa"/>
          </w:tblCellMar>
        </w:tblPrEx>
        <w:trPr>
          <w:trHeight w:val="187"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100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3500</w:t>
            </w:r>
          </w:p>
        </w:tc>
      </w:tr>
      <w:tr>
        <w:tblPrEx>
          <w:tblLayout w:type="fixed"/>
          <w:tblCellMar>
            <w:top w:w="0" w:type="dxa"/>
            <w:left w:w="108" w:type="dxa"/>
            <w:bottom w:w="0" w:type="dxa"/>
            <w:right w:w="108" w:type="dxa"/>
          </w:tblCellMar>
        </w:tblPrEx>
        <w:trPr>
          <w:trHeight w:val="187"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技师</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4500</w:t>
            </w:r>
          </w:p>
        </w:tc>
      </w:tr>
      <w:tr>
        <w:tblPrEx>
          <w:tblLayout w:type="fixed"/>
          <w:tblCellMar>
            <w:top w:w="0" w:type="dxa"/>
            <w:left w:w="108" w:type="dxa"/>
            <w:bottom w:w="0" w:type="dxa"/>
            <w:right w:w="108" w:type="dxa"/>
          </w:tblCellMar>
        </w:tblPrEx>
        <w:trPr>
          <w:trHeight w:val="299"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1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bottom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高级技师</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6000</w:t>
            </w:r>
          </w:p>
        </w:tc>
      </w:tr>
      <w:tr>
        <w:tblPrEx>
          <w:tblLayout w:type="fixed"/>
          <w:tblCellMar>
            <w:top w:w="0" w:type="dxa"/>
            <w:left w:w="108" w:type="dxa"/>
            <w:bottom w:w="0" w:type="dxa"/>
            <w:right w:w="108" w:type="dxa"/>
          </w:tblCellMar>
        </w:tblPrEx>
        <w:trPr>
          <w:trHeight w:val="187"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1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ascii="楷体_GB2312" w:hAnsi="楷体_GB2312" w:eastAsia="楷体_GB2312" w:cs="楷体_GB2312"/>
                <w:color w:val="000000"/>
                <w:kern w:val="0"/>
                <w:sz w:val="21"/>
                <w:szCs w:val="21"/>
              </w:rPr>
              <w:t>B</w:t>
            </w:r>
          </w:p>
        </w:tc>
        <w:tc>
          <w:tcPr>
            <w:tcW w:w="4410" w:type="dxa"/>
            <w:vMerge w:val="restart"/>
            <w:tcBorders>
              <w:top w:val="single" w:color="auto" w:sz="4" w:space="0"/>
              <w:left w:val="single" w:color="auto" w:sz="4" w:space="0"/>
              <w:right w:val="single" w:color="auto" w:sz="4" w:space="0"/>
            </w:tcBorders>
            <w:vAlign w:val="center"/>
          </w:tcPr>
          <w:p>
            <w:pPr>
              <w:adjustRightInd w:val="0"/>
              <w:snapToGrid w:val="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起重装卸机械操作工、冲压工、电切削工、制冷空调系统安装维修工、锅炉操作工、金属热处理工、制冷工、防水工、钢筋工、砌筑工、混凝土工、手工木工、架子工、中式烹调师、西式烹调师、中式面点师、西式面点师</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初级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70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1750</w:t>
            </w:r>
          </w:p>
        </w:tc>
      </w:tr>
      <w:tr>
        <w:tblPrEx>
          <w:tblLayout w:type="fixed"/>
          <w:tblCellMar>
            <w:top w:w="0" w:type="dxa"/>
            <w:left w:w="108" w:type="dxa"/>
            <w:bottom w:w="0" w:type="dxa"/>
            <w:right w:w="108" w:type="dxa"/>
          </w:tblCellMar>
        </w:tblPrEx>
        <w:trPr>
          <w:trHeight w:val="261"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中级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80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2000</w:t>
            </w:r>
          </w:p>
        </w:tc>
      </w:tr>
      <w:tr>
        <w:tblPrEx>
          <w:tblLayout w:type="fixed"/>
          <w:tblCellMar>
            <w:top w:w="0" w:type="dxa"/>
            <w:left w:w="108" w:type="dxa"/>
            <w:bottom w:w="0" w:type="dxa"/>
            <w:right w:w="108" w:type="dxa"/>
          </w:tblCellMar>
        </w:tblPrEx>
        <w:trPr>
          <w:trHeight w:val="267"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100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3000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技师</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4000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bottom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高级技师</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5500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r>
              <w:rPr>
                <w:rFonts w:ascii="楷体_GB2312" w:hAnsi="楷体_GB2312" w:eastAsia="楷体_GB2312" w:cs="楷体_GB2312"/>
                <w:color w:val="000000"/>
                <w:kern w:val="0"/>
                <w:sz w:val="21"/>
                <w:szCs w:val="21"/>
              </w:rPr>
              <w:t>C</w:t>
            </w:r>
          </w:p>
        </w:tc>
        <w:tc>
          <w:tcPr>
            <w:tcW w:w="4410" w:type="dxa"/>
            <w:vMerge w:val="restart"/>
            <w:tcBorders>
              <w:top w:val="single" w:color="auto" w:sz="4" w:space="0"/>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r>
              <w:rPr>
                <w:rFonts w:hint="eastAsia" w:ascii="楷体_GB2312" w:hAnsi="楷体_GB2312" w:eastAsia="楷体_GB2312" w:cs="楷体_GB2312"/>
                <w:sz w:val="21"/>
                <w:szCs w:val="21"/>
              </w:rPr>
              <w:t>劳动关系协调员、企业人力资源管理师、中央空调系统运行操作员、智能楼宇管理员、美容师、美发师、保安员、茶艺师、评茶员、育婴员、保育员、有害生物防制员、安检员、安全评价师、眼镜验光员、眼镜定配工</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初级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70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1400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中级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80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1600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100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2500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技师</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3500</w:t>
            </w:r>
          </w:p>
        </w:tc>
      </w:tr>
      <w:tr>
        <w:tblPrEx>
          <w:tblLayout w:type="fixed"/>
          <w:tblCellMar>
            <w:top w:w="0" w:type="dxa"/>
            <w:left w:w="108" w:type="dxa"/>
            <w:bottom w:w="0" w:type="dxa"/>
            <w:right w:w="108" w:type="dxa"/>
          </w:tblCellMar>
        </w:tblPrEx>
        <w:trPr>
          <w:trHeight w:val="323"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1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4410" w:type="dxa"/>
            <w:vMerge w:val="continue"/>
            <w:tcBorders>
              <w:left w:val="single" w:color="auto" w:sz="4" w:space="0"/>
              <w:bottom w:val="single" w:color="auto" w:sz="4" w:space="0"/>
              <w:right w:val="single" w:color="auto" w:sz="4" w:space="0"/>
            </w:tcBorders>
            <w:vAlign w:val="center"/>
          </w:tcPr>
          <w:p>
            <w:pPr>
              <w:adjustRightInd w:val="0"/>
              <w:snapToGrid w:val="0"/>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高级技师</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5000</w:t>
            </w:r>
          </w:p>
        </w:tc>
      </w:tr>
      <w:tr>
        <w:tblPrEx>
          <w:tblLayout w:type="fixed"/>
          <w:tblCellMar>
            <w:top w:w="0" w:type="dxa"/>
            <w:left w:w="108" w:type="dxa"/>
            <w:bottom w:w="0" w:type="dxa"/>
            <w:right w:w="108" w:type="dxa"/>
          </w:tblCellMar>
        </w:tblPrEx>
        <w:trPr>
          <w:trHeight w:val="285" w:hRule="atLeast"/>
          <w:jc w:val="center"/>
        </w:trPr>
        <w:tc>
          <w:tcPr>
            <w:tcW w:w="711" w:type="dxa"/>
            <w:vMerge w:val="continue"/>
            <w:tcBorders>
              <w:left w:val="single" w:color="auto" w:sz="4" w:space="0"/>
              <w:right w:val="single" w:color="auto" w:sz="4" w:space="0"/>
            </w:tcBorders>
            <w:shd w:val="clear" w:color="auto" w:fill="auto"/>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restart"/>
            <w:tcBorders>
              <w:left w:val="single" w:color="auto" w:sz="4" w:space="0"/>
              <w:right w:val="single" w:color="auto" w:sz="4" w:space="0"/>
            </w:tcBorders>
            <w:shd w:val="clear" w:color="auto" w:fill="auto"/>
            <w:vAlign w:val="center"/>
          </w:tcPr>
          <w:p>
            <w:pPr>
              <w:adjustRightInd w:val="0"/>
              <w:snapToGrid w:val="0"/>
              <w:jc w:val="left"/>
              <w:rPr>
                <w:rFonts w:hint="eastAsia" w:ascii="楷体_GB2312" w:hAnsi="楷体_GB2312" w:eastAsia="楷体_GB2312" w:cs="楷体_GB2312"/>
                <w:color w:val="000000"/>
                <w:kern w:val="0"/>
                <w:sz w:val="21"/>
                <w:szCs w:val="21"/>
              </w:rPr>
            </w:pPr>
          </w:p>
        </w:tc>
        <w:tc>
          <w:tcPr>
            <w:tcW w:w="417" w:type="dxa"/>
            <w:vMerge w:val="restart"/>
            <w:tcBorders>
              <w:left w:val="single" w:color="auto" w:sz="4" w:space="0"/>
              <w:right w:val="single" w:color="auto" w:sz="4" w:space="0"/>
            </w:tcBorders>
            <w:shd w:val="clear" w:color="auto" w:fill="auto"/>
            <w:vAlign w:val="center"/>
          </w:tcPr>
          <w:p>
            <w:pPr>
              <w:adjustRightInd w:val="0"/>
              <w:snapToGrid w:val="0"/>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D</w:t>
            </w:r>
          </w:p>
        </w:tc>
        <w:tc>
          <w:tcPr>
            <w:tcW w:w="4410" w:type="dxa"/>
            <w:vMerge w:val="restart"/>
            <w:tcBorders>
              <w:left w:val="single" w:color="auto" w:sz="4" w:space="0"/>
              <w:right w:val="single" w:color="auto" w:sz="4" w:space="0"/>
            </w:tcBorders>
            <w:shd w:val="clear" w:color="auto" w:fill="auto"/>
            <w:vAlign w:val="center"/>
          </w:tcPr>
          <w:p>
            <w:pPr>
              <w:adjustRightInd w:val="0"/>
              <w:snapToGrid w:val="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国家职业资格目录（技能类）中除上述A、B、C三类外的工种</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技师</w:t>
            </w:r>
          </w:p>
        </w:tc>
        <w:tc>
          <w:tcPr>
            <w:tcW w:w="1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2500</w:t>
            </w:r>
          </w:p>
        </w:tc>
      </w:tr>
      <w:tr>
        <w:tblPrEx>
          <w:tblLayout w:type="fixed"/>
          <w:tblCellMar>
            <w:top w:w="0" w:type="dxa"/>
            <w:left w:w="108" w:type="dxa"/>
            <w:bottom w:w="0" w:type="dxa"/>
            <w:right w:w="108" w:type="dxa"/>
          </w:tblCellMar>
        </w:tblPrEx>
        <w:trPr>
          <w:trHeight w:val="285" w:hRule="atLeast"/>
          <w:jc w:val="center"/>
        </w:trPr>
        <w:tc>
          <w:tcPr>
            <w:tcW w:w="711" w:type="dxa"/>
            <w:vMerge w:val="continue"/>
            <w:tcBorders>
              <w:left w:val="single" w:color="auto" w:sz="4" w:space="0"/>
              <w:right w:val="single" w:color="auto" w:sz="4" w:space="0"/>
            </w:tcBorders>
            <w:shd w:val="clear" w:color="auto" w:fill="auto"/>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shd w:val="clear" w:color="auto" w:fill="auto"/>
            <w:vAlign w:val="center"/>
          </w:tcPr>
          <w:p>
            <w:pPr>
              <w:adjustRightInd w:val="0"/>
              <w:snapToGrid w:val="0"/>
              <w:jc w:val="left"/>
              <w:rPr>
                <w:rFonts w:hint="eastAsia" w:ascii="楷体_GB2312" w:hAnsi="楷体_GB2312" w:eastAsia="楷体_GB2312" w:cs="楷体_GB2312"/>
                <w:color w:val="000000"/>
                <w:kern w:val="0"/>
                <w:sz w:val="21"/>
                <w:szCs w:val="21"/>
              </w:rPr>
            </w:pPr>
          </w:p>
        </w:tc>
        <w:tc>
          <w:tcPr>
            <w:tcW w:w="417"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楷体_GB2312" w:hAnsi="楷体_GB2312" w:eastAsia="楷体_GB2312" w:cs="楷体_GB2312"/>
                <w:color w:val="000000"/>
                <w:kern w:val="0"/>
                <w:sz w:val="21"/>
                <w:szCs w:val="21"/>
              </w:rPr>
            </w:pPr>
          </w:p>
        </w:tc>
        <w:tc>
          <w:tcPr>
            <w:tcW w:w="4410"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高级技师</w:t>
            </w:r>
          </w:p>
        </w:tc>
        <w:tc>
          <w:tcPr>
            <w:tcW w:w="1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3500</w:t>
            </w:r>
          </w:p>
        </w:tc>
      </w:tr>
      <w:tr>
        <w:tblPrEx>
          <w:tblLayout w:type="fixed"/>
          <w:tblCellMar>
            <w:top w:w="0" w:type="dxa"/>
            <w:left w:w="108" w:type="dxa"/>
            <w:bottom w:w="0" w:type="dxa"/>
            <w:right w:w="108" w:type="dxa"/>
          </w:tblCellMar>
        </w:tblPrEx>
        <w:trPr>
          <w:trHeight w:val="271"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岗位技能提升</w:t>
            </w:r>
          </w:p>
        </w:tc>
        <w:tc>
          <w:tcPr>
            <w:tcW w:w="4827" w:type="dxa"/>
            <w:gridSpan w:val="2"/>
            <w:vMerge w:val="restart"/>
            <w:tcBorders>
              <w:top w:val="single" w:color="auto" w:sz="4" w:space="0"/>
              <w:left w:val="single" w:color="auto" w:sz="4" w:space="0"/>
              <w:right w:val="single" w:color="auto" w:sz="4" w:space="0"/>
            </w:tcBorders>
            <w:vAlign w:val="center"/>
          </w:tcPr>
          <w:p>
            <w:pPr>
              <w:adjustRightInd w:val="0"/>
              <w:snapToGrid w:val="0"/>
              <w:jc w:val="left"/>
              <w:rPr>
                <w:rFonts w:ascii="楷体_GB2312" w:hAnsi="楷体_GB2312" w:eastAsia="楷体_GB2312" w:cs="楷体_GB2312"/>
                <w:sz w:val="21"/>
                <w:szCs w:val="21"/>
              </w:rPr>
            </w:pPr>
            <w:r>
              <w:rPr>
                <w:rFonts w:hint="eastAsia" w:ascii="楷体_GB2312" w:hAnsi="楷体_GB2312" w:eastAsia="楷体_GB2312" w:cs="楷体_GB2312"/>
                <w:sz w:val="21"/>
                <w:szCs w:val="21"/>
              </w:rPr>
              <w:t>企业有需求的培训工种</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初级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40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1000</w:t>
            </w:r>
          </w:p>
        </w:tc>
      </w:tr>
      <w:tr>
        <w:tblPrEx>
          <w:tblLayout w:type="fixed"/>
          <w:tblCellMar>
            <w:top w:w="0" w:type="dxa"/>
            <w:left w:w="108" w:type="dxa"/>
            <w:bottom w:w="0" w:type="dxa"/>
            <w:right w:w="108" w:type="dxa"/>
          </w:tblCellMar>
        </w:tblPrEx>
        <w:trPr>
          <w:trHeight w:val="271"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827" w:type="dxa"/>
            <w:gridSpan w:val="2"/>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中级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50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1250</w:t>
            </w:r>
          </w:p>
        </w:tc>
      </w:tr>
      <w:tr>
        <w:tblPrEx>
          <w:tblLayout w:type="fixed"/>
          <w:tblCellMar>
            <w:top w:w="0" w:type="dxa"/>
            <w:left w:w="108" w:type="dxa"/>
            <w:bottom w:w="0" w:type="dxa"/>
            <w:right w:w="108" w:type="dxa"/>
          </w:tblCellMar>
        </w:tblPrEx>
        <w:trPr>
          <w:trHeight w:val="271" w:hRule="atLeast"/>
          <w:jc w:val="center"/>
        </w:trPr>
        <w:tc>
          <w:tcPr>
            <w:tcW w:w="711"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669"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kern w:val="0"/>
                <w:sz w:val="21"/>
                <w:szCs w:val="21"/>
              </w:rPr>
            </w:pPr>
          </w:p>
        </w:tc>
        <w:tc>
          <w:tcPr>
            <w:tcW w:w="4827" w:type="dxa"/>
            <w:gridSpan w:val="2"/>
            <w:vMerge w:val="continue"/>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hint="eastAsia" w:ascii="楷体_GB2312" w:hAnsi="楷体_GB2312" w:eastAsia="楷体_GB2312" w:cs="楷体_GB2312"/>
                <w:sz w:val="21"/>
                <w:szCs w:val="21"/>
              </w:rPr>
              <w:t>高级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60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r>
              <w:rPr>
                <w:rFonts w:ascii="楷体_GB2312" w:hAnsi="楷体_GB2312" w:eastAsia="楷体_GB2312" w:cs="楷体_GB2312"/>
                <w:sz w:val="21"/>
                <w:szCs w:val="21"/>
              </w:rPr>
              <w:t>1500</w:t>
            </w:r>
          </w:p>
        </w:tc>
      </w:tr>
      <w:tr>
        <w:tblPrEx>
          <w:tblLayout w:type="fixed"/>
          <w:tblCellMar>
            <w:top w:w="0" w:type="dxa"/>
            <w:left w:w="108" w:type="dxa"/>
            <w:bottom w:w="0" w:type="dxa"/>
            <w:right w:w="108" w:type="dxa"/>
          </w:tblCellMar>
        </w:tblPrEx>
        <w:trPr>
          <w:trHeight w:val="744"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职业技能等级</w:t>
            </w:r>
          </w:p>
        </w:tc>
        <w:tc>
          <w:tcPr>
            <w:tcW w:w="7487" w:type="dxa"/>
            <w:gridSpan w:val="6"/>
            <w:tcBorders>
              <w:left w:val="single" w:color="auto" w:sz="4" w:space="0"/>
              <w:bottom w:val="single" w:color="auto" w:sz="4" w:space="0"/>
              <w:right w:val="single" w:color="auto" w:sz="4" w:space="0"/>
            </w:tcBorders>
            <w:vAlign w:val="center"/>
          </w:tcPr>
          <w:p>
            <w:pPr>
              <w:adjustRightInd w:val="0"/>
              <w:snapToGrid w:val="0"/>
              <w:jc w:val="left"/>
              <w:rPr>
                <w:rFonts w:hint="eastAsia" w:ascii="楷体_GB2312" w:hAnsi="楷体_GB2312" w:eastAsia="楷体_GB2312" w:cs="楷体_GB2312"/>
                <w:color w:val="FF0000"/>
                <w:sz w:val="21"/>
                <w:szCs w:val="21"/>
              </w:rPr>
            </w:pPr>
            <w:r>
              <w:rPr>
                <w:rFonts w:hint="eastAsia" w:ascii="楷体_GB2312" w:hAnsi="楷体_GB2312" w:eastAsia="楷体_GB2312" w:cs="楷体_GB2312"/>
                <w:sz w:val="21"/>
                <w:szCs w:val="21"/>
              </w:rPr>
              <w:t>分别按照五级、四级、三级、二级、一级对应1000、1500、2000、3500、5000的标准</w:t>
            </w:r>
          </w:p>
        </w:tc>
      </w:tr>
      <w:tr>
        <w:tblPrEx>
          <w:tblLayout w:type="fixed"/>
          <w:tblCellMar>
            <w:top w:w="0" w:type="dxa"/>
            <w:left w:w="108" w:type="dxa"/>
            <w:bottom w:w="0" w:type="dxa"/>
            <w:right w:w="108" w:type="dxa"/>
          </w:tblCellMar>
        </w:tblPrEx>
        <w:trPr>
          <w:trHeight w:val="150"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669" w:type="dxa"/>
            <w:vMerge w:val="restart"/>
            <w:tcBorders>
              <w:top w:val="single" w:color="auto" w:sz="4" w:space="0"/>
              <w:left w:val="single" w:color="auto" w:sz="4" w:space="0"/>
              <w:right w:val="single" w:color="auto" w:sz="4" w:space="0"/>
            </w:tcBorders>
            <w:vAlign w:val="center"/>
          </w:tcPr>
          <w:p>
            <w:pPr>
              <w:adjustRightInd w:val="0"/>
              <w:snapToGrid w:val="0"/>
              <w:jc w:val="left"/>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专项职业能力</w:t>
            </w:r>
          </w:p>
        </w:tc>
        <w:tc>
          <w:tcPr>
            <w:tcW w:w="4827" w:type="dxa"/>
            <w:gridSpan w:val="2"/>
            <w:vMerge w:val="restart"/>
            <w:tcBorders>
              <w:top w:val="single" w:color="auto" w:sz="4" w:space="0"/>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FF0000"/>
                <w:sz w:val="21"/>
                <w:szCs w:val="21"/>
              </w:rPr>
            </w:pPr>
            <w:r>
              <w:rPr>
                <w:rFonts w:hint="eastAsia" w:ascii="楷体_GB2312" w:hAnsi="楷体_GB2312" w:eastAsia="楷体_GB2312" w:cs="楷体_GB2312"/>
                <w:color w:val="000000"/>
                <w:sz w:val="21"/>
                <w:szCs w:val="21"/>
              </w:rPr>
              <w:t>灰土回填、墙面刷涂、室内瓷砖铺贴、卫生器具安装与配管、手工编织、手工钩织、丝网花制作、单片机快速开发、单片机应用、电动自行车维修、花卉栽培、汽车音响改装、食品雕刻、针织大圆机调试、纺织面料成分检测、机织小样织样、家具配件包装、家具喷涂、家具砂磨、空调器安装、精密铜管制造、灯具安装、竹家具制作、竹器编织、藤器编织、家具组装、家具切割、家具钻孔、大圆机挡车、古建砖瓦烧制、网络综合布线、印花分色处理、领带制作、小笼包制作、母婴护理、老年照护与管理、装配式建筑灌浆（混凝土结构）、装配式建筑吊装（混凝土结构）、计算机办公软件应用、软文编辑、企业云平台管理、绍兴花雕制作、婚姻家庭辅导、拼布设计、电动汽车驱动电机维修、工业机器人操作、主题宴会设计、绍兴花雕制作、安昌腊肠制作、珍珠饰品制作、家用电机绕线、新昌年糕炒制、汽车门板修复、汽车漆面喷涂前处理、汽车空调制冷剂加注、面料纹样设计、生产线平衡、手机维修、纺织品印染打样、电子产品装调、贵金属珠宝玉石首饰检验、细纱作业、全电脑提花袜机操作、戏曲服装制作、轴承套圈车削、快件收派、面料花型印制、预制混凝土构件制作、预制混凝土构件材料试验、商品摄影、化工生产作业、汽车板件拼接、汽车车身抛光、汽车轮胎修复、越塑漆艺（沥粉彩绘）、产品包装设计、智慧家庭装维、苗木扦插、农村生活污水运维、装配式混泥土构件质检、垃圾分类分拣、茶艺培训、茶园植保、网店操作、轴承套圈车削、药膳制作、餐饮安全管理、电商数据分析、家庭教育指导、快递客服、网页美工、油品储运调合、中药调制、餐厅服务管理、创业辅导、物流配送、机械手操作、石斛加工、陶瓷雕刻、工业机器人应用与维护、园艺布景、民宿管家服务、货运代理、农村电商销售、网店客服、网店美工、跨境（进口）电商运营、服装平面制版、服装样衣制版、裱花蛋糕制作等。</w:t>
            </w:r>
          </w:p>
        </w:tc>
        <w:tc>
          <w:tcPr>
            <w:tcW w:w="1080" w:type="dxa"/>
            <w:tcBorders>
              <w:top w:val="single" w:color="auto" w:sz="4" w:space="0"/>
              <w:left w:val="single" w:color="auto" w:sz="4" w:space="0"/>
              <w:bottom w:val="single" w:color="FFFFFF" w:sz="4" w:space="0"/>
              <w:right w:val="single" w:color="auto" w:sz="4" w:space="0"/>
            </w:tcBorders>
            <w:vAlign w:val="center"/>
          </w:tcPr>
          <w:p>
            <w:pPr>
              <w:adjustRightInd w:val="0"/>
              <w:snapToGrid w:val="0"/>
              <w:jc w:val="left"/>
              <w:rPr>
                <w:rFonts w:ascii="楷体_GB2312" w:hAnsi="楷体_GB2312" w:eastAsia="楷体_GB2312" w:cs="楷体_GB2312"/>
                <w:color w:val="FF0000"/>
                <w:sz w:val="21"/>
                <w:szCs w:val="21"/>
              </w:rPr>
            </w:pPr>
          </w:p>
        </w:tc>
        <w:tc>
          <w:tcPr>
            <w:tcW w:w="705" w:type="dxa"/>
            <w:gridSpan w:val="2"/>
            <w:tcBorders>
              <w:top w:val="single" w:color="auto" w:sz="4" w:space="0"/>
              <w:left w:val="single" w:color="auto" w:sz="4" w:space="0"/>
              <w:bottom w:val="single" w:color="FFFFFF" w:sz="4" w:space="0"/>
              <w:right w:val="single" w:color="auto" w:sz="4" w:space="0"/>
            </w:tcBorders>
            <w:vAlign w:val="center"/>
          </w:tcPr>
          <w:p>
            <w:pPr>
              <w:adjustRightInd w:val="0"/>
              <w:snapToGrid w:val="0"/>
              <w:jc w:val="left"/>
              <w:rPr>
                <w:rFonts w:ascii="楷体_GB2312" w:hAnsi="楷体_GB2312" w:eastAsia="楷体_GB2312" w:cs="楷体_GB2312"/>
                <w:color w:val="FF0000"/>
                <w:sz w:val="21"/>
                <w:szCs w:val="21"/>
              </w:rPr>
            </w:pPr>
          </w:p>
        </w:tc>
        <w:tc>
          <w:tcPr>
            <w:tcW w:w="875" w:type="dxa"/>
            <w:tcBorders>
              <w:top w:val="single" w:color="auto" w:sz="4" w:space="0"/>
              <w:left w:val="single" w:color="auto" w:sz="4" w:space="0"/>
              <w:bottom w:val="single" w:color="FFFFFF" w:sz="4" w:space="0"/>
              <w:right w:val="single" w:color="auto" w:sz="4" w:space="0"/>
            </w:tcBorders>
            <w:vAlign w:val="center"/>
          </w:tcPr>
          <w:p>
            <w:pPr>
              <w:adjustRightInd w:val="0"/>
              <w:snapToGrid w:val="0"/>
              <w:jc w:val="left"/>
              <w:rPr>
                <w:rFonts w:ascii="楷体_GB2312" w:hAnsi="楷体_GB2312" w:eastAsia="楷体_GB2312" w:cs="楷体_GB2312"/>
                <w:color w:val="FF0000"/>
                <w:sz w:val="21"/>
                <w:szCs w:val="21"/>
              </w:rPr>
            </w:pPr>
          </w:p>
        </w:tc>
      </w:tr>
      <w:tr>
        <w:tblPrEx>
          <w:tblLayout w:type="fixed"/>
          <w:tblCellMar>
            <w:top w:w="0" w:type="dxa"/>
            <w:left w:w="108" w:type="dxa"/>
            <w:bottom w:w="0" w:type="dxa"/>
            <w:right w:w="108" w:type="dxa"/>
          </w:tblCellMar>
        </w:tblPrEx>
        <w:trPr>
          <w:trHeight w:val="3463"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669" w:type="dxa"/>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p>
        </w:tc>
        <w:tc>
          <w:tcPr>
            <w:tcW w:w="4827" w:type="dxa"/>
            <w:gridSpan w:val="2"/>
            <w:vMerge w:val="continue"/>
            <w:tcBorders>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FF0000"/>
                <w:sz w:val="21"/>
                <w:szCs w:val="21"/>
              </w:rPr>
            </w:pPr>
          </w:p>
        </w:tc>
        <w:tc>
          <w:tcPr>
            <w:tcW w:w="1080" w:type="dxa"/>
            <w:tcBorders>
              <w:top w:val="single" w:color="FFFFFF"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FF0000"/>
                <w:sz w:val="21"/>
                <w:szCs w:val="21"/>
              </w:rPr>
            </w:pPr>
            <w:r>
              <w:rPr>
                <w:rFonts w:hint="eastAsia" w:ascii="楷体_GB2312" w:hAnsi="楷体_GB2312" w:eastAsia="楷体_GB2312" w:cs="楷体_GB2312"/>
                <w:color w:val="000000"/>
                <w:sz w:val="21"/>
                <w:szCs w:val="21"/>
              </w:rPr>
              <w:t>初级</w:t>
            </w:r>
          </w:p>
        </w:tc>
        <w:tc>
          <w:tcPr>
            <w:tcW w:w="699" w:type="dxa"/>
            <w:tcBorders>
              <w:top w:val="single" w:color="FFFFFF"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FF0000"/>
                <w:sz w:val="21"/>
                <w:szCs w:val="21"/>
              </w:rPr>
            </w:pPr>
            <w:r>
              <w:rPr>
                <w:rFonts w:ascii="楷体_GB2312" w:hAnsi="楷体_GB2312" w:eastAsia="楷体_GB2312" w:cs="楷体_GB2312"/>
                <w:color w:val="000000"/>
                <w:sz w:val="21"/>
                <w:szCs w:val="21"/>
              </w:rPr>
              <w:t>40</w:t>
            </w:r>
          </w:p>
        </w:tc>
        <w:tc>
          <w:tcPr>
            <w:tcW w:w="881" w:type="dxa"/>
            <w:gridSpan w:val="2"/>
            <w:tcBorders>
              <w:top w:val="single" w:color="FFFFFF"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FF0000"/>
                <w:sz w:val="21"/>
                <w:szCs w:val="21"/>
              </w:rPr>
            </w:pPr>
            <w:r>
              <w:rPr>
                <w:rFonts w:ascii="楷体_GB2312" w:hAnsi="楷体_GB2312" w:eastAsia="楷体_GB2312" w:cs="楷体_GB2312"/>
                <w:color w:val="000000"/>
                <w:sz w:val="21"/>
                <w:szCs w:val="21"/>
              </w:rPr>
              <w:t>800</w:t>
            </w:r>
          </w:p>
        </w:tc>
      </w:tr>
      <w:tr>
        <w:tblPrEx>
          <w:tblLayout w:type="fixed"/>
          <w:tblCellMar>
            <w:top w:w="0" w:type="dxa"/>
            <w:left w:w="108" w:type="dxa"/>
            <w:bottom w:w="0" w:type="dxa"/>
            <w:right w:w="108" w:type="dxa"/>
          </w:tblCellMar>
        </w:tblPrEx>
        <w:trPr>
          <w:trHeight w:val="2723" w:hRule="atLeast"/>
          <w:jc w:val="center"/>
        </w:trPr>
        <w:tc>
          <w:tcPr>
            <w:tcW w:w="71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p>
        </w:tc>
        <w:tc>
          <w:tcPr>
            <w:tcW w:w="66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p>
        </w:tc>
        <w:tc>
          <w:tcPr>
            <w:tcW w:w="4827"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高级</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50</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1000</w:t>
            </w:r>
          </w:p>
        </w:tc>
      </w:tr>
      <w:tr>
        <w:tblPrEx>
          <w:tblLayout w:type="fixed"/>
          <w:tblCellMar>
            <w:top w:w="0" w:type="dxa"/>
            <w:left w:w="108" w:type="dxa"/>
            <w:bottom w:w="0" w:type="dxa"/>
            <w:right w:w="108" w:type="dxa"/>
          </w:tblCellMar>
        </w:tblPrEx>
        <w:trPr>
          <w:trHeight w:val="315" w:hRule="atLeast"/>
          <w:jc w:val="center"/>
        </w:trPr>
        <w:tc>
          <w:tcPr>
            <w:tcW w:w="711" w:type="dxa"/>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项目制培训</w:t>
            </w:r>
          </w:p>
        </w:tc>
        <w:tc>
          <w:tcPr>
            <w:tcW w:w="8156" w:type="dxa"/>
            <w:gridSpan w:val="7"/>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开展经核准的项目制培训，补贴标准按不超过就业技能栏内相同或相近工种补贴标准的</w:t>
            </w:r>
            <w:r>
              <w:rPr>
                <w:rFonts w:ascii="楷体_GB2312" w:hAnsi="楷体_GB2312" w:eastAsia="楷体_GB2312" w:cs="楷体_GB2312"/>
                <w:color w:val="000000"/>
                <w:sz w:val="21"/>
                <w:szCs w:val="21"/>
              </w:rPr>
              <w:t>50%</w:t>
            </w:r>
            <w:r>
              <w:rPr>
                <w:rFonts w:hint="eastAsia" w:ascii="楷体_GB2312" w:hAnsi="楷体_GB2312" w:eastAsia="楷体_GB2312" w:cs="楷体_GB2312"/>
                <w:color w:val="000000"/>
                <w:sz w:val="21"/>
                <w:szCs w:val="21"/>
              </w:rPr>
              <w:t>确定。</w:t>
            </w:r>
          </w:p>
        </w:tc>
      </w:tr>
      <w:tr>
        <w:tblPrEx>
          <w:tblLayout w:type="fixed"/>
          <w:tblCellMar>
            <w:top w:w="0" w:type="dxa"/>
            <w:left w:w="108" w:type="dxa"/>
            <w:bottom w:w="0" w:type="dxa"/>
            <w:right w:w="108" w:type="dxa"/>
          </w:tblCellMar>
        </w:tblPrEx>
        <w:trPr>
          <w:trHeight w:val="310" w:hRule="atLeast"/>
          <w:jc w:val="center"/>
        </w:trPr>
        <w:tc>
          <w:tcPr>
            <w:tcW w:w="71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创业</w:t>
            </w:r>
          </w:p>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培训</w:t>
            </w:r>
          </w:p>
        </w:tc>
        <w:tc>
          <w:tcPr>
            <w:tcW w:w="5496" w:type="dxa"/>
            <w:gridSpan w:val="3"/>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乡村振兴带头人培训</w:t>
            </w:r>
          </w:p>
        </w:tc>
        <w:tc>
          <w:tcPr>
            <w:tcW w:w="26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16-48</w:t>
            </w:r>
            <w:r>
              <w:rPr>
                <w:rFonts w:hint="eastAsia" w:ascii="楷体_GB2312" w:hAnsi="楷体_GB2312" w:eastAsia="楷体_GB2312" w:cs="楷体_GB2312"/>
                <w:color w:val="000000"/>
                <w:sz w:val="21"/>
                <w:szCs w:val="21"/>
              </w:rPr>
              <w:t>课时，每课时</w:t>
            </w:r>
            <w:r>
              <w:rPr>
                <w:rFonts w:ascii="楷体_GB2312" w:hAnsi="楷体_GB2312" w:eastAsia="楷体_GB2312" w:cs="楷体_GB2312"/>
                <w:color w:val="000000"/>
                <w:sz w:val="21"/>
                <w:szCs w:val="21"/>
              </w:rPr>
              <w:t>25</w:t>
            </w:r>
            <w:r>
              <w:rPr>
                <w:rFonts w:hint="eastAsia" w:ascii="楷体_GB2312" w:hAnsi="楷体_GB2312" w:eastAsia="楷体_GB2312" w:cs="楷体_GB2312"/>
                <w:color w:val="000000"/>
                <w:sz w:val="21"/>
                <w:szCs w:val="21"/>
              </w:rPr>
              <w:t>元</w:t>
            </w:r>
          </w:p>
        </w:tc>
      </w:tr>
      <w:tr>
        <w:tblPrEx>
          <w:tblLayout w:type="fixed"/>
          <w:tblCellMar>
            <w:top w:w="0" w:type="dxa"/>
            <w:left w:w="108" w:type="dxa"/>
            <w:bottom w:w="0" w:type="dxa"/>
            <w:right w:w="108" w:type="dxa"/>
          </w:tblCellMar>
        </w:tblPrEx>
        <w:trPr>
          <w:trHeight w:val="310"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就业创业培训</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4</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80</w:t>
            </w:r>
          </w:p>
        </w:tc>
      </w:tr>
      <w:tr>
        <w:tblPrEx>
          <w:tblLayout w:type="fixed"/>
          <w:tblCellMar>
            <w:top w:w="0" w:type="dxa"/>
            <w:left w:w="108" w:type="dxa"/>
            <w:bottom w:w="0" w:type="dxa"/>
            <w:right w:w="108" w:type="dxa"/>
          </w:tblCellMar>
        </w:tblPrEx>
        <w:trPr>
          <w:trHeight w:val="271"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创业意识培训、农村电商</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24</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450</w:t>
            </w:r>
          </w:p>
        </w:tc>
      </w:tr>
      <w:tr>
        <w:tblPrEx>
          <w:tblLayout w:type="fixed"/>
          <w:tblCellMar>
            <w:top w:w="0" w:type="dxa"/>
            <w:left w:w="108" w:type="dxa"/>
            <w:bottom w:w="0" w:type="dxa"/>
            <w:right w:w="108" w:type="dxa"/>
          </w:tblCellMar>
        </w:tblPrEx>
        <w:trPr>
          <w:trHeight w:val="310" w:hRule="atLeast"/>
          <w:jc w:val="center"/>
        </w:trPr>
        <w:tc>
          <w:tcPr>
            <w:tcW w:w="71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kern w:val="0"/>
                <w:sz w:val="21"/>
                <w:szCs w:val="21"/>
              </w:rPr>
            </w:pPr>
          </w:p>
        </w:tc>
        <w:tc>
          <w:tcPr>
            <w:tcW w:w="5496" w:type="dxa"/>
            <w:gridSpan w:val="3"/>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SYB</w:t>
            </w:r>
            <w:r>
              <w:rPr>
                <w:rFonts w:hint="eastAsia" w:ascii="楷体_GB2312" w:hAnsi="楷体_GB2312" w:eastAsia="楷体_GB2312" w:cs="楷体_GB2312"/>
                <w:color w:val="000000"/>
                <w:sz w:val="21"/>
                <w:szCs w:val="21"/>
              </w:rPr>
              <w:t>创业培训、</w:t>
            </w:r>
            <w:r>
              <w:rPr>
                <w:rFonts w:ascii="楷体_GB2312" w:hAnsi="楷体_GB2312" w:eastAsia="楷体_GB2312" w:cs="楷体_GB2312"/>
                <w:color w:val="000000"/>
                <w:sz w:val="21"/>
                <w:szCs w:val="21"/>
              </w:rPr>
              <w:t>IYB</w:t>
            </w:r>
            <w:r>
              <w:rPr>
                <w:rFonts w:hint="eastAsia" w:ascii="楷体_GB2312" w:hAnsi="楷体_GB2312" w:eastAsia="楷体_GB2312" w:cs="楷体_GB2312"/>
                <w:color w:val="000000"/>
                <w:sz w:val="21"/>
                <w:szCs w:val="21"/>
              </w:rPr>
              <w:t>创业培训、创业实训、网络创业</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56</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1000</w:t>
            </w:r>
          </w:p>
        </w:tc>
      </w:tr>
      <w:tr>
        <w:tblPrEx>
          <w:tblLayout w:type="fixed"/>
          <w:tblCellMar>
            <w:top w:w="0" w:type="dxa"/>
            <w:left w:w="108" w:type="dxa"/>
            <w:bottom w:w="0" w:type="dxa"/>
            <w:right w:w="108" w:type="dxa"/>
          </w:tblCellMar>
        </w:tblPrEx>
        <w:trPr>
          <w:trHeight w:val="344" w:hRule="atLeast"/>
          <w:jc w:val="center"/>
        </w:trPr>
        <w:tc>
          <w:tcPr>
            <w:tcW w:w="71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其他培训</w:t>
            </w:r>
          </w:p>
        </w:tc>
        <w:tc>
          <w:tcPr>
            <w:tcW w:w="5496" w:type="dxa"/>
            <w:gridSpan w:val="3"/>
            <w:vMerge w:val="restart"/>
            <w:tcBorders>
              <w:top w:val="single" w:color="auto" w:sz="4" w:space="0"/>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高危行业、特种作业人员安全技能培训</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新证</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500</w:t>
            </w:r>
          </w:p>
        </w:tc>
      </w:tr>
      <w:tr>
        <w:tblPrEx>
          <w:tblLayout w:type="fixed"/>
          <w:tblCellMar>
            <w:top w:w="0" w:type="dxa"/>
            <w:left w:w="108" w:type="dxa"/>
            <w:bottom w:w="0" w:type="dxa"/>
            <w:right w:w="108" w:type="dxa"/>
          </w:tblCellMar>
        </w:tblPrEx>
        <w:trPr>
          <w:trHeight w:val="344"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vMerge w:val="continue"/>
            <w:tcBorders>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p>
        </w:tc>
        <w:tc>
          <w:tcPr>
            <w:tcW w:w="17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复审</w:t>
            </w:r>
          </w:p>
        </w:tc>
        <w:tc>
          <w:tcPr>
            <w:tcW w:w="8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r>
              <w:rPr>
                <w:rFonts w:ascii="楷体_GB2312" w:hAnsi="楷体_GB2312" w:eastAsia="楷体_GB2312" w:cs="楷体_GB2312"/>
                <w:color w:val="000000"/>
                <w:sz w:val="21"/>
                <w:szCs w:val="21"/>
              </w:rPr>
              <w:t>100</w:t>
            </w:r>
          </w:p>
        </w:tc>
      </w:tr>
      <w:tr>
        <w:tblPrEx>
          <w:tblLayout w:type="fixed"/>
          <w:tblCellMar>
            <w:top w:w="0" w:type="dxa"/>
            <w:left w:w="108" w:type="dxa"/>
            <w:bottom w:w="0" w:type="dxa"/>
            <w:right w:w="108" w:type="dxa"/>
          </w:tblCellMar>
        </w:tblPrEx>
        <w:trPr>
          <w:trHeight w:val="344"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退伍军人专业技能培训</w:t>
            </w:r>
          </w:p>
        </w:tc>
        <w:tc>
          <w:tcPr>
            <w:tcW w:w="26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3个月，最高</w:t>
            </w:r>
            <w:r>
              <w:rPr>
                <w:rFonts w:ascii="楷体_GB2312" w:hAnsi="楷体_GB2312" w:eastAsia="楷体_GB2312" w:cs="楷体_GB2312"/>
                <w:color w:val="000000"/>
                <w:sz w:val="21"/>
                <w:szCs w:val="21"/>
              </w:rPr>
              <w:t>5000</w:t>
            </w:r>
          </w:p>
        </w:tc>
      </w:tr>
      <w:tr>
        <w:tblPrEx>
          <w:tblLayout w:type="fixed"/>
          <w:tblCellMar>
            <w:top w:w="0" w:type="dxa"/>
            <w:left w:w="108" w:type="dxa"/>
            <w:bottom w:w="0" w:type="dxa"/>
            <w:right w:w="108" w:type="dxa"/>
          </w:tblCellMar>
        </w:tblPrEx>
        <w:trPr>
          <w:trHeight w:val="344"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现代学徒制</w:t>
            </w:r>
          </w:p>
        </w:tc>
        <w:tc>
          <w:tcPr>
            <w:tcW w:w="26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最高</w:t>
            </w:r>
            <w:r>
              <w:rPr>
                <w:rFonts w:ascii="楷体_GB2312" w:hAnsi="楷体_GB2312" w:eastAsia="楷体_GB2312" w:cs="楷体_GB2312"/>
                <w:color w:val="000000"/>
                <w:sz w:val="21"/>
                <w:szCs w:val="21"/>
              </w:rPr>
              <w:t>5000</w:t>
            </w:r>
          </w:p>
        </w:tc>
      </w:tr>
      <w:tr>
        <w:tblPrEx>
          <w:tblLayout w:type="fixed"/>
          <w:tblCellMar>
            <w:top w:w="0" w:type="dxa"/>
            <w:left w:w="108" w:type="dxa"/>
            <w:bottom w:w="0" w:type="dxa"/>
            <w:right w:w="108" w:type="dxa"/>
          </w:tblCellMar>
        </w:tblPrEx>
        <w:trPr>
          <w:trHeight w:val="344" w:hRule="atLeast"/>
          <w:jc w:val="center"/>
        </w:trPr>
        <w:tc>
          <w:tcPr>
            <w:tcW w:w="711" w:type="dxa"/>
            <w:vMerge w:val="continue"/>
            <w:tcBorders>
              <w:left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vMerge w:val="restart"/>
            <w:tcBorders>
              <w:top w:val="single" w:color="auto" w:sz="4" w:space="0"/>
              <w:left w:val="single" w:color="auto" w:sz="4" w:space="0"/>
              <w:right w:val="single" w:color="auto" w:sz="4" w:space="0"/>
            </w:tcBorders>
            <w:vAlign w:val="center"/>
          </w:tcPr>
          <w:p>
            <w:pPr>
              <w:adjustRightInd w:val="0"/>
              <w:snapToGrid w:val="0"/>
              <w:jc w:val="left"/>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新型学徒制</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职工学徒</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最高</w:t>
            </w:r>
            <w:r>
              <w:rPr>
                <w:rFonts w:ascii="楷体_GB2312" w:hAnsi="楷体_GB2312" w:eastAsia="楷体_GB2312" w:cs="楷体_GB2312"/>
                <w:color w:val="000000"/>
                <w:sz w:val="21"/>
                <w:szCs w:val="21"/>
              </w:rPr>
              <w:t>6000</w:t>
            </w:r>
          </w:p>
        </w:tc>
      </w:tr>
      <w:tr>
        <w:tblPrEx>
          <w:tblLayout w:type="fixed"/>
          <w:tblCellMar>
            <w:top w:w="0" w:type="dxa"/>
            <w:left w:w="108" w:type="dxa"/>
            <w:bottom w:w="0" w:type="dxa"/>
            <w:right w:w="108" w:type="dxa"/>
          </w:tblCellMar>
        </w:tblPrEx>
        <w:trPr>
          <w:trHeight w:val="344" w:hRule="atLeast"/>
          <w:jc w:val="center"/>
        </w:trPr>
        <w:tc>
          <w:tcPr>
            <w:tcW w:w="71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5496" w:type="dxa"/>
            <w:gridSpan w:val="3"/>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cs="楷体_GB2312"/>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学生学徒</w:t>
            </w:r>
          </w:p>
        </w:tc>
        <w:tc>
          <w:tcPr>
            <w:tcW w:w="15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最高</w:t>
            </w:r>
            <w:r>
              <w:rPr>
                <w:rFonts w:ascii="楷体_GB2312" w:hAnsi="楷体_GB2312" w:eastAsia="楷体_GB2312" w:cs="楷体_GB2312"/>
                <w:color w:val="000000"/>
                <w:sz w:val="21"/>
                <w:szCs w:val="21"/>
              </w:rPr>
              <w:t>3000</w:t>
            </w:r>
          </w:p>
        </w:tc>
      </w:tr>
    </w:tbl>
    <w:p>
      <w:pPr>
        <w:widowControl/>
        <w:adjustRightInd w:val="0"/>
        <w:snapToGrid w:val="0"/>
        <w:ind w:left="210" w:hanging="210" w:hangingChars="100"/>
        <w:jc w:val="left"/>
        <w:rPr>
          <w:rFonts w:ascii="楷体_GB2312" w:hAnsi="楷体_GB2312" w:eastAsia="楷体_GB2312" w:cs="楷体_GB2312"/>
          <w:sz w:val="21"/>
          <w:szCs w:val="21"/>
        </w:rPr>
      </w:pPr>
      <w:r>
        <w:rPr>
          <w:rFonts w:hint="eastAsia" w:ascii="楷体_GB2312" w:hAnsi="楷体_GB2312" w:eastAsia="楷体_GB2312" w:cs="楷体_GB2312"/>
          <w:sz w:val="21"/>
          <w:szCs w:val="21"/>
        </w:rPr>
        <w:t>1</w:t>
      </w:r>
      <w:r>
        <w:rPr>
          <w:rFonts w:ascii="楷体_GB2312" w:hAnsi="楷体_GB2312" w:eastAsia="楷体_GB2312" w:cs="楷体_GB2312"/>
          <w:sz w:val="21"/>
          <w:szCs w:val="21"/>
        </w:rPr>
        <w:t>.</w:t>
      </w:r>
      <w:r>
        <w:rPr>
          <w:rFonts w:hint="eastAsia" w:ascii="楷体_GB2312" w:hAnsi="楷体_GB2312" w:eastAsia="楷体_GB2312" w:cs="楷体_GB2312"/>
          <w:sz w:val="21"/>
          <w:szCs w:val="21"/>
        </w:rPr>
        <w:t>组织受贸易影响企业的在岗职工，参加本指导目录内工种培训并鉴定合格的，补贴标准最高可上浮</w:t>
      </w:r>
      <w:r>
        <w:rPr>
          <w:rFonts w:ascii="楷体_GB2312" w:hAnsi="楷体_GB2312" w:eastAsia="楷体_GB2312" w:cs="楷体_GB2312"/>
          <w:sz w:val="21"/>
          <w:szCs w:val="21"/>
        </w:rPr>
        <w:t>30%</w:t>
      </w:r>
      <w:r>
        <w:rPr>
          <w:rFonts w:hint="eastAsia" w:ascii="楷体_GB2312" w:hAnsi="楷体_GB2312" w:eastAsia="楷体_GB2312" w:cs="楷体_GB2312"/>
          <w:sz w:val="21"/>
          <w:szCs w:val="21"/>
        </w:rPr>
        <w:t>；岗位技能提升培训实操进入公共实训基地的，补贴标准最高可上浮30%（仅限于国家职业资格和技能等级项目）。两者不重复享受。</w:t>
      </w:r>
    </w:p>
    <w:p>
      <w:pPr>
        <w:widowControl/>
        <w:adjustRightInd w:val="0"/>
        <w:snapToGrid w:val="0"/>
        <w:ind w:left="210" w:hanging="210" w:hangingChars="100"/>
        <w:jc w:val="left"/>
        <w:rPr>
          <w:rFonts w:ascii="楷体_GB2312" w:hAnsi="楷体_GB2312" w:eastAsia="楷体_GB2312" w:cs="楷体_GB2312"/>
          <w:sz w:val="21"/>
          <w:szCs w:val="21"/>
        </w:rPr>
      </w:pPr>
      <w:r>
        <w:rPr>
          <w:rFonts w:hint="eastAsia" w:ascii="楷体_GB2312" w:hAnsi="楷体_GB2312" w:eastAsia="楷体_GB2312" w:cs="楷体_GB2312"/>
          <w:sz w:val="21"/>
          <w:szCs w:val="21"/>
        </w:rPr>
        <w:t>2.经人社部门发文颁布的新工种（职业、项目），补贴标准按相同或相近类别确定。</w:t>
      </w:r>
    </w:p>
    <w:p>
      <w:pPr>
        <w:widowControl/>
        <w:adjustRightInd w:val="0"/>
        <w:snapToGrid w:val="0"/>
        <w:ind w:left="210" w:hanging="210" w:hangingChars="100"/>
        <w:jc w:val="left"/>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w:t>
      </w:r>
      <w:r>
        <w:rPr>
          <w:rFonts w:ascii="楷体_GB2312" w:hAnsi="楷体_GB2312" w:eastAsia="楷体_GB2312" w:cs="楷体_GB2312"/>
          <w:sz w:val="21"/>
          <w:szCs w:val="21"/>
        </w:rPr>
        <w:t>.</w:t>
      </w:r>
      <w:r>
        <w:rPr>
          <w:rFonts w:hint="eastAsia" w:ascii="楷体_GB2312" w:hAnsi="楷体_GB2312" w:eastAsia="楷体_GB2312" w:cs="楷体_GB2312"/>
          <w:sz w:val="21"/>
          <w:szCs w:val="21"/>
        </w:rPr>
        <w:t>本指导目录仅适用于职业技能提升专项行动范畴，有效期自2019年10月29日至</w:t>
      </w:r>
      <w:r>
        <w:rPr>
          <w:rFonts w:ascii="楷体_GB2312" w:hAnsi="楷体_GB2312" w:eastAsia="楷体_GB2312" w:cs="楷体_GB2312"/>
          <w:sz w:val="21"/>
          <w:szCs w:val="21"/>
        </w:rPr>
        <w:t>2021</w:t>
      </w:r>
      <w:r>
        <w:rPr>
          <w:rFonts w:hint="eastAsia" w:ascii="楷体_GB2312" w:hAnsi="楷体_GB2312" w:eastAsia="楷体_GB2312" w:cs="楷体_GB2312"/>
          <w:sz w:val="21"/>
          <w:szCs w:val="21"/>
        </w:rPr>
        <w:t>年</w:t>
      </w:r>
      <w:r>
        <w:rPr>
          <w:rFonts w:ascii="楷体_GB2312" w:hAnsi="楷体_GB2312" w:eastAsia="楷体_GB2312" w:cs="楷体_GB2312"/>
          <w:sz w:val="21"/>
          <w:szCs w:val="21"/>
        </w:rPr>
        <w:t>12</w:t>
      </w:r>
      <w:r>
        <w:rPr>
          <w:rFonts w:hint="eastAsia" w:ascii="楷体_GB2312" w:hAnsi="楷体_GB2312" w:eastAsia="楷体_GB2312" w:cs="楷体_GB2312"/>
          <w:sz w:val="21"/>
          <w:szCs w:val="21"/>
        </w:rPr>
        <w:t>月</w:t>
      </w:r>
      <w:r>
        <w:rPr>
          <w:rFonts w:ascii="楷体_GB2312" w:hAnsi="楷体_GB2312" w:eastAsia="楷体_GB2312" w:cs="楷体_GB2312"/>
          <w:sz w:val="21"/>
          <w:szCs w:val="21"/>
        </w:rPr>
        <w:t>31</w:t>
      </w:r>
      <w:r>
        <w:rPr>
          <w:rFonts w:hint="eastAsia" w:ascii="楷体_GB2312" w:hAnsi="楷体_GB2312" w:eastAsia="楷体_GB2312" w:cs="楷体_GB2312"/>
          <w:sz w:val="21"/>
          <w:szCs w:val="21"/>
        </w:rPr>
        <w:t>日止。上级文件如有新规定，按其新规定执行。</w:t>
      </w:r>
    </w:p>
    <w:p>
      <w:pPr>
        <w:keepNext w:val="0"/>
        <w:keepLines w:val="0"/>
        <w:pageBreakBefore w:val="0"/>
        <w:widowControl w:val="0"/>
        <w:kinsoku/>
        <w:wordWrap/>
        <w:topLinePunct w:val="0"/>
        <w:autoSpaceDE/>
        <w:autoSpaceDN/>
        <w:bidi w:val="0"/>
        <w:spacing w:line="560" w:lineRule="exact"/>
        <w:ind w:right="0" w:rightChars="0"/>
        <w:jc w:val="both"/>
        <w:textAlignment w:val="auto"/>
        <w:outlineLvl w:val="9"/>
        <w:rPr>
          <w:rFonts w:hint="eastAsia" w:ascii="仿宋" w:hAnsi="仿宋" w:eastAsia="仿宋" w:cs="仿宋"/>
          <w:sz w:val="32"/>
          <w:szCs w:val="32"/>
          <w:lang w:val="en-US" w:eastAsia="zh-CN"/>
        </w:rPr>
      </w:pPr>
    </w:p>
    <w:p>
      <w:pPr>
        <w:widowControl/>
        <w:adjustRightInd w:val="0"/>
        <w:snapToGrid w:val="0"/>
        <w:rPr>
          <w:rFonts w:hint="eastAsia" w:ascii="仿宋_GB2312"/>
          <w:spacing w:val="-6"/>
          <w:sz w:val="28"/>
          <w:szCs w:val="28"/>
        </w:rPr>
      </w:pPr>
      <w:r>
        <w:rPr>
          <w:rFonts w:hint="eastAsia" w:ascii="仿宋_GB2312"/>
          <w:spacing w:val="-6"/>
          <w:sz w:val="28"/>
          <w:szCs w:val="28"/>
        </w:rPr>
        <w:t>附件</w:t>
      </w:r>
      <w:r>
        <w:rPr>
          <w:rFonts w:hint="eastAsia" w:ascii="仿宋_GB2312"/>
          <w:spacing w:val="-6"/>
          <w:sz w:val="28"/>
          <w:szCs w:val="28"/>
          <w:lang w:eastAsia="zh-CN"/>
        </w:rPr>
        <w:t>：</w:t>
      </w:r>
      <w:r>
        <w:rPr>
          <w:rFonts w:hint="eastAsia" w:ascii="仿宋_GB2312"/>
          <w:spacing w:val="-6"/>
          <w:sz w:val="28"/>
          <w:szCs w:val="28"/>
          <w:lang w:val="en-US" w:eastAsia="zh-CN"/>
        </w:rPr>
        <w:t>2</w:t>
      </w:r>
    </w:p>
    <w:p>
      <w:pPr>
        <w:jc w:val="both"/>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附件：3</w:t>
      </w:r>
    </w:p>
    <w:p>
      <w:pPr>
        <w:pStyle w:val="2"/>
        <w:jc w:val="center"/>
        <w:rPr>
          <w:rFonts w:hint="eastAsia" w:ascii="宋体" w:hAnsi="宋体" w:eastAsia="宋体" w:cs="宋体"/>
          <w:b/>
          <w:bCs w:val="0"/>
          <w:sz w:val="44"/>
          <w:szCs w:val="44"/>
          <w:lang w:val="en-US" w:eastAsia="zh-CN"/>
        </w:rPr>
      </w:pPr>
      <w:r>
        <w:rPr>
          <w:rFonts w:hint="eastAsia" w:ascii="宋体" w:hAnsi="宋体" w:eastAsia="宋体" w:cs="宋体"/>
          <w:b/>
          <w:bCs w:val="0"/>
          <w:spacing w:val="-28"/>
          <w:sz w:val="44"/>
          <w:szCs w:val="44"/>
          <w:lang w:val="en-US" w:eastAsia="zh-CN"/>
        </w:rPr>
        <w:t>上虞区职业技能提升行动工作推进机制</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为全面实施上虞区职业技能提升行动，在区就业工作领导小组框架下，进一步强化统筹协调、形成工作合力，确保职业技能提升行动有序开展、取得实效，现建立以下工作推进机制：</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一、联络协调机制</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召开协调会议，由领导小组组长或委托副组长召集，相关成员单位分管领导参加，原则上每半年召开1次，主要是商定提升行动的计划安排、目标任务、政策举措等重要事项；举行季度工作例会，由领导小组办公室主任召集，相关成员单位联络员参加，原则上每季度召开1次，主要是交流日常工作，解决具体问题，重大事项提交协调会议商定。</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二、学习调研机制</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及时传达学习中央和省、市关于技能提升行动的重要指示精神，牢牢把握职业技能培训和高技能人才建设方向，不断提高工作科学化、专业化水平。结合提升行动面临的新形势要求，开展调查研究、提炼工作经验提出对策建议，对各部门工作推进加强政策解读和面上业务指导。</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三、信息报送机制</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落实报表报送，指定专门人员，建立月报制度，加强统计分析，纳入提升行动培训范畴的15个主管部门应于每月5日向区人力社保局报送上月提升行动情况报表。及时报送工作信息，主要包括工作动态、经验小结、存在问题和完善意见等。发掘典型事例，积极做好技能提升的宣传报道。</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四、资金对账机制</w:t>
      </w:r>
    </w:p>
    <w:p>
      <w:pPr>
        <w:keepNext w:val="0"/>
        <w:keepLines w:val="0"/>
        <w:pageBreakBefore w:val="0"/>
        <w:widowControl w:val="0"/>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纳入提升行动培训范畴的有关主管部门，应当在每年1月底前制订当年培训计划，明确补贴标准和培训经费数额，报区人力社保局、区财政局备案；同时，还要负责建立、审核培训台账，并确保培训真实有效合规，根据实名制的人数、金额汇总后申请核拨资金。人社、财政部门建立以月为周期的对账制度.</w:t>
      </w:r>
    </w:p>
    <w:p>
      <w:pPr>
        <w:keepNext w:val="0"/>
        <w:keepLines w:val="0"/>
        <w:pageBreakBefore w:val="0"/>
        <w:widowControl w:val="0"/>
        <w:numPr>
          <w:ilvl w:val="0"/>
          <w:numId w:val="0"/>
        </w:numPr>
        <w:kinsoku/>
        <w:wordWrap/>
        <w:overflowPunct/>
        <w:autoSpaceDE/>
        <w:autoSpaceDN/>
        <w:bidi w:val="0"/>
        <w:spacing w:line="56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五、考核通报机制</w:t>
      </w:r>
    </w:p>
    <w:p>
      <w:pPr>
        <w:pStyle w:val="2"/>
        <w:keepNext w:val="0"/>
        <w:keepLines w:val="0"/>
        <w:pageBreakBefore w:val="0"/>
        <w:widowControl w:val="0"/>
        <w:numPr>
          <w:ilvl w:val="0"/>
          <w:numId w:val="0"/>
        </w:numPr>
        <w:kinsoku/>
        <w:wordWrap/>
        <w:overflowPunct/>
        <w:autoSpaceDE/>
        <w:autoSpaceDN/>
        <w:bidi w:val="0"/>
        <w:spacing w:after="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建立绩效评价机制，按照绩效评价办法和相关规定，实行各主管部门分系统绩效评价。区人力社保局牵头做好资源整合、统筹协调、督促落实工作，汇总全区职业技能提升行动工作整体进度和分地区分部门落实情况，及时向区就业工作领导小组报告，并抄送各有关部门，在全区范围内进行通报。</w:t>
      </w:r>
    </w:p>
    <w:p>
      <w:pPr>
        <w:pStyle w:val="2"/>
        <w:keepNext w:val="0"/>
        <w:keepLines w:val="0"/>
        <w:pageBreakBefore w:val="0"/>
        <w:widowControl w:val="0"/>
        <w:numPr>
          <w:ilvl w:val="0"/>
          <w:numId w:val="0"/>
        </w:numPr>
        <w:kinsoku/>
        <w:wordWrap/>
        <w:overflowPunct/>
        <w:autoSpaceDE/>
        <w:autoSpaceDN/>
        <w:bidi w:val="0"/>
        <w:spacing w:after="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上述工作推进机制根据实际情况适时调整完善。</w:t>
      </w:r>
    </w:p>
    <w:sectPr>
      <w:footerReference r:id="rId3" w:type="default"/>
      <w:pgSz w:w="11906" w:h="16838"/>
      <w:pgMar w:top="1588" w:right="1588" w:bottom="1588" w:left="1588" w:header="204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兰亭超细黑简体">
    <w:altName w:val="黑体"/>
    <w:panose1 w:val="02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黑体-WinCharSetFFFF-H">
    <w:altName w:val="黑体"/>
    <w:panose1 w:val="00000000000000000000"/>
    <w:charset w:val="86"/>
    <w:family w:val="auto"/>
    <w:pitch w:val="default"/>
    <w:sig w:usb0="00000000" w:usb1="00000000" w:usb2="00000010" w:usb3="00000000" w:csb0="00040000" w:csb1="00000000"/>
  </w:font>
  <w:font w:name="宋体;SimSun">
    <w:altName w:val="宋体"/>
    <w:panose1 w:val="00000000000000000000"/>
    <w:charset w:val="00"/>
    <w:family w:val="auto"/>
    <w:pitch w:val="default"/>
    <w:sig w:usb0="00000000" w:usb1="00000000" w:usb2="00000000" w:usb3="00000000" w:csb0="00040001" w:csb1="00000000"/>
  </w:font>
  <w:font w:name="仿宋_GB2312-WinCharSetFFFF-H">
    <w:altName w:val="黑体"/>
    <w:panose1 w:val="00000000000000000000"/>
    <w:charset w:val="86"/>
    <w:family w:val="auto"/>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方正小标宋简体-WinCharSetFFFF-H">
    <w:altName w:val="宋体"/>
    <w:panose1 w:val="00000000000000000000"/>
    <w:charset w:val="86"/>
    <w:family w:val="auto"/>
    <w:pitch w:val="default"/>
    <w:sig w:usb0="00000000" w:usb1="00000000" w:usb2="00000010" w:usb3="00000000" w:csb0="00040000" w:csb1="00000000"/>
  </w:font>
  <w:font w:name="??_GB2312-WinCharSetFFFF-H">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微软雅黑"/>
    <w:panose1 w:val="02000503000000020004"/>
    <w:charset w:val="00"/>
    <w:family w:val="auto"/>
    <w:pitch w:val="default"/>
    <w:sig w:usb0="00000000" w:usb1="00000000" w:usb2="00000010" w:usb3="00000000" w:csb0="00000001" w:csb1="00000000"/>
  </w:font>
  <w:font w:name="叶根友毛笔行书2.0版">
    <w:altName w:val="宋体"/>
    <w:panose1 w:val="02010601030101010101"/>
    <w:charset w:val="86"/>
    <w:family w:val="auto"/>
    <w:pitch w:val="default"/>
    <w:sig w:usb0="00000000" w:usb1="00000000" w:usb2="00000010" w:usb3="00000000" w:csb0="00040000" w:csb1="00000000"/>
  </w:font>
  <w:font w:name="叶根友毛笔行书2.0版">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
    <w:altName w:val="黑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DengXian">
    <w:altName w:val="Times New Roman"/>
    <w:panose1 w:val="00000000000000000000"/>
    <w:charset w:val="00"/>
    <w:family w:val="auto"/>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宋体-WinCharSetFFFF-H">
    <w:altName w:val="宋体"/>
    <w:panose1 w:val="00000000000000000000"/>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方正隶变_GBK">
    <w:altName w:val="宋体"/>
    <w:panose1 w:val="02000000000000000000"/>
    <w:charset w:val="86"/>
    <w:family w:val="auto"/>
    <w:pitch w:val="default"/>
    <w:sig w:usb0="00000000" w:usb1="00000000" w:usb2="00000016"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方正小标宋简体">
    <w:altName w:val="宋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仿宋_GB2312-WinCharSetFFFF-H">
    <w:altName w:val="Times New Roman"/>
    <w:panose1 w:val="00000000000000000000"/>
    <w:charset w:val="00"/>
    <w:family w:val="auto"/>
    <w:pitch w:val="default"/>
    <w:sig w:usb0="00000000" w:usb1="00000000" w:usb2="00000000" w:usb3="00000000" w:csb0="00040001" w:csb1="00000000"/>
  </w:font>
  <w:font w:name="楷体_GB2312-WinCharSetFFFF-H">
    <w:altName w:val="宋体"/>
    <w:panose1 w:val="00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Lucida Grande">
    <w:altName w:val="Times New Roman"/>
    <w:panose1 w:val="00000000000000000000"/>
    <w:charset w:val="00"/>
    <w:family w:val="auto"/>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Consolas">
    <w:panose1 w:val="020B0609020204030204"/>
    <w:charset w:val="00"/>
    <w:family w:val="auto"/>
    <w:pitch w:val="default"/>
    <w:sig w:usb0="E10002FF" w:usb1="4000FCFF" w:usb2="00000009" w:usb3="00000000" w:csb0="6000019F" w:csb1="DFD7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Dotum">
    <w:panose1 w:val="020B0600000101010101"/>
    <w:charset w:val="81"/>
    <w:family w:val="swiss"/>
    <w:pitch w:val="default"/>
    <w:sig w:usb0="B00002AF" w:usb1="69D77CFB" w:usb2="00000030" w:usb3="00000000" w:csb0="4008009F" w:csb1="DFD70000"/>
  </w:font>
  <w:font w:name="方正仿宋_GBK">
    <w:altName w:val="SimSun-ExtB"/>
    <w:panose1 w:val="03000509000000000000"/>
    <w:charset w:val="86"/>
    <w:family w:val="script"/>
    <w:pitch w:val="default"/>
    <w:sig w:usb0="00000000" w:usb1="00000000" w:usb2="00000010" w:usb3="00000000" w:csb0="003C0041" w:csb1="00000000"/>
  </w:font>
  <w:font w:name="SimSun-ExtB">
    <w:panose1 w:val="02010609060101010101"/>
    <w:charset w:val="86"/>
    <w:family w:val="auto"/>
    <w:pitch w:val="default"/>
    <w:sig w:usb0="00000001" w:usb1="02000000" w:usb2="00000000"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Aparajita">
    <w:panose1 w:val="020B0604020202020204"/>
    <w:charset w:val="00"/>
    <w:family w:val="auto"/>
    <w:pitch w:val="default"/>
    <w:sig w:usb0="00008003" w:usb1="00000000" w:usb2="00000000" w:usb3="00000000" w:csb0="00000001" w:csb1="00000000"/>
  </w:font>
  <w:font w:name="Angsana New">
    <w:panose1 w:val="02020603050405020304"/>
    <w:charset w:val="00"/>
    <w:family w:val="auto"/>
    <w:pitch w:val="default"/>
    <w:sig w:usb0="81000003" w:usb1="00000000" w:usb2="00000000" w:usb3="00000000" w:csb0="00010001" w:csb1="00000000"/>
  </w:font>
  <w:font w:name="华文中宋">
    <w:altName w:val="宋体"/>
    <w:panose1 w:val="00000000000000000000"/>
    <w:charset w:val="00"/>
    <w:family w:val="auto"/>
    <w:pitch w:val="default"/>
    <w:sig w:usb0="00000000" w:usb1="00000000" w:usb2="00000010" w:usb3="00000000" w:csb0="0004009F" w:csb1="00000000"/>
  </w:font>
  <w:font w:name="方正硬笔行书简体">
    <w:altName w:val="宋体"/>
    <w:panose1 w:val="03000509000000000000"/>
    <w:charset w:val="86"/>
    <w:family w:val="auto"/>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汉仪旗黑-55">
    <w:altName w:val="黑体"/>
    <w:panose1 w:val="00020600040101010101"/>
    <w:charset w:val="86"/>
    <w:family w:val="auto"/>
    <w:pitch w:val="default"/>
    <w:sig w:usb0="00000000" w:usb1="00000000" w:usb2="00000016" w:usb3="00000000" w:csb0="00040000" w:csb1="00000000"/>
  </w:font>
  <w:font w:name="方正小标宋_GBK-WinCharSetFFFF-H">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仿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Cambria Math">
    <w:panose1 w:val="02040503050406030204"/>
    <w:charset w:val="00"/>
    <w:family w:val="auto"/>
    <w:pitch w:val="default"/>
    <w:sig w:usb0="E00002FF" w:usb1="42002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Ebrima">
    <w:panose1 w:val="02000000000000000000"/>
    <w:charset w:val="00"/>
    <w:family w:val="auto"/>
    <w:pitch w:val="default"/>
    <w:sig w:usb0="A000505F" w:usb1="02000041" w:usb2="00000000" w:usb3="00000404" w:csb0="00000093" w:csb1="00000000"/>
  </w:font>
  <w:font w:name="Leelawadee">
    <w:panose1 w:val="020B0502040204020203"/>
    <w:charset w:val="00"/>
    <w:family w:val="auto"/>
    <w:pitch w:val="default"/>
    <w:sig w:usb0="810000AF" w:usb1="4000204B" w:usb2="00000000" w:usb3="00000000" w:csb0="20010001" w:csb1="00000000"/>
  </w:font>
  <w:font w:name="Mangal">
    <w:panose1 w:val="02040503050203030202"/>
    <w:charset w:val="00"/>
    <w:family w:val="auto"/>
    <w:pitch w:val="default"/>
    <w:sig w:usb0="00008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040"/>
    <w:rsid w:val="000F3EC6"/>
    <w:rsid w:val="008B38C6"/>
    <w:rsid w:val="020A1A7B"/>
    <w:rsid w:val="029D48B3"/>
    <w:rsid w:val="03314790"/>
    <w:rsid w:val="03EA4F65"/>
    <w:rsid w:val="04816A09"/>
    <w:rsid w:val="04932577"/>
    <w:rsid w:val="063C4027"/>
    <w:rsid w:val="064518F2"/>
    <w:rsid w:val="06742281"/>
    <w:rsid w:val="06A87C72"/>
    <w:rsid w:val="070927E0"/>
    <w:rsid w:val="07B43BC4"/>
    <w:rsid w:val="08651371"/>
    <w:rsid w:val="0BD03911"/>
    <w:rsid w:val="0C572943"/>
    <w:rsid w:val="0D15226B"/>
    <w:rsid w:val="0D626B1B"/>
    <w:rsid w:val="0E4F2E42"/>
    <w:rsid w:val="0E8A6333"/>
    <w:rsid w:val="0FCB62CD"/>
    <w:rsid w:val="10156A83"/>
    <w:rsid w:val="1194498A"/>
    <w:rsid w:val="126351BB"/>
    <w:rsid w:val="130577E0"/>
    <w:rsid w:val="135E1619"/>
    <w:rsid w:val="138E2000"/>
    <w:rsid w:val="142A0301"/>
    <w:rsid w:val="14CC7885"/>
    <w:rsid w:val="170F5977"/>
    <w:rsid w:val="19D36544"/>
    <w:rsid w:val="1A367560"/>
    <w:rsid w:val="1A6901FA"/>
    <w:rsid w:val="1B610CBC"/>
    <w:rsid w:val="1C27639E"/>
    <w:rsid w:val="1D22039E"/>
    <w:rsid w:val="1D7F6F9A"/>
    <w:rsid w:val="1E6C10F5"/>
    <w:rsid w:val="1F7A7077"/>
    <w:rsid w:val="1F7F0252"/>
    <w:rsid w:val="200D190A"/>
    <w:rsid w:val="210E2AAC"/>
    <w:rsid w:val="219E32B6"/>
    <w:rsid w:val="21C66A1E"/>
    <w:rsid w:val="221C2681"/>
    <w:rsid w:val="24B849AA"/>
    <w:rsid w:val="25D03479"/>
    <w:rsid w:val="25F45C85"/>
    <w:rsid w:val="26827174"/>
    <w:rsid w:val="26F0183F"/>
    <w:rsid w:val="27055EAD"/>
    <w:rsid w:val="28771D50"/>
    <w:rsid w:val="297851F5"/>
    <w:rsid w:val="29860559"/>
    <w:rsid w:val="2C7F568E"/>
    <w:rsid w:val="2D596724"/>
    <w:rsid w:val="2F5174DB"/>
    <w:rsid w:val="30CE7622"/>
    <w:rsid w:val="31C51D09"/>
    <w:rsid w:val="337577AB"/>
    <w:rsid w:val="338C5CDE"/>
    <w:rsid w:val="33D222F3"/>
    <w:rsid w:val="359274ED"/>
    <w:rsid w:val="37DF4D50"/>
    <w:rsid w:val="3895566F"/>
    <w:rsid w:val="389D18DF"/>
    <w:rsid w:val="3996250A"/>
    <w:rsid w:val="3B553D19"/>
    <w:rsid w:val="3CB35704"/>
    <w:rsid w:val="3D3F5667"/>
    <w:rsid w:val="3D970EB6"/>
    <w:rsid w:val="3E4405B3"/>
    <w:rsid w:val="3EC347E5"/>
    <w:rsid w:val="3F5167DD"/>
    <w:rsid w:val="3FF765F3"/>
    <w:rsid w:val="41110B7E"/>
    <w:rsid w:val="41EE1AC2"/>
    <w:rsid w:val="42845E51"/>
    <w:rsid w:val="4340290F"/>
    <w:rsid w:val="435A23EA"/>
    <w:rsid w:val="43D55816"/>
    <w:rsid w:val="448D26A8"/>
    <w:rsid w:val="44910C8E"/>
    <w:rsid w:val="44A064EE"/>
    <w:rsid w:val="45782795"/>
    <w:rsid w:val="48267552"/>
    <w:rsid w:val="484609AA"/>
    <w:rsid w:val="49A87888"/>
    <w:rsid w:val="49BB670F"/>
    <w:rsid w:val="4B1C1145"/>
    <w:rsid w:val="4B215A5F"/>
    <w:rsid w:val="4CF43A1A"/>
    <w:rsid w:val="4D1C47F1"/>
    <w:rsid w:val="4F6147C2"/>
    <w:rsid w:val="4FD70340"/>
    <w:rsid w:val="50576AD6"/>
    <w:rsid w:val="50C26FE6"/>
    <w:rsid w:val="51623509"/>
    <w:rsid w:val="51751ECA"/>
    <w:rsid w:val="521C4C3A"/>
    <w:rsid w:val="52470237"/>
    <w:rsid w:val="52E014A2"/>
    <w:rsid w:val="52EB7FA6"/>
    <w:rsid w:val="54821DA6"/>
    <w:rsid w:val="54B23403"/>
    <w:rsid w:val="555A73BE"/>
    <w:rsid w:val="56254040"/>
    <w:rsid w:val="59080131"/>
    <w:rsid w:val="59BB5914"/>
    <w:rsid w:val="5B280470"/>
    <w:rsid w:val="5B3970F3"/>
    <w:rsid w:val="5BC2117E"/>
    <w:rsid w:val="5C4B7DD3"/>
    <w:rsid w:val="5ECF5D3B"/>
    <w:rsid w:val="5F286996"/>
    <w:rsid w:val="600A3B32"/>
    <w:rsid w:val="608F60F8"/>
    <w:rsid w:val="6135103A"/>
    <w:rsid w:val="63B018B3"/>
    <w:rsid w:val="64595D60"/>
    <w:rsid w:val="6460315E"/>
    <w:rsid w:val="654663B9"/>
    <w:rsid w:val="65B9465B"/>
    <w:rsid w:val="6AE830D2"/>
    <w:rsid w:val="6B733748"/>
    <w:rsid w:val="6DE821DC"/>
    <w:rsid w:val="72427D8C"/>
    <w:rsid w:val="729E2028"/>
    <w:rsid w:val="72D15007"/>
    <w:rsid w:val="73217392"/>
    <w:rsid w:val="734C10B8"/>
    <w:rsid w:val="74C04ECC"/>
    <w:rsid w:val="75A51EDB"/>
    <w:rsid w:val="75B578B2"/>
    <w:rsid w:val="75E233C5"/>
    <w:rsid w:val="768D47C6"/>
    <w:rsid w:val="78947F6C"/>
    <w:rsid w:val="78F95598"/>
    <w:rsid w:val="79865EB7"/>
    <w:rsid w:val="7AE5256F"/>
    <w:rsid w:val="7B2A4E19"/>
    <w:rsid w:val="7C5C0044"/>
    <w:rsid w:val="7D571E37"/>
    <w:rsid w:val="7DBE7D48"/>
    <w:rsid w:val="7DD0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topLinePunct/>
      <w:adjustRightInd w:val="0"/>
      <w:snapToGrid w:val="0"/>
      <w:spacing w:line="360" w:lineRule="auto"/>
      <w:ind w:firstLine="100" w:firstLineChars="100"/>
    </w:pPr>
    <w:rPr>
      <w:rFonts w:eastAsia="方正仿宋简体"/>
      <w:snapToGrid w:val="0"/>
      <w:kern w:val="32"/>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2019-12-12T07:39:00Z</dcterms:created>
  <dc:creator>DELL</dc:creator>
  <cp:lastModifiedBy>DELL</cp:lastModifiedBy>
  <cp:lastPrinted>2020-01-07T06:54:00Z</cp:lastPrinted>
  <dcterms:modified xsi:type="dcterms:W3CDTF">2020-01-09T06:17:55Z</dcterms:modified>
  <dc:title>绍兴市上虞区职业技能提升行动实施方案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