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绍兴市人民政府办公室关于公布绍兴市区基准地价更新成果的通知(征求意见稿）</w:t>
      </w:r>
      <w:bookmarkStart w:id="3" w:name="_GoBack"/>
      <w:bookmarkEnd w:id="3"/>
    </w:p>
    <w:p>
      <w:pPr>
        <w:rPr>
          <w:rFonts w:hint="eastAsia"/>
          <w:sz w:val="32"/>
          <w:szCs w:val="32"/>
          <w:lang w:val="en-US" w:eastAsia="zh-CN"/>
        </w:rPr>
      </w:pPr>
    </w:p>
    <w:p>
      <w:pPr>
        <w:rPr>
          <w:rFonts w:hint="eastAsia"/>
          <w:sz w:val="30"/>
          <w:szCs w:val="30"/>
          <w:lang w:val="en-US" w:eastAsia="zh-CN"/>
        </w:rPr>
      </w:pPr>
      <w:r>
        <w:rPr>
          <w:rFonts w:hint="eastAsia"/>
          <w:sz w:val="30"/>
          <w:szCs w:val="30"/>
          <w:lang w:val="en-US" w:eastAsia="zh-CN"/>
        </w:rPr>
        <w:t>越城区人民政府、柯桥区人民政府、上虞区人民政府，市政府各部门、直属各单位：</w:t>
      </w:r>
    </w:p>
    <w:p>
      <w:pPr>
        <w:pStyle w:val="3"/>
        <w:spacing w:line="600" w:lineRule="exact"/>
        <w:ind w:firstLine="600" w:firstLineChars="200"/>
        <w:rPr>
          <w:rFonts w:hint="eastAsia"/>
          <w:sz w:val="30"/>
          <w:szCs w:val="30"/>
          <w:lang w:val="en-US" w:eastAsia="zh-CN"/>
        </w:rPr>
      </w:pPr>
      <w:r>
        <w:rPr>
          <w:rFonts w:hint="eastAsia"/>
          <w:sz w:val="30"/>
          <w:szCs w:val="30"/>
          <w:lang w:val="en-US" w:eastAsia="zh-CN"/>
        </w:rPr>
        <w:t>为切实加强市区基准地价管理，进一步规范土地市场，促进经济社会可持续发展，根据《浙江省土地节约集约利用办法》（浙江省人民政府令第343号）和《浙江省国土资源厅办公室关于印发&lt;关于进一步规范浙江省基准地价更新管理的实施意见&gt;的通知》（浙土资办[2014]107号）等规定以及市区土地市场实际，我市于2018年3月启动新一轮基准地价更新工作，更新成果于2019年8月获得省自然资源厅批准，现予公布，自公布之日起执行。</w:t>
      </w:r>
    </w:p>
    <w:p>
      <w:pPr>
        <w:pStyle w:val="3"/>
        <w:spacing w:line="600" w:lineRule="exact"/>
        <w:ind w:firstLine="600" w:firstLineChars="200"/>
        <w:rPr>
          <w:rFonts w:hint="eastAsia"/>
          <w:sz w:val="30"/>
          <w:szCs w:val="30"/>
          <w:lang w:val="en-US" w:eastAsia="zh-CN"/>
        </w:rPr>
      </w:pPr>
      <w:r>
        <w:rPr>
          <w:rFonts w:hint="eastAsia"/>
          <w:sz w:val="30"/>
          <w:szCs w:val="30"/>
          <w:lang w:val="en-US" w:eastAsia="zh-CN"/>
        </w:rPr>
        <w:t>附件：绍兴市区基准地价一览表</w:t>
      </w:r>
    </w:p>
    <w:p>
      <w:pPr>
        <w:pStyle w:val="3"/>
        <w:spacing w:line="600" w:lineRule="exact"/>
        <w:ind w:firstLine="600" w:firstLineChars="200"/>
        <w:rPr>
          <w:rFonts w:hint="eastAsia"/>
          <w:sz w:val="30"/>
          <w:szCs w:val="30"/>
          <w:lang w:val="en-US" w:eastAsia="zh-CN"/>
        </w:rPr>
      </w:pPr>
    </w:p>
    <w:p>
      <w:pPr>
        <w:pStyle w:val="3"/>
        <w:spacing w:line="600" w:lineRule="exact"/>
        <w:ind w:firstLine="600" w:firstLineChars="200"/>
        <w:rPr>
          <w:rFonts w:hint="eastAsia"/>
          <w:sz w:val="30"/>
          <w:szCs w:val="30"/>
          <w:lang w:val="en-US" w:eastAsia="zh-CN"/>
        </w:rPr>
      </w:pPr>
      <w:r>
        <w:rPr>
          <w:rFonts w:hint="eastAsia"/>
          <w:sz w:val="30"/>
          <w:szCs w:val="30"/>
          <w:lang w:val="en-US" w:eastAsia="zh-CN"/>
        </w:rPr>
        <w:t xml:space="preserve">                      </w:t>
      </w:r>
    </w:p>
    <w:p>
      <w:pPr>
        <w:pStyle w:val="3"/>
        <w:spacing w:line="600" w:lineRule="exact"/>
        <w:ind w:firstLine="600" w:firstLineChars="200"/>
        <w:rPr>
          <w:rFonts w:hint="eastAsia"/>
          <w:sz w:val="30"/>
          <w:szCs w:val="30"/>
          <w:lang w:val="en-US" w:eastAsia="zh-CN"/>
        </w:rPr>
      </w:pPr>
    </w:p>
    <w:p>
      <w:pPr>
        <w:pStyle w:val="3"/>
        <w:spacing w:line="600" w:lineRule="exact"/>
        <w:ind w:firstLine="4200" w:firstLineChars="1400"/>
        <w:rPr>
          <w:rFonts w:hint="eastAsia"/>
          <w:sz w:val="30"/>
          <w:szCs w:val="30"/>
          <w:lang w:val="en-US" w:eastAsia="zh-CN"/>
        </w:rPr>
      </w:pPr>
      <w:r>
        <w:rPr>
          <w:rFonts w:hint="eastAsia"/>
          <w:sz w:val="30"/>
          <w:szCs w:val="30"/>
          <w:lang w:val="en-US" w:eastAsia="zh-CN"/>
        </w:rPr>
        <w:t xml:space="preserve"> 绍兴市人民政府办公室</w:t>
      </w:r>
    </w:p>
    <w:p>
      <w:pPr>
        <w:pStyle w:val="3"/>
        <w:spacing w:line="600" w:lineRule="exact"/>
        <w:ind w:firstLine="600" w:firstLineChars="200"/>
        <w:rPr>
          <w:rFonts w:hint="eastAsia"/>
          <w:sz w:val="30"/>
          <w:szCs w:val="30"/>
          <w:lang w:val="en-US" w:eastAsia="zh-CN"/>
        </w:rPr>
      </w:pPr>
      <w:r>
        <w:rPr>
          <w:rFonts w:hint="eastAsia"/>
          <w:sz w:val="30"/>
          <w:szCs w:val="30"/>
          <w:lang w:val="en-US" w:eastAsia="zh-CN"/>
        </w:rPr>
        <w:t xml:space="preserve">                              年  月   日</w:t>
      </w:r>
    </w:p>
    <w:p>
      <w:pPr>
        <w:spacing w:line="600" w:lineRule="exact"/>
        <w:ind w:firstLine="576" w:firstLineChars="192"/>
        <w:outlineLvl w:val="0"/>
        <w:rPr>
          <w:rFonts w:eastAsia="黑体"/>
          <w:sz w:val="30"/>
          <w:szCs w:val="30"/>
        </w:rPr>
      </w:pPr>
    </w:p>
    <w:p>
      <w:pPr>
        <w:spacing w:line="600" w:lineRule="exact"/>
        <w:ind w:firstLine="403" w:firstLineChars="192"/>
        <w:outlineLvl w:val="0"/>
        <w:rPr>
          <w:rFonts w:eastAsia="黑体"/>
          <w:szCs w:val="32"/>
        </w:rPr>
      </w:pPr>
    </w:p>
    <w:p>
      <w:pPr>
        <w:spacing w:line="600" w:lineRule="exact"/>
        <w:ind w:firstLine="403" w:firstLineChars="192"/>
        <w:outlineLvl w:val="0"/>
        <w:rPr>
          <w:rFonts w:eastAsia="黑体"/>
          <w:szCs w:val="32"/>
        </w:rPr>
      </w:pPr>
    </w:p>
    <w:p>
      <w:pPr>
        <w:spacing w:line="600" w:lineRule="exact"/>
        <w:ind w:firstLine="403" w:firstLineChars="192"/>
        <w:outlineLvl w:val="0"/>
        <w:rPr>
          <w:rFonts w:eastAsia="黑体"/>
          <w:szCs w:val="32"/>
        </w:rPr>
      </w:pPr>
    </w:p>
    <w:p>
      <w:pPr>
        <w:spacing w:line="600" w:lineRule="exact"/>
        <w:outlineLvl w:val="0"/>
        <w:rPr>
          <w:rFonts w:hint="eastAsia" w:eastAsia="黑体"/>
          <w:sz w:val="32"/>
          <w:szCs w:val="32"/>
          <w:lang w:val="en-US" w:eastAsia="zh-CN"/>
        </w:rPr>
      </w:pPr>
      <w:r>
        <w:rPr>
          <w:rFonts w:hint="eastAsia" w:eastAsia="黑体"/>
          <w:sz w:val="32"/>
          <w:szCs w:val="32"/>
          <w:lang w:val="en-US" w:eastAsia="zh-CN"/>
        </w:rPr>
        <w:t xml:space="preserve">附件 </w:t>
      </w:r>
    </w:p>
    <w:p>
      <w:pPr>
        <w:spacing w:line="574" w:lineRule="exact"/>
        <w:ind w:firstLine="2200" w:firstLineChars="500"/>
        <w:rPr>
          <w:rFonts w:eastAsia="方正小标宋简体"/>
          <w:sz w:val="44"/>
          <w:szCs w:val="44"/>
        </w:rPr>
      </w:pPr>
    </w:p>
    <w:p>
      <w:pPr>
        <w:spacing w:line="574" w:lineRule="exact"/>
        <w:ind w:firstLine="2200" w:firstLineChars="500"/>
      </w:pPr>
      <w:r>
        <w:rPr>
          <w:rFonts w:eastAsia="方正小标宋简体"/>
          <w:sz w:val="44"/>
          <w:szCs w:val="44"/>
        </w:rPr>
        <w:t>绍兴市区基准地价一览表</w:t>
      </w:r>
    </w:p>
    <w:p>
      <w:pPr>
        <w:spacing w:line="600" w:lineRule="exact"/>
        <w:ind w:left="2833" w:hanging="2860" w:hangingChars="650"/>
        <w:jc w:val="center"/>
        <w:rPr>
          <w:rFonts w:eastAsia="方正小标宋简体"/>
          <w:sz w:val="44"/>
          <w:szCs w:val="44"/>
        </w:rPr>
      </w:pPr>
    </w:p>
    <w:p>
      <w:pPr>
        <w:spacing w:line="600" w:lineRule="exact"/>
        <w:ind w:firstLine="614" w:firstLineChars="192"/>
        <w:outlineLvl w:val="0"/>
        <w:rPr>
          <w:rFonts w:eastAsia="黑体"/>
          <w:sz w:val="32"/>
          <w:szCs w:val="32"/>
        </w:rPr>
      </w:pPr>
      <w:r>
        <w:rPr>
          <w:rFonts w:eastAsia="黑体"/>
          <w:sz w:val="32"/>
          <w:szCs w:val="32"/>
        </w:rPr>
        <w:t>一、基准地价内涵及条件</w:t>
      </w:r>
    </w:p>
    <w:p>
      <w:pPr>
        <w:spacing w:line="600" w:lineRule="exact"/>
        <w:ind w:firstLine="614" w:firstLineChars="192"/>
        <w:rPr>
          <w:rFonts w:ascii="楷体_GB2312" w:eastAsia="楷体_GB2312"/>
          <w:sz w:val="32"/>
          <w:szCs w:val="32"/>
        </w:rPr>
      </w:pPr>
      <w:r>
        <w:rPr>
          <w:rFonts w:hint="eastAsia" w:ascii="楷体_GB2312" w:eastAsia="楷体_GB2312"/>
          <w:sz w:val="32"/>
          <w:szCs w:val="32"/>
        </w:rPr>
        <w:t>（一）基准地价内涵</w:t>
      </w:r>
    </w:p>
    <w:p>
      <w:pPr>
        <w:spacing w:line="600" w:lineRule="exact"/>
        <w:ind w:firstLine="614" w:firstLineChars="192"/>
        <w:rPr>
          <w:rFonts w:hint="eastAsia" w:ascii="仿宋" w:hAnsi="仿宋" w:eastAsia="仿宋" w:cs="仿宋"/>
          <w:sz w:val="32"/>
          <w:szCs w:val="32"/>
        </w:rPr>
      </w:pPr>
      <w:r>
        <w:rPr>
          <w:rFonts w:hint="eastAsia" w:ascii="仿宋" w:hAnsi="仿宋" w:eastAsia="仿宋" w:cs="仿宋"/>
          <w:sz w:val="32"/>
          <w:szCs w:val="32"/>
        </w:rPr>
        <w:t>基准地价更新基准日：2019年1月1日；</w:t>
      </w:r>
    </w:p>
    <w:p>
      <w:pPr>
        <w:spacing w:line="560" w:lineRule="exact"/>
        <w:ind w:firstLine="614" w:firstLineChars="192"/>
        <w:rPr>
          <w:rFonts w:hint="eastAsia" w:ascii="仿宋" w:hAnsi="仿宋" w:eastAsia="仿宋" w:cs="仿宋"/>
          <w:sz w:val="32"/>
          <w:szCs w:val="32"/>
        </w:rPr>
      </w:pPr>
      <w:r>
        <w:rPr>
          <w:rFonts w:hint="eastAsia" w:ascii="仿宋" w:hAnsi="仿宋" w:eastAsia="仿宋" w:cs="仿宋"/>
          <w:sz w:val="32"/>
          <w:szCs w:val="32"/>
        </w:rPr>
        <w:t>土地开发程度：按熟地界定，即达到大市政基础设施配套的“五通一平”要求（宗地红线外通路、通电、通上水、通下水、通通讯，宗地红线内土地平整）；</w:t>
      </w:r>
    </w:p>
    <w:p>
      <w:pPr>
        <w:spacing w:line="560" w:lineRule="exact"/>
        <w:ind w:firstLine="614" w:firstLineChars="192"/>
        <w:rPr>
          <w:rFonts w:hint="eastAsia" w:ascii="仿宋" w:hAnsi="仿宋" w:eastAsia="仿宋" w:cs="仿宋"/>
          <w:sz w:val="32"/>
          <w:szCs w:val="32"/>
        </w:rPr>
      </w:pPr>
      <w:r>
        <w:rPr>
          <w:rFonts w:hint="eastAsia" w:ascii="仿宋" w:hAnsi="仿宋" w:eastAsia="仿宋" w:cs="仿宋"/>
          <w:sz w:val="32"/>
          <w:szCs w:val="32"/>
        </w:rPr>
        <w:t>土地权利类型及地价内涵构成：设定的土地权利类型为完整的出让土地使用权，无他项权利限制；地价内涵构成包含国家土地所有权收益、土地取得费用和土地前期开发费用；</w:t>
      </w:r>
    </w:p>
    <w:p>
      <w:pPr>
        <w:spacing w:line="560" w:lineRule="exact"/>
        <w:ind w:firstLine="614" w:firstLineChars="192"/>
        <w:rPr>
          <w:rFonts w:hint="eastAsia" w:ascii="仿宋" w:hAnsi="仿宋" w:eastAsia="仿宋" w:cs="仿宋"/>
          <w:sz w:val="32"/>
          <w:szCs w:val="32"/>
        </w:rPr>
      </w:pPr>
      <w:r>
        <w:rPr>
          <w:rFonts w:hint="eastAsia" w:ascii="仿宋" w:hAnsi="仿宋" w:eastAsia="仿宋" w:cs="仿宋"/>
          <w:sz w:val="32"/>
          <w:szCs w:val="32"/>
        </w:rPr>
        <w:t>土地使用年期：最高土地出让年期（即商服用地40年，住宅用地70年，工业用地50年，公共服务项目用地50年）。</w:t>
      </w:r>
    </w:p>
    <w:p>
      <w:pPr>
        <w:spacing w:line="600" w:lineRule="exact"/>
        <w:ind w:firstLine="614" w:firstLineChars="192"/>
        <w:rPr>
          <w:rFonts w:ascii="楷体_GB2312" w:eastAsia="楷体_GB2312"/>
          <w:sz w:val="32"/>
          <w:szCs w:val="32"/>
        </w:rPr>
      </w:pPr>
      <w:r>
        <w:rPr>
          <w:rFonts w:hint="eastAsia" w:ascii="楷体_GB2312" w:eastAsia="楷体_GB2312"/>
          <w:sz w:val="32"/>
          <w:szCs w:val="32"/>
        </w:rPr>
        <w:t>（二）</w:t>
      </w:r>
      <w:r>
        <w:rPr>
          <w:rFonts w:ascii="楷体_GB2312" w:eastAsia="楷体_GB2312"/>
          <w:sz w:val="32"/>
          <w:szCs w:val="32"/>
        </w:rPr>
        <w:t>基准地价表达方式</w:t>
      </w:r>
    </w:p>
    <w:p>
      <w:pPr>
        <w:jc w:val="center"/>
        <w:rPr>
          <w:rFonts w:ascii="黑体" w:hAnsi="黑体" w:eastAsia="黑体"/>
          <w:sz w:val="32"/>
          <w:szCs w:val="32"/>
        </w:rPr>
      </w:pPr>
      <w:r>
        <w:rPr>
          <w:rFonts w:ascii="黑体" w:hAnsi="黑体" w:eastAsia="黑体"/>
          <w:sz w:val="32"/>
          <w:szCs w:val="32"/>
        </w:rPr>
        <w:t>表1 绍兴市区基准地价表达方式</w:t>
      </w:r>
    </w:p>
    <w:tbl>
      <w:tblPr>
        <w:tblStyle w:val="8"/>
        <w:tblW w:w="8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
      <w:tblGrid>
        <w:gridCol w:w="1361"/>
        <w:gridCol w:w="2126"/>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Ex>
        <w:trPr>
          <w:trHeight w:val="20" w:hRule="atLeast"/>
          <w:jc w:val="center"/>
        </w:trPr>
        <w:tc>
          <w:tcPr>
            <w:tcW w:w="3487" w:type="dxa"/>
            <w:gridSpan w:val="2"/>
            <w:vAlign w:val="center"/>
          </w:tcPr>
          <w:p>
            <w:pPr>
              <w:adjustRightInd w:val="0"/>
              <w:snapToGrid w:val="0"/>
              <w:spacing w:line="320" w:lineRule="exact"/>
              <w:jc w:val="center"/>
              <w:rPr>
                <w:sz w:val="24"/>
                <w:szCs w:val="24"/>
              </w:rPr>
            </w:pPr>
            <w:r>
              <w:rPr>
                <w:sz w:val="24"/>
                <w:szCs w:val="24"/>
              </w:rPr>
              <w:t>用 地 类 型</w:t>
            </w:r>
          </w:p>
        </w:tc>
        <w:tc>
          <w:tcPr>
            <w:tcW w:w="4707" w:type="dxa"/>
            <w:vAlign w:val="center"/>
          </w:tcPr>
          <w:p>
            <w:pPr>
              <w:adjustRightInd w:val="0"/>
              <w:snapToGrid w:val="0"/>
              <w:spacing w:line="320" w:lineRule="exact"/>
              <w:jc w:val="center"/>
              <w:rPr>
                <w:sz w:val="24"/>
                <w:szCs w:val="24"/>
              </w:rPr>
            </w:pPr>
            <w:r>
              <w:rPr>
                <w:sz w:val="24"/>
                <w:szCs w:val="24"/>
              </w:rPr>
              <w:t>表 达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Ex>
        <w:trPr>
          <w:trHeight w:val="20" w:hRule="atLeast"/>
          <w:jc w:val="center"/>
        </w:trPr>
        <w:tc>
          <w:tcPr>
            <w:tcW w:w="3487" w:type="dxa"/>
            <w:gridSpan w:val="2"/>
            <w:vAlign w:val="center"/>
          </w:tcPr>
          <w:p>
            <w:pPr>
              <w:widowControl/>
              <w:adjustRightInd w:val="0"/>
              <w:snapToGrid w:val="0"/>
              <w:spacing w:line="320" w:lineRule="exact"/>
              <w:jc w:val="center"/>
              <w:rPr>
                <w:kern w:val="0"/>
                <w:sz w:val="24"/>
                <w:szCs w:val="24"/>
              </w:rPr>
            </w:pPr>
            <w:r>
              <w:rPr>
                <w:kern w:val="0"/>
                <w:sz w:val="24"/>
                <w:szCs w:val="24"/>
              </w:rPr>
              <w:t>商服用地</w:t>
            </w:r>
          </w:p>
        </w:tc>
        <w:tc>
          <w:tcPr>
            <w:tcW w:w="4707" w:type="dxa"/>
            <w:vAlign w:val="center"/>
          </w:tcPr>
          <w:p>
            <w:pPr>
              <w:widowControl/>
              <w:adjustRightInd w:val="0"/>
              <w:snapToGrid w:val="0"/>
              <w:spacing w:line="320" w:lineRule="exact"/>
              <w:jc w:val="center"/>
              <w:rPr>
                <w:kern w:val="0"/>
                <w:sz w:val="24"/>
                <w:szCs w:val="24"/>
              </w:rPr>
            </w:pPr>
            <w:r>
              <w:rPr>
                <w:kern w:val="0"/>
                <w:sz w:val="24"/>
                <w:szCs w:val="24"/>
              </w:rPr>
              <w:t>级别价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Ex>
        <w:trPr>
          <w:trHeight w:val="359" w:hRule="atLeast"/>
          <w:jc w:val="center"/>
        </w:trPr>
        <w:tc>
          <w:tcPr>
            <w:tcW w:w="3487" w:type="dxa"/>
            <w:gridSpan w:val="2"/>
            <w:vAlign w:val="center"/>
          </w:tcPr>
          <w:p>
            <w:pPr>
              <w:widowControl/>
              <w:adjustRightInd w:val="0"/>
              <w:snapToGrid w:val="0"/>
              <w:spacing w:line="320" w:lineRule="exact"/>
              <w:jc w:val="center"/>
              <w:rPr>
                <w:kern w:val="0"/>
                <w:sz w:val="24"/>
                <w:szCs w:val="24"/>
              </w:rPr>
            </w:pPr>
            <w:r>
              <w:rPr>
                <w:kern w:val="0"/>
                <w:sz w:val="24"/>
                <w:szCs w:val="24"/>
              </w:rPr>
              <w:t>住宅用地</w:t>
            </w:r>
          </w:p>
        </w:tc>
        <w:tc>
          <w:tcPr>
            <w:tcW w:w="4707" w:type="dxa"/>
            <w:vAlign w:val="center"/>
          </w:tcPr>
          <w:p>
            <w:pPr>
              <w:widowControl/>
              <w:adjustRightInd w:val="0"/>
              <w:snapToGrid w:val="0"/>
              <w:spacing w:line="320" w:lineRule="exact"/>
              <w:jc w:val="center"/>
              <w:rPr>
                <w:kern w:val="0"/>
                <w:sz w:val="24"/>
                <w:szCs w:val="24"/>
              </w:rPr>
            </w:pPr>
            <w:r>
              <w:rPr>
                <w:kern w:val="0"/>
                <w:sz w:val="24"/>
                <w:szCs w:val="24"/>
              </w:rPr>
              <w:t>级别价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Ex>
        <w:trPr>
          <w:trHeight w:val="295" w:hRule="atLeast"/>
          <w:jc w:val="center"/>
        </w:trPr>
        <w:tc>
          <w:tcPr>
            <w:tcW w:w="3487" w:type="dxa"/>
            <w:gridSpan w:val="2"/>
            <w:vAlign w:val="center"/>
          </w:tcPr>
          <w:p>
            <w:pPr>
              <w:widowControl/>
              <w:adjustRightInd w:val="0"/>
              <w:snapToGrid w:val="0"/>
              <w:spacing w:line="320" w:lineRule="exact"/>
              <w:jc w:val="center"/>
              <w:rPr>
                <w:kern w:val="0"/>
                <w:sz w:val="24"/>
                <w:szCs w:val="24"/>
              </w:rPr>
            </w:pPr>
            <w:r>
              <w:rPr>
                <w:kern w:val="0"/>
                <w:sz w:val="24"/>
                <w:szCs w:val="24"/>
              </w:rPr>
              <w:t>工业用地</w:t>
            </w:r>
          </w:p>
        </w:tc>
        <w:tc>
          <w:tcPr>
            <w:tcW w:w="4707" w:type="dxa"/>
          </w:tcPr>
          <w:p>
            <w:pPr>
              <w:widowControl/>
              <w:adjustRightInd w:val="0"/>
              <w:snapToGrid w:val="0"/>
              <w:spacing w:line="320" w:lineRule="exact"/>
              <w:jc w:val="center"/>
              <w:rPr>
                <w:kern w:val="0"/>
                <w:sz w:val="24"/>
                <w:szCs w:val="24"/>
              </w:rPr>
            </w:pPr>
            <w:r>
              <w:rPr>
                <w:kern w:val="0"/>
                <w:sz w:val="24"/>
                <w:szCs w:val="24"/>
              </w:rPr>
              <w:t>级别价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Ex>
        <w:trPr>
          <w:trHeight w:val="499" w:hRule="atLeast"/>
          <w:jc w:val="center"/>
        </w:trPr>
        <w:tc>
          <w:tcPr>
            <w:tcW w:w="1361" w:type="dxa"/>
            <w:vMerge w:val="restart"/>
            <w:vAlign w:val="center"/>
          </w:tcPr>
          <w:p>
            <w:pPr>
              <w:widowControl/>
              <w:adjustRightInd w:val="0"/>
              <w:snapToGrid w:val="0"/>
              <w:spacing w:line="320" w:lineRule="exact"/>
              <w:jc w:val="center"/>
              <w:rPr>
                <w:kern w:val="0"/>
                <w:sz w:val="24"/>
                <w:szCs w:val="24"/>
              </w:rPr>
            </w:pPr>
            <w:r>
              <w:rPr>
                <w:kern w:val="0"/>
                <w:sz w:val="24"/>
                <w:szCs w:val="24"/>
              </w:rPr>
              <w:t>公共服务</w:t>
            </w:r>
          </w:p>
          <w:p>
            <w:pPr>
              <w:widowControl/>
              <w:adjustRightInd w:val="0"/>
              <w:snapToGrid w:val="0"/>
              <w:spacing w:line="320" w:lineRule="exact"/>
              <w:jc w:val="center"/>
              <w:rPr>
                <w:kern w:val="0"/>
                <w:sz w:val="24"/>
                <w:szCs w:val="24"/>
              </w:rPr>
            </w:pPr>
            <w:r>
              <w:rPr>
                <w:kern w:val="0"/>
                <w:sz w:val="24"/>
                <w:szCs w:val="24"/>
              </w:rPr>
              <w:t>项目用地</w:t>
            </w:r>
          </w:p>
        </w:tc>
        <w:tc>
          <w:tcPr>
            <w:tcW w:w="2126" w:type="dxa"/>
            <w:vAlign w:val="center"/>
          </w:tcPr>
          <w:p>
            <w:pPr>
              <w:widowControl/>
              <w:adjustRightInd w:val="0"/>
              <w:snapToGrid w:val="0"/>
              <w:spacing w:line="320" w:lineRule="exact"/>
              <w:jc w:val="center"/>
              <w:rPr>
                <w:kern w:val="0"/>
                <w:sz w:val="24"/>
                <w:szCs w:val="24"/>
              </w:rPr>
            </w:pPr>
            <w:r>
              <w:rPr>
                <w:kern w:val="0"/>
                <w:sz w:val="24"/>
                <w:szCs w:val="24"/>
              </w:rPr>
              <w:t>公共服务类</w:t>
            </w:r>
          </w:p>
        </w:tc>
        <w:tc>
          <w:tcPr>
            <w:tcW w:w="4707" w:type="dxa"/>
            <w:vAlign w:val="center"/>
          </w:tcPr>
          <w:p>
            <w:pPr>
              <w:widowControl/>
              <w:adjustRightInd w:val="0"/>
              <w:snapToGrid w:val="0"/>
              <w:spacing w:line="320" w:lineRule="exact"/>
              <w:jc w:val="center"/>
              <w:rPr>
                <w:kern w:val="0"/>
                <w:sz w:val="24"/>
                <w:szCs w:val="24"/>
              </w:rPr>
            </w:pPr>
            <w:r>
              <w:rPr>
                <w:kern w:val="0"/>
                <w:sz w:val="24"/>
                <w:szCs w:val="24"/>
              </w:rPr>
              <w:t>级别价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Ex>
        <w:trPr>
          <w:trHeight w:val="500" w:hRule="atLeast"/>
          <w:jc w:val="center"/>
        </w:trPr>
        <w:tc>
          <w:tcPr>
            <w:tcW w:w="1361" w:type="dxa"/>
            <w:vMerge w:val="continue"/>
            <w:vAlign w:val="center"/>
          </w:tcPr>
          <w:p>
            <w:pPr>
              <w:widowControl/>
              <w:adjustRightInd w:val="0"/>
              <w:snapToGrid w:val="0"/>
              <w:spacing w:line="320" w:lineRule="exact"/>
              <w:jc w:val="center"/>
              <w:rPr>
                <w:kern w:val="0"/>
                <w:sz w:val="24"/>
                <w:szCs w:val="24"/>
              </w:rPr>
            </w:pPr>
          </w:p>
        </w:tc>
        <w:tc>
          <w:tcPr>
            <w:tcW w:w="2126" w:type="dxa"/>
            <w:vAlign w:val="center"/>
          </w:tcPr>
          <w:p>
            <w:pPr>
              <w:widowControl/>
              <w:adjustRightInd w:val="0"/>
              <w:snapToGrid w:val="0"/>
              <w:spacing w:line="320" w:lineRule="exact"/>
              <w:jc w:val="center"/>
              <w:rPr>
                <w:kern w:val="0"/>
                <w:sz w:val="24"/>
                <w:szCs w:val="24"/>
              </w:rPr>
            </w:pPr>
            <w:r>
              <w:rPr>
                <w:kern w:val="0"/>
                <w:sz w:val="24"/>
                <w:szCs w:val="24"/>
              </w:rPr>
              <w:t>基础设施类</w:t>
            </w:r>
          </w:p>
        </w:tc>
        <w:tc>
          <w:tcPr>
            <w:tcW w:w="4707" w:type="dxa"/>
            <w:vAlign w:val="center"/>
          </w:tcPr>
          <w:p>
            <w:pPr>
              <w:widowControl/>
              <w:adjustRightInd w:val="0"/>
              <w:snapToGrid w:val="0"/>
              <w:spacing w:line="320" w:lineRule="exact"/>
              <w:jc w:val="center"/>
              <w:rPr>
                <w:kern w:val="0"/>
                <w:sz w:val="24"/>
                <w:szCs w:val="24"/>
              </w:rPr>
            </w:pPr>
            <w:r>
              <w:rPr>
                <w:kern w:val="0"/>
                <w:sz w:val="24"/>
                <w:szCs w:val="24"/>
              </w:rPr>
              <w:t>级别价</w:t>
            </w:r>
          </w:p>
        </w:tc>
      </w:tr>
    </w:tbl>
    <w:p>
      <w:pPr>
        <w:rPr>
          <w:rFonts w:ascii="楷体_GB2312" w:eastAsia="楷体_GB2312"/>
          <w:sz w:val="32"/>
          <w:szCs w:val="32"/>
        </w:rPr>
      </w:pPr>
      <w:r>
        <w:rPr>
          <w:rFonts w:hint="eastAsia" w:ascii="楷体_GB2312" w:eastAsia="楷体_GB2312"/>
          <w:sz w:val="32"/>
          <w:szCs w:val="32"/>
        </w:rPr>
        <w:t>（三）基准地价“基准条件”的界定</w:t>
      </w:r>
    </w:p>
    <w:p>
      <w:pPr>
        <w:jc w:val="center"/>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表 2 绍兴市区基准地价“基准条件”界定表</w:t>
      </w:r>
    </w:p>
    <w:tbl>
      <w:tblPr>
        <w:tblStyle w:val="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1281"/>
        <w:gridCol w:w="1560"/>
        <w:gridCol w:w="1276"/>
        <w:gridCol w:w="1558"/>
        <w:gridCol w:w="1276"/>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20" w:hRule="atLeast"/>
        </w:trPr>
        <w:tc>
          <w:tcPr>
            <w:tcW w:w="2841" w:type="dxa"/>
            <w:gridSpan w:val="2"/>
            <w:vAlign w:val="center"/>
          </w:tcPr>
          <w:p>
            <w:pPr>
              <w:widowControl/>
              <w:adjustRightInd w:val="0"/>
              <w:snapToGrid w:val="0"/>
              <w:spacing w:line="400" w:lineRule="exact"/>
              <w:jc w:val="center"/>
              <w:rPr>
                <w:kern w:val="0"/>
                <w:sz w:val="24"/>
                <w:szCs w:val="24"/>
              </w:rPr>
            </w:pPr>
            <w:r>
              <w:rPr>
                <w:kern w:val="0"/>
                <w:sz w:val="24"/>
                <w:szCs w:val="24"/>
              </w:rPr>
              <w:t>用地类型</w:t>
            </w:r>
          </w:p>
        </w:tc>
        <w:tc>
          <w:tcPr>
            <w:tcW w:w="1276" w:type="dxa"/>
            <w:vAlign w:val="center"/>
          </w:tcPr>
          <w:p>
            <w:pPr>
              <w:widowControl/>
              <w:adjustRightInd w:val="0"/>
              <w:snapToGrid w:val="0"/>
              <w:spacing w:line="400" w:lineRule="exact"/>
              <w:jc w:val="center"/>
              <w:rPr>
                <w:kern w:val="0"/>
                <w:sz w:val="24"/>
                <w:szCs w:val="24"/>
              </w:rPr>
            </w:pPr>
            <w:r>
              <w:rPr>
                <w:kern w:val="0"/>
                <w:sz w:val="24"/>
                <w:szCs w:val="24"/>
              </w:rPr>
              <w:t>容积率</w:t>
            </w:r>
          </w:p>
        </w:tc>
        <w:tc>
          <w:tcPr>
            <w:tcW w:w="1558" w:type="dxa"/>
            <w:vAlign w:val="center"/>
          </w:tcPr>
          <w:p>
            <w:pPr>
              <w:widowControl/>
              <w:adjustRightInd w:val="0"/>
              <w:snapToGrid w:val="0"/>
              <w:spacing w:line="400" w:lineRule="exact"/>
              <w:jc w:val="center"/>
              <w:rPr>
                <w:kern w:val="0"/>
                <w:sz w:val="24"/>
                <w:szCs w:val="24"/>
              </w:rPr>
            </w:pPr>
            <w:r>
              <w:rPr>
                <w:kern w:val="0"/>
                <w:sz w:val="24"/>
                <w:szCs w:val="24"/>
              </w:rPr>
              <w:t>建筑密度</w:t>
            </w:r>
          </w:p>
        </w:tc>
        <w:tc>
          <w:tcPr>
            <w:tcW w:w="1276" w:type="dxa"/>
            <w:vAlign w:val="center"/>
          </w:tcPr>
          <w:p>
            <w:pPr>
              <w:widowControl/>
              <w:adjustRightInd w:val="0"/>
              <w:snapToGrid w:val="0"/>
              <w:spacing w:line="400" w:lineRule="exact"/>
              <w:jc w:val="center"/>
              <w:rPr>
                <w:kern w:val="0"/>
                <w:sz w:val="24"/>
                <w:szCs w:val="24"/>
              </w:rPr>
            </w:pPr>
            <w:r>
              <w:rPr>
                <w:kern w:val="0"/>
                <w:sz w:val="24"/>
                <w:szCs w:val="24"/>
              </w:rPr>
              <w:t>宗地进深</w:t>
            </w:r>
          </w:p>
        </w:tc>
        <w:tc>
          <w:tcPr>
            <w:tcW w:w="1365" w:type="dxa"/>
            <w:vAlign w:val="center"/>
          </w:tcPr>
          <w:p>
            <w:pPr>
              <w:widowControl/>
              <w:adjustRightInd w:val="0"/>
              <w:snapToGrid w:val="0"/>
              <w:spacing w:line="400" w:lineRule="exact"/>
              <w:jc w:val="center"/>
              <w:rPr>
                <w:kern w:val="0"/>
                <w:sz w:val="24"/>
                <w:szCs w:val="24"/>
              </w:rPr>
            </w:pPr>
            <w:r>
              <w:rPr>
                <w:kern w:val="0"/>
                <w:sz w:val="24"/>
                <w:szCs w:val="24"/>
              </w:rPr>
              <w:t>使用年期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20" w:hRule="atLeast"/>
        </w:trPr>
        <w:tc>
          <w:tcPr>
            <w:tcW w:w="2841" w:type="dxa"/>
            <w:gridSpan w:val="2"/>
            <w:vAlign w:val="center"/>
          </w:tcPr>
          <w:p>
            <w:pPr>
              <w:widowControl/>
              <w:adjustRightInd w:val="0"/>
              <w:snapToGrid w:val="0"/>
              <w:spacing w:line="400" w:lineRule="exact"/>
              <w:jc w:val="center"/>
              <w:rPr>
                <w:kern w:val="0"/>
                <w:sz w:val="24"/>
                <w:szCs w:val="24"/>
              </w:rPr>
            </w:pPr>
            <w:r>
              <w:rPr>
                <w:kern w:val="0"/>
                <w:sz w:val="24"/>
                <w:szCs w:val="24"/>
              </w:rPr>
              <w:t>商服用地</w:t>
            </w:r>
          </w:p>
        </w:tc>
        <w:tc>
          <w:tcPr>
            <w:tcW w:w="1276" w:type="dxa"/>
            <w:vAlign w:val="center"/>
          </w:tcPr>
          <w:p>
            <w:pPr>
              <w:adjustRightInd w:val="0"/>
              <w:snapToGrid w:val="0"/>
              <w:spacing w:line="400" w:lineRule="exact"/>
              <w:jc w:val="center"/>
              <w:rPr>
                <w:kern w:val="0"/>
                <w:sz w:val="24"/>
                <w:szCs w:val="24"/>
              </w:rPr>
            </w:pPr>
            <w:r>
              <w:rPr>
                <w:rFonts w:ascii="tim" w:hAnsi="tim"/>
                <w:kern w:val="0"/>
                <w:sz w:val="24"/>
                <w:szCs w:val="24"/>
              </w:rPr>
              <w:t>2</w:t>
            </w:r>
            <w:r>
              <w:rPr>
                <w:kern w:val="0"/>
                <w:sz w:val="24"/>
                <w:szCs w:val="24"/>
              </w:rPr>
              <w:t>.</w:t>
            </w:r>
            <w:r>
              <w:rPr>
                <w:rFonts w:ascii="tim" w:hAnsi="tim"/>
                <w:kern w:val="0"/>
                <w:sz w:val="24"/>
                <w:szCs w:val="24"/>
              </w:rPr>
              <w:t>2</w:t>
            </w:r>
          </w:p>
        </w:tc>
        <w:tc>
          <w:tcPr>
            <w:tcW w:w="1558" w:type="dxa"/>
            <w:vAlign w:val="center"/>
          </w:tcPr>
          <w:p>
            <w:pPr>
              <w:widowControl/>
              <w:adjustRightInd w:val="0"/>
              <w:snapToGrid w:val="0"/>
              <w:spacing w:line="400" w:lineRule="exact"/>
              <w:jc w:val="center"/>
              <w:rPr>
                <w:kern w:val="0"/>
                <w:sz w:val="24"/>
                <w:szCs w:val="24"/>
              </w:rPr>
            </w:pPr>
            <w:r>
              <w:rPr>
                <w:rFonts w:ascii="tim" w:hAnsi="tim"/>
                <w:kern w:val="0"/>
                <w:sz w:val="24"/>
                <w:szCs w:val="24"/>
              </w:rPr>
              <w:t>45</w:t>
            </w:r>
            <w:r>
              <w:rPr>
                <w:kern w:val="0"/>
                <w:sz w:val="24"/>
                <w:szCs w:val="24"/>
              </w:rPr>
              <w:t>%</w:t>
            </w:r>
          </w:p>
        </w:tc>
        <w:tc>
          <w:tcPr>
            <w:tcW w:w="1276" w:type="dxa"/>
            <w:vAlign w:val="center"/>
          </w:tcPr>
          <w:p>
            <w:pPr>
              <w:widowControl/>
              <w:adjustRightInd w:val="0"/>
              <w:snapToGrid w:val="0"/>
              <w:spacing w:line="400" w:lineRule="exact"/>
              <w:jc w:val="center"/>
              <w:rPr>
                <w:kern w:val="0"/>
                <w:sz w:val="24"/>
                <w:szCs w:val="24"/>
              </w:rPr>
            </w:pPr>
            <w:r>
              <w:rPr>
                <w:rFonts w:ascii="tim" w:hAnsi="tim"/>
                <w:kern w:val="0"/>
                <w:sz w:val="24"/>
                <w:szCs w:val="24"/>
              </w:rPr>
              <w:t>50</w:t>
            </w:r>
            <w:r>
              <w:rPr>
                <w:kern w:val="0"/>
                <w:sz w:val="24"/>
                <w:szCs w:val="24"/>
              </w:rPr>
              <w:t>米</w:t>
            </w:r>
          </w:p>
        </w:tc>
        <w:tc>
          <w:tcPr>
            <w:tcW w:w="1365" w:type="dxa"/>
            <w:vAlign w:val="center"/>
          </w:tcPr>
          <w:p>
            <w:pPr>
              <w:widowControl/>
              <w:adjustRightInd w:val="0"/>
              <w:snapToGrid w:val="0"/>
              <w:spacing w:line="400" w:lineRule="exact"/>
              <w:jc w:val="center"/>
              <w:rPr>
                <w:kern w:val="0"/>
                <w:sz w:val="24"/>
                <w:szCs w:val="24"/>
              </w:rPr>
            </w:pPr>
            <w:r>
              <w:rPr>
                <w:rFonts w:ascii="tim" w:hAnsi="tim"/>
                <w:kern w:val="0"/>
                <w:sz w:val="24"/>
                <w:szCs w:val="24"/>
              </w:rPr>
              <w:t>40</w:t>
            </w:r>
            <w:r>
              <w:rPr>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50" w:hRule="atLeast"/>
        </w:trPr>
        <w:tc>
          <w:tcPr>
            <w:tcW w:w="2841" w:type="dxa"/>
            <w:gridSpan w:val="2"/>
            <w:vAlign w:val="center"/>
          </w:tcPr>
          <w:p>
            <w:pPr>
              <w:widowControl/>
              <w:adjustRightInd w:val="0"/>
              <w:snapToGrid w:val="0"/>
              <w:spacing w:line="400" w:lineRule="exact"/>
              <w:jc w:val="center"/>
              <w:rPr>
                <w:kern w:val="0"/>
                <w:sz w:val="24"/>
                <w:szCs w:val="24"/>
              </w:rPr>
            </w:pPr>
            <w:r>
              <w:rPr>
                <w:kern w:val="0"/>
                <w:sz w:val="24"/>
                <w:szCs w:val="24"/>
              </w:rPr>
              <w:t>住宅用地</w:t>
            </w:r>
          </w:p>
        </w:tc>
        <w:tc>
          <w:tcPr>
            <w:tcW w:w="1276" w:type="dxa"/>
            <w:vAlign w:val="center"/>
          </w:tcPr>
          <w:p>
            <w:pPr>
              <w:adjustRightInd w:val="0"/>
              <w:snapToGrid w:val="0"/>
              <w:spacing w:line="400" w:lineRule="exact"/>
              <w:jc w:val="center"/>
              <w:rPr>
                <w:kern w:val="0"/>
                <w:sz w:val="24"/>
                <w:szCs w:val="24"/>
              </w:rPr>
            </w:pPr>
            <w:r>
              <w:rPr>
                <w:rFonts w:ascii="tim" w:hAnsi="tim"/>
                <w:kern w:val="0"/>
                <w:sz w:val="24"/>
                <w:szCs w:val="24"/>
              </w:rPr>
              <w:t>1</w:t>
            </w:r>
            <w:r>
              <w:rPr>
                <w:kern w:val="0"/>
                <w:sz w:val="24"/>
                <w:szCs w:val="24"/>
              </w:rPr>
              <w:t>.</w:t>
            </w:r>
            <w:r>
              <w:rPr>
                <w:rFonts w:ascii="tim" w:hAnsi="tim"/>
                <w:kern w:val="0"/>
                <w:sz w:val="24"/>
                <w:szCs w:val="24"/>
              </w:rPr>
              <w:t>5</w:t>
            </w:r>
          </w:p>
        </w:tc>
        <w:tc>
          <w:tcPr>
            <w:tcW w:w="1558" w:type="dxa"/>
            <w:vAlign w:val="center"/>
          </w:tcPr>
          <w:p>
            <w:pPr>
              <w:widowControl/>
              <w:adjustRightInd w:val="0"/>
              <w:snapToGrid w:val="0"/>
              <w:spacing w:line="400" w:lineRule="exact"/>
              <w:jc w:val="center"/>
              <w:rPr>
                <w:kern w:val="0"/>
                <w:sz w:val="24"/>
                <w:szCs w:val="24"/>
              </w:rPr>
            </w:pPr>
            <w:r>
              <w:rPr>
                <w:rFonts w:ascii="tim" w:hAnsi="tim"/>
                <w:kern w:val="0"/>
                <w:sz w:val="24"/>
                <w:szCs w:val="24"/>
              </w:rPr>
              <w:t>30</w:t>
            </w:r>
            <w:r>
              <w:rPr>
                <w:kern w:val="0"/>
                <w:sz w:val="24"/>
                <w:szCs w:val="24"/>
              </w:rPr>
              <w:t>%</w:t>
            </w:r>
          </w:p>
        </w:tc>
        <w:tc>
          <w:tcPr>
            <w:tcW w:w="1276" w:type="dxa"/>
            <w:vAlign w:val="center"/>
          </w:tcPr>
          <w:p>
            <w:pPr>
              <w:widowControl/>
              <w:adjustRightInd w:val="0"/>
              <w:snapToGrid w:val="0"/>
              <w:spacing w:line="400" w:lineRule="exact"/>
              <w:jc w:val="center"/>
              <w:rPr>
                <w:kern w:val="0"/>
                <w:sz w:val="24"/>
                <w:szCs w:val="24"/>
              </w:rPr>
            </w:pPr>
            <w:r>
              <w:rPr>
                <w:kern w:val="0"/>
                <w:sz w:val="24"/>
                <w:szCs w:val="24"/>
              </w:rPr>
              <w:t>-</w:t>
            </w:r>
          </w:p>
        </w:tc>
        <w:tc>
          <w:tcPr>
            <w:tcW w:w="1365" w:type="dxa"/>
            <w:vAlign w:val="center"/>
          </w:tcPr>
          <w:p>
            <w:pPr>
              <w:widowControl/>
              <w:adjustRightInd w:val="0"/>
              <w:snapToGrid w:val="0"/>
              <w:spacing w:line="400" w:lineRule="exact"/>
              <w:jc w:val="center"/>
              <w:rPr>
                <w:kern w:val="0"/>
                <w:sz w:val="24"/>
                <w:szCs w:val="24"/>
              </w:rPr>
            </w:pPr>
            <w:r>
              <w:rPr>
                <w:rFonts w:ascii="tim" w:hAnsi="tim"/>
                <w:kern w:val="0"/>
                <w:sz w:val="24"/>
                <w:szCs w:val="24"/>
              </w:rPr>
              <w:t>70</w:t>
            </w:r>
            <w:r>
              <w:rPr>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40" w:hRule="atLeast"/>
        </w:trPr>
        <w:tc>
          <w:tcPr>
            <w:tcW w:w="2841" w:type="dxa"/>
            <w:gridSpan w:val="2"/>
            <w:vAlign w:val="center"/>
          </w:tcPr>
          <w:p>
            <w:pPr>
              <w:widowControl/>
              <w:adjustRightInd w:val="0"/>
              <w:snapToGrid w:val="0"/>
              <w:spacing w:line="400" w:lineRule="exact"/>
              <w:jc w:val="center"/>
              <w:rPr>
                <w:kern w:val="0"/>
                <w:sz w:val="24"/>
                <w:szCs w:val="24"/>
              </w:rPr>
            </w:pPr>
            <w:r>
              <w:rPr>
                <w:kern w:val="0"/>
                <w:sz w:val="24"/>
                <w:szCs w:val="24"/>
              </w:rPr>
              <w:t>工业用地</w:t>
            </w:r>
          </w:p>
        </w:tc>
        <w:tc>
          <w:tcPr>
            <w:tcW w:w="1276" w:type="dxa"/>
            <w:vAlign w:val="center"/>
          </w:tcPr>
          <w:p>
            <w:pPr>
              <w:adjustRightInd w:val="0"/>
              <w:snapToGrid w:val="0"/>
              <w:spacing w:line="400" w:lineRule="exact"/>
              <w:jc w:val="center"/>
              <w:rPr>
                <w:kern w:val="0"/>
                <w:sz w:val="24"/>
                <w:szCs w:val="24"/>
              </w:rPr>
            </w:pPr>
            <w:r>
              <w:rPr>
                <w:rFonts w:ascii="tim" w:hAnsi="tim"/>
                <w:kern w:val="0"/>
                <w:sz w:val="24"/>
                <w:szCs w:val="24"/>
              </w:rPr>
              <w:t>1</w:t>
            </w:r>
            <w:r>
              <w:rPr>
                <w:kern w:val="0"/>
                <w:sz w:val="24"/>
                <w:szCs w:val="24"/>
              </w:rPr>
              <w:t>.</w:t>
            </w:r>
            <w:r>
              <w:rPr>
                <w:rFonts w:ascii="tim" w:hAnsi="tim"/>
                <w:kern w:val="0"/>
                <w:sz w:val="24"/>
                <w:szCs w:val="24"/>
              </w:rPr>
              <w:t>0</w:t>
            </w:r>
          </w:p>
        </w:tc>
        <w:tc>
          <w:tcPr>
            <w:tcW w:w="1558" w:type="dxa"/>
            <w:vAlign w:val="center"/>
          </w:tcPr>
          <w:p>
            <w:pPr>
              <w:widowControl/>
              <w:adjustRightInd w:val="0"/>
              <w:snapToGrid w:val="0"/>
              <w:spacing w:line="400" w:lineRule="exact"/>
              <w:jc w:val="center"/>
              <w:rPr>
                <w:kern w:val="0"/>
                <w:sz w:val="24"/>
                <w:szCs w:val="24"/>
              </w:rPr>
            </w:pPr>
            <w:r>
              <w:rPr>
                <w:rFonts w:ascii="tim" w:hAnsi="tim"/>
                <w:kern w:val="0"/>
                <w:sz w:val="24"/>
                <w:szCs w:val="24"/>
              </w:rPr>
              <w:t>40</w:t>
            </w:r>
            <w:r>
              <w:rPr>
                <w:kern w:val="0"/>
                <w:sz w:val="24"/>
                <w:szCs w:val="24"/>
              </w:rPr>
              <w:t>%</w:t>
            </w:r>
          </w:p>
        </w:tc>
        <w:tc>
          <w:tcPr>
            <w:tcW w:w="1276" w:type="dxa"/>
            <w:vAlign w:val="center"/>
          </w:tcPr>
          <w:p>
            <w:pPr>
              <w:widowControl/>
              <w:adjustRightInd w:val="0"/>
              <w:snapToGrid w:val="0"/>
              <w:spacing w:line="400" w:lineRule="exact"/>
              <w:jc w:val="center"/>
              <w:rPr>
                <w:kern w:val="0"/>
                <w:sz w:val="24"/>
                <w:szCs w:val="24"/>
              </w:rPr>
            </w:pPr>
            <w:r>
              <w:rPr>
                <w:kern w:val="0"/>
                <w:sz w:val="24"/>
                <w:szCs w:val="24"/>
              </w:rPr>
              <w:t>-</w:t>
            </w:r>
          </w:p>
        </w:tc>
        <w:tc>
          <w:tcPr>
            <w:tcW w:w="1365" w:type="dxa"/>
            <w:vAlign w:val="center"/>
          </w:tcPr>
          <w:p>
            <w:pPr>
              <w:widowControl/>
              <w:adjustRightInd w:val="0"/>
              <w:snapToGrid w:val="0"/>
              <w:spacing w:line="400" w:lineRule="exact"/>
              <w:jc w:val="center"/>
              <w:rPr>
                <w:kern w:val="0"/>
                <w:sz w:val="24"/>
                <w:szCs w:val="24"/>
              </w:rPr>
            </w:pPr>
            <w:r>
              <w:rPr>
                <w:rFonts w:ascii="tim" w:hAnsi="tim"/>
                <w:kern w:val="0"/>
                <w:sz w:val="24"/>
                <w:szCs w:val="24"/>
              </w:rPr>
              <w:t>50</w:t>
            </w:r>
            <w:r>
              <w:rPr>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40" w:hRule="atLeast"/>
        </w:trPr>
        <w:tc>
          <w:tcPr>
            <w:tcW w:w="1281" w:type="dxa"/>
            <w:vMerge w:val="restart"/>
            <w:vAlign w:val="center"/>
          </w:tcPr>
          <w:p>
            <w:pPr>
              <w:widowControl/>
              <w:adjustRightInd w:val="0"/>
              <w:snapToGrid w:val="0"/>
              <w:spacing w:line="400" w:lineRule="exact"/>
              <w:jc w:val="center"/>
              <w:rPr>
                <w:kern w:val="0"/>
                <w:sz w:val="24"/>
                <w:szCs w:val="24"/>
              </w:rPr>
            </w:pPr>
            <w:r>
              <w:rPr>
                <w:kern w:val="0"/>
                <w:sz w:val="24"/>
                <w:szCs w:val="24"/>
              </w:rPr>
              <w:t>公共服务</w:t>
            </w:r>
          </w:p>
          <w:p>
            <w:pPr>
              <w:widowControl/>
              <w:adjustRightInd w:val="0"/>
              <w:snapToGrid w:val="0"/>
              <w:spacing w:line="400" w:lineRule="exact"/>
              <w:jc w:val="center"/>
              <w:rPr>
                <w:kern w:val="0"/>
                <w:sz w:val="24"/>
                <w:szCs w:val="24"/>
              </w:rPr>
            </w:pPr>
            <w:r>
              <w:rPr>
                <w:kern w:val="0"/>
                <w:sz w:val="24"/>
                <w:szCs w:val="24"/>
              </w:rPr>
              <w:t>项目用地</w:t>
            </w:r>
          </w:p>
        </w:tc>
        <w:tc>
          <w:tcPr>
            <w:tcW w:w="1560" w:type="dxa"/>
            <w:vAlign w:val="center"/>
          </w:tcPr>
          <w:p>
            <w:pPr>
              <w:widowControl/>
              <w:adjustRightInd w:val="0"/>
              <w:snapToGrid w:val="0"/>
              <w:spacing w:line="400" w:lineRule="exact"/>
              <w:jc w:val="center"/>
              <w:rPr>
                <w:kern w:val="0"/>
                <w:sz w:val="24"/>
                <w:szCs w:val="24"/>
              </w:rPr>
            </w:pPr>
            <w:r>
              <w:rPr>
                <w:kern w:val="0"/>
                <w:sz w:val="24"/>
                <w:szCs w:val="24"/>
              </w:rPr>
              <w:t>公共服务类</w:t>
            </w:r>
          </w:p>
        </w:tc>
        <w:tc>
          <w:tcPr>
            <w:tcW w:w="1276" w:type="dxa"/>
            <w:vAlign w:val="center"/>
          </w:tcPr>
          <w:p>
            <w:pPr>
              <w:adjustRightInd w:val="0"/>
              <w:snapToGrid w:val="0"/>
              <w:spacing w:line="400" w:lineRule="exact"/>
              <w:jc w:val="center"/>
              <w:rPr>
                <w:kern w:val="0"/>
                <w:sz w:val="24"/>
                <w:szCs w:val="24"/>
              </w:rPr>
            </w:pPr>
            <w:r>
              <w:rPr>
                <w:rFonts w:ascii="tim" w:hAnsi="tim"/>
                <w:kern w:val="0"/>
                <w:sz w:val="24"/>
                <w:szCs w:val="24"/>
              </w:rPr>
              <w:t>1</w:t>
            </w:r>
            <w:r>
              <w:rPr>
                <w:kern w:val="0"/>
                <w:sz w:val="24"/>
                <w:szCs w:val="24"/>
              </w:rPr>
              <w:t>.</w:t>
            </w:r>
            <w:r>
              <w:rPr>
                <w:rFonts w:ascii="tim" w:hAnsi="tim"/>
                <w:kern w:val="0"/>
                <w:sz w:val="24"/>
                <w:szCs w:val="24"/>
              </w:rPr>
              <w:t>2</w:t>
            </w:r>
          </w:p>
        </w:tc>
        <w:tc>
          <w:tcPr>
            <w:tcW w:w="1558" w:type="dxa"/>
            <w:vAlign w:val="center"/>
          </w:tcPr>
          <w:p>
            <w:pPr>
              <w:widowControl/>
              <w:adjustRightInd w:val="0"/>
              <w:snapToGrid w:val="0"/>
              <w:spacing w:line="400" w:lineRule="exact"/>
              <w:jc w:val="center"/>
              <w:rPr>
                <w:kern w:val="0"/>
                <w:sz w:val="24"/>
                <w:szCs w:val="24"/>
              </w:rPr>
            </w:pPr>
            <w:r>
              <w:rPr>
                <w:kern w:val="0"/>
                <w:sz w:val="24"/>
                <w:szCs w:val="24"/>
              </w:rPr>
              <w:t>-</w:t>
            </w:r>
          </w:p>
        </w:tc>
        <w:tc>
          <w:tcPr>
            <w:tcW w:w="1276" w:type="dxa"/>
            <w:vAlign w:val="center"/>
          </w:tcPr>
          <w:p>
            <w:pPr>
              <w:widowControl/>
              <w:adjustRightInd w:val="0"/>
              <w:snapToGrid w:val="0"/>
              <w:spacing w:line="400" w:lineRule="exact"/>
              <w:jc w:val="center"/>
              <w:rPr>
                <w:kern w:val="0"/>
                <w:sz w:val="24"/>
                <w:szCs w:val="24"/>
              </w:rPr>
            </w:pPr>
            <w:r>
              <w:rPr>
                <w:kern w:val="0"/>
                <w:sz w:val="24"/>
                <w:szCs w:val="24"/>
              </w:rPr>
              <w:t>-</w:t>
            </w:r>
          </w:p>
        </w:tc>
        <w:tc>
          <w:tcPr>
            <w:tcW w:w="1365" w:type="dxa"/>
            <w:vAlign w:val="center"/>
          </w:tcPr>
          <w:p>
            <w:pPr>
              <w:widowControl/>
              <w:adjustRightInd w:val="0"/>
              <w:snapToGrid w:val="0"/>
              <w:spacing w:line="400" w:lineRule="exact"/>
              <w:jc w:val="center"/>
              <w:rPr>
                <w:kern w:val="0"/>
                <w:sz w:val="24"/>
                <w:szCs w:val="24"/>
              </w:rPr>
            </w:pPr>
            <w:r>
              <w:rPr>
                <w:rFonts w:ascii="tim" w:hAnsi="tim"/>
                <w:kern w:val="0"/>
                <w:sz w:val="24"/>
                <w:szCs w:val="24"/>
              </w:rPr>
              <w:t>50</w:t>
            </w:r>
            <w:r>
              <w:rPr>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rPr>
          <w:trHeight w:val="40" w:hRule="atLeast"/>
        </w:trPr>
        <w:tc>
          <w:tcPr>
            <w:tcW w:w="1281" w:type="dxa"/>
            <w:vMerge w:val="continue"/>
            <w:vAlign w:val="center"/>
          </w:tcPr>
          <w:p>
            <w:pPr>
              <w:widowControl/>
              <w:adjustRightInd w:val="0"/>
              <w:snapToGrid w:val="0"/>
              <w:spacing w:line="400" w:lineRule="exact"/>
              <w:jc w:val="center"/>
              <w:rPr>
                <w:kern w:val="0"/>
                <w:sz w:val="24"/>
                <w:szCs w:val="24"/>
              </w:rPr>
            </w:pPr>
          </w:p>
        </w:tc>
        <w:tc>
          <w:tcPr>
            <w:tcW w:w="1560" w:type="dxa"/>
            <w:vAlign w:val="center"/>
          </w:tcPr>
          <w:p>
            <w:pPr>
              <w:widowControl/>
              <w:adjustRightInd w:val="0"/>
              <w:snapToGrid w:val="0"/>
              <w:spacing w:line="400" w:lineRule="exact"/>
              <w:jc w:val="center"/>
              <w:rPr>
                <w:kern w:val="0"/>
                <w:sz w:val="24"/>
                <w:szCs w:val="24"/>
              </w:rPr>
            </w:pPr>
            <w:r>
              <w:rPr>
                <w:kern w:val="0"/>
                <w:sz w:val="24"/>
                <w:szCs w:val="24"/>
              </w:rPr>
              <w:t>基础设施类</w:t>
            </w:r>
          </w:p>
        </w:tc>
        <w:tc>
          <w:tcPr>
            <w:tcW w:w="1276" w:type="dxa"/>
            <w:vAlign w:val="center"/>
          </w:tcPr>
          <w:p>
            <w:pPr>
              <w:adjustRightInd w:val="0"/>
              <w:snapToGrid w:val="0"/>
              <w:spacing w:line="400" w:lineRule="exact"/>
              <w:jc w:val="center"/>
              <w:rPr>
                <w:kern w:val="0"/>
                <w:sz w:val="24"/>
                <w:szCs w:val="24"/>
              </w:rPr>
            </w:pPr>
            <w:r>
              <w:rPr>
                <w:kern w:val="0"/>
                <w:sz w:val="24"/>
                <w:szCs w:val="24"/>
              </w:rPr>
              <w:t>-</w:t>
            </w:r>
          </w:p>
        </w:tc>
        <w:tc>
          <w:tcPr>
            <w:tcW w:w="1558" w:type="dxa"/>
            <w:vAlign w:val="center"/>
          </w:tcPr>
          <w:p>
            <w:pPr>
              <w:widowControl/>
              <w:adjustRightInd w:val="0"/>
              <w:snapToGrid w:val="0"/>
              <w:spacing w:line="400" w:lineRule="exact"/>
              <w:jc w:val="center"/>
              <w:rPr>
                <w:kern w:val="0"/>
                <w:sz w:val="24"/>
                <w:szCs w:val="24"/>
              </w:rPr>
            </w:pPr>
            <w:r>
              <w:rPr>
                <w:kern w:val="0"/>
                <w:sz w:val="24"/>
                <w:szCs w:val="24"/>
              </w:rPr>
              <w:t>-</w:t>
            </w:r>
          </w:p>
        </w:tc>
        <w:tc>
          <w:tcPr>
            <w:tcW w:w="1276" w:type="dxa"/>
            <w:vAlign w:val="center"/>
          </w:tcPr>
          <w:p>
            <w:pPr>
              <w:widowControl/>
              <w:adjustRightInd w:val="0"/>
              <w:snapToGrid w:val="0"/>
              <w:spacing w:line="400" w:lineRule="exact"/>
              <w:jc w:val="center"/>
              <w:rPr>
                <w:kern w:val="0"/>
                <w:sz w:val="24"/>
                <w:szCs w:val="24"/>
              </w:rPr>
            </w:pPr>
            <w:r>
              <w:rPr>
                <w:kern w:val="0"/>
                <w:sz w:val="24"/>
                <w:szCs w:val="24"/>
              </w:rPr>
              <w:t>-</w:t>
            </w:r>
          </w:p>
        </w:tc>
        <w:tc>
          <w:tcPr>
            <w:tcW w:w="1365" w:type="dxa"/>
            <w:vAlign w:val="center"/>
          </w:tcPr>
          <w:p>
            <w:pPr>
              <w:widowControl/>
              <w:adjustRightInd w:val="0"/>
              <w:snapToGrid w:val="0"/>
              <w:spacing w:line="400" w:lineRule="exact"/>
              <w:jc w:val="center"/>
              <w:rPr>
                <w:kern w:val="0"/>
                <w:sz w:val="24"/>
                <w:szCs w:val="24"/>
              </w:rPr>
            </w:pPr>
            <w:r>
              <w:rPr>
                <w:rFonts w:ascii="tim" w:hAnsi="tim"/>
                <w:kern w:val="0"/>
                <w:sz w:val="24"/>
                <w:szCs w:val="24"/>
              </w:rPr>
              <w:t>50</w:t>
            </w:r>
            <w:r>
              <w:rPr>
                <w:kern w:val="0"/>
                <w:sz w:val="24"/>
                <w:szCs w:val="24"/>
              </w:rPr>
              <w:t>年</w:t>
            </w:r>
          </w:p>
        </w:tc>
      </w:tr>
    </w:tbl>
    <w:p>
      <w:pPr>
        <w:ind w:firstLine="420" w:firstLineChars="200"/>
        <w:rPr>
          <w:rFonts w:eastAsia="黑体"/>
          <w:szCs w:val="32"/>
        </w:rPr>
      </w:pPr>
      <w:bookmarkStart w:id="0" w:name="_Toc316389328"/>
      <w:r>
        <w:rPr>
          <w:rFonts w:eastAsia="黑体"/>
          <w:szCs w:val="32"/>
        </w:rPr>
        <w:t>二、绍兴市区基准地价表</w:t>
      </w:r>
    </w:p>
    <w:bookmarkEnd w:id="0"/>
    <w:p>
      <w:pPr>
        <w:jc w:val="center"/>
        <w:rPr>
          <w:rFonts w:ascii="黑体" w:hAnsi="黑体" w:eastAsia="黑体"/>
          <w:sz w:val="30"/>
          <w:szCs w:val="30"/>
        </w:rPr>
      </w:pPr>
      <w:r>
        <w:rPr>
          <w:rFonts w:ascii="黑体" w:hAnsi="黑体" w:eastAsia="黑体"/>
          <w:sz w:val="30"/>
          <w:szCs w:val="30"/>
        </w:rPr>
        <w:t>表3  绍兴市区商服用地级别基准地价表</w:t>
      </w:r>
    </w:p>
    <w:p>
      <w:pPr>
        <w:adjustRightInd w:val="0"/>
        <w:snapToGrid w:val="0"/>
        <w:ind w:right="-168" w:rightChars="-80"/>
        <w:jc w:val="right"/>
        <w:rPr>
          <w:sz w:val="24"/>
          <w:szCs w:val="24"/>
        </w:rPr>
      </w:pPr>
      <w:r>
        <w:rPr>
          <w:sz w:val="24"/>
          <w:szCs w:val="24"/>
        </w:rPr>
        <w:t>单位：元/平方米</w:t>
      </w:r>
    </w:p>
    <w:tbl>
      <w:tblPr>
        <w:tblStyle w:val="8"/>
        <w:tblW w:w="8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63"/>
        <w:gridCol w:w="716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2" w:hRule="atLeast"/>
          <w:tblHeader/>
          <w:jc w:val="center"/>
        </w:trPr>
        <w:tc>
          <w:tcPr>
            <w:tcW w:w="663" w:type="dxa"/>
            <w:vAlign w:val="center"/>
          </w:tcPr>
          <w:p>
            <w:pPr>
              <w:adjustRightInd w:val="0"/>
              <w:snapToGrid w:val="0"/>
              <w:spacing w:line="300" w:lineRule="exact"/>
              <w:jc w:val="center"/>
              <w:rPr>
                <w:sz w:val="24"/>
                <w:szCs w:val="24"/>
              </w:rPr>
            </w:pPr>
            <w:r>
              <w:rPr>
                <w:sz w:val="24"/>
                <w:szCs w:val="24"/>
              </w:rPr>
              <w:t>级别</w:t>
            </w:r>
          </w:p>
        </w:tc>
        <w:tc>
          <w:tcPr>
            <w:tcW w:w="7169" w:type="dxa"/>
            <w:vAlign w:val="center"/>
          </w:tcPr>
          <w:p>
            <w:pPr>
              <w:adjustRightInd w:val="0"/>
              <w:snapToGrid w:val="0"/>
              <w:spacing w:line="300" w:lineRule="exact"/>
              <w:jc w:val="center"/>
              <w:rPr>
                <w:sz w:val="24"/>
                <w:szCs w:val="24"/>
              </w:rPr>
            </w:pPr>
            <w:r>
              <w:rPr>
                <w:sz w:val="24"/>
                <w:szCs w:val="24"/>
              </w:rPr>
              <w:t>范    围</w:t>
            </w:r>
          </w:p>
        </w:tc>
        <w:tc>
          <w:tcPr>
            <w:tcW w:w="1145" w:type="dxa"/>
            <w:vAlign w:val="center"/>
          </w:tcPr>
          <w:p>
            <w:pPr>
              <w:adjustRightInd w:val="0"/>
              <w:snapToGrid w:val="0"/>
              <w:spacing w:line="300" w:lineRule="exact"/>
              <w:jc w:val="center"/>
              <w:rPr>
                <w:sz w:val="24"/>
                <w:szCs w:val="24"/>
              </w:rPr>
            </w:pPr>
            <w:r>
              <w:rPr>
                <w:sz w:val="24"/>
                <w:szCs w:val="24"/>
              </w:rPr>
              <w:t>商服用地基准地价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Ⅰ</w:t>
            </w:r>
            <w:r>
              <w:rPr>
                <w:sz w:val="24"/>
                <w:szCs w:val="24"/>
              </w:rPr>
              <w:t>级</w:t>
            </w:r>
          </w:p>
        </w:tc>
        <w:tc>
          <w:tcPr>
            <w:tcW w:w="7169" w:type="dxa"/>
            <w:vAlign w:val="center"/>
          </w:tcPr>
          <w:p>
            <w:pPr>
              <w:adjustRightInd w:val="0"/>
              <w:snapToGrid w:val="0"/>
              <w:rPr>
                <w:sz w:val="24"/>
              </w:rPr>
            </w:pPr>
            <w:r>
              <w:rPr>
                <w:sz w:val="24"/>
              </w:rPr>
              <w:t>中兴中路-中兴南路-延安路-解放南路-鲁迅西路-环山河-胜利西路-小校场-上大路-萧山街-中兴中路</w:t>
            </w:r>
          </w:p>
        </w:tc>
        <w:tc>
          <w:tcPr>
            <w:tcW w:w="1145" w:type="dxa"/>
            <w:vAlign w:val="center"/>
          </w:tcPr>
          <w:p>
            <w:pPr>
              <w:adjustRightInd w:val="0"/>
              <w:snapToGrid w:val="0"/>
              <w:spacing w:line="300" w:lineRule="exact"/>
              <w:jc w:val="center"/>
              <w:rPr>
                <w:sz w:val="24"/>
                <w:szCs w:val="24"/>
              </w:rPr>
            </w:pPr>
            <w:r>
              <w:rPr>
                <w:rFonts w:ascii="tim" w:hAnsi="tim"/>
                <w:sz w:val="24"/>
                <w:szCs w:val="24"/>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Ⅱ</w:t>
            </w:r>
            <w:r>
              <w:rPr>
                <w:sz w:val="24"/>
                <w:szCs w:val="24"/>
              </w:rPr>
              <w:t>级</w:t>
            </w:r>
          </w:p>
        </w:tc>
        <w:tc>
          <w:tcPr>
            <w:tcW w:w="7169" w:type="dxa"/>
            <w:vAlign w:val="center"/>
          </w:tcPr>
          <w:p>
            <w:pPr>
              <w:adjustRightInd w:val="0"/>
              <w:snapToGrid w:val="0"/>
              <w:rPr>
                <w:sz w:val="24"/>
              </w:rPr>
            </w:pPr>
            <w:r>
              <w:rPr>
                <w:rFonts w:hint="eastAsia" w:ascii="宋体" w:hAnsi="宋体" w:eastAsia="宋体" w:cs="宋体"/>
                <w:sz w:val="24"/>
              </w:rPr>
              <w:t>Ⅰ</w:t>
            </w:r>
            <w:r>
              <w:rPr>
                <w:sz w:val="24"/>
              </w:rPr>
              <w:t>级地以外，越城区：上沙盆底-西施山路-梅龙湖-浙东运河-环城东河-环城南河-环城西路-萧甬铁路-大滩-梅山江-二环北路-上沙盆底；柯桥区：湖中路-瓜渚湖-梅泽路-轻纺城大道-柯岩大道-彪佳路-笛扬路-轻纺城大道-管墅直江-钱陶路-笛扬路-迎家桥</w:t>
            </w:r>
            <w:r>
              <w:rPr>
                <w:rFonts w:hint="eastAsia" w:ascii="微软雅黑" w:hAnsi="微软雅黑" w:eastAsia="微软雅黑" w:cs="微软雅黑"/>
                <w:sz w:val="24"/>
              </w:rPr>
              <w:t>溇</w:t>
            </w:r>
            <w:r>
              <w:rPr>
                <w:sz w:val="24"/>
              </w:rPr>
              <w:t>-湖中路</w:t>
            </w:r>
          </w:p>
        </w:tc>
        <w:tc>
          <w:tcPr>
            <w:tcW w:w="1145" w:type="dxa"/>
            <w:vAlign w:val="center"/>
          </w:tcPr>
          <w:p>
            <w:pPr>
              <w:adjustRightInd w:val="0"/>
              <w:snapToGrid w:val="0"/>
              <w:spacing w:line="300" w:lineRule="exact"/>
              <w:jc w:val="center"/>
              <w:rPr>
                <w:sz w:val="24"/>
                <w:szCs w:val="24"/>
              </w:rPr>
            </w:pPr>
            <w:r>
              <w:rPr>
                <w:rFonts w:ascii="tim" w:hAnsi="tim"/>
                <w:sz w:val="24"/>
                <w:szCs w:val="24"/>
              </w:rPr>
              <w:t>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Ⅲ</w:t>
            </w:r>
            <w:r>
              <w:rPr>
                <w:sz w:val="24"/>
                <w:szCs w:val="24"/>
              </w:rPr>
              <w:t>级</w:t>
            </w:r>
          </w:p>
        </w:tc>
        <w:tc>
          <w:tcPr>
            <w:tcW w:w="7169"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级地以外，越城区：中兴大道-赵墅江-湘家荡-两头池-二环北路-阳明北路-涂山东路-平江南路-会稽路-二环南路-坡塘江-城南大道-直塘江-鉴湖-二环西路-青甸湖-萧甬铁路-站前大道-凤林西路-下官渡-蛟里河-梅南路-中兴大道；柯桥区：瓜渚湖直江-百舸路-梅墅横江-横河-轻纺城大道-华墟直江-大坂湖-大坂北</w:t>
            </w:r>
            <w:r>
              <w:rPr>
                <w:rFonts w:hint="eastAsia" w:ascii="微软雅黑" w:hAnsi="微软雅黑" w:eastAsia="微软雅黑" w:cs="微软雅黑"/>
                <w:sz w:val="24"/>
              </w:rPr>
              <w:t>溇</w:t>
            </w:r>
            <w:r>
              <w:rPr>
                <w:sz w:val="24"/>
              </w:rPr>
              <w:t>-兴越路-越州大道-湖门村河-育才路-三江大河-浩田畈-杭甬铁路客运专线-瓜渚湖直江；上虞区：凤山路-龙山路-曹娥江-舜江东路-青春路-虹蛘公园-凤山路</w:t>
            </w:r>
          </w:p>
        </w:tc>
        <w:tc>
          <w:tcPr>
            <w:tcW w:w="1145" w:type="dxa"/>
            <w:vAlign w:val="center"/>
          </w:tcPr>
          <w:p>
            <w:pPr>
              <w:adjustRightInd w:val="0"/>
              <w:snapToGrid w:val="0"/>
              <w:spacing w:line="300" w:lineRule="exact"/>
              <w:jc w:val="center"/>
              <w:rPr>
                <w:sz w:val="24"/>
                <w:szCs w:val="24"/>
              </w:rPr>
            </w:pPr>
            <w:r>
              <w:rPr>
                <w:rFonts w:ascii="tim" w:hAnsi="tim"/>
                <w:sz w:val="24"/>
                <w:szCs w:val="24"/>
              </w:rPr>
              <w:t>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Ⅳ</w:t>
            </w:r>
            <w:r>
              <w:rPr>
                <w:sz w:val="24"/>
                <w:szCs w:val="24"/>
              </w:rPr>
              <w:t xml:space="preserve">级 </w:t>
            </w:r>
          </w:p>
        </w:tc>
        <w:tc>
          <w:tcPr>
            <w:tcW w:w="7169"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级地以外，越城区及柯桥区：越王路-育贤路-规划路-菖蒲</w:t>
            </w:r>
            <w:r>
              <w:rPr>
                <w:rFonts w:hint="eastAsia" w:ascii="微软雅黑" w:hAnsi="微软雅黑" w:eastAsia="微软雅黑" w:cs="微软雅黑"/>
                <w:sz w:val="24"/>
              </w:rPr>
              <w:t>溇</w:t>
            </w:r>
            <w:r>
              <w:rPr>
                <w:sz w:val="24"/>
              </w:rPr>
              <w:t>直江-马山闸-</w:t>
            </w:r>
            <w:r>
              <w:rPr>
                <w:rFonts w:hint="eastAsia" w:ascii="仿宋_GB2312"/>
                <w:sz w:val="24"/>
              </w:rPr>
              <w:t>牛角荡-杭甬运河-凤林东路-越东路-山会大道（规划）-窑湾江-萧甬铁路-海南路-人民东路-平</w:t>
            </w:r>
            <w:r>
              <w:rPr>
                <w:sz w:val="24"/>
              </w:rPr>
              <w:t>水东江-河流-阳明路南侧山脚线-永胜路-会稽路-玉山路-坡塘江-大明路-山脚线-亭山河-艺校北河-下坟头河-区界-鉴湖-郭家</w:t>
            </w:r>
            <w:r>
              <w:rPr>
                <w:rFonts w:hint="eastAsia" w:ascii="微软雅黑" w:hAnsi="微软雅黑" w:eastAsia="微软雅黑" w:cs="微软雅黑"/>
                <w:sz w:val="24"/>
              </w:rPr>
              <w:t>溇</w:t>
            </w:r>
            <w:r>
              <w:rPr>
                <w:sz w:val="24"/>
              </w:rPr>
              <w:t>-大越路-萧甬铁路-镜水路-柯南大道-百舸南路-鉴湖-新风直江-大坂湖直江-萧甬铁路-鉴水路-西蜀埠直江-三江大河-马宅池-永兴路-禹会路（规划名）-育才路-柯袍路-镜水北路-群贤路-东浦江-黄蒋渡-沙地江-群贤路-官渡路-舟楫路（规划名）-育贤西路-汤公路-于越路-湖潮江-凤二桥江-菖蒲</w:t>
            </w:r>
            <w:r>
              <w:rPr>
                <w:rFonts w:hint="eastAsia" w:ascii="微软雅黑" w:hAnsi="微软雅黑" w:eastAsia="微软雅黑" w:cs="微软雅黑"/>
                <w:sz w:val="24"/>
              </w:rPr>
              <w:t>溇</w:t>
            </w:r>
            <w:r>
              <w:rPr>
                <w:sz w:val="24"/>
              </w:rPr>
              <w:t>直江-于越路-越王路；上虞区：江扬路-梁祝大道-迎宾大道-市民大道-萧甬铁路-舜江西路-五星东路-鸿雁路-曹娥江-江华路-江扬路</w:t>
            </w:r>
          </w:p>
        </w:tc>
        <w:tc>
          <w:tcPr>
            <w:tcW w:w="1145" w:type="dxa"/>
            <w:vAlign w:val="center"/>
          </w:tcPr>
          <w:p>
            <w:pPr>
              <w:adjustRightInd w:val="0"/>
              <w:snapToGrid w:val="0"/>
              <w:spacing w:line="300" w:lineRule="exact"/>
              <w:jc w:val="center"/>
              <w:rPr>
                <w:sz w:val="24"/>
                <w:szCs w:val="24"/>
              </w:rPr>
            </w:pPr>
            <w:r>
              <w:rPr>
                <w:rFonts w:ascii="tim" w:hAnsi="tim"/>
                <w:sz w:val="24"/>
                <w:szCs w:val="24"/>
              </w:rPr>
              <w:t>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Ⅴ</w:t>
            </w:r>
            <w:r>
              <w:rPr>
                <w:sz w:val="24"/>
                <w:szCs w:val="24"/>
              </w:rPr>
              <w:t>级</w:t>
            </w:r>
          </w:p>
        </w:tc>
        <w:tc>
          <w:tcPr>
            <w:tcW w:w="7169"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级地以外，越城区及柯桥区：海南路-规划路-三畈</w:t>
            </w:r>
            <w:r>
              <w:rPr>
                <w:rFonts w:hint="eastAsia" w:ascii="微软雅黑" w:hAnsi="微软雅黑" w:eastAsia="微软雅黑" w:cs="微软雅黑"/>
                <w:sz w:val="24"/>
              </w:rPr>
              <w:t>溇</w:t>
            </w:r>
            <w:r>
              <w:rPr>
                <w:sz w:val="24"/>
              </w:rPr>
              <w:t>-萧甬铁路-上樊公路-中山路-三路江-狮子山山脊线-平水大道（规划名）两侧山脚线-镇界-会稽路东侧山脚-下埠路（规划名）-谢墅路（规划名）-绍诸高速-日铸路（规划名）-下埠路（规划名）-牛眠路（规划名）-玉山路-区界-世纪路-秋瑾路-大坟渡-漓渚江-下辽泾-杨绍路-大越路-面前江-徐山路（规划名）-镇界-杨绍路-规划路-州山路（规划名）-杨绍路-毛窀江-湖安路-杨树江-滨海大河-官湖沿路-齐贤路-柯海公路-杭绍台高速-环镇东路-区界-于越路-解放大道北延伸段-外官塘-三江路-越东路-马山路-马斗江-陶畈港-海南路；钱清镇：环镇东路-群贤路-钱杨大道（规划名）-钱陶路-联系河-规划路-东岭路-市域边界-市场北路-环镇东路；杨汛桥镇：市域边界-杨绍线-紫薇路-杨江东路-街河-市域边界；江桥区域</w:t>
            </w:r>
            <w:r>
              <w:rPr>
                <w:rFonts w:ascii="tim" w:hAnsi="tim"/>
                <w:sz w:val="24"/>
              </w:rPr>
              <w:t>10</w:t>
            </w:r>
            <w:r>
              <w:rPr>
                <w:sz w:val="24"/>
              </w:rPr>
              <w:t>号街-杨江中路-</w:t>
            </w:r>
            <w:r>
              <w:rPr>
                <w:rFonts w:ascii="tim" w:hAnsi="tim"/>
                <w:sz w:val="24"/>
              </w:rPr>
              <w:t>9</w:t>
            </w:r>
            <w:r>
              <w:rPr>
                <w:sz w:val="24"/>
              </w:rPr>
              <w:t>号街-杭金衢高速连接线-</w:t>
            </w:r>
            <w:r>
              <w:rPr>
                <w:rFonts w:ascii="tim" w:hAnsi="tim"/>
                <w:sz w:val="24"/>
              </w:rPr>
              <w:t>8</w:t>
            </w:r>
            <w:r>
              <w:rPr>
                <w:sz w:val="24"/>
              </w:rPr>
              <w:t>号街-市域边界-</w:t>
            </w:r>
            <w:r>
              <w:rPr>
                <w:rFonts w:ascii="tim" w:hAnsi="tim"/>
                <w:sz w:val="24"/>
              </w:rPr>
              <w:t>10</w:t>
            </w:r>
            <w:r>
              <w:rPr>
                <w:sz w:val="24"/>
              </w:rPr>
              <w:t>号街；平水镇：平水江-环镇北路-平水大道（规划名）-工商路-干渠-卧山龙支路-人民路-平水街-绍甘线-环镇北路北侧-平水江；兰亭街道：联合路-永兴路-娄宫江-任杨江-中心路-茂林路-联合路；上虞区：春澜路-梁祝大道-萧甬铁路-百谢路-九龙山公园-百岭路-舜耕大道东段-舜耕大道西段-春晖工业大道-亚厦大道-东山路-五星中路-博文路-复兴东路-虞舜大道中段-曹娥江-曙兴路-杭甬铁路客运专线-虞舜大道北段-春澜路；崧厦镇：百崧路-伞城南路-长海公路-盛祥路-百崧路；环城东路-城东路-裕德路-粮争路-何西大道-环城东路</w:t>
            </w:r>
          </w:p>
        </w:tc>
        <w:tc>
          <w:tcPr>
            <w:tcW w:w="1145" w:type="dxa"/>
            <w:vAlign w:val="center"/>
          </w:tcPr>
          <w:p>
            <w:pPr>
              <w:adjustRightInd w:val="0"/>
              <w:snapToGrid w:val="0"/>
              <w:spacing w:line="300" w:lineRule="exact"/>
              <w:jc w:val="center"/>
              <w:rPr>
                <w:sz w:val="24"/>
                <w:szCs w:val="24"/>
              </w:rPr>
            </w:pPr>
            <w:r>
              <w:rPr>
                <w:rFonts w:ascii="tim" w:hAnsi="tim"/>
                <w:sz w:val="24"/>
                <w:szCs w:val="24"/>
              </w:rPr>
              <w:t>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839"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Ⅵ</w:t>
            </w:r>
            <w:r>
              <w:rPr>
                <w:sz w:val="24"/>
                <w:szCs w:val="24"/>
              </w:rPr>
              <w:t>级</w:t>
            </w:r>
          </w:p>
        </w:tc>
        <w:tc>
          <w:tcPr>
            <w:tcW w:w="7169"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级地以外，越城区及柯桥区：越兴北路-越兴南路-杭甬运河-浙东运河-滨富南路（规划名）-南一路（规划名）-规划路-街道边界-会稽路-绍诸高速-杭绍台高速-印山西路（规划名）-兰亭湖大道-漓渚铁路-镇界-兰越路（规划名）-规划路-杭绍台高速西线（规划名）-镇界-萧甬铁路-瓜渚西路-杨绍线-市域边界-顾家荡路（规划名）-越江路-新甸路（规划名）-新华公路-市域边界-镇界-曹娥江-越兴北路；孙端镇：孙端镇规划中心区域；杨汛桥镇：市域边界-镇界-蒲荡路（规划名）-远瞻路（规划名）-杭金衢高速连接线-市域边界；平水镇：沿山路-平水大道（规划名）-平水街-人民路南侧-平西路-绍甘线-规划路-平水大道（规划名）-平陶公路-东桃路-西上线-沿山路；漓渚镇：兴园路-横路-新建街-规划路-福漓公路-六峰路-纬一路-规划路-福漓公路-兴园路；滨海新城（马鞍镇）：春晓路-柯海路-山脚线-规划路-市域边界-春晓路；致远大道-滨海大道-新围路-启源路-双闸路-滨海大道-益农闸江-安滨路-支四河-支三河-新围路-中心河-致远大道；夏履镇：夏履江-绿杨路-西江路-河流-环镇西路-曙光路-夏履江；上虞区：萧甬铁路-规划路-梁祝大道东段-百岭路-博学路-曹娥江-越窑路-曹新路-舜耕大道西段-兴业南路-香茗路（规划名）-虞舜大道中段-人民大道西段-杭甬运河-五星西路-虞中大道-曹娥江-杭甬高速-城东工业园区河道-规划路-萧甬铁路；崧厦镇：环城东路-崧谢路-利民路-庙川路-通达路-伞城大道-通和路-环镇南路-虞中大道-创业路-昌盛路-浙东引水河-虞中大道-何西大道-规划路-广阳路-环城东路；道墟街道：上三高速-马山横江-中南路（规划名）-前青路（规划名）-人民大道西段-上三高速；小越街道：环镇东路-马河江河-横街河-街河-北大江-环镇东路；谢塘镇:盖谢河-禹峰大江-晋生街南侧区域-晋盛家园-盖谢河；杭州湾上虞经济技术开发区及盖北镇：经东三路-盖北路-边沥线-纬七东路-经东三路；丰惠镇：百丰路-西郊路-丰三河-创业河-瑞灵路-百丰路；章镇镇：和谐大道-规划路-友谊路-环城西路-环城北路-和谐大道；汤浦镇：西上线-毓秀路-河-响山路-规划路-西上线</w:t>
            </w:r>
          </w:p>
        </w:tc>
        <w:tc>
          <w:tcPr>
            <w:tcW w:w="1145" w:type="dxa"/>
            <w:vAlign w:val="center"/>
          </w:tcPr>
          <w:p>
            <w:pPr>
              <w:adjustRightInd w:val="0"/>
              <w:snapToGrid w:val="0"/>
              <w:spacing w:line="300" w:lineRule="exact"/>
              <w:jc w:val="center"/>
              <w:rPr>
                <w:sz w:val="24"/>
                <w:szCs w:val="24"/>
              </w:rPr>
            </w:pPr>
            <w:r>
              <w:rPr>
                <w:rFonts w:ascii="tim" w:hAnsi="tim"/>
                <w:sz w:val="24"/>
                <w:szCs w:val="24"/>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109"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Ⅶ</w:t>
            </w:r>
            <w:r>
              <w:rPr>
                <w:sz w:val="24"/>
                <w:szCs w:val="24"/>
              </w:rPr>
              <w:t>级</w:t>
            </w:r>
          </w:p>
        </w:tc>
        <w:tc>
          <w:tcPr>
            <w:tcW w:w="7169"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w:t>
            </w:r>
            <w:r>
              <w:rPr>
                <w:rFonts w:hint="eastAsia" w:ascii="宋体" w:hAnsi="宋体" w:eastAsia="宋体" w:cs="宋体"/>
                <w:sz w:val="24"/>
              </w:rPr>
              <w:t>Ⅵ</w:t>
            </w:r>
            <w:r>
              <w:rPr>
                <w:sz w:val="24"/>
              </w:rPr>
              <w:t>级地以外，越城区及柯桥区：曹娥江-区界-平陶公路-富陶公路-规划路-平陶公路-沿山路-绍甘线-船外线-镇界-市域边界-致远大道-曹娥江；王坛镇：北溪-南溪-绍甘线-平王线-砍上路-兴工路-北溪；稽东镇：车竹东路东侧山脚线－横路岗溪-竹耀路－规划路-竹相路-规划路-北溪-官培溪-车竹路东侧山脚线；上虞区：杭甬高速-东泊和白马湖东侧山脚线-规划路-皂李湖西侧山脚线-杭甬运河及南侧山脚线-曹娥江-规划路-上三高速-东关街道上三高速以西规划建设区域-上三高速-积山南路-泾哨南路-环镇南路-铸剑路（规划名）-杭甬高速-外环西路-致远大道-外环东路-杭甬高速；滨海新城（沥海镇）：嘉绍高速-致远中大道-崧沥河-前进路-七六丘-北环河-城东路-南滨东路-嘉绍高速；小越街道：规划建设区及</w:t>
            </w:r>
            <w:r>
              <w:rPr>
                <w:rFonts w:ascii="tim" w:hAnsi="tim"/>
                <w:sz w:val="24"/>
              </w:rPr>
              <w:t>329</w:t>
            </w:r>
            <w:r>
              <w:rPr>
                <w:sz w:val="24"/>
              </w:rPr>
              <w:t>国道两侧规划建设区域；谢塘镇：崧谢路-东进排涝河-海塘河-崧谢路；杭州湾上虞经济技术开发区及盖北镇：经东五路-盖北路南侧规划路-经三路-纬三东路-经东五路；丰惠镇：丰惠镇城镇规划建设范围内其余区域；章镇镇：章镇老镇区-章丰公路-</w:t>
            </w:r>
            <w:r>
              <w:rPr>
                <w:rFonts w:ascii="tim" w:hAnsi="tim"/>
                <w:sz w:val="24"/>
              </w:rPr>
              <w:t>104</w:t>
            </w:r>
            <w:r>
              <w:rPr>
                <w:sz w:val="24"/>
              </w:rPr>
              <w:t>国道-新城路-滨江大道-章镇大桥-章镇老镇区；汤浦镇：纵二路-舜江老河-联桥路-山脚线-童装路-纵一路-舜源路北侧-纵二路；上浦镇：沿江路-曹娥江-</w:t>
            </w:r>
            <w:r>
              <w:rPr>
                <w:rFonts w:ascii="tim" w:hAnsi="tim"/>
                <w:sz w:val="24"/>
              </w:rPr>
              <w:t>104</w:t>
            </w:r>
            <w:r>
              <w:rPr>
                <w:sz w:val="24"/>
              </w:rPr>
              <w:t>国道-上三高速互通-指石路-</w:t>
            </w:r>
            <w:r>
              <w:rPr>
                <w:rFonts w:ascii="tim" w:hAnsi="tim"/>
                <w:sz w:val="24"/>
              </w:rPr>
              <w:t>104</w:t>
            </w:r>
            <w:r>
              <w:rPr>
                <w:sz w:val="24"/>
              </w:rPr>
              <w:t>国道-规划路-沿江路；驿亭镇：市域边界-萧甬铁路-西山桥河-驿五东路-市域边界；永和镇：永和镇镇区规划建设区域</w:t>
            </w:r>
          </w:p>
        </w:tc>
        <w:tc>
          <w:tcPr>
            <w:tcW w:w="1145" w:type="dxa"/>
            <w:vAlign w:val="center"/>
          </w:tcPr>
          <w:p>
            <w:pPr>
              <w:adjustRightInd w:val="0"/>
              <w:snapToGrid w:val="0"/>
              <w:spacing w:line="300" w:lineRule="exact"/>
              <w:jc w:val="center"/>
              <w:rPr>
                <w:sz w:val="24"/>
                <w:szCs w:val="24"/>
              </w:rPr>
            </w:pPr>
            <w:r>
              <w:rPr>
                <w:rFonts w:ascii="tim" w:hAnsi="tim"/>
                <w:sz w:val="24"/>
                <w:szCs w:val="24"/>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1999"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Ⅷ</w:t>
            </w:r>
            <w:r>
              <w:rPr>
                <w:sz w:val="24"/>
                <w:szCs w:val="24"/>
              </w:rPr>
              <w:t>级</w:t>
            </w:r>
          </w:p>
        </w:tc>
        <w:tc>
          <w:tcPr>
            <w:tcW w:w="7169"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w:t>
            </w:r>
            <w:r>
              <w:rPr>
                <w:rFonts w:hint="eastAsia" w:ascii="宋体" w:hAnsi="宋体" w:eastAsia="宋体" w:cs="宋体"/>
                <w:sz w:val="24"/>
              </w:rPr>
              <w:t>Ⅵ</w:t>
            </w:r>
            <w:r>
              <w:rPr>
                <w:sz w:val="24"/>
              </w:rPr>
              <w:t>、</w:t>
            </w:r>
            <w:r>
              <w:rPr>
                <w:rFonts w:hint="eastAsia" w:ascii="宋体" w:hAnsi="宋体" w:eastAsia="宋体" w:cs="宋体"/>
                <w:sz w:val="24"/>
              </w:rPr>
              <w:t>Ⅶ</w:t>
            </w:r>
            <w:r>
              <w:rPr>
                <w:sz w:val="24"/>
              </w:rPr>
              <w:t>级地以外，富盛镇、平水镇、滨海工业区（马鞍镇)、王坛镇、稽东镇、百官街道、曹娥街道、东关街道、梁湖街道、崧厦镇、道墟街道、滨海新城（沥海镇）、小越街道、谢塘镇、杭州湾上虞经济技术开发区范围内其余区域；丰惠镇、章镇镇、汤浦镇、上浦镇、驿亭镇、永和镇、长塘镇、丁宅乡、下管镇规划区范围内其余区域</w:t>
            </w:r>
          </w:p>
        </w:tc>
        <w:tc>
          <w:tcPr>
            <w:tcW w:w="1145" w:type="dxa"/>
            <w:vAlign w:val="center"/>
          </w:tcPr>
          <w:p>
            <w:pPr>
              <w:adjustRightInd w:val="0"/>
              <w:snapToGrid w:val="0"/>
              <w:spacing w:line="300" w:lineRule="exact"/>
              <w:jc w:val="center"/>
              <w:rPr>
                <w:sz w:val="24"/>
                <w:szCs w:val="24"/>
              </w:rPr>
            </w:pPr>
            <w:r>
              <w:rPr>
                <w:rFonts w:ascii="tim" w:hAnsi="tim"/>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63" w:type="dxa"/>
            <w:tcBorders>
              <w:right w:val="nil"/>
            </w:tcBorders>
            <w:vAlign w:val="center"/>
          </w:tcPr>
          <w:p>
            <w:pPr>
              <w:adjustRightInd w:val="0"/>
              <w:snapToGrid w:val="0"/>
              <w:spacing w:line="300" w:lineRule="exact"/>
              <w:jc w:val="center"/>
              <w:rPr>
                <w:sz w:val="24"/>
                <w:szCs w:val="24"/>
              </w:rPr>
            </w:pPr>
            <w:r>
              <w:rPr>
                <w:rFonts w:hint="eastAsia" w:ascii="宋体" w:hAnsi="宋体" w:eastAsia="宋体" w:cs="宋体"/>
                <w:sz w:val="24"/>
                <w:szCs w:val="24"/>
              </w:rPr>
              <w:t>Ⅸ</w:t>
            </w:r>
            <w:r>
              <w:rPr>
                <w:sz w:val="24"/>
                <w:szCs w:val="24"/>
              </w:rPr>
              <w:t>级</w:t>
            </w:r>
          </w:p>
        </w:tc>
        <w:tc>
          <w:tcPr>
            <w:tcW w:w="7169"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w:t>
            </w:r>
            <w:r>
              <w:rPr>
                <w:rFonts w:hint="eastAsia" w:ascii="宋体" w:hAnsi="宋体" w:eastAsia="宋体" w:cs="宋体"/>
                <w:sz w:val="24"/>
              </w:rPr>
              <w:t>Ⅵ</w:t>
            </w:r>
            <w:r>
              <w:rPr>
                <w:sz w:val="24"/>
              </w:rPr>
              <w:t>、</w:t>
            </w:r>
            <w:r>
              <w:rPr>
                <w:rFonts w:hint="eastAsia" w:ascii="宋体" w:hAnsi="宋体" w:eastAsia="宋体" w:cs="宋体"/>
                <w:sz w:val="24"/>
              </w:rPr>
              <w:t>Ⅶ</w:t>
            </w:r>
            <w:r>
              <w:rPr>
                <w:sz w:val="24"/>
              </w:rPr>
              <w:t>、</w:t>
            </w:r>
            <w:r>
              <w:rPr>
                <w:rFonts w:hint="eastAsia" w:ascii="宋体" w:hAnsi="宋体" w:eastAsia="宋体" w:cs="宋体"/>
                <w:sz w:val="24"/>
              </w:rPr>
              <w:t>Ⅷ</w:t>
            </w:r>
            <w:r>
              <w:rPr>
                <w:sz w:val="24"/>
              </w:rPr>
              <w:t>级地以外，绍兴市区行政区范围内其余区域</w:t>
            </w:r>
          </w:p>
        </w:tc>
        <w:tc>
          <w:tcPr>
            <w:tcW w:w="1145" w:type="dxa"/>
            <w:vAlign w:val="center"/>
          </w:tcPr>
          <w:p>
            <w:pPr>
              <w:adjustRightInd w:val="0"/>
              <w:snapToGrid w:val="0"/>
              <w:spacing w:line="300" w:lineRule="exact"/>
              <w:jc w:val="center"/>
              <w:rPr>
                <w:sz w:val="24"/>
                <w:szCs w:val="24"/>
              </w:rPr>
            </w:pPr>
            <w:r>
              <w:rPr>
                <w:rFonts w:ascii="tim" w:hAnsi="tim"/>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63" w:type="dxa"/>
            <w:tcBorders>
              <w:right w:val="nil"/>
            </w:tcBorders>
            <w:vAlign w:val="center"/>
          </w:tcPr>
          <w:p>
            <w:pPr>
              <w:adjustRightInd w:val="0"/>
              <w:snapToGrid w:val="0"/>
              <w:spacing w:line="300" w:lineRule="exact"/>
              <w:jc w:val="center"/>
              <w:rPr>
                <w:sz w:val="21"/>
                <w:szCs w:val="21"/>
              </w:rPr>
            </w:pPr>
            <w:r>
              <w:rPr>
                <w:sz w:val="21"/>
                <w:szCs w:val="21"/>
              </w:rPr>
              <w:t>备 注</w:t>
            </w:r>
          </w:p>
        </w:tc>
        <w:tc>
          <w:tcPr>
            <w:tcW w:w="8314" w:type="dxa"/>
            <w:gridSpan w:val="2"/>
            <w:vAlign w:val="center"/>
          </w:tcPr>
          <w:p>
            <w:pPr>
              <w:adjustRightInd w:val="0"/>
              <w:snapToGrid w:val="0"/>
              <w:spacing w:line="300" w:lineRule="exact"/>
              <w:ind w:firstLine="420" w:firstLineChars="200"/>
              <w:rPr>
                <w:kern w:val="0"/>
                <w:sz w:val="21"/>
                <w:szCs w:val="21"/>
              </w:rPr>
            </w:pPr>
            <w:r>
              <w:rPr>
                <w:rFonts w:ascii="tim" w:hAnsi="tim"/>
                <w:kern w:val="0"/>
                <w:sz w:val="21"/>
                <w:szCs w:val="21"/>
              </w:rPr>
              <w:t>1</w:t>
            </w:r>
            <w:r>
              <w:rPr>
                <w:kern w:val="0"/>
                <w:sz w:val="21"/>
                <w:szCs w:val="21"/>
              </w:rPr>
              <w:t>.基准地价基准日：</w:t>
            </w:r>
            <w:r>
              <w:rPr>
                <w:rFonts w:ascii="tim" w:hAnsi="tim"/>
                <w:kern w:val="0"/>
                <w:sz w:val="21"/>
                <w:szCs w:val="21"/>
              </w:rPr>
              <w:t>2019</w:t>
            </w:r>
            <w:r>
              <w:rPr>
                <w:kern w:val="0"/>
                <w:sz w:val="21"/>
                <w:szCs w:val="21"/>
              </w:rPr>
              <w:t>年</w:t>
            </w:r>
            <w:r>
              <w:rPr>
                <w:rFonts w:ascii="tim" w:hAnsi="tim"/>
                <w:kern w:val="0"/>
                <w:sz w:val="21"/>
                <w:szCs w:val="21"/>
              </w:rPr>
              <w:t>1</w:t>
            </w:r>
            <w:r>
              <w:rPr>
                <w:kern w:val="0"/>
                <w:sz w:val="21"/>
                <w:szCs w:val="21"/>
              </w:rPr>
              <w:t>月</w:t>
            </w:r>
            <w:r>
              <w:rPr>
                <w:rFonts w:ascii="tim" w:hAnsi="tim"/>
                <w:kern w:val="0"/>
                <w:sz w:val="21"/>
                <w:szCs w:val="21"/>
              </w:rPr>
              <w:t>1</w:t>
            </w:r>
            <w:r>
              <w:rPr>
                <w:kern w:val="0"/>
                <w:sz w:val="21"/>
                <w:szCs w:val="21"/>
              </w:rPr>
              <w:t>日；</w:t>
            </w:r>
          </w:p>
          <w:p>
            <w:pPr>
              <w:adjustRightInd w:val="0"/>
              <w:snapToGrid w:val="0"/>
              <w:spacing w:line="300" w:lineRule="exact"/>
              <w:ind w:firstLine="420" w:firstLineChars="200"/>
              <w:rPr>
                <w:kern w:val="0"/>
                <w:sz w:val="21"/>
                <w:szCs w:val="21"/>
              </w:rPr>
            </w:pPr>
            <w:r>
              <w:rPr>
                <w:rFonts w:ascii="tim" w:hAnsi="tim"/>
                <w:kern w:val="0"/>
                <w:sz w:val="21"/>
                <w:szCs w:val="21"/>
              </w:rPr>
              <w:t>2</w:t>
            </w:r>
            <w:r>
              <w:rPr>
                <w:kern w:val="0"/>
                <w:sz w:val="21"/>
                <w:szCs w:val="21"/>
              </w:rPr>
              <w:t>.基准地价内涵：各土地级别范围内达到</w:t>
            </w:r>
            <w:r>
              <w:rPr>
                <w:rFonts w:hint="eastAsia" w:ascii="仿宋_GB2312"/>
                <w:kern w:val="0"/>
                <w:sz w:val="21"/>
                <w:szCs w:val="21"/>
              </w:rPr>
              <w:t>“五通一平”</w:t>
            </w:r>
            <w:r>
              <w:rPr>
                <w:kern w:val="0"/>
                <w:sz w:val="21"/>
                <w:szCs w:val="21"/>
              </w:rPr>
              <w:t>土地</w:t>
            </w:r>
            <w:r>
              <w:rPr>
                <w:rFonts w:hint="eastAsia" w:ascii="仿宋_GB2312"/>
                <w:kern w:val="0"/>
                <w:sz w:val="21"/>
                <w:szCs w:val="21"/>
              </w:rPr>
              <w:t>开发程度、设定“基准条件”下最高使用年限完整出让土地使用权的单位土地面积平均价格，地价内涵构成包括国家土地所有权收益、土地取得费用和土地前期开发费用；</w:t>
            </w:r>
          </w:p>
          <w:p>
            <w:pPr>
              <w:adjustRightInd w:val="0"/>
              <w:snapToGrid w:val="0"/>
              <w:spacing w:line="300" w:lineRule="exact"/>
              <w:ind w:firstLine="420" w:firstLineChars="200"/>
              <w:rPr>
                <w:kern w:val="0"/>
                <w:sz w:val="21"/>
                <w:szCs w:val="21"/>
              </w:rPr>
            </w:pPr>
            <w:r>
              <w:rPr>
                <w:rFonts w:ascii="tim" w:hAnsi="tim"/>
                <w:kern w:val="0"/>
                <w:sz w:val="21"/>
                <w:szCs w:val="21"/>
              </w:rPr>
              <w:t>3</w:t>
            </w:r>
            <w:r>
              <w:rPr>
                <w:kern w:val="0"/>
                <w:sz w:val="21"/>
                <w:szCs w:val="21"/>
              </w:rPr>
              <w:t>.基准条件界定：容积率为</w:t>
            </w:r>
            <w:r>
              <w:rPr>
                <w:rFonts w:ascii="tim" w:hAnsi="tim"/>
                <w:kern w:val="0"/>
                <w:sz w:val="21"/>
                <w:szCs w:val="21"/>
              </w:rPr>
              <w:t>2</w:t>
            </w:r>
            <w:r>
              <w:rPr>
                <w:kern w:val="0"/>
                <w:sz w:val="21"/>
                <w:szCs w:val="21"/>
              </w:rPr>
              <w:t>.</w:t>
            </w:r>
            <w:r>
              <w:rPr>
                <w:rFonts w:ascii="tim" w:hAnsi="tim"/>
                <w:kern w:val="0"/>
                <w:sz w:val="21"/>
                <w:szCs w:val="21"/>
              </w:rPr>
              <w:t>2</w:t>
            </w:r>
            <w:r>
              <w:rPr>
                <w:kern w:val="0"/>
                <w:sz w:val="21"/>
                <w:szCs w:val="21"/>
              </w:rPr>
              <w:t>、建筑密度为</w:t>
            </w:r>
            <w:r>
              <w:rPr>
                <w:rFonts w:ascii="tim" w:hAnsi="tim"/>
                <w:kern w:val="0"/>
                <w:sz w:val="21"/>
                <w:szCs w:val="21"/>
              </w:rPr>
              <w:t>45</w:t>
            </w:r>
            <w:r>
              <w:rPr>
                <w:kern w:val="0"/>
                <w:sz w:val="21"/>
                <w:szCs w:val="21"/>
              </w:rPr>
              <w:t>%，宗地进深为</w:t>
            </w:r>
            <w:r>
              <w:rPr>
                <w:rFonts w:ascii="tim" w:hAnsi="tim"/>
                <w:kern w:val="0"/>
                <w:sz w:val="21"/>
                <w:szCs w:val="21"/>
              </w:rPr>
              <w:t>50</w:t>
            </w:r>
            <w:r>
              <w:rPr>
                <w:kern w:val="0"/>
                <w:sz w:val="21"/>
                <w:szCs w:val="21"/>
              </w:rPr>
              <w:t xml:space="preserve">米； </w:t>
            </w:r>
          </w:p>
          <w:p>
            <w:pPr>
              <w:adjustRightInd w:val="0"/>
              <w:snapToGrid w:val="0"/>
              <w:spacing w:line="300" w:lineRule="exact"/>
              <w:ind w:firstLine="420" w:firstLineChars="200"/>
              <w:rPr>
                <w:kern w:val="0"/>
                <w:sz w:val="21"/>
                <w:szCs w:val="21"/>
              </w:rPr>
            </w:pPr>
            <w:r>
              <w:rPr>
                <w:rFonts w:ascii="tim" w:hAnsi="tim"/>
                <w:kern w:val="0"/>
                <w:sz w:val="21"/>
                <w:szCs w:val="21"/>
              </w:rPr>
              <w:t>4</w:t>
            </w:r>
            <w:r>
              <w:rPr>
                <w:kern w:val="0"/>
                <w:sz w:val="21"/>
                <w:szCs w:val="21"/>
              </w:rPr>
              <w:t>.土地使用年期：</w:t>
            </w:r>
            <w:r>
              <w:rPr>
                <w:rFonts w:ascii="tim" w:hAnsi="tim"/>
                <w:kern w:val="0"/>
                <w:sz w:val="21"/>
                <w:szCs w:val="21"/>
              </w:rPr>
              <w:t>40</w:t>
            </w:r>
            <w:r>
              <w:rPr>
                <w:kern w:val="0"/>
                <w:sz w:val="21"/>
                <w:szCs w:val="21"/>
              </w:rPr>
              <w:t>年；</w:t>
            </w:r>
          </w:p>
          <w:p>
            <w:pPr>
              <w:adjustRightInd w:val="0"/>
              <w:snapToGrid w:val="0"/>
              <w:spacing w:line="300" w:lineRule="exact"/>
              <w:ind w:firstLine="420" w:firstLineChars="200"/>
              <w:rPr>
                <w:kern w:val="0"/>
                <w:sz w:val="21"/>
                <w:szCs w:val="21"/>
              </w:rPr>
            </w:pPr>
            <w:r>
              <w:rPr>
                <w:rFonts w:ascii="tim" w:hAnsi="tim"/>
                <w:kern w:val="0"/>
                <w:sz w:val="21"/>
                <w:szCs w:val="21"/>
              </w:rPr>
              <w:t>5</w:t>
            </w:r>
            <w:r>
              <w:rPr>
                <w:kern w:val="0"/>
                <w:sz w:val="21"/>
                <w:szCs w:val="21"/>
              </w:rPr>
              <w:t>.土地级别范围：具体详见绍兴市区商服用地级别基准地价图；</w:t>
            </w:r>
          </w:p>
          <w:p>
            <w:pPr>
              <w:adjustRightInd w:val="0"/>
              <w:snapToGrid w:val="0"/>
              <w:spacing w:line="300" w:lineRule="exact"/>
              <w:ind w:firstLine="420" w:firstLineChars="200"/>
              <w:rPr>
                <w:sz w:val="21"/>
                <w:szCs w:val="21"/>
              </w:rPr>
            </w:pPr>
            <w:r>
              <w:rPr>
                <w:rFonts w:ascii="tim" w:hAnsi="tim"/>
                <w:kern w:val="0"/>
                <w:sz w:val="21"/>
                <w:szCs w:val="21"/>
              </w:rPr>
              <w:t>6</w:t>
            </w:r>
            <w:r>
              <w:rPr>
                <w:kern w:val="0"/>
                <w:sz w:val="21"/>
                <w:szCs w:val="21"/>
              </w:rPr>
              <w:t>.适用范围：级别基准地价成果主要应用于政府宏观地价管理和出让地价审核等管理需要，原则上不用于具体宗地地价的评估。运用基准地价系数修正法评估商服用地宗地地价时，原则上不以本表中的级别基准地价作为评估修正基准。</w:t>
            </w:r>
          </w:p>
        </w:tc>
      </w:tr>
    </w:tbl>
    <w:p>
      <w:pPr>
        <w:jc w:val="center"/>
        <w:rPr>
          <w:sz w:val="24"/>
          <w:szCs w:val="24"/>
        </w:rPr>
      </w:pPr>
    </w:p>
    <w:p>
      <w:pPr>
        <w:pStyle w:val="2"/>
        <w:spacing w:before="120" w:after="120" w:line="320" w:lineRule="exact"/>
        <w:jc w:val="center"/>
        <w:rPr>
          <w:rFonts w:ascii="黑体" w:hAnsi="黑体"/>
          <w:b w:val="0"/>
          <w:spacing w:val="-2"/>
          <w:sz w:val="30"/>
          <w:szCs w:val="30"/>
        </w:rPr>
      </w:pPr>
      <w:r>
        <w:rPr>
          <w:rFonts w:ascii="黑体" w:hAnsi="黑体"/>
          <w:b w:val="0"/>
          <w:spacing w:val="-2"/>
          <w:sz w:val="30"/>
          <w:szCs w:val="30"/>
        </w:rPr>
        <w:t>表4  绍兴市区住宅用地级别基准地价表</w:t>
      </w:r>
    </w:p>
    <w:p>
      <w:pPr>
        <w:adjustRightInd w:val="0"/>
        <w:snapToGrid w:val="0"/>
        <w:ind w:right="-168" w:rightChars="-80"/>
        <w:jc w:val="right"/>
        <w:rPr>
          <w:sz w:val="24"/>
          <w:szCs w:val="24"/>
        </w:rPr>
      </w:pPr>
      <w:r>
        <w:rPr>
          <w:sz w:val="24"/>
          <w:szCs w:val="24"/>
        </w:rPr>
        <w:t>单位：元/平方米</w:t>
      </w:r>
    </w:p>
    <w:tbl>
      <w:tblPr>
        <w:tblStyle w:val="8"/>
        <w:tblW w:w="8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
      <w:tblGrid>
        <w:gridCol w:w="648"/>
        <w:gridCol w:w="7013"/>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6" w:hRule="atLeast"/>
          <w:tblHeader/>
          <w:jc w:val="center"/>
        </w:trPr>
        <w:tc>
          <w:tcPr>
            <w:tcW w:w="648" w:type="dxa"/>
            <w:vAlign w:val="center"/>
          </w:tcPr>
          <w:p>
            <w:pPr>
              <w:adjustRightInd w:val="0"/>
              <w:snapToGrid w:val="0"/>
              <w:jc w:val="center"/>
              <w:rPr>
                <w:sz w:val="24"/>
                <w:szCs w:val="24"/>
              </w:rPr>
            </w:pPr>
            <w:r>
              <w:rPr>
                <w:sz w:val="24"/>
                <w:szCs w:val="24"/>
              </w:rPr>
              <w:t>级别</w:t>
            </w:r>
          </w:p>
        </w:tc>
        <w:tc>
          <w:tcPr>
            <w:tcW w:w="7013" w:type="dxa"/>
            <w:vAlign w:val="center"/>
          </w:tcPr>
          <w:p>
            <w:pPr>
              <w:adjustRightInd w:val="0"/>
              <w:snapToGrid w:val="0"/>
              <w:jc w:val="center"/>
              <w:rPr>
                <w:sz w:val="24"/>
                <w:szCs w:val="24"/>
              </w:rPr>
            </w:pPr>
            <w:r>
              <w:rPr>
                <w:sz w:val="24"/>
                <w:szCs w:val="24"/>
              </w:rPr>
              <w:t>范    围</w:t>
            </w:r>
          </w:p>
        </w:tc>
        <w:tc>
          <w:tcPr>
            <w:tcW w:w="1189" w:type="dxa"/>
            <w:vAlign w:val="center"/>
          </w:tcPr>
          <w:p>
            <w:pPr>
              <w:adjustRightInd w:val="0"/>
              <w:snapToGrid w:val="0"/>
              <w:spacing w:line="240" w:lineRule="atLeast"/>
              <w:jc w:val="center"/>
              <w:rPr>
                <w:sz w:val="24"/>
                <w:szCs w:val="24"/>
              </w:rPr>
            </w:pPr>
            <w:r>
              <w:rPr>
                <w:sz w:val="24"/>
                <w:szCs w:val="24"/>
              </w:rPr>
              <w:t>基准地价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20" w:hRule="atLeast"/>
          <w:jc w:val="center"/>
        </w:trPr>
        <w:tc>
          <w:tcPr>
            <w:tcW w:w="648"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Ⅰ</w:t>
            </w:r>
            <w:r>
              <w:rPr>
                <w:sz w:val="24"/>
                <w:szCs w:val="24"/>
              </w:rPr>
              <w:t>级</w:t>
            </w:r>
          </w:p>
        </w:tc>
        <w:tc>
          <w:tcPr>
            <w:tcW w:w="7013" w:type="dxa"/>
            <w:vAlign w:val="center"/>
          </w:tcPr>
          <w:p>
            <w:pPr>
              <w:adjustRightInd w:val="0"/>
              <w:snapToGrid w:val="0"/>
              <w:rPr>
                <w:sz w:val="24"/>
                <w:szCs w:val="21"/>
              </w:rPr>
            </w:pPr>
            <w:r>
              <w:rPr>
                <w:sz w:val="24"/>
                <w:szCs w:val="21"/>
              </w:rPr>
              <w:t>上沙盆底-萧甬铁路-梅龙湖-浙东运河-环城东河-环城南河-环城西河-萧甬铁路-车站北路-二环北路-上沙盆底</w:t>
            </w:r>
          </w:p>
        </w:tc>
        <w:tc>
          <w:tcPr>
            <w:tcW w:w="1189" w:type="dxa"/>
            <w:vAlign w:val="center"/>
          </w:tcPr>
          <w:p>
            <w:pPr>
              <w:adjustRightInd w:val="0"/>
              <w:snapToGrid w:val="0"/>
              <w:spacing w:line="240" w:lineRule="atLeast"/>
              <w:jc w:val="center"/>
              <w:rPr>
                <w:sz w:val="24"/>
                <w:szCs w:val="24"/>
              </w:rPr>
            </w:pPr>
            <w:r>
              <w:rPr>
                <w:rFonts w:ascii="tim" w:hAnsi="tim"/>
                <w:sz w:val="24"/>
                <w:szCs w:val="24"/>
              </w:rPr>
              <w:t>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1998" w:hRule="atLeast"/>
          <w:jc w:val="center"/>
        </w:trPr>
        <w:tc>
          <w:tcPr>
            <w:tcW w:w="648"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Ⅱ</w:t>
            </w:r>
            <w:r>
              <w:rPr>
                <w:sz w:val="24"/>
                <w:szCs w:val="24"/>
              </w:rPr>
              <w:t>级</w:t>
            </w:r>
          </w:p>
        </w:tc>
        <w:tc>
          <w:tcPr>
            <w:tcW w:w="7013" w:type="dxa"/>
            <w:vAlign w:val="center"/>
          </w:tcPr>
          <w:p>
            <w:pPr>
              <w:adjustRightInd w:val="0"/>
              <w:snapToGrid w:val="0"/>
              <w:rPr>
                <w:sz w:val="24"/>
                <w:szCs w:val="21"/>
              </w:rPr>
            </w:pPr>
            <w:r>
              <w:rPr>
                <w:rFonts w:hint="eastAsia" w:ascii="宋体" w:hAnsi="宋体" w:eastAsia="宋体" w:cs="宋体"/>
                <w:sz w:val="24"/>
                <w:szCs w:val="21"/>
              </w:rPr>
              <w:t>Ⅰ</w:t>
            </w:r>
            <w:r>
              <w:rPr>
                <w:sz w:val="24"/>
                <w:szCs w:val="21"/>
              </w:rPr>
              <w:t>级地以外，越城区：越东路-平水东江-平水江-阳明路西侧山脚线-二环南路-东光路-姚婆</w:t>
            </w:r>
            <w:r>
              <w:rPr>
                <w:rFonts w:hint="eastAsia" w:ascii="微软雅黑" w:hAnsi="微软雅黑" w:eastAsia="微软雅黑" w:cs="微软雅黑"/>
                <w:sz w:val="24"/>
                <w:szCs w:val="21"/>
              </w:rPr>
              <w:t>溇</w:t>
            </w:r>
            <w:r>
              <w:rPr>
                <w:sz w:val="24"/>
                <w:szCs w:val="21"/>
              </w:rPr>
              <w:t>-南池江-大明路-坡塘江-二环南路-亭山河-淡烟路-王家庄路-二环西路-鉴湖-石堰江-西郊路-二环西路-大树江-黄蒋渡-山闸西江-外官塘-凤林东路-越东路；柯桥区：瓜渚湖直江-华齐路-双渎路-三江大河-珠岩江-区界-镜水路-轻纺城大道-华墟直江-瓜渚路-鉴水路-三江大河-华齐路-浩田畈-杭甬铁路客运专线-瓜渚湖直江</w:t>
            </w:r>
          </w:p>
        </w:tc>
        <w:tc>
          <w:tcPr>
            <w:tcW w:w="1189" w:type="dxa"/>
            <w:vAlign w:val="center"/>
          </w:tcPr>
          <w:p>
            <w:pPr>
              <w:adjustRightInd w:val="0"/>
              <w:snapToGrid w:val="0"/>
              <w:spacing w:line="240" w:lineRule="atLeast"/>
              <w:jc w:val="center"/>
              <w:rPr>
                <w:sz w:val="24"/>
                <w:szCs w:val="24"/>
              </w:rPr>
            </w:pPr>
            <w:r>
              <w:rPr>
                <w:rFonts w:ascii="tim" w:hAnsi="tim"/>
                <w:sz w:val="24"/>
                <w:szCs w:val="24"/>
              </w:rPr>
              <w:t>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5044" w:hRule="atLeast"/>
          <w:jc w:val="center"/>
        </w:trPr>
        <w:tc>
          <w:tcPr>
            <w:tcW w:w="648"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Ⅲ</w:t>
            </w:r>
            <w:r>
              <w:rPr>
                <w:sz w:val="24"/>
                <w:szCs w:val="24"/>
              </w:rPr>
              <w:t>级</w:t>
            </w:r>
          </w:p>
        </w:tc>
        <w:tc>
          <w:tcPr>
            <w:tcW w:w="7013" w:type="dxa"/>
            <w:vAlign w:val="center"/>
          </w:tcPr>
          <w:p>
            <w:pPr>
              <w:adjustRightInd w:val="0"/>
              <w:snapToGrid w:val="0"/>
              <w:rPr>
                <w:sz w:val="24"/>
                <w:szCs w:val="21"/>
              </w:rPr>
            </w:pPr>
            <w:r>
              <w:rPr>
                <w:rFonts w:hint="eastAsia" w:ascii="宋体" w:hAnsi="宋体" w:eastAsia="宋体" w:cs="宋体"/>
                <w:sz w:val="24"/>
                <w:szCs w:val="21"/>
              </w:rPr>
              <w:t>Ⅰ</w:t>
            </w:r>
            <w:r>
              <w:rPr>
                <w:sz w:val="24"/>
                <w:szCs w:val="21"/>
              </w:rPr>
              <w:t>、</w:t>
            </w:r>
            <w:r>
              <w:rPr>
                <w:rFonts w:hint="eastAsia" w:ascii="宋体" w:hAnsi="宋体" w:eastAsia="宋体" w:cs="宋体"/>
                <w:sz w:val="24"/>
                <w:szCs w:val="21"/>
              </w:rPr>
              <w:t>Ⅱ</w:t>
            </w:r>
            <w:r>
              <w:rPr>
                <w:sz w:val="24"/>
                <w:szCs w:val="21"/>
              </w:rPr>
              <w:t>级地以外，越城区及柯桥区：越英路-群贤东路-越秀北路-洋江东路-规划路-窑湾江-海南路-萧甬铁路-独树路-狮子山山脊线-平水大道西侧山脚线-二环南路南侧山脚线-玉山路-中兴南路-绍诸高速-日铸路（规划名）-横江-坡塘江-玉山路-牛眠路（规划名）-大明路-区界-鉴湖-区界-鱼渎江-镜水南路-南闲路-秋湖东江-杨绍路-型塘江-鉴湖-新风直江-柯南大道-酒香路（规划名）-大坂湖直江-萧甬铁路-岩塘-横江路（规划名）-马山闸西江-小佐路-绸缎路-小阜直江-东小江-鉴水中路-萧甬铁路-越州大道-杭甬运河-育才路-上方山路-镜水北路-杭甬铁路客运专线-于越路-湖潮江-凤二桥江-菖蒲</w:t>
            </w:r>
            <w:r>
              <w:rPr>
                <w:rFonts w:hint="eastAsia" w:ascii="微软雅黑" w:hAnsi="微软雅黑" w:eastAsia="微软雅黑" w:cs="微软雅黑"/>
                <w:sz w:val="24"/>
                <w:szCs w:val="21"/>
              </w:rPr>
              <w:t>溇</w:t>
            </w:r>
            <w:r>
              <w:rPr>
                <w:sz w:val="24"/>
                <w:szCs w:val="21"/>
              </w:rPr>
              <w:t>直江-于越路-越英路；钱清镇：环镇东路-群贤西路-钱杨大道（规划名）-钱陶路-联系河-东岭路-市域边界-市场北路-环镇东路；杨汛桥镇：市域边界-杨绍线-紫薇路-杨江东路-街河-市域边界；江桥区域</w:t>
            </w:r>
            <w:r>
              <w:rPr>
                <w:rFonts w:ascii="tim" w:hAnsi="tim"/>
                <w:sz w:val="24"/>
                <w:szCs w:val="21"/>
              </w:rPr>
              <w:t>10</w:t>
            </w:r>
            <w:r>
              <w:rPr>
                <w:sz w:val="24"/>
                <w:szCs w:val="21"/>
              </w:rPr>
              <w:t>号街-杨江中路-</w:t>
            </w:r>
            <w:r>
              <w:rPr>
                <w:rFonts w:ascii="tim" w:hAnsi="tim"/>
                <w:sz w:val="24"/>
                <w:szCs w:val="21"/>
              </w:rPr>
              <w:t>9</w:t>
            </w:r>
            <w:r>
              <w:rPr>
                <w:sz w:val="24"/>
                <w:szCs w:val="21"/>
              </w:rPr>
              <w:t>号街-杭金衢高速连接线-</w:t>
            </w:r>
            <w:r>
              <w:rPr>
                <w:rFonts w:ascii="tim" w:hAnsi="tim"/>
                <w:sz w:val="24"/>
                <w:szCs w:val="21"/>
              </w:rPr>
              <w:t>8</w:t>
            </w:r>
            <w:r>
              <w:rPr>
                <w:sz w:val="24"/>
                <w:szCs w:val="21"/>
              </w:rPr>
              <w:t>号街-市域边界-</w:t>
            </w:r>
            <w:r>
              <w:rPr>
                <w:rFonts w:ascii="tim" w:hAnsi="tim"/>
                <w:sz w:val="24"/>
                <w:szCs w:val="21"/>
              </w:rPr>
              <w:t>10</w:t>
            </w:r>
            <w:r>
              <w:rPr>
                <w:sz w:val="24"/>
                <w:szCs w:val="21"/>
              </w:rPr>
              <w:t>号街；上虞区：迎宾大道-百崧河-萧甬铁路-舜江西路-五星东路-五星中路-博文路-复兴东路-虞舜大道-峰山路-江广路-江环路-迎宾大道</w:t>
            </w:r>
          </w:p>
        </w:tc>
        <w:tc>
          <w:tcPr>
            <w:tcW w:w="1189" w:type="dxa"/>
            <w:vAlign w:val="center"/>
          </w:tcPr>
          <w:p>
            <w:pPr>
              <w:adjustRightInd w:val="0"/>
              <w:snapToGrid w:val="0"/>
              <w:spacing w:line="240" w:lineRule="atLeast"/>
              <w:jc w:val="center"/>
              <w:rPr>
                <w:sz w:val="24"/>
                <w:szCs w:val="24"/>
              </w:rPr>
            </w:pPr>
            <w:r>
              <w:rPr>
                <w:rFonts w:ascii="tim" w:hAnsi="tim"/>
                <w:sz w:val="24"/>
                <w:szCs w:val="24"/>
              </w:rPr>
              <w:t>4370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6941" w:hRule="atLeast"/>
          <w:jc w:val="center"/>
        </w:trPr>
        <w:tc>
          <w:tcPr>
            <w:tcW w:w="648"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Ⅳ</w:t>
            </w:r>
            <w:r>
              <w:rPr>
                <w:sz w:val="24"/>
                <w:szCs w:val="24"/>
              </w:rPr>
              <w:t xml:space="preserve">级 </w:t>
            </w:r>
          </w:p>
        </w:tc>
        <w:tc>
          <w:tcPr>
            <w:tcW w:w="7013" w:type="dxa"/>
            <w:vAlign w:val="center"/>
          </w:tcPr>
          <w:p>
            <w:pPr>
              <w:adjustRightInd w:val="0"/>
              <w:snapToGrid w:val="0"/>
              <w:rPr>
                <w:sz w:val="24"/>
                <w:szCs w:val="21"/>
              </w:rPr>
            </w:pPr>
            <w:r>
              <w:rPr>
                <w:rFonts w:hint="eastAsia" w:ascii="宋体" w:hAnsi="宋体" w:eastAsia="宋体" w:cs="宋体"/>
                <w:sz w:val="24"/>
                <w:szCs w:val="21"/>
              </w:rPr>
              <w:t>Ⅰ</w:t>
            </w:r>
            <w:r>
              <w:rPr>
                <w:sz w:val="24"/>
                <w:szCs w:val="21"/>
              </w:rPr>
              <w:t>、</w:t>
            </w:r>
            <w:r>
              <w:rPr>
                <w:rFonts w:hint="eastAsia" w:ascii="宋体" w:hAnsi="宋体" w:eastAsia="宋体" w:cs="宋体"/>
                <w:sz w:val="24"/>
                <w:szCs w:val="21"/>
              </w:rPr>
              <w:t>Ⅱ</w:t>
            </w:r>
            <w:r>
              <w:rPr>
                <w:sz w:val="24"/>
                <w:szCs w:val="21"/>
              </w:rPr>
              <w:t>、</w:t>
            </w:r>
            <w:r>
              <w:rPr>
                <w:rFonts w:hint="eastAsia" w:ascii="宋体" w:hAnsi="宋体" w:eastAsia="宋体" w:cs="宋体"/>
                <w:sz w:val="24"/>
                <w:szCs w:val="21"/>
              </w:rPr>
              <w:t>Ⅲ</w:t>
            </w:r>
            <w:r>
              <w:rPr>
                <w:sz w:val="24"/>
                <w:szCs w:val="21"/>
              </w:rPr>
              <w:t>级地以外，越城区及柯桥区：越东路-</w:t>
            </w:r>
            <w:r>
              <w:rPr>
                <w:sz w:val="24"/>
              </w:rPr>
              <w:t>马山路-马斗江-陶畈港-马山路</w:t>
            </w:r>
            <w:r>
              <w:rPr>
                <w:sz w:val="24"/>
                <w:szCs w:val="21"/>
              </w:rPr>
              <w:t>-越兴北路-越兴南路-杭甬运河-上樊公路-浙东运河-滨富南路（规划名）-中山路-三路江-华顺江东侧山脚线-镇界-平水白露园东侧山脚线-上灶江-平陶公路-平水大道（规划名）-环镇北路-东桃路-</w:t>
            </w:r>
            <w:r>
              <w:rPr>
                <w:sz w:val="24"/>
              </w:rPr>
              <w:t>干渠-卧山龙支路-</w:t>
            </w:r>
            <w:r>
              <w:rPr>
                <w:sz w:val="24"/>
                <w:szCs w:val="21"/>
              </w:rPr>
              <w:t>人民路-平水街-绍甘线-稽山一品北侧山脚线-平水大道（规划名）-镇界-会稽路-绍诸高速南侧河流-芳泉溪-牛眠路（规划名）-印山西路（规划名）-区界-兰亭街道茹家渡-张门前</w:t>
            </w:r>
            <w:r>
              <w:rPr>
                <w:rFonts w:hint="eastAsia" w:ascii="微软雅黑" w:hAnsi="微软雅黑" w:eastAsia="微软雅黑" w:cs="微软雅黑"/>
                <w:sz w:val="24"/>
                <w:szCs w:val="21"/>
              </w:rPr>
              <w:t>溇</w:t>
            </w:r>
            <w:r>
              <w:rPr>
                <w:sz w:val="24"/>
                <w:szCs w:val="21"/>
              </w:rPr>
              <w:t>-兰越路（规划名）-永兴路-山阴路-</w:t>
            </w:r>
            <w:r>
              <w:rPr>
                <w:sz w:val="24"/>
              </w:rPr>
              <w:t>娄宫江-任杨江-中心路-茂林路-联合路</w:t>
            </w:r>
            <w:r>
              <w:rPr>
                <w:sz w:val="24"/>
                <w:szCs w:val="21"/>
              </w:rPr>
              <w:t>-中心路-镇界-</w:t>
            </w:r>
            <w:r>
              <w:rPr>
                <w:sz w:val="24"/>
              </w:rPr>
              <w:t>漓</w:t>
            </w:r>
            <w:r>
              <w:rPr>
                <w:sz w:val="24"/>
                <w:szCs w:val="21"/>
              </w:rPr>
              <w:t>渚铁路-洪家</w:t>
            </w:r>
            <w:r>
              <w:rPr>
                <w:rFonts w:hint="eastAsia" w:ascii="微软雅黑" w:hAnsi="微软雅黑" w:eastAsia="微软雅黑" w:cs="微软雅黑"/>
                <w:sz w:val="24"/>
                <w:szCs w:val="21"/>
              </w:rPr>
              <w:t>溇</w:t>
            </w:r>
            <w:r>
              <w:rPr>
                <w:sz w:val="24"/>
                <w:szCs w:val="21"/>
              </w:rPr>
              <w:t>-大坟渡-</w:t>
            </w:r>
            <w:r>
              <w:rPr>
                <w:sz w:val="24"/>
              </w:rPr>
              <w:t>漓渚江-下辽泾-杨绍路-大越路-面前江-规划路-镇界</w:t>
            </w:r>
            <w:r>
              <w:rPr>
                <w:sz w:val="24"/>
                <w:szCs w:val="21"/>
              </w:rPr>
              <w:t>-杭绍台高速西线-州山路（规划名）-杨绍路-毛窀江-湖安路-萧甬铁路-瓜渚西路-杨绍线-市域边界-顾家荡路-越江路-新甸路（规划名）-万秀路-钱陶路-湖安路-柯北大道-柯海公路-杭绍台高速-环镇东路-区界-于越路-解放大道北延段-外官塘-三江路-越东路；杨汛桥镇：</w:t>
            </w:r>
            <w:r>
              <w:rPr>
                <w:sz w:val="24"/>
              </w:rPr>
              <w:t>市域边界-镇界-蒲荡路（规划名）-远瞻路（规划名）-杭金衢高速连接线-市域边界；</w:t>
            </w:r>
            <w:r>
              <w:rPr>
                <w:sz w:val="24"/>
                <w:szCs w:val="21"/>
              </w:rPr>
              <w:t>滨海工业区（马鞍镇）：</w:t>
            </w:r>
            <w:r>
              <w:rPr>
                <w:sz w:val="24"/>
              </w:rPr>
              <w:t>春晓路-柯海路-山脚线-规划路-市域边界-春晓路；致远大道-滨海大道-新围路-启源路-双闸路-滨海大道-益农闸江-安滨路-支四河-支三河-新围路-中心河-致远大道</w:t>
            </w:r>
            <w:r>
              <w:rPr>
                <w:sz w:val="24"/>
                <w:szCs w:val="21"/>
              </w:rPr>
              <w:t>；上虞区:</w:t>
            </w:r>
            <w:r>
              <w:rPr>
                <w:sz w:val="24"/>
              </w:rPr>
              <w:t xml:space="preserve"> 春澜路-规划路-虞甬运河-梁祝大道-萧甬铁路-百谢路-梁祝大道东段-百岭路-博学路-春晖工业大道-亚厦大道-东山路-</w:t>
            </w:r>
            <w:r>
              <w:rPr>
                <w:sz w:val="24"/>
                <w:szCs w:val="21"/>
              </w:rPr>
              <w:t>通江路</w:t>
            </w:r>
            <w:r>
              <w:rPr>
                <w:sz w:val="24"/>
              </w:rPr>
              <w:t>-博文路-</w:t>
            </w:r>
            <w:r>
              <w:rPr>
                <w:sz w:val="24"/>
                <w:szCs w:val="21"/>
              </w:rPr>
              <w:t>规划路-兴业北路-五星中路-杭甬运河-曹娥江-曙兴路-杭甬铁路客运专线-虞舜大道北段-</w:t>
            </w:r>
            <w:r>
              <w:rPr>
                <w:sz w:val="24"/>
              </w:rPr>
              <w:t>春澜路</w:t>
            </w:r>
          </w:p>
        </w:tc>
        <w:tc>
          <w:tcPr>
            <w:tcW w:w="1189" w:type="dxa"/>
            <w:vAlign w:val="center"/>
          </w:tcPr>
          <w:p>
            <w:pPr>
              <w:adjustRightInd w:val="0"/>
              <w:snapToGrid w:val="0"/>
              <w:spacing w:line="240" w:lineRule="atLeast"/>
              <w:jc w:val="center"/>
              <w:rPr>
                <w:sz w:val="24"/>
                <w:szCs w:val="24"/>
              </w:rPr>
            </w:pPr>
            <w:r>
              <w:rPr>
                <w:rFonts w:ascii="tim" w:hAnsi="tim"/>
                <w:sz w:val="24"/>
                <w:szCs w:val="24"/>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20" w:hRule="atLeast"/>
          <w:jc w:val="center"/>
        </w:trPr>
        <w:tc>
          <w:tcPr>
            <w:tcW w:w="648"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Ⅴ</w:t>
            </w:r>
            <w:r>
              <w:rPr>
                <w:sz w:val="24"/>
                <w:szCs w:val="24"/>
              </w:rPr>
              <w:t>级</w:t>
            </w:r>
          </w:p>
        </w:tc>
        <w:tc>
          <w:tcPr>
            <w:tcW w:w="7013" w:type="dxa"/>
            <w:vAlign w:val="center"/>
          </w:tcPr>
          <w:p>
            <w:pPr>
              <w:adjustRightInd w:val="0"/>
              <w:snapToGrid w:val="0"/>
              <w:rPr>
                <w:sz w:val="24"/>
                <w:szCs w:val="21"/>
              </w:rPr>
            </w:pPr>
            <w:r>
              <w:rPr>
                <w:rFonts w:hint="eastAsia" w:ascii="宋体" w:hAnsi="宋体" w:eastAsia="宋体" w:cs="宋体"/>
                <w:sz w:val="24"/>
                <w:szCs w:val="21"/>
              </w:rPr>
              <w:t>Ⅰ</w:t>
            </w:r>
            <w:r>
              <w:rPr>
                <w:sz w:val="24"/>
                <w:szCs w:val="21"/>
              </w:rPr>
              <w:t>、</w:t>
            </w:r>
            <w:r>
              <w:rPr>
                <w:rFonts w:hint="eastAsia" w:ascii="宋体" w:hAnsi="宋体" w:eastAsia="宋体" w:cs="宋体"/>
                <w:sz w:val="24"/>
                <w:szCs w:val="21"/>
              </w:rPr>
              <w:t>Ⅱ</w:t>
            </w:r>
            <w:r>
              <w:rPr>
                <w:sz w:val="24"/>
                <w:szCs w:val="21"/>
              </w:rPr>
              <w:t>、</w:t>
            </w:r>
            <w:r>
              <w:rPr>
                <w:rFonts w:hint="eastAsia" w:ascii="宋体" w:hAnsi="宋体" w:eastAsia="宋体" w:cs="宋体"/>
                <w:sz w:val="24"/>
                <w:szCs w:val="21"/>
              </w:rPr>
              <w:t>Ⅲ</w:t>
            </w:r>
            <w:r>
              <w:rPr>
                <w:sz w:val="24"/>
                <w:szCs w:val="21"/>
              </w:rPr>
              <w:t>、</w:t>
            </w:r>
            <w:r>
              <w:rPr>
                <w:rFonts w:hint="eastAsia" w:ascii="宋体" w:hAnsi="宋体" w:eastAsia="宋体" w:cs="宋体"/>
                <w:sz w:val="24"/>
                <w:szCs w:val="21"/>
              </w:rPr>
              <w:t>Ⅳ</w:t>
            </w:r>
            <w:r>
              <w:rPr>
                <w:sz w:val="24"/>
                <w:szCs w:val="21"/>
              </w:rPr>
              <w:t>级地以外，越城区及柯桥区：曹娥江-滨富中路（规划名）-镇界-</w:t>
            </w:r>
            <w:r>
              <w:rPr>
                <w:sz w:val="24"/>
              </w:rPr>
              <w:t>杭甬运河-浙东运河-镇界-平陶公路-富陶公路-规划路-平陶公路-</w:t>
            </w:r>
            <w:r>
              <w:rPr>
                <w:sz w:val="24"/>
                <w:szCs w:val="21"/>
              </w:rPr>
              <w:t>高速连接线-镇界-平陶公路-沿山路-绍甘线-</w:t>
            </w:r>
            <w:r>
              <w:rPr>
                <w:sz w:val="24"/>
              </w:rPr>
              <w:t>船外线</w:t>
            </w:r>
            <w:r>
              <w:rPr>
                <w:sz w:val="24"/>
                <w:szCs w:val="21"/>
              </w:rPr>
              <w:t>-平水大道（规划名）-解放西路-镇界-印山西路（规划名）-兰亭湖大道-漓渚铁路-兴园路-横路-新建路-福漓路-六峰路-纬一路-镇界-福漓路-杭绍台高速-柯岩、湖塘街道、钱清镇边界-市域边界-致远大道-主江-曹娥江；上虞区：白马湖-萧甬铁路-镇界-山脚线-倪元路-规划路-杭甬运河-可桢路-虞舜大道中段-人民大道西段-虞中大道-五星西路-萧甬铁路-曹娥江-杭甬高速-白马湖；崧厦镇：</w:t>
            </w:r>
            <w:r>
              <w:rPr>
                <w:sz w:val="24"/>
              </w:rPr>
              <w:t>环城东路-崧谢路-利民路-庙川路-通达路-伞城大道-通和路-环镇南路-虞中大道-创业路-昌盛路-浙东引水河-虞中大道-何西大道-规划路-广阳路-环城东路</w:t>
            </w:r>
            <w:r>
              <w:rPr>
                <w:sz w:val="24"/>
                <w:szCs w:val="21"/>
              </w:rPr>
              <w:t>；道墟街道：西直河-</w:t>
            </w:r>
            <w:r>
              <w:rPr>
                <w:sz w:val="24"/>
              </w:rPr>
              <w:t>马山横江</w:t>
            </w:r>
            <w:r>
              <w:rPr>
                <w:sz w:val="24"/>
                <w:szCs w:val="21"/>
              </w:rPr>
              <w:t>-育才路-人民大道西段-西直河；滨海新城（沥海镇）：城东路-河流-新城大道-澄塘路（规划名）-崧沥河-河流-南滨东路-城东路；</w:t>
            </w:r>
            <w:r>
              <w:rPr>
                <w:sz w:val="24"/>
              </w:rPr>
              <w:t>小越街道：环镇东路-马河江河-横街河-街河-北大江-环镇东路；</w:t>
            </w:r>
            <w:r>
              <w:rPr>
                <w:sz w:val="24"/>
                <w:szCs w:val="21"/>
              </w:rPr>
              <w:t>谢塘镇：</w:t>
            </w:r>
            <w:r>
              <w:rPr>
                <w:sz w:val="24"/>
              </w:rPr>
              <w:t>盖谢河-禹峰大江-晋生街南侧区域-晋盛家园-盖谢河</w:t>
            </w:r>
            <w:r>
              <w:rPr>
                <w:sz w:val="24"/>
                <w:szCs w:val="21"/>
              </w:rPr>
              <w:t>：杭州湾上虞经济技术开发区及盖北镇：</w:t>
            </w:r>
            <w:r>
              <w:rPr>
                <w:sz w:val="24"/>
              </w:rPr>
              <w:t>经东三路-盖北路-边沥线-纬七东路-经东三路</w:t>
            </w:r>
            <w:r>
              <w:rPr>
                <w:sz w:val="24"/>
                <w:szCs w:val="21"/>
              </w:rPr>
              <w:t>；丰惠镇：</w:t>
            </w:r>
            <w:r>
              <w:rPr>
                <w:sz w:val="24"/>
              </w:rPr>
              <w:t>百丰路-西郊路-丰三河-创业河-瑞灵路-百丰路；章镇镇：和谐大道-规划路-友谊路-环城西路-环城北路-和谐大道；汤浦镇：西上线-毓秀路-河-响山路-规划路-西上线</w:t>
            </w:r>
          </w:p>
        </w:tc>
        <w:tc>
          <w:tcPr>
            <w:tcW w:w="1189" w:type="dxa"/>
            <w:vAlign w:val="center"/>
          </w:tcPr>
          <w:p>
            <w:pPr>
              <w:adjustRightInd w:val="0"/>
              <w:snapToGrid w:val="0"/>
              <w:spacing w:line="240" w:lineRule="atLeast"/>
              <w:jc w:val="center"/>
              <w:rPr>
                <w:sz w:val="24"/>
                <w:szCs w:val="24"/>
              </w:rPr>
            </w:pPr>
            <w:r>
              <w:rPr>
                <w:rFonts w:ascii="tim" w:hAnsi="tim"/>
                <w:sz w:val="24"/>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20" w:hRule="atLeast"/>
          <w:jc w:val="center"/>
        </w:trPr>
        <w:tc>
          <w:tcPr>
            <w:tcW w:w="648"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Ⅵ</w:t>
            </w:r>
            <w:r>
              <w:rPr>
                <w:sz w:val="24"/>
                <w:szCs w:val="24"/>
              </w:rPr>
              <w:t>级</w:t>
            </w:r>
          </w:p>
        </w:tc>
        <w:tc>
          <w:tcPr>
            <w:tcW w:w="7013" w:type="dxa"/>
            <w:vAlign w:val="center"/>
          </w:tcPr>
          <w:p>
            <w:pPr>
              <w:adjustRightInd w:val="0"/>
              <w:snapToGrid w:val="0"/>
              <w:rPr>
                <w:sz w:val="24"/>
                <w:szCs w:val="21"/>
              </w:rPr>
            </w:pPr>
            <w:r>
              <w:rPr>
                <w:rFonts w:hint="eastAsia" w:ascii="宋体" w:hAnsi="宋体" w:eastAsia="宋体" w:cs="宋体"/>
                <w:sz w:val="24"/>
                <w:szCs w:val="21"/>
              </w:rPr>
              <w:t>Ⅰ</w:t>
            </w:r>
            <w:r>
              <w:rPr>
                <w:sz w:val="24"/>
                <w:szCs w:val="21"/>
              </w:rPr>
              <w:t>、</w:t>
            </w:r>
            <w:r>
              <w:rPr>
                <w:rFonts w:hint="eastAsia" w:ascii="宋体" w:hAnsi="宋体" w:eastAsia="宋体" w:cs="宋体"/>
                <w:sz w:val="24"/>
                <w:szCs w:val="21"/>
              </w:rPr>
              <w:t>Ⅱ</w:t>
            </w:r>
            <w:r>
              <w:rPr>
                <w:sz w:val="24"/>
                <w:szCs w:val="21"/>
              </w:rPr>
              <w:t>、</w:t>
            </w:r>
            <w:r>
              <w:rPr>
                <w:rFonts w:hint="eastAsia" w:ascii="宋体" w:hAnsi="宋体" w:eastAsia="宋体" w:cs="宋体"/>
                <w:sz w:val="24"/>
                <w:szCs w:val="21"/>
              </w:rPr>
              <w:t>Ⅲ</w:t>
            </w:r>
            <w:r>
              <w:rPr>
                <w:sz w:val="24"/>
                <w:szCs w:val="21"/>
              </w:rPr>
              <w:t>、</w:t>
            </w:r>
            <w:r>
              <w:rPr>
                <w:rFonts w:hint="eastAsia" w:ascii="宋体" w:hAnsi="宋体" w:eastAsia="宋体" w:cs="宋体"/>
                <w:sz w:val="24"/>
                <w:szCs w:val="21"/>
              </w:rPr>
              <w:t>Ⅳ</w:t>
            </w:r>
            <w:r>
              <w:rPr>
                <w:sz w:val="24"/>
                <w:szCs w:val="21"/>
              </w:rPr>
              <w:t>、</w:t>
            </w:r>
            <w:r>
              <w:rPr>
                <w:rFonts w:hint="eastAsia" w:ascii="宋体" w:hAnsi="宋体" w:eastAsia="宋体" w:cs="宋体"/>
                <w:sz w:val="24"/>
                <w:szCs w:val="21"/>
              </w:rPr>
              <w:t>Ⅴ</w:t>
            </w:r>
            <w:r>
              <w:rPr>
                <w:sz w:val="24"/>
                <w:szCs w:val="21"/>
              </w:rPr>
              <w:t>级地以外，越城、柯桥区行政区范围内其余区域；上虞区百官街道、曹娥街道、东关街道、道墟街道、小越街道、崧厦镇、滨海新城（沥海镇）、杭州湾上虞经济技术开发区及盖北镇、谢塘镇行政区范围内其余区域，梁湖街道北部区域；丰惠镇、永和镇、驿亭镇、章镇镇、汤浦镇、上浦镇、长塘镇、下管镇、丁宅乡的规划建设区范围</w:t>
            </w:r>
          </w:p>
        </w:tc>
        <w:tc>
          <w:tcPr>
            <w:tcW w:w="1189" w:type="dxa"/>
            <w:vAlign w:val="center"/>
          </w:tcPr>
          <w:p>
            <w:pPr>
              <w:adjustRightInd w:val="0"/>
              <w:snapToGrid w:val="0"/>
              <w:spacing w:line="240" w:lineRule="atLeast"/>
              <w:jc w:val="center"/>
              <w:rPr>
                <w:sz w:val="24"/>
                <w:szCs w:val="24"/>
              </w:rPr>
            </w:pPr>
            <w:r>
              <w:rPr>
                <w:rFonts w:ascii="tim" w:hAnsi="tim"/>
                <w:sz w:val="24"/>
                <w:szCs w:val="24"/>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20" w:hRule="atLeast"/>
          <w:jc w:val="center"/>
        </w:trPr>
        <w:tc>
          <w:tcPr>
            <w:tcW w:w="648"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Ⅶ</w:t>
            </w:r>
            <w:r>
              <w:rPr>
                <w:sz w:val="24"/>
                <w:szCs w:val="24"/>
              </w:rPr>
              <w:t>级</w:t>
            </w:r>
          </w:p>
        </w:tc>
        <w:tc>
          <w:tcPr>
            <w:tcW w:w="7013" w:type="dxa"/>
            <w:vAlign w:val="center"/>
          </w:tcPr>
          <w:p>
            <w:pPr>
              <w:adjustRightInd w:val="0"/>
              <w:snapToGrid w:val="0"/>
              <w:rPr>
                <w:sz w:val="24"/>
                <w:szCs w:val="21"/>
              </w:rPr>
            </w:pPr>
            <w:r>
              <w:rPr>
                <w:rFonts w:hint="eastAsia" w:ascii="宋体" w:hAnsi="宋体" w:eastAsia="宋体" w:cs="宋体"/>
                <w:sz w:val="24"/>
                <w:szCs w:val="21"/>
              </w:rPr>
              <w:t>Ⅰ</w:t>
            </w:r>
            <w:r>
              <w:rPr>
                <w:sz w:val="24"/>
                <w:szCs w:val="21"/>
              </w:rPr>
              <w:t>、</w:t>
            </w:r>
            <w:r>
              <w:rPr>
                <w:rFonts w:hint="eastAsia" w:ascii="宋体" w:hAnsi="宋体" w:eastAsia="宋体" w:cs="宋体"/>
                <w:sz w:val="24"/>
                <w:szCs w:val="21"/>
              </w:rPr>
              <w:t>Ⅱ</w:t>
            </w:r>
            <w:r>
              <w:rPr>
                <w:sz w:val="24"/>
                <w:szCs w:val="21"/>
              </w:rPr>
              <w:t>、</w:t>
            </w:r>
            <w:r>
              <w:rPr>
                <w:rFonts w:hint="eastAsia" w:ascii="宋体" w:hAnsi="宋体" w:eastAsia="宋体" w:cs="宋体"/>
                <w:sz w:val="24"/>
                <w:szCs w:val="21"/>
              </w:rPr>
              <w:t>Ⅲ</w:t>
            </w:r>
            <w:r>
              <w:rPr>
                <w:sz w:val="24"/>
                <w:szCs w:val="21"/>
              </w:rPr>
              <w:t>、</w:t>
            </w:r>
            <w:r>
              <w:rPr>
                <w:rFonts w:hint="eastAsia" w:ascii="宋体" w:hAnsi="宋体" w:eastAsia="宋体" w:cs="宋体"/>
                <w:sz w:val="24"/>
                <w:szCs w:val="21"/>
              </w:rPr>
              <w:t>Ⅳ</w:t>
            </w:r>
            <w:r>
              <w:rPr>
                <w:sz w:val="24"/>
                <w:szCs w:val="21"/>
              </w:rPr>
              <w:t>、</w:t>
            </w:r>
            <w:r>
              <w:rPr>
                <w:rFonts w:hint="eastAsia" w:ascii="宋体" w:hAnsi="宋体" w:eastAsia="宋体" w:cs="宋体"/>
                <w:sz w:val="24"/>
                <w:szCs w:val="21"/>
              </w:rPr>
              <w:t>Ⅴ</w:t>
            </w:r>
            <w:r>
              <w:rPr>
                <w:sz w:val="24"/>
                <w:szCs w:val="21"/>
              </w:rPr>
              <w:t>、</w:t>
            </w:r>
            <w:r>
              <w:rPr>
                <w:rFonts w:hint="eastAsia" w:ascii="宋体" w:hAnsi="宋体" w:eastAsia="宋体" w:cs="宋体"/>
                <w:sz w:val="24"/>
                <w:szCs w:val="21"/>
              </w:rPr>
              <w:t>Ⅵ</w:t>
            </w:r>
            <w:r>
              <w:rPr>
                <w:sz w:val="24"/>
                <w:szCs w:val="21"/>
              </w:rPr>
              <w:t>级地以外, 绍兴市区行政区范围内其余区域</w:t>
            </w:r>
          </w:p>
        </w:tc>
        <w:tc>
          <w:tcPr>
            <w:tcW w:w="1189" w:type="dxa"/>
            <w:vAlign w:val="center"/>
          </w:tcPr>
          <w:p>
            <w:pPr>
              <w:adjustRightInd w:val="0"/>
              <w:snapToGrid w:val="0"/>
              <w:spacing w:line="240" w:lineRule="atLeast"/>
              <w:jc w:val="center"/>
              <w:rPr>
                <w:sz w:val="24"/>
                <w:szCs w:val="24"/>
              </w:rPr>
            </w:pPr>
            <w:r>
              <w:rPr>
                <w:rFonts w:ascii="tim" w:hAnsi="tim"/>
                <w:sz w:val="24"/>
                <w:szCs w:val="24"/>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bottom w:w="14" w:type="dxa"/>
            <w:right w:w="0" w:type="dxa"/>
          </w:tblCellMar>
        </w:tblPrEx>
        <w:trPr>
          <w:trHeight w:val="20" w:hRule="atLeast"/>
          <w:jc w:val="center"/>
        </w:trPr>
        <w:tc>
          <w:tcPr>
            <w:tcW w:w="648" w:type="dxa"/>
            <w:tcBorders>
              <w:right w:val="nil"/>
            </w:tcBorders>
            <w:vAlign w:val="center"/>
          </w:tcPr>
          <w:p>
            <w:pPr>
              <w:adjustRightInd w:val="0"/>
              <w:snapToGrid w:val="0"/>
              <w:jc w:val="center"/>
              <w:rPr>
                <w:sz w:val="24"/>
                <w:szCs w:val="24"/>
              </w:rPr>
            </w:pPr>
            <w:r>
              <w:rPr>
                <w:sz w:val="24"/>
                <w:szCs w:val="24"/>
              </w:rPr>
              <w:t>备注</w:t>
            </w:r>
          </w:p>
        </w:tc>
        <w:tc>
          <w:tcPr>
            <w:tcW w:w="8202" w:type="dxa"/>
            <w:gridSpan w:val="2"/>
            <w:vAlign w:val="center"/>
          </w:tcPr>
          <w:p>
            <w:pPr>
              <w:adjustRightInd w:val="0"/>
              <w:snapToGrid w:val="0"/>
              <w:ind w:firstLine="420" w:firstLineChars="200"/>
              <w:rPr>
                <w:kern w:val="0"/>
                <w:sz w:val="21"/>
                <w:szCs w:val="21"/>
              </w:rPr>
            </w:pPr>
            <w:r>
              <w:rPr>
                <w:rFonts w:ascii="tim" w:hAnsi="tim"/>
                <w:kern w:val="0"/>
                <w:sz w:val="21"/>
                <w:szCs w:val="21"/>
              </w:rPr>
              <w:t>1</w:t>
            </w:r>
            <w:r>
              <w:rPr>
                <w:kern w:val="0"/>
                <w:sz w:val="21"/>
                <w:szCs w:val="21"/>
              </w:rPr>
              <w:t>.基准地价基准日：</w:t>
            </w:r>
            <w:r>
              <w:rPr>
                <w:rFonts w:ascii="tim" w:hAnsi="tim"/>
                <w:kern w:val="0"/>
                <w:sz w:val="21"/>
                <w:szCs w:val="21"/>
              </w:rPr>
              <w:t>2019</w:t>
            </w:r>
            <w:r>
              <w:rPr>
                <w:kern w:val="0"/>
                <w:sz w:val="21"/>
                <w:szCs w:val="21"/>
              </w:rPr>
              <w:t>年</w:t>
            </w:r>
            <w:r>
              <w:rPr>
                <w:rFonts w:ascii="tim" w:hAnsi="tim"/>
                <w:kern w:val="0"/>
                <w:sz w:val="21"/>
                <w:szCs w:val="21"/>
              </w:rPr>
              <w:t>1</w:t>
            </w:r>
            <w:r>
              <w:rPr>
                <w:kern w:val="0"/>
                <w:sz w:val="21"/>
                <w:szCs w:val="21"/>
              </w:rPr>
              <w:t>月</w:t>
            </w:r>
            <w:r>
              <w:rPr>
                <w:rFonts w:ascii="tim" w:hAnsi="tim"/>
                <w:kern w:val="0"/>
                <w:sz w:val="21"/>
                <w:szCs w:val="21"/>
              </w:rPr>
              <w:t>1</w:t>
            </w:r>
            <w:r>
              <w:rPr>
                <w:kern w:val="0"/>
                <w:sz w:val="21"/>
                <w:szCs w:val="21"/>
              </w:rPr>
              <w:t>日；</w:t>
            </w:r>
          </w:p>
          <w:p>
            <w:pPr>
              <w:adjustRightInd w:val="0"/>
              <w:snapToGrid w:val="0"/>
              <w:ind w:firstLine="420" w:firstLineChars="200"/>
              <w:rPr>
                <w:kern w:val="0"/>
                <w:sz w:val="21"/>
                <w:szCs w:val="21"/>
              </w:rPr>
            </w:pPr>
            <w:r>
              <w:rPr>
                <w:rFonts w:ascii="tim" w:hAnsi="tim"/>
                <w:kern w:val="0"/>
                <w:sz w:val="21"/>
                <w:szCs w:val="21"/>
              </w:rPr>
              <w:t>2</w:t>
            </w:r>
            <w:r>
              <w:rPr>
                <w:kern w:val="0"/>
                <w:sz w:val="21"/>
                <w:szCs w:val="21"/>
              </w:rPr>
              <w:t>.基准地价内涵：各</w:t>
            </w:r>
            <w:r>
              <w:rPr>
                <w:rFonts w:hint="eastAsia" w:ascii="仿宋_GB2312"/>
                <w:kern w:val="0"/>
                <w:sz w:val="21"/>
                <w:szCs w:val="21"/>
              </w:rPr>
              <w:t>土地级别范围内达到“五通一平”土地开发程度、设定“基准条件”下最高使用年限完整出让土地使用权的单位土地面积平均价格，地价内涵构成包括国家土地所有权收益、土地取得费用和土地前期开发费用；</w:t>
            </w:r>
          </w:p>
          <w:p>
            <w:pPr>
              <w:adjustRightInd w:val="0"/>
              <w:snapToGrid w:val="0"/>
              <w:ind w:firstLine="420" w:firstLineChars="200"/>
              <w:rPr>
                <w:kern w:val="0"/>
                <w:sz w:val="21"/>
                <w:szCs w:val="21"/>
              </w:rPr>
            </w:pPr>
            <w:r>
              <w:rPr>
                <w:rFonts w:ascii="tim" w:hAnsi="tim"/>
                <w:kern w:val="0"/>
                <w:sz w:val="21"/>
                <w:szCs w:val="21"/>
              </w:rPr>
              <w:t>3</w:t>
            </w:r>
            <w:r>
              <w:rPr>
                <w:kern w:val="0"/>
                <w:sz w:val="21"/>
                <w:szCs w:val="21"/>
              </w:rPr>
              <w:t>.基准条件界定：容积率为</w:t>
            </w:r>
            <w:r>
              <w:rPr>
                <w:rFonts w:ascii="tim" w:hAnsi="tim"/>
                <w:kern w:val="0"/>
                <w:sz w:val="21"/>
                <w:szCs w:val="21"/>
              </w:rPr>
              <w:t>1</w:t>
            </w:r>
            <w:r>
              <w:rPr>
                <w:kern w:val="0"/>
                <w:sz w:val="21"/>
                <w:szCs w:val="21"/>
              </w:rPr>
              <w:t>.</w:t>
            </w:r>
            <w:r>
              <w:rPr>
                <w:rFonts w:ascii="tim" w:hAnsi="tim"/>
                <w:kern w:val="0"/>
                <w:sz w:val="21"/>
                <w:szCs w:val="21"/>
              </w:rPr>
              <w:t>5</w:t>
            </w:r>
            <w:r>
              <w:rPr>
                <w:kern w:val="0"/>
                <w:sz w:val="21"/>
                <w:szCs w:val="21"/>
              </w:rPr>
              <w:t>、建筑密度为</w:t>
            </w:r>
            <w:r>
              <w:rPr>
                <w:rFonts w:ascii="tim" w:hAnsi="tim"/>
                <w:kern w:val="0"/>
                <w:sz w:val="21"/>
                <w:szCs w:val="21"/>
              </w:rPr>
              <w:t>30</w:t>
            </w:r>
            <w:r>
              <w:rPr>
                <w:kern w:val="0"/>
                <w:sz w:val="21"/>
                <w:szCs w:val="21"/>
              </w:rPr>
              <w:t xml:space="preserve">%； </w:t>
            </w:r>
          </w:p>
          <w:p>
            <w:pPr>
              <w:adjustRightInd w:val="0"/>
              <w:snapToGrid w:val="0"/>
              <w:ind w:firstLine="420" w:firstLineChars="200"/>
              <w:rPr>
                <w:kern w:val="0"/>
                <w:sz w:val="21"/>
                <w:szCs w:val="21"/>
              </w:rPr>
            </w:pPr>
            <w:r>
              <w:rPr>
                <w:rFonts w:ascii="tim" w:hAnsi="tim"/>
                <w:kern w:val="0"/>
                <w:sz w:val="21"/>
                <w:szCs w:val="21"/>
              </w:rPr>
              <w:t>4</w:t>
            </w:r>
            <w:r>
              <w:rPr>
                <w:kern w:val="0"/>
                <w:sz w:val="21"/>
                <w:szCs w:val="21"/>
              </w:rPr>
              <w:t>.土地使用年期：</w:t>
            </w:r>
            <w:r>
              <w:rPr>
                <w:rFonts w:ascii="tim" w:hAnsi="tim"/>
                <w:kern w:val="0"/>
                <w:sz w:val="21"/>
                <w:szCs w:val="21"/>
              </w:rPr>
              <w:t>70</w:t>
            </w:r>
            <w:r>
              <w:rPr>
                <w:kern w:val="0"/>
                <w:sz w:val="21"/>
                <w:szCs w:val="21"/>
              </w:rPr>
              <w:t>年；</w:t>
            </w:r>
          </w:p>
          <w:p>
            <w:pPr>
              <w:adjustRightInd w:val="0"/>
              <w:snapToGrid w:val="0"/>
              <w:ind w:firstLine="420" w:firstLineChars="200"/>
              <w:rPr>
                <w:kern w:val="0"/>
                <w:sz w:val="21"/>
                <w:szCs w:val="21"/>
              </w:rPr>
            </w:pPr>
            <w:r>
              <w:rPr>
                <w:rFonts w:ascii="tim" w:hAnsi="tim"/>
                <w:kern w:val="0"/>
                <w:sz w:val="21"/>
                <w:szCs w:val="21"/>
              </w:rPr>
              <w:t>5</w:t>
            </w:r>
            <w:r>
              <w:rPr>
                <w:kern w:val="0"/>
                <w:sz w:val="21"/>
                <w:szCs w:val="21"/>
              </w:rPr>
              <w:t>.土地级别范围：具体详见绍兴市区住宅用地级别基准地价图；</w:t>
            </w:r>
          </w:p>
          <w:p>
            <w:pPr>
              <w:adjustRightInd w:val="0"/>
              <w:snapToGrid w:val="0"/>
              <w:spacing w:line="240" w:lineRule="atLeast"/>
              <w:ind w:firstLine="420" w:firstLineChars="200"/>
              <w:rPr>
                <w:sz w:val="24"/>
                <w:szCs w:val="24"/>
              </w:rPr>
            </w:pPr>
            <w:r>
              <w:rPr>
                <w:rFonts w:ascii="tim" w:hAnsi="tim"/>
                <w:kern w:val="0"/>
                <w:sz w:val="21"/>
                <w:szCs w:val="21"/>
              </w:rPr>
              <w:t>6</w:t>
            </w:r>
            <w:r>
              <w:rPr>
                <w:kern w:val="0"/>
                <w:sz w:val="21"/>
                <w:szCs w:val="21"/>
              </w:rPr>
              <w:t>.适用范围：级别基准地价成果主要应用于政府宏观地价管理和出让地价审核等管理需要，原则上不用于具体宗地地价的评估。运用基准地价系数修正法评估住宅用地宗地地价时，原则上不以本表中的级别基准地价作为评估修正基准。</w:t>
            </w:r>
          </w:p>
        </w:tc>
      </w:tr>
    </w:tbl>
    <w:p>
      <w:pPr>
        <w:pStyle w:val="2"/>
        <w:spacing w:before="120" w:after="120" w:line="320" w:lineRule="exact"/>
        <w:jc w:val="center"/>
        <w:rPr>
          <w:rFonts w:ascii="Times New Roman" w:hAnsi="Times New Roman" w:eastAsia="仿宋_GB2312"/>
          <w:b w:val="0"/>
        </w:rPr>
      </w:pPr>
      <w:r>
        <w:rPr>
          <w:rFonts w:ascii="Times New Roman" w:hAnsi="Times New Roman" w:eastAsia="仿宋_GB2312"/>
          <w:b w:val="0"/>
        </w:rPr>
        <w:br w:type="page"/>
      </w:r>
      <w:r>
        <w:rPr>
          <w:rFonts w:ascii="黑体" w:hAnsi="黑体"/>
          <w:b w:val="0"/>
          <w:spacing w:val="-2"/>
          <w:sz w:val="30"/>
          <w:szCs w:val="30"/>
        </w:rPr>
        <w:t>表5  绍兴市区工业用地级别基准地价表</w:t>
      </w:r>
    </w:p>
    <w:p>
      <w:pPr>
        <w:adjustRightInd w:val="0"/>
        <w:snapToGrid w:val="0"/>
        <w:ind w:right="-168" w:rightChars="-80"/>
        <w:jc w:val="right"/>
        <w:rPr>
          <w:sz w:val="24"/>
        </w:rPr>
      </w:pPr>
      <w:r>
        <w:rPr>
          <w:sz w:val="24"/>
        </w:rPr>
        <w:t>单位：元/平方米</w:t>
      </w:r>
    </w:p>
    <w:tbl>
      <w:tblPr>
        <w:tblStyle w:val="8"/>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652"/>
        <w:gridCol w:w="694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426" w:hRule="atLeast"/>
          <w:tblHeader/>
          <w:jc w:val="center"/>
        </w:trPr>
        <w:tc>
          <w:tcPr>
            <w:tcW w:w="652" w:type="dxa"/>
            <w:vAlign w:val="center"/>
          </w:tcPr>
          <w:p>
            <w:pPr>
              <w:adjustRightInd w:val="0"/>
              <w:snapToGrid w:val="0"/>
              <w:jc w:val="center"/>
              <w:rPr>
                <w:sz w:val="24"/>
                <w:szCs w:val="24"/>
              </w:rPr>
            </w:pPr>
            <w:r>
              <w:rPr>
                <w:sz w:val="24"/>
                <w:szCs w:val="24"/>
              </w:rPr>
              <w:t>级别</w:t>
            </w:r>
          </w:p>
        </w:tc>
        <w:tc>
          <w:tcPr>
            <w:tcW w:w="6940" w:type="dxa"/>
            <w:vAlign w:val="center"/>
          </w:tcPr>
          <w:p>
            <w:pPr>
              <w:adjustRightInd w:val="0"/>
              <w:snapToGrid w:val="0"/>
              <w:jc w:val="center"/>
              <w:rPr>
                <w:sz w:val="24"/>
                <w:szCs w:val="24"/>
              </w:rPr>
            </w:pPr>
            <w:r>
              <w:rPr>
                <w:sz w:val="24"/>
                <w:szCs w:val="24"/>
              </w:rPr>
              <w:t>范    围</w:t>
            </w:r>
          </w:p>
        </w:tc>
        <w:tc>
          <w:tcPr>
            <w:tcW w:w="1101" w:type="dxa"/>
            <w:vAlign w:val="center"/>
          </w:tcPr>
          <w:p>
            <w:pPr>
              <w:adjustRightInd w:val="0"/>
              <w:snapToGrid w:val="0"/>
              <w:spacing w:line="240" w:lineRule="atLeast"/>
              <w:jc w:val="center"/>
              <w:rPr>
                <w:sz w:val="24"/>
                <w:szCs w:val="24"/>
              </w:rPr>
            </w:pPr>
            <w:r>
              <w:rPr>
                <w:sz w:val="24"/>
                <w:szCs w:val="24"/>
              </w:rPr>
              <w:t>基准地价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Ⅰ</w:t>
            </w:r>
            <w:r>
              <w:rPr>
                <w:sz w:val="24"/>
                <w:szCs w:val="24"/>
              </w:rPr>
              <w:t>级</w:t>
            </w:r>
          </w:p>
        </w:tc>
        <w:tc>
          <w:tcPr>
            <w:tcW w:w="6940" w:type="dxa"/>
            <w:vAlign w:val="center"/>
          </w:tcPr>
          <w:p>
            <w:pPr>
              <w:adjustRightInd w:val="0"/>
              <w:snapToGrid w:val="0"/>
              <w:rPr>
                <w:sz w:val="24"/>
              </w:rPr>
            </w:pPr>
            <w:r>
              <w:rPr>
                <w:sz w:val="24"/>
              </w:rPr>
              <w:t>越城区：外官塘-湘家荡-二环北路-二环东路-二环南路-二环西路-青甸湖-大树江-上官渡-下官渡-蛟里河-山闸西江-外官塘；柯桥区:瓜渚湖直江-群贤路-镜水路-萧甬铁路-鉴水路-钱陶路-马宅池-大坂湖直江-华齐路-浩田畈-杭甬铁路客运专线-瓜渚湖直江</w:t>
            </w:r>
          </w:p>
        </w:tc>
        <w:tc>
          <w:tcPr>
            <w:tcW w:w="1101" w:type="dxa"/>
            <w:vAlign w:val="center"/>
          </w:tcPr>
          <w:p>
            <w:pPr>
              <w:adjustRightInd w:val="0"/>
              <w:snapToGrid w:val="0"/>
              <w:jc w:val="center"/>
              <w:rPr>
                <w:sz w:val="24"/>
                <w:szCs w:val="24"/>
              </w:rPr>
            </w:pPr>
            <w:r>
              <w:rPr>
                <w:rFonts w:ascii="tim" w:hAnsi="tim"/>
                <w:sz w:val="24"/>
                <w:szCs w:val="24"/>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382"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Ⅱ</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级地以外，越城区及柯桥区：越兴南路-银洲路-三路江-攒宫江西侧规划路-平水镇边界-平陶公路-山脊线-鉴湖街道边界-兰亭街道兴园路-福全街道边界-湖塘街道边界-钱清镇边界-杨汛桥镇边界-市域边界-齐贤街道边界-三江路-中兴大道-杭甬铁路客运专线-海南路-凤林东路-越兴南路；上虞区：迎宾大道-梁祝大道-萧甬铁路-舜江西路-人民大道西段-东山路-五星中路-兴业北路-复兴东路-虞舜大道中段-虞舜大道北段-迎宾大道</w:t>
            </w:r>
          </w:p>
        </w:tc>
        <w:tc>
          <w:tcPr>
            <w:tcW w:w="1101" w:type="dxa"/>
            <w:vAlign w:val="center"/>
          </w:tcPr>
          <w:p>
            <w:pPr>
              <w:adjustRightInd w:val="0"/>
              <w:snapToGrid w:val="0"/>
              <w:jc w:val="center"/>
              <w:rPr>
                <w:sz w:val="24"/>
                <w:szCs w:val="24"/>
              </w:rPr>
            </w:pPr>
            <w:r>
              <w:rPr>
                <w:rFonts w:ascii="tim" w:hAnsi="tim"/>
                <w:sz w:val="24"/>
                <w:szCs w:val="24"/>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Ⅲ</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级地以外，越城区及柯桥区：滨富路（规划名）-洋江东路东延段-</w:t>
            </w:r>
            <w:r>
              <w:rPr>
                <w:rFonts w:ascii="tim" w:hAnsi="tim"/>
                <w:sz w:val="24"/>
              </w:rPr>
              <w:t>104</w:t>
            </w:r>
            <w:r>
              <w:rPr>
                <w:sz w:val="24"/>
              </w:rPr>
              <w:t>国道-平陶公路-绍诸高速-皋埠镇边界-山脊线-平水镇边界-鉴湖街道边界-兰亭街道边界-漓渚镇边界-夏履镇边界-市域边界-滨海工业区（马鞍）边界-曹娥江-滨富路（规划名）；上虞区：白马湖-百官街道边界-梁祝大道-舜耕大道-亚厦大道-萧甬铁路-上三高速-杭甬高速-白马湖</w:t>
            </w:r>
          </w:p>
        </w:tc>
        <w:tc>
          <w:tcPr>
            <w:tcW w:w="1101" w:type="dxa"/>
            <w:vAlign w:val="center"/>
          </w:tcPr>
          <w:p>
            <w:pPr>
              <w:adjustRightInd w:val="0"/>
              <w:snapToGrid w:val="0"/>
              <w:jc w:val="center"/>
              <w:rPr>
                <w:sz w:val="24"/>
                <w:szCs w:val="24"/>
              </w:rPr>
            </w:pPr>
            <w:r>
              <w:rPr>
                <w:rFonts w:ascii="tim" w:hAnsi="tim"/>
                <w:sz w:val="24"/>
                <w:szCs w:val="24"/>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Ⅳ</w:t>
            </w:r>
            <w:r>
              <w:rPr>
                <w:sz w:val="24"/>
                <w:szCs w:val="24"/>
              </w:rPr>
              <w:t xml:space="preserve">级 </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级地以外，越城区孙端、陶堰镇、富盛镇行政区范围内其余区域；柯桥区平水镇域范围内其余区域，稽东镇、王坛镇行政区范围内区域；上虞区：百官街道边界-博学路-越窑路-东五路-香茗路-凌江河-上三高速-亚厦大道-积山南路-腾飞路-规划路-闰土大道-杭甬高速-嘉绍高速-曹娥江-伞城大道-外环东路-杭甬高速-百官街道边界</w:t>
            </w:r>
          </w:p>
        </w:tc>
        <w:tc>
          <w:tcPr>
            <w:tcW w:w="1101" w:type="dxa"/>
            <w:vAlign w:val="center"/>
          </w:tcPr>
          <w:p>
            <w:pPr>
              <w:adjustRightInd w:val="0"/>
              <w:snapToGrid w:val="0"/>
              <w:jc w:val="center"/>
              <w:rPr>
                <w:sz w:val="24"/>
                <w:szCs w:val="24"/>
              </w:rPr>
            </w:pPr>
            <w:r>
              <w:rPr>
                <w:rFonts w:ascii="tim" w:hAnsi="tim"/>
                <w:sz w:val="24"/>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1426"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Ⅴ</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级地以外，</w:t>
            </w:r>
            <w:r>
              <w:rPr>
                <w:sz w:val="24"/>
                <w:szCs w:val="21"/>
              </w:rPr>
              <w:t>上虞区百官街道、曹娥街道、东关街道、道墟街道、小越街道、</w:t>
            </w:r>
            <w:r>
              <w:rPr>
                <w:sz w:val="24"/>
              </w:rPr>
              <w:t>梁湖街道、</w:t>
            </w:r>
            <w:r>
              <w:rPr>
                <w:sz w:val="24"/>
                <w:szCs w:val="21"/>
              </w:rPr>
              <w:t>崧厦镇、</w:t>
            </w:r>
            <w:r>
              <w:rPr>
                <w:sz w:val="24"/>
              </w:rPr>
              <w:t>沥海镇、丰惠镇行政范围内其余区域，滨海新城嘉绍高速-区域边界-前进路-河流-嘉绍高速；上浦镇、章镇镇区规划建设区范围内区域</w:t>
            </w:r>
          </w:p>
        </w:tc>
        <w:tc>
          <w:tcPr>
            <w:tcW w:w="1101" w:type="dxa"/>
            <w:vAlign w:val="center"/>
          </w:tcPr>
          <w:p>
            <w:pPr>
              <w:adjustRightInd w:val="0"/>
              <w:snapToGrid w:val="0"/>
              <w:jc w:val="center"/>
              <w:rPr>
                <w:sz w:val="24"/>
                <w:szCs w:val="24"/>
              </w:rPr>
            </w:pPr>
            <w:r>
              <w:rPr>
                <w:rFonts w:ascii="tim" w:hAnsi="tim"/>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Ⅵ</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级地以外，驿亭镇、滨海新区、上浦镇、章镇镇行政区范围内其余区域，杭州湾经济技术开发区经东五路-行政边界-经三路-纬三经东合围区域，盖北镇、谢塘镇、汤浦镇、长塘镇、下管镇、永和镇、陈溪乡、岭南乡、丁宅乡行政范围内区域</w:t>
            </w:r>
          </w:p>
        </w:tc>
        <w:tc>
          <w:tcPr>
            <w:tcW w:w="1101" w:type="dxa"/>
            <w:vAlign w:val="center"/>
          </w:tcPr>
          <w:p>
            <w:pPr>
              <w:adjustRightInd w:val="0"/>
              <w:snapToGrid w:val="0"/>
              <w:jc w:val="center"/>
              <w:rPr>
                <w:sz w:val="24"/>
                <w:szCs w:val="24"/>
              </w:rPr>
            </w:pPr>
            <w:r>
              <w:rPr>
                <w:rFonts w:ascii="tim" w:hAnsi="tim"/>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Ⅶ</w:t>
            </w:r>
            <w:r>
              <w:rPr>
                <w:sz w:val="24"/>
                <w:szCs w:val="24"/>
              </w:rPr>
              <w:t>级</w:t>
            </w:r>
          </w:p>
        </w:tc>
        <w:tc>
          <w:tcPr>
            <w:tcW w:w="6940" w:type="dxa"/>
            <w:vAlign w:val="center"/>
          </w:tcPr>
          <w:p>
            <w:pPr>
              <w:adjustRightInd w:val="0"/>
              <w:snapToGrid w:val="0"/>
              <w:rPr>
                <w:sz w:val="24"/>
              </w:rPr>
            </w:pPr>
            <w:r>
              <w:rPr>
                <w:rFonts w:hint="eastAsia"/>
                <w:sz w:val="24"/>
              </w:rPr>
              <w:t>Ⅰ</w:t>
            </w:r>
            <w:r>
              <w:rPr>
                <w:sz w:val="24"/>
              </w:rPr>
              <w:t>、</w:t>
            </w:r>
            <w:r>
              <w:rPr>
                <w:rFonts w:hint="eastAsia"/>
                <w:sz w:val="24"/>
              </w:rPr>
              <w:t>Ⅱ</w:t>
            </w:r>
            <w:r>
              <w:rPr>
                <w:sz w:val="24"/>
              </w:rPr>
              <w:t>、</w:t>
            </w:r>
            <w:r>
              <w:rPr>
                <w:rFonts w:hint="eastAsia"/>
                <w:sz w:val="24"/>
              </w:rPr>
              <w:t>Ⅲ</w:t>
            </w:r>
            <w:r>
              <w:rPr>
                <w:sz w:val="24"/>
              </w:rPr>
              <w:t>、</w:t>
            </w:r>
            <w:r>
              <w:rPr>
                <w:rFonts w:hint="eastAsia"/>
                <w:sz w:val="24"/>
              </w:rPr>
              <w:t>Ⅳ</w:t>
            </w:r>
            <w:r>
              <w:rPr>
                <w:sz w:val="24"/>
              </w:rPr>
              <w:t>、</w:t>
            </w:r>
            <w:r>
              <w:rPr>
                <w:rFonts w:hint="eastAsia"/>
                <w:sz w:val="24"/>
              </w:rPr>
              <w:t>Ⅴ</w:t>
            </w:r>
            <w:r>
              <w:rPr>
                <w:sz w:val="24"/>
              </w:rPr>
              <w:t>、</w:t>
            </w:r>
            <w:r>
              <w:rPr>
                <w:rFonts w:hint="eastAsia"/>
                <w:sz w:val="24"/>
              </w:rPr>
              <w:t>Ⅵ</w:t>
            </w:r>
            <w:r>
              <w:rPr>
                <w:sz w:val="24"/>
              </w:rPr>
              <w:t>级地以外，上虞区行政范围内其余区域</w:t>
            </w:r>
          </w:p>
        </w:tc>
        <w:tc>
          <w:tcPr>
            <w:tcW w:w="1101" w:type="dxa"/>
            <w:vAlign w:val="center"/>
          </w:tcPr>
          <w:p>
            <w:pPr>
              <w:adjustRightInd w:val="0"/>
              <w:snapToGrid w:val="0"/>
              <w:jc w:val="center"/>
              <w:rPr>
                <w:sz w:val="24"/>
                <w:szCs w:val="24"/>
              </w:rPr>
            </w:pPr>
            <w:r>
              <w:rPr>
                <w:rFonts w:ascii="tim" w:hAnsi="tim"/>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sz w:val="24"/>
                <w:szCs w:val="24"/>
              </w:rPr>
              <w:t>备注</w:t>
            </w:r>
          </w:p>
        </w:tc>
        <w:tc>
          <w:tcPr>
            <w:tcW w:w="8041" w:type="dxa"/>
            <w:gridSpan w:val="2"/>
            <w:vAlign w:val="center"/>
          </w:tcPr>
          <w:p>
            <w:pPr>
              <w:adjustRightInd w:val="0"/>
              <w:snapToGrid w:val="0"/>
              <w:ind w:firstLine="420" w:firstLineChars="200"/>
              <w:rPr>
                <w:kern w:val="0"/>
                <w:sz w:val="21"/>
                <w:szCs w:val="21"/>
              </w:rPr>
            </w:pPr>
            <w:r>
              <w:rPr>
                <w:rFonts w:ascii="tim" w:hAnsi="tim"/>
                <w:kern w:val="0"/>
                <w:sz w:val="21"/>
                <w:szCs w:val="21"/>
              </w:rPr>
              <w:t>1</w:t>
            </w:r>
            <w:r>
              <w:rPr>
                <w:kern w:val="0"/>
                <w:sz w:val="21"/>
                <w:szCs w:val="21"/>
              </w:rPr>
              <w:t>.基准地价基准日：</w:t>
            </w:r>
            <w:r>
              <w:rPr>
                <w:rFonts w:ascii="tim" w:hAnsi="tim"/>
                <w:kern w:val="0"/>
                <w:sz w:val="21"/>
                <w:szCs w:val="21"/>
              </w:rPr>
              <w:t>2019</w:t>
            </w:r>
            <w:r>
              <w:rPr>
                <w:kern w:val="0"/>
                <w:sz w:val="21"/>
                <w:szCs w:val="21"/>
              </w:rPr>
              <w:t>年</w:t>
            </w:r>
            <w:r>
              <w:rPr>
                <w:rFonts w:ascii="tim" w:hAnsi="tim"/>
                <w:kern w:val="0"/>
                <w:sz w:val="21"/>
                <w:szCs w:val="21"/>
              </w:rPr>
              <w:t>1</w:t>
            </w:r>
            <w:r>
              <w:rPr>
                <w:kern w:val="0"/>
                <w:sz w:val="21"/>
                <w:szCs w:val="21"/>
              </w:rPr>
              <w:t>月</w:t>
            </w:r>
            <w:r>
              <w:rPr>
                <w:rFonts w:ascii="tim" w:hAnsi="tim"/>
                <w:kern w:val="0"/>
                <w:sz w:val="21"/>
                <w:szCs w:val="21"/>
              </w:rPr>
              <w:t>1</w:t>
            </w:r>
            <w:r>
              <w:rPr>
                <w:kern w:val="0"/>
                <w:sz w:val="21"/>
                <w:szCs w:val="21"/>
              </w:rPr>
              <w:t>日；</w:t>
            </w:r>
          </w:p>
          <w:p>
            <w:pPr>
              <w:adjustRightInd w:val="0"/>
              <w:snapToGrid w:val="0"/>
              <w:ind w:firstLine="420" w:firstLineChars="200"/>
              <w:rPr>
                <w:kern w:val="0"/>
                <w:sz w:val="21"/>
                <w:szCs w:val="21"/>
              </w:rPr>
            </w:pPr>
            <w:r>
              <w:rPr>
                <w:rFonts w:ascii="tim" w:hAnsi="tim"/>
                <w:kern w:val="0"/>
                <w:sz w:val="21"/>
                <w:szCs w:val="21"/>
              </w:rPr>
              <w:t>2</w:t>
            </w:r>
            <w:r>
              <w:rPr>
                <w:kern w:val="0"/>
                <w:sz w:val="21"/>
                <w:szCs w:val="21"/>
              </w:rPr>
              <w:t>.基准地价内涵：</w:t>
            </w:r>
            <w:r>
              <w:rPr>
                <w:rFonts w:hint="eastAsia" w:ascii="仿宋_GB2312"/>
                <w:kern w:val="0"/>
                <w:sz w:val="21"/>
                <w:szCs w:val="21"/>
              </w:rPr>
              <w:t>各土地级别范围内达到“五通一平”土地开发程度、设定“基准条件”下最高使用年限完整出让土地使用权的单位土地面积平均价格，地价内涵构成包括国家土地所有权收益、土地取得费用和土地前期开发费用；</w:t>
            </w:r>
          </w:p>
          <w:p>
            <w:pPr>
              <w:adjustRightInd w:val="0"/>
              <w:snapToGrid w:val="0"/>
              <w:ind w:firstLine="420" w:firstLineChars="200"/>
              <w:rPr>
                <w:kern w:val="0"/>
                <w:sz w:val="21"/>
                <w:szCs w:val="21"/>
              </w:rPr>
            </w:pPr>
            <w:r>
              <w:rPr>
                <w:rFonts w:ascii="tim" w:hAnsi="tim"/>
                <w:kern w:val="0"/>
                <w:sz w:val="21"/>
                <w:szCs w:val="21"/>
              </w:rPr>
              <w:t>3</w:t>
            </w:r>
            <w:r>
              <w:rPr>
                <w:kern w:val="0"/>
                <w:sz w:val="21"/>
                <w:szCs w:val="21"/>
              </w:rPr>
              <w:t>.基准条件界定：容积率为</w:t>
            </w:r>
            <w:r>
              <w:rPr>
                <w:rFonts w:ascii="tim" w:hAnsi="tim"/>
                <w:kern w:val="0"/>
                <w:sz w:val="21"/>
                <w:szCs w:val="21"/>
              </w:rPr>
              <w:t>1</w:t>
            </w:r>
            <w:r>
              <w:rPr>
                <w:kern w:val="0"/>
                <w:sz w:val="21"/>
                <w:szCs w:val="21"/>
              </w:rPr>
              <w:t>.</w:t>
            </w:r>
            <w:r>
              <w:rPr>
                <w:rFonts w:ascii="tim" w:hAnsi="tim"/>
                <w:kern w:val="0"/>
                <w:sz w:val="21"/>
                <w:szCs w:val="21"/>
              </w:rPr>
              <w:t>0</w:t>
            </w:r>
            <w:r>
              <w:rPr>
                <w:kern w:val="0"/>
                <w:sz w:val="21"/>
                <w:szCs w:val="21"/>
              </w:rPr>
              <w:t>、建筑密度为</w:t>
            </w:r>
            <w:r>
              <w:rPr>
                <w:rFonts w:ascii="tim" w:hAnsi="tim"/>
                <w:kern w:val="0"/>
                <w:sz w:val="21"/>
                <w:szCs w:val="21"/>
              </w:rPr>
              <w:t>40</w:t>
            </w:r>
            <w:r>
              <w:rPr>
                <w:kern w:val="0"/>
                <w:sz w:val="21"/>
                <w:szCs w:val="21"/>
              </w:rPr>
              <w:t xml:space="preserve">%； </w:t>
            </w:r>
          </w:p>
          <w:p>
            <w:pPr>
              <w:adjustRightInd w:val="0"/>
              <w:snapToGrid w:val="0"/>
              <w:ind w:firstLine="420" w:firstLineChars="200"/>
              <w:rPr>
                <w:kern w:val="0"/>
                <w:sz w:val="21"/>
                <w:szCs w:val="21"/>
              </w:rPr>
            </w:pPr>
            <w:r>
              <w:rPr>
                <w:rFonts w:ascii="tim" w:hAnsi="tim"/>
                <w:kern w:val="0"/>
                <w:sz w:val="21"/>
                <w:szCs w:val="21"/>
              </w:rPr>
              <w:t>4</w:t>
            </w:r>
            <w:r>
              <w:rPr>
                <w:kern w:val="0"/>
                <w:sz w:val="21"/>
                <w:szCs w:val="21"/>
              </w:rPr>
              <w:t>.土地使用年期：</w:t>
            </w:r>
            <w:r>
              <w:rPr>
                <w:rFonts w:ascii="tim" w:hAnsi="tim"/>
                <w:kern w:val="0"/>
                <w:sz w:val="21"/>
                <w:szCs w:val="21"/>
              </w:rPr>
              <w:t>50</w:t>
            </w:r>
            <w:r>
              <w:rPr>
                <w:kern w:val="0"/>
                <w:sz w:val="21"/>
                <w:szCs w:val="21"/>
              </w:rPr>
              <w:t>年；</w:t>
            </w:r>
          </w:p>
          <w:p>
            <w:pPr>
              <w:adjustRightInd w:val="0"/>
              <w:snapToGrid w:val="0"/>
              <w:ind w:firstLine="420" w:firstLineChars="200"/>
              <w:rPr>
                <w:kern w:val="0"/>
                <w:sz w:val="21"/>
                <w:szCs w:val="21"/>
              </w:rPr>
            </w:pPr>
            <w:r>
              <w:rPr>
                <w:rFonts w:ascii="tim" w:hAnsi="tim"/>
                <w:kern w:val="0"/>
                <w:sz w:val="21"/>
                <w:szCs w:val="21"/>
              </w:rPr>
              <w:t>5</w:t>
            </w:r>
            <w:r>
              <w:rPr>
                <w:kern w:val="0"/>
                <w:sz w:val="21"/>
                <w:szCs w:val="21"/>
              </w:rPr>
              <w:t>.土地级别范围：具体详见绍兴市区工业用地级别基准地价图；</w:t>
            </w:r>
          </w:p>
          <w:p>
            <w:pPr>
              <w:adjustRightInd w:val="0"/>
              <w:snapToGrid w:val="0"/>
              <w:spacing w:line="240" w:lineRule="atLeast"/>
              <w:ind w:firstLine="420" w:firstLineChars="200"/>
              <w:rPr>
                <w:sz w:val="24"/>
                <w:szCs w:val="24"/>
              </w:rPr>
            </w:pPr>
            <w:r>
              <w:rPr>
                <w:rFonts w:ascii="tim" w:hAnsi="tim"/>
                <w:kern w:val="0"/>
                <w:sz w:val="21"/>
                <w:szCs w:val="21"/>
              </w:rPr>
              <w:t>6</w:t>
            </w:r>
            <w:r>
              <w:rPr>
                <w:kern w:val="0"/>
                <w:sz w:val="21"/>
                <w:szCs w:val="21"/>
              </w:rPr>
              <w:t>.适用范围：基准地价成果主要应用于政府宏观地价管理和出让地价审核等管理需要，运用基准地价系数修正法评估工业用地宗地地价时，以本表中的级别基准地价作为评估修正基准。</w:t>
            </w:r>
          </w:p>
        </w:tc>
      </w:tr>
    </w:tbl>
    <w:p>
      <w:pPr>
        <w:jc w:val="center"/>
        <w:rPr>
          <w:sz w:val="24"/>
          <w:szCs w:val="24"/>
        </w:rPr>
      </w:pPr>
    </w:p>
    <w:p>
      <w:pPr>
        <w:pStyle w:val="2"/>
        <w:spacing w:before="120" w:after="120" w:line="320" w:lineRule="exact"/>
        <w:jc w:val="center"/>
        <w:rPr>
          <w:rFonts w:ascii="黑体" w:hAnsi="黑体"/>
          <w:b w:val="0"/>
          <w:sz w:val="30"/>
          <w:szCs w:val="30"/>
        </w:rPr>
      </w:pPr>
      <w:r>
        <w:rPr>
          <w:rFonts w:ascii="黑体" w:hAnsi="黑体"/>
          <w:b w:val="0"/>
          <w:sz w:val="30"/>
          <w:szCs w:val="30"/>
        </w:rPr>
        <w:t>表6  绍兴市区公共服务项目</w:t>
      </w:r>
      <w:r>
        <w:rPr>
          <w:rFonts w:hint="eastAsia" w:ascii="黑体" w:hAnsi="黑体"/>
          <w:b w:val="0"/>
          <w:sz w:val="30"/>
          <w:szCs w:val="30"/>
        </w:rPr>
        <w:t>（</w:t>
      </w:r>
      <w:r>
        <w:rPr>
          <w:rFonts w:ascii="黑体" w:hAnsi="黑体"/>
          <w:b w:val="0"/>
          <w:sz w:val="30"/>
          <w:szCs w:val="30"/>
        </w:rPr>
        <w:t>公共服务类</w:t>
      </w:r>
      <w:r>
        <w:rPr>
          <w:rFonts w:hint="eastAsia" w:ascii="黑体" w:hAnsi="黑体"/>
          <w:b w:val="0"/>
          <w:sz w:val="30"/>
          <w:szCs w:val="30"/>
        </w:rPr>
        <w:t>）</w:t>
      </w:r>
      <w:r>
        <w:rPr>
          <w:rFonts w:ascii="黑体" w:hAnsi="黑体"/>
          <w:b w:val="0"/>
          <w:sz w:val="30"/>
          <w:szCs w:val="30"/>
        </w:rPr>
        <w:t>用地级别基准地价表</w:t>
      </w:r>
    </w:p>
    <w:p>
      <w:pPr>
        <w:spacing w:line="200" w:lineRule="exact"/>
      </w:pPr>
    </w:p>
    <w:tbl>
      <w:tblPr>
        <w:tblStyle w:val="8"/>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52"/>
        <w:gridCol w:w="698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2" w:hRule="atLeast"/>
          <w:tblHeader/>
          <w:jc w:val="center"/>
        </w:trPr>
        <w:tc>
          <w:tcPr>
            <w:tcW w:w="652" w:type="dxa"/>
            <w:vAlign w:val="center"/>
          </w:tcPr>
          <w:p>
            <w:pPr>
              <w:adjustRightInd w:val="0"/>
              <w:snapToGrid w:val="0"/>
              <w:spacing w:line="300" w:lineRule="exact"/>
              <w:jc w:val="center"/>
              <w:rPr>
                <w:sz w:val="24"/>
              </w:rPr>
            </w:pPr>
            <w:r>
              <w:rPr>
                <w:sz w:val="24"/>
              </w:rPr>
              <w:t>级别</w:t>
            </w:r>
          </w:p>
        </w:tc>
        <w:tc>
          <w:tcPr>
            <w:tcW w:w="6988" w:type="dxa"/>
            <w:vAlign w:val="center"/>
          </w:tcPr>
          <w:p>
            <w:pPr>
              <w:adjustRightInd w:val="0"/>
              <w:snapToGrid w:val="0"/>
              <w:spacing w:line="300" w:lineRule="exact"/>
              <w:jc w:val="center"/>
              <w:rPr>
                <w:sz w:val="24"/>
              </w:rPr>
            </w:pPr>
            <w:r>
              <w:rPr>
                <w:sz w:val="24"/>
              </w:rPr>
              <w:t>范    围</w:t>
            </w:r>
          </w:p>
        </w:tc>
        <w:tc>
          <w:tcPr>
            <w:tcW w:w="1128" w:type="dxa"/>
            <w:vAlign w:val="center"/>
          </w:tcPr>
          <w:p>
            <w:pPr>
              <w:adjustRightInd w:val="0"/>
              <w:snapToGrid w:val="0"/>
              <w:spacing w:line="300" w:lineRule="exact"/>
              <w:jc w:val="center"/>
              <w:rPr>
                <w:sz w:val="24"/>
              </w:rPr>
            </w:pPr>
            <w:r>
              <w:rPr>
                <w:sz w:val="24"/>
              </w:rPr>
              <w:t>基准地价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Ⅰ</w:t>
            </w:r>
            <w:r>
              <w:rPr>
                <w:sz w:val="24"/>
              </w:rPr>
              <w:t>级</w:t>
            </w:r>
          </w:p>
        </w:tc>
        <w:tc>
          <w:tcPr>
            <w:tcW w:w="6988" w:type="dxa"/>
            <w:vAlign w:val="center"/>
          </w:tcPr>
          <w:p>
            <w:pPr>
              <w:adjustRightInd w:val="0"/>
              <w:snapToGrid w:val="0"/>
              <w:spacing w:line="300" w:lineRule="exact"/>
              <w:rPr>
                <w:sz w:val="24"/>
              </w:rPr>
            </w:pPr>
            <w:r>
              <w:rPr>
                <w:sz w:val="24"/>
              </w:rPr>
              <w:t>中兴中路-中兴南路-延安路-解放南路-鲁迅西路-环山河-胜利西路-小校场-上大路-萧山街-中兴中路</w:t>
            </w:r>
          </w:p>
        </w:tc>
        <w:tc>
          <w:tcPr>
            <w:tcW w:w="1128" w:type="dxa"/>
            <w:vAlign w:val="center"/>
          </w:tcPr>
          <w:p>
            <w:pPr>
              <w:adjustRightInd w:val="0"/>
              <w:snapToGrid w:val="0"/>
              <w:spacing w:line="300" w:lineRule="exact"/>
              <w:jc w:val="center"/>
              <w:rPr>
                <w:sz w:val="24"/>
              </w:rPr>
            </w:pPr>
            <w:r>
              <w:rPr>
                <w:rFonts w:ascii="tim" w:hAnsi="tim"/>
                <w:sz w:val="24"/>
              </w:rPr>
              <w:t>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Ⅱ</w:t>
            </w:r>
            <w:r>
              <w:rPr>
                <w:sz w:val="24"/>
              </w:rPr>
              <w:t>级</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级地以外，越城区：上沙盆底-西施山路-梅龙湖-浙东运河-环城东河-环城南河-环城西路-萧甬铁路-大滩-梅山江-二环北路-上沙盆底；柯桥区：湖中路-瓜渚湖-梅泽路-轻纺城大道-柯岩大道-彪佳路-笛扬路-轻纺城大道-管墅直江-钱陶路-笛扬路-迎家桥</w:t>
            </w:r>
            <w:r>
              <w:rPr>
                <w:rFonts w:hint="eastAsia" w:ascii="微软雅黑" w:hAnsi="微软雅黑" w:eastAsia="微软雅黑" w:cs="微软雅黑"/>
                <w:sz w:val="24"/>
              </w:rPr>
              <w:t>溇</w:t>
            </w:r>
            <w:r>
              <w:rPr>
                <w:sz w:val="24"/>
              </w:rPr>
              <w:t>-湖中路</w:t>
            </w:r>
          </w:p>
        </w:tc>
        <w:tc>
          <w:tcPr>
            <w:tcW w:w="1128" w:type="dxa"/>
            <w:vAlign w:val="center"/>
          </w:tcPr>
          <w:p>
            <w:pPr>
              <w:adjustRightInd w:val="0"/>
              <w:snapToGrid w:val="0"/>
              <w:spacing w:line="300" w:lineRule="exact"/>
              <w:jc w:val="center"/>
              <w:rPr>
                <w:sz w:val="24"/>
              </w:rPr>
            </w:pPr>
            <w:r>
              <w:rPr>
                <w:rFonts w:ascii="tim" w:hAnsi="tim"/>
                <w:sz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Ⅲ</w:t>
            </w:r>
            <w:r>
              <w:rPr>
                <w:sz w:val="24"/>
              </w:rPr>
              <w:t>级</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级地以外，越城区：中兴大道-赵墅江-湘家荡-两头池-二环北路-阳明北路-涂山东路-平江南路-会稽路-二环南路-坡塘江-城南大道-直塘江-鉴湖-二环西路-青甸湖-萧甬铁路-站前大道-凤林西路-下官渡-蛟里河-梅南路-中兴大道；柯桥区：瓜渚湖直江-百舸路-梅墅横江-横河-轻纺城大道-华墟直江-大坂湖-大坂北</w:t>
            </w:r>
            <w:r>
              <w:rPr>
                <w:rFonts w:hint="eastAsia" w:ascii="微软雅黑" w:hAnsi="微软雅黑" w:eastAsia="微软雅黑" w:cs="微软雅黑"/>
                <w:sz w:val="24"/>
              </w:rPr>
              <w:t>溇</w:t>
            </w:r>
            <w:r>
              <w:rPr>
                <w:sz w:val="24"/>
              </w:rPr>
              <w:t>-兴越路-越州大道-湖门村河-育才路-三江大河-浩田畈-杭甬铁路客运专线-瓜渚湖直江；上虞区：凤山路-龙山路-曹娥江-舜江东路-青春路-虹蛘公园-凤山路</w:t>
            </w:r>
          </w:p>
        </w:tc>
        <w:tc>
          <w:tcPr>
            <w:tcW w:w="1128" w:type="dxa"/>
            <w:vAlign w:val="center"/>
          </w:tcPr>
          <w:p>
            <w:pPr>
              <w:adjustRightInd w:val="0"/>
              <w:snapToGrid w:val="0"/>
              <w:spacing w:line="300" w:lineRule="exact"/>
              <w:jc w:val="center"/>
              <w:rPr>
                <w:sz w:val="24"/>
              </w:rPr>
            </w:pPr>
            <w:r>
              <w:rPr>
                <w:rFonts w:ascii="tim" w:hAnsi="tim"/>
                <w:sz w:val="24"/>
              </w:rPr>
              <w:t>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Ⅳ</w:t>
            </w:r>
            <w:r>
              <w:rPr>
                <w:sz w:val="24"/>
              </w:rPr>
              <w:t xml:space="preserve">级 </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级地以外，越城区及柯桥区：越王路-育贤路-规划路-菖蒲</w:t>
            </w:r>
            <w:r>
              <w:rPr>
                <w:rFonts w:hint="eastAsia" w:ascii="微软雅黑" w:hAnsi="微软雅黑" w:eastAsia="微软雅黑" w:cs="微软雅黑"/>
                <w:sz w:val="24"/>
              </w:rPr>
              <w:t>溇</w:t>
            </w:r>
            <w:r>
              <w:rPr>
                <w:sz w:val="24"/>
              </w:rPr>
              <w:t>直江-马山闸-牛角荡-杭甬运河-凤林东路-越东路-山会大道（规划）-窑湾江-萧甬铁路-海南路-人民东路-平水东江-河流-阳明路南侧山脚线-永胜路-会稽路-玉山路-坡塘江-大明路-山脚线-亭山河-艺校北河-下坟头河-区界-鉴湖-郭家</w:t>
            </w:r>
            <w:r>
              <w:rPr>
                <w:rFonts w:hint="eastAsia" w:ascii="微软雅黑" w:hAnsi="微软雅黑" w:eastAsia="微软雅黑" w:cs="微软雅黑"/>
                <w:sz w:val="24"/>
              </w:rPr>
              <w:t>溇</w:t>
            </w:r>
            <w:r>
              <w:rPr>
                <w:sz w:val="24"/>
              </w:rPr>
              <w:t>-大越路-萧甬铁路-镜水路-柯南大道-百舸南路-鉴湖-新风直江-大坂湖直江-萧甬铁路-鉴水路-西蜀埠直江-三江大河-马宅池-永兴路-禹会路（规划名）-育才路-柯袍路-镜水北路-群贤路-东浦江-黄蒋渡-沙地江-群贤路-官渡路-舟楫路（规划名）-育贤西路-汤公路-于越路-湖潮江-凤二桥江-菖蒲</w:t>
            </w:r>
            <w:r>
              <w:rPr>
                <w:rFonts w:hint="eastAsia" w:ascii="微软雅黑" w:hAnsi="微软雅黑" w:eastAsia="微软雅黑" w:cs="微软雅黑"/>
                <w:sz w:val="24"/>
              </w:rPr>
              <w:t>溇</w:t>
            </w:r>
            <w:r>
              <w:rPr>
                <w:sz w:val="24"/>
              </w:rPr>
              <w:t>直江-于越路-越王路；上虞区：江扬路-梁祝大道-迎宾大道-市民大道-萧甬铁路-舜江西路-五星东路-鸿雁路-曹娥江-江华路-江扬路</w:t>
            </w:r>
          </w:p>
        </w:tc>
        <w:tc>
          <w:tcPr>
            <w:tcW w:w="1128" w:type="dxa"/>
            <w:vAlign w:val="center"/>
          </w:tcPr>
          <w:p>
            <w:pPr>
              <w:adjustRightInd w:val="0"/>
              <w:snapToGrid w:val="0"/>
              <w:spacing w:line="300" w:lineRule="exact"/>
              <w:jc w:val="center"/>
              <w:rPr>
                <w:sz w:val="24"/>
              </w:rPr>
            </w:pPr>
            <w:r>
              <w:rPr>
                <w:rFonts w:ascii="tim" w:hAnsi="tim"/>
                <w:sz w:val="24"/>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Ⅴ</w:t>
            </w:r>
            <w:r>
              <w:rPr>
                <w:sz w:val="24"/>
              </w:rPr>
              <w:t>级</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级地以外，越城区及柯桥区：海南路-规划路-三畈</w:t>
            </w:r>
            <w:r>
              <w:rPr>
                <w:rFonts w:hint="eastAsia" w:ascii="微软雅黑" w:hAnsi="微软雅黑" w:eastAsia="微软雅黑" w:cs="微软雅黑"/>
                <w:sz w:val="24"/>
              </w:rPr>
              <w:t>溇</w:t>
            </w:r>
            <w:r>
              <w:rPr>
                <w:sz w:val="24"/>
              </w:rPr>
              <w:t>-萧甬铁路-上樊公路-中山路-三路江-狮子山山脊线-平水大道（规划名）两侧山脚线-镇界-会稽路东侧山脚-下埠路（规划名）-谢墅路（规划名）-绍诸高速-日铸路（规划名）-下埠路（规划名）-牛眠路（规划名）-玉山路-区界-世纪路-秋瑾路-大坟渡-漓渚江-下辽泾-杨绍路-大越路-面前江-徐山路（规划名）-镇界-杨绍路-规划路-州山路（规划名）-杨绍路-毛窀江-湖安路-杨树江-滨海大河-官湖沿路-齐贤路-柯海公路-杭绍台高速-环镇东路-区界-于越路-解放大道北延伸段-外官塘-三江路-越东路-马山路-马斗江-陶畈港-海南路；钱清镇：环镇东路-群贤路-钱杨大道（规划名）-钱陶路-联系河-规划路-东岭路-市域边界-市场北路-环镇东路；杨汛桥镇：市域边界-杨绍线-紫薇路-杨江东路-街河-市域边界；江桥区域</w:t>
            </w:r>
            <w:r>
              <w:rPr>
                <w:rFonts w:ascii="tim" w:hAnsi="tim"/>
                <w:sz w:val="24"/>
              </w:rPr>
              <w:t>10</w:t>
            </w:r>
            <w:r>
              <w:rPr>
                <w:sz w:val="24"/>
              </w:rPr>
              <w:t>号街-杨江中路-</w:t>
            </w:r>
            <w:r>
              <w:rPr>
                <w:rFonts w:ascii="tim" w:hAnsi="tim"/>
                <w:sz w:val="24"/>
              </w:rPr>
              <w:t>9</w:t>
            </w:r>
            <w:r>
              <w:rPr>
                <w:sz w:val="24"/>
              </w:rPr>
              <w:t>号街-杭金衢高速连接线-</w:t>
            </w:r>
            <w:r>
              <w:rPr>
                <w:rFonts w:ascii="tim" w:hAnsi="tim"/>
                <w:sz w:val="24"/>
              </w:rPr>
              <w:t>8</w:t>
            </w:r>
            <w:r>
              <w:rPr>
                <w:sz w:val="24"/>
              </w:rPr>
              <w:t>号街-市域边界-</w:t>
            </w:r>
            <w:r>
              <w:rPr>
                <w:rFonts w:ascii="tim" w:hAnsi="tim"/>
                <w:sz w:val="24"/>
              </w:rPr>
              <w:t>10</w:t>
            </w:r>
            <w:r>
              <w:rPr>
                <w:sz w:val="24"/>
              </w:rPr>
              <w:t>号街；平水镇：平水江-环镇北路-平水大道（规划名）-工商路-干渠-卧山龙支路-人民路-平水街-绍甘线-环镇北路北侧-平水江；兰亭街道：联合路-永兴路-娄宫江-任杨江-中心路-茂林路-联合路；上虞区：春澜路-梁祝大道-萧甬铁路-百谢路-九龙山公园-百岭路-舜耕大道东段-舜耕大道西段-春晖工业大道-亚厦大道-东山路-五星中路-博文路-复兴东路-虞舜大道中段-曹娥江-曙兴路-杭甬铁路客运专线-虞舜大道北段-春澜路；崧厦镇：百崧路-伞城南路-长海公路-盛祥路-百崧路；环城东路-城东路-裕德路-粮争路-何西大道-环城东路</w:t>
            </w:r>
          </w:p>
        </w:tc>
        <w:tc>
          <w:tcPr>
            <w:tcW w:w="1128" w:type="dxa"/>
            <w:vAlign w:val="center"/>
          </w:tcPr>
          <w:p>
            <w:pPr>
              <w:adjustRightInd w:val="0"/>
              <w:snapToGrid w:val="0"/>
              <w:spacing w:line="300" w:lineRule="exact"/>
              <w:jc w:val="center"/>
              <w:rPr>
                <w:sz w:val="24"/>
              </w:rPr>
            </w:pPr>
            <w:r>
              <w:rPr>
                <w:rFonts w:ascii="tim" w:hAnsi="tim"/>
                <w:sz w:val="24"/>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1291"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Ⅵ</w:t>
            </w:r>
            <w:r>
              <w:rPr>
                <w:sz w:val="24"/>
              </w:rPr>
              <w:t>级</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级地以外，越城区及柯桥区：越兴北路-越兴南路-杭甬运河-浙东运河-滨富南路（规划名）-南一路（规划名）-规划路-街道边界-会稽路-绍诸高速-杭绍台高速-印山西路（规划名）-兰亭湖大道-漓渚铁路-镇界-兰越路（规划名）-规划路-杭绍台高速西线（规划名）-镇界-萧甬铁路-瓜渚西路-杨绍线-市域边界-顾家荡路（规划名）-越江路-新甸路（规划名）-新华公路-市域边界-镇界-曹娥江-越兴北路；孙端镇：孙端镇规划中心区域；杨汛桥镇：市域边界-镇界-蒲荡路（规划名）-远瞻路（规划名）-杭金衢高速连接线-市域边界；平水镇：沿山路-平水大道（规划名）-平水街-人民路南侧-平西路-绍甘线-规划路-平水大道（规划名）-平陶公路-东桃路-西上线-沿山路；漓渚镇：兴园路-横路-新建街-规划路-福漓公路-六峰路-纬一路-规划路-福漓公路-兴园路；滨海新城（马鞍镇）：春晓路-柯海路-山脚线-规划路-市域边界-春晓路；致远大道-滨海大道-新围路-启源路-双闸路-滨海大道-益农闸江-安滨路-支四河-支三河-新围路-中心河-致远大道；夏履镇：夏履江-绿杨路-西江路-河流-环镇西路-曙光路-夏履江；上虞区：萧甬铁路-规划路-梁祝大道东段-百岭路-博学路-曹娥江-越窑路-曹新路-舜耕大道西段-兴业南路-香茗路（规划名）-虞舜大道中段-人民大道西段-杭甬运河-五星西路-虞中大道-曹娥江-杭甬高速-城东工业园区河道-规划路-萧甬铁路；崧厦镇：环城东路-崧谢路-利民路-庙川路-通达路-伞城大道-通和路-环镇南路-虞中大道-创业路-昌盛路-浙东引水河-虞中大道-何西大道-规划路-广阳路-环城东路；道墟街道：上三高速-马山横江-中南路（规划名）-前青路（规划名）-人民大道西段-上三高速；小越街道：环镇东路-马河江河-横街河-街河-北大江-环镇东路；谢塘镇:盖谢河-禹峰大江-晋生街南侧区域-晋盛家园-盖谢河；杭州湾上虞经济技术开发区及盖北镇：经东三路-盖北路-边沥线-纬七东路-经东三路；丰惠镇：百丰路-西郊路-丰三河-创业河-瑞灵路-百丰路；章镇镇：和谐大道-规划路-友谊路-环城西路-环城北路-和谐大道；汤浦镇：西上线-毓秀路-河-响山路-规划路-西上线</w:t>
            </w:r>
          </w:p>
        </w:tc>
        <w:tc>
          <w:tcPr>
            <w:tcW w:w="1128" w:type="dxa"/>
            <w:vAlign w:val="center"/>
          </w:tcPr>
          <w:p>
            <w:pPr>
              <w:adjustRightInd w:val="0"/>
              <w:snapToGrid w:val="0"/>
              <w:spacing w:line="300" w:lineRule="exact"/>
              <w:jc w:val="center"/>
              <w:rPr>
                <w:sz w:val="24"/>
              </w:rPr>
            </w:pPr>
            <w:r>
              <w:rPr>
                <w:rFonts w:ascii="tim" w:hAnsi="tim"/>
                <w:sz w:val="24"/>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2"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Ⅶ</w:t>
            </w:r>
            <w:r>
              <w:rPr>
                <w:sz w:val="24"/>
              </w:rPr>
              <w:t>级</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w:t>
            </w:r>
            <w:r>
              <w:rPr>
                <w:rFonts w:hint="eastAsia" w:ascii="宋体" w:hAnsi="宋体" w:eastAsia="宋体" w:cs="宋体"/>
                <w:sz w:val="24"/>
              </w:rPr>
              <w:t>Ⅵ</w:t>
            </w:r>
            <w:r>
              <w:rPr>
                <w:sz w:val="24"/>
              </w:rPr>
              <w:t>级地以外，越城区及柯桥区：曹娥江-区界-平陶公路-富陶公路-规划路-平陶公路-沿山路-绍甘线-船外线-镇界-市域边界-致远大道-曹娥江；王坛镇：北溪-南溪-绍甘线-平王线-砍上路-兴工路-北溪；稽东镇：车竹东路东侧山脚线－横路岗溪-竹耀路－规划路-竹相路-规划路-北溪-官培溪-车竹路东侧山脚线；上虞区：杭甬高速-东泊和白马湖东侧山脚线-规划路-皂李湖西侧山脚线-杭甬运河及南侧山脚线-曹娥江-规划路-上三高速-东关街道上三高速以西规划建设区域-上三高速-积山南路-泾哨南路-环镇南路-铸剑路（规划名）-杭甬高速-外环西路-致远大道-外环东路-杭甬高速；滨海新城（沥海镇）：嘉绍高速-致远中大道-崧沥河-前进路-七六丘-北环河-城东路-南滨东路-嘉绍高速；小越街道：规划建设区及</w:t>
            </w:r>
            <w:r>
              <w:rPr>
                <w:rFonts w:ascii="tim" w:hAnsi="tim"/>
                <w:sz w:val="24"/>
              </w:rPr>
              <w:t>329</w:t>
            </w:r>
            <w:r>
              <w:rPr>
                <w:sz w:val="24"/>
              </w:rPr>
              <w:t>国道两侧规划建设区域；谢塘镇：崧谢路-东进排涝河-海塘河-崧谢路；杭州湾上虞经济技术开发区及盖北镇：经东五路-盖北路南侧规划路-经三路-纬三东路-经东五路；丰惠镇：丰惠镇城镇规划建设范围内其余区域；章镇镇：章镇老镇区-章丰公路-</w:t>
            </w:r>
            <w:r>
              <w:rPr>
                <w:rFonts w:ascii="tim" w:hAnsi="tim"/>
                <w:sz w:val="24"/>
              </w:rPr>
              <w:t>104</w:t>
            </w:r>
            <w:r>
              <w:rPr>
                <w:sz w:val="24"/>
              </w:rPr>
              <w:t>国道-新城路-滨江大道-章镇大桥-章镇老镇区；汤浦镇：纵二路-舜江老河-联桥路-山脚线-童装路-纵一路-舜源路北侧-纵二路；上浦镇：沿江路-曹娥江-</w:t>
            </w:r>
            <w:r>
              <w:rPr>
                <w:rFonts w:ascii="tim" w:hAnsi="tim"/>
                <w:sz w:val="24"/>
              </w:rPr>
              <w:t>104</w:t>
            </w:r>
            <w:r>
              <w:rPr>
                <w:sz w:val="24"/>
              </w:rPr>
              <w:t>国道-上三高速互通-指石路-</w:t>
            </w:r>
            <w:r>
              <w:rPr>
                <w:rFonts w:ascii="tim" w:hAnsi="tim"/>
                <w:sz w:val="24"/>
              </w:rPr>
              <w:t>104</w:t>
            </w:r>
            <w:r>
              <w:rPr>
                <w:sz w:val="24"/>
              </w:rPr>
              <w:t>国道-规划路-沿江路；驿亭镇：市域边界-萧甬铁路-西山桥河-驿五东路-市域边界；永和镇：永和镇镇区规划建设区域</w:t>
            </w:r>
          </w:p>
        </w:tc>
        <w:tc>
          <w:tcPr>
            <w:tcW w:w="1128" w:type="dxa"/>
            <w:vAlign w:val="center"/>
          </w:tcPr>
          <w:p>
            <w:pPr>
              <w:adjustRightInd w:val="0"/>
              <w:snapToGrid w:val="0"/>
              <w:spacing w:line="300" w:lineRule="exact"/>
              <w:jc w:val="center"/>
              <w:rPr>
                <w:sz w:val="24"/>
              </w:rPr>
            </w:pPr>
            <w:r>
              <w:rPr>
                <w:rFonts w:ascii="tim" w:hAnsi="tim"/>
                <w:sz w:val="24"/>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2"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Ⅷ</w:t>
            </w:r>
            <w:r>
              <w:rPr>
                <w:sz w:val="24"/>
              </w:rPr>
              <w:t>级</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w:t>
            </w:r>
            <w:r>
              <w:rPr>
                <w:rFonts w:hint="eastAsia" w:ascii="宋体" w:hAnsi="宋体" w:eastAsia="宋体" w:cs="宋体"/>
                <w:sz w:val="24"/>
              </w:rPr>
              <w:t>Ⅵ</w:t>
            </w:r>
            <w:r>
              <w:rPr>
                <w:sz w:val="24"/>
              </w:rPr>
              <w:t>、</w:t>
            </w:r>
            <w:r>
              <w:rPr>
                <w:rFonts w:hint="eastAsia" w:ascii="宋体" w:hAnsi="宋体" w:eastAsia="宋体" w:cs="宋体"/>
                <w:sz w:val="24"/>
              </w:rPr>
              <w:t>Ⅶ</w:t>
            </w:r>
            <w:r>
              <w:rPr>
                <w:sz w:val="24"/>
              </w:rPr>
              <w:t>级地以外，富盛镇、平水镇、滨海工业区（马鞍镇)、王坛镇、稽东镇、百官街道、曹娥街道、东关街道、梁湖街道、崧厦镇、道墟街道、滨海新城（沥海镇）、小越街道、谢塘镇、杭州湾上虞经济技术开发区范围内其余区域；丰惠镇、章镇镇、汤浦镇、上浦镇、驿亭镇、永和镇、长塘镇、丁宅乡、下管镇规划区范围内其余区域</w:t>
            </w:r>
          </w:p>
        </w:tc>
        <w:tc>
          <w:tcPr>
            <w:tcW w:w="1128" w:type="dxa"/>
            <w:vAlign w:val="center"/>
          </w:tcPr>
          <w:p>
            <w:pPr>
              <w:adjustRightInd w:val="0"/>
              <w:snapToGrid w:val="0"/>
              <w:spacing w:line="300" w:lineRule="exact"/>
              <w:jc w:val="center"/>
              <w:rPr>
                <w:sz w:val="24"/>
              </w:rPr>
            </w:pPr>
            <w:r>
              <w:rPr>
                <w:rFonts w:ascii="tim" w:hAnsi="tim"/>
                <w:sz w:val="24"/>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52" w:type="dxa"/>
            <w:tcBorders>
              <w:right w:val="nil"/>
            </w:tcBorders>
            <w:vAlign w:val="center"/>
          </w:tcPr>
          <w:p>
            <w:pPr>
              <w:adjustRightInd w:val="0"/>
              <w:snapToGrid w:val="0"/>
              <w:spacing w:line="300" w:lineRule="exact"/>
              <w:jc w:val="center"/>
              <w:rPr>
                <w:sz w:val="24"/>
              </w:rPr>
            </w:pPr>
            <w:r>
              <w:rPr>
                <w:rFonts w:hint="eastAsia" w:ascii="宋体" w:hAnsi="宋体" w:eastAsia="宋体" w:cs="宋体"/>
                <w:sz w:val="24"/>
              </w:rPr>
              <w:t>Ⅸ</w:t>
            </w:r>
            <w:r>
              <w:rPr>
                <w:sz w:val="24"/>
              </w:rPr>
              <w:t>级</w:t>
            </w:r>
          </w:p>
        </w:tc>
        <w:tc>
          <w:tcPr>
            <w:tcW w:w="6988" w:type="dxa"/>
            <w:vAlign w:val="center"/>
          </w:tcPr>
          <w:p>
            <w:pPr>
              <w:adjustRightInd w:val="0"/>
              <w:snapToGrid w:val="0"/>
              <w:spacing w:line="300" w:lineRule="exact"/>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w:t>
            </w:r>
            <w:r>
              <w:rPr>
                <w:rFonts w:hint="eastAsia" w:ascii="宋体" w:hAnsi="宋体" w:eastAsia="宋体" w:cs="宋体"/>
                <w:sz w:val="24"/>
              </w:rPr>
              <w:t>Ⅵ</w:t>
            </w:r>
            <w:r>
              <w:rPr>
                <w:sz w:val="24"/>
              </w:rPr>
              <w:t>、</w:t>
            </w:r>
            <w:r>
              <w:rPr>
                <w:rFonts w:hint="eastAsia" w:ascii="宋体" w:hAnsi="宋体" w:eastAsia="宋体" w:cs="宋体"/>
                <w:sz w:val="24"/>
              </w:rPr>
              <w:t>Ⅶ</w:t>
            </w:r>
            <w:r>
              <w:rPr>
                <w:sz w:val="24"/>
              </w:rPr>
              <w:t>、</w:t>
            </w:r>
            <w:r>
              <w:rPr>
                <w:rFonts w:hint="eastAsia" w:ascii="宋体" w:hAnsi="宋体" w:eastAsia="宋体" w:cs="宋体"/>
                <w:sz w:val="24"/>
              </w:rPr>
              <w:t>Ⅷ</w:t>
            </w:r>
            <w:r>
              <w:rPr>
                <w:sz w:val="24"/>
              </w:rPr>
              <w:t>级地以外，绍兴市区行政区范围内其余区域</w:t>
            </w:r>
          </w:p>
        </w:tc>
        <w:tc>
          <w:tcPr>
            <w:tcW w:w="1128" w:type="dxa"/>
            <w:vAlign w:val="center"/>
          </w:tcPr>
          <w:p>
            <w:pPr>
              <w:adjustRightInd w:val="0"/>
              <w:snapToGrid w:val="0"/>
              <w:spacing w:line="300" w:lineRule="exact"/>
              <w:jc w:val="center"/>
              <w:rPr>
                <w:sz w:val="24"/>
              </w:rPr>
            </w:pPr>
            <w:r>
              <w:rPr>
                <w:rFonts w:ascii="tim" w:hAnsi="tim"/>
                <w:sz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652" w:type="dxa"/>
            <w:tcBorders>
              <w:right w:val="nil"/>
            </w:tcBorders>
            <w:vAlign w:val="center"/>
          </w:tcPr>
          <w:p>
            <w:pPr>
              <w:adjustRightInd w:val="0"/>
              <w:snapToGrid w:val="0"/>
              <w:spacing w:line="300" w:lineRule="exact"/>
              <w:jc w:val="center"/>
              <w:rPr>
                <w:sz w:val="24"/>
                <w:szCs w:val="24"/>
              </w:rPr>
            </w:pPr>
            <w:r>
              <w:rPr>
                <w:sz w:val="24"/>
                <w:szCs w:val="24"/>
              </w:rPr>
              <w:t>备注</w:t>
            </w:r>
          </w:p>
        </w:tc>
        <w:tc>
          <w:tcPr>
            <w:tcW w:w="8116" w:type="dxa"/>
            <w:gridSpan w:val="2"/>
            <w:vAlign w:val="center"/>
          </w:tcPr>
          <w:p>
            <w:pPr>
              <w:adjustRightInd w:val="0"/>
              <w:snapToGrid w:val="0"/>
              <w:spacing w:line="300" w:lineRule="exact"/>
              <w:ind w:firstLine="420" w:firstLineChars="200"/>
              <w:rPr>
                <w:kern w:val="0"/>
                <w:sz w:val="21"/>
                <w:szCs w:val="21"/>
              </w:rPr>
            </w:pPr>
            <w:r>
              <w:rPr>
                <w:rFonts w:ascii="tim" w:hAnsi="tim"/>
                <w:kern w:val="0"/>
                <w:sz w:val="21"/>
                <w:szCs w:val="21"/>
              </w:rPr>
              <w:t>1</w:t>
            </w:r>
            <w:r>
              <w:rPr>
                <w:kern w:val="0"/>
                <w:sz w:val="21"/>
                <w:szCs w:val="21"/>
              </w:rPr>
              <w:t>.基准地价基准日：</w:t>
            </w:r>
            <w:r>
              <w:rPr>
                <w:rFonts w:ascii="tim" w:hAnsi="tim"/>
                <w:kern w:val="0"/>
                <w:sz w:val="21"/>
                <w:szCs w:val="21"/>
              </w:rPr>
              <w:t>2019</w:t>
            </w:r>
            <w:r>
              <w:rPr>
                <w:kern w:val="0"/>
                <w:sz w:val="21"/>
                <w:szCs w:val="21"/>
              </w:rPr>
              <w:t>年</w:t>
            </w:r>
            <w:r>
              <w:rPr>
                <w:rFonts w:ascii="tim" w:hAnsi="tim"/>
                <w:kern w:val="0"/>
                <w:sz w:val="21"/>
                <w:szCs w:val="21"/>
              </w:rPr>
              <w:t>1</w:t>
            </w:r>
            <w:r>
              <w:rPr>
                <w:kern w:val="0"/>
                <w:sz w:val="21"/>
                <w:szCs w:val="21"/>
              </w:rPr>
              <w:t>月</w:t>
            </w:r>
            <w:r>
              <w:rPr>
                <w:rFonts w:ascii="tim" w:hAnsi="tim"/>
                <w:kern w:val="0"/>
                <w:sz w:val="21"/>
                <w:szCs w:val="21"/>
              </w:rPr>
              <w:t>1</w:t>
            </w:r>
            <w:r>
              <w:rPr>
                <w:kern w:val="0"/>
                <w:sz w:val="21"/>
                <w:szCs w:val="21"/>
              </w:rPr>
              <w:t>日；</w:t>
            </w:r>
          </w:p>
          <w:p>
            <w:pPr>
              <w:adjustRightInd w:val="0"/>
              <w:snapToGrid w:val="0"/>
              <w:spacing w:line="300" w:lineRule="exact"/>
              <w:ind w:firstLine="420" w:firstLineChars="200"/>
              <w:rPr>
                <w:kern w:val="0"/>
                <w:sz w:val="21"/>
                <w:szCs w:val="21"/>
              </w:rPr>
            </w:pPr>
            <w:r>
              <w:rPr>
                <w:rFonts w:ascii="tim" w:hAnsi="tim"/>
                <w:kern w:val="0"/>
                <w:sz w:val="21"/>
                <w:szCs w:val="21"/>
              </w:rPr>
              <w:t>2</w:t>
            </w:r>
            <w:r>
              <w:rPr>
                <w:kern w:val="0"/>
                <w:sz w:val="21"/>
                <w:szCs w:val="21"/>
              </w:rPr>
              <w:t>.基准地价内涵：各土地级别范围内达到</w:t>
            </w:r>
            <w:r>
              <w:rPr>
                <w:rFonts w:hint="eastAsia" w:ascii="仿宋_GB2312"/>
                <w:kern w:val="0"/>
                <w:sz w:val="21"/>
                <w:szCs w:val="21"/>
              </w:rPr>
              <w:t>“五通一平”土地开发程度、设定“基准条件”</w:t>
            </w:r>
            <w:r>
              <w:rPr>
                <w:kern w:val="0"/>
                <w:sz w:val="21"/>
                <w:szCs w:val="21"/>
              </w:rPr>
              <w:t>下最高使用年限完整出让土地使用权的单位土地面积平均价格，地价内涵构成包括国家土地所有权收益、土地取得费用和土地前期开发费用；</w:t>
            </w:r>
          </w:p>
          <w:p>
            <w:pPr>
              <w:adjustRightInd w:val="0"/>
              <w:snapToGrid w:val="0"/>
              <w:spacing w:line="300" w:lineRule="exact"/>
              <w:ind w:firstLine="420" w:firstLineChars="200"/>
              <w:rPr>
                <w:kern w:val="0"/>
                <w:sz w:val="21"/>
                <w:szCs w:val="21"/>
              </w:rPr>
            </w:pPr>
            <w:r>
              <w:rPr>
                <w:rFonts w:ascii="tim" w:hAnsi="tim"/>
                <w:kern w:val="0"/>
                <w:sz w:val="21"/>
                <w:szCs w:val="21"/>
              </w:rPr>
              <w:t>3</w:t>
            </w:r>
            <w:r>
              <w:rPr>
                <w:kern w:val="0"/>
                <w:sz w:val="21"/>
                <w:szCs w:val="21"/>
              </w:rPr>
              <w:t>.基准条件界定：容积率为</w:t>
            </w:r>
            <w:r>
              <w:rPr>
                <w:rFonts w:ascii="tim" w:hAnsi="tim"/>
                <w:kern w:val="0"/>
                <w:sz w:val="21"/>
                <w:szCs w:val="21"/>
              </w:rPr>
              <w:t>1</w:t>
            </w:r>
            <w:r>
              <w:rPr>
                <w:kern w:val="0"/>
                <w:sz w:val="21"/>
                <w:szCs w:val="21"/>
              </w:rPr>
              <w:t>.</w:t>
            </w:r>
            <w:r>
              <w:rPr>
                <w:rFonts w:ascii="tim" w:hAnsi="tim"/>
                <w:kern w:val="0"/>
                <w:sz w:val="21"/>
                <w:szCs w:val="21"/>
              </w:rPr>
              <w:t>2</w:t>
            </w:r>
            <w:r>
              <w:rPr>
                <w:kern w:val="0"/>
                <w:sz w:val="21"/>
                <w:szCs w:val="21"/>
              </w:rPr>
              <w:t xml:space="preserve">； </w:t>
            </w:r>
          </w:p>
          <w:p>
            <w:pPr>
              <w:adjustRightInd w:val="0"/>
              <w:snapToGrid w:val="0"/>
              <w:spacing w:line="300" w:lineRule="exact"/>
              <w:ind w:firstLine="420" w:firstLineChars="200"/>
              <w:rPr>
                <w:kern w:val="0"/>
                <w:sz w:val="21"/>
                <w:szCs w:val="21"/>
              </w:rPr>
            </w:pPr>
            <w:r>
              <w:rPr>
                <w:rFonts w:ascii="tim" w:hAnsi="tim"/>
                <w:kern w:val="0"/>
                <w:sz w:val="21"/>
                <w:szCs w:val="21"/>
              </w:rPr>
              <w:t>4</w:t>
            </w:r>
            <w:r>
              <w:rPr>
                <w:kern w:val="0"/>
                <w:sz w:val="21"/>
                <w:szCs w:val="21"/>
              </w:rPr>
              <w:t>.土地使用年期：</w:t>
            </w:r>
            <w:r>
              <w:rPr>
                <w:rFonts w:ascii="tim" w:hAnsi="tim"/>
                <w:kern w:val="0"/>
                <w:sz w:val="21"/>
                <w:szCs w:val="21"/>
              </w:rPr>
              <w:t>50</w:t>
            </w:r>
            <w:r>
              <w:rPr>
                <w:kern w:val="0"/>
                <w:sz w:val="21"/>
                <w:szCs w:val="21"/>
              </w:rPr>
              <w:t>年；</w:t>
            </w:r>
          </w:p>
          <w:p>
            <w:pPr>
              <w:adjustRightInd w:val="0"/>
              <w:snapToGrid w:val="0"/>
              <w:spacing w:line="300" w:lineRule="exact"/>
              <w:ind w:firstLine="420" w:firstLineChars="200"/>
              <w:rPr>
                <w:kern w:val="0"/>
                <w:sz w:val="21"/>
                <w:szCs w:val="21"/>
              </w:rPr>
            </w:pPr>
            <w:r>
              <w:rPr>
                <w:rFonts w:ascii="tim" w:hAnsi="tim"/>
                <w:kern w:val="0"/>
                <w:sz w:val="21"/>
                <w:szCs w:val="21"/>
              </w:rPr>
              <w:t>5</w:t>
            </w:r>
            <w:r>
              <w:rPr>
                <w:kern w:val="0"/>
                <w:sz w:val="21"/>
                <w:szCs w:val="21"/>
              </w:rPr>
              <w:t>.土地级别范围：具体详见绍兴市区公共服务项目（公共服务类）用地基准地价图；</w:t>
            </w:r>
          </w:p>
          <w:p>
            <w:pPr>
              <w:adjustRightInd w:val="0"/>
              <w:snapToGrid w:val="0"/>
              <w:spacing w:line="300" w:lineRule="exact"/>
              <w:ind w:firstLine="420" w:firstLineChars="200"/>
              <w:rPr>
                <w:sz w:val="24"/>
                <w:szCs w:val="24"/>
              </w:rPr>
            </w:pPr>
            <w:r>
              <w:rPr>
                <w:rFonts w:ascii="tim" w:hAnsi="tim"/>
                <w:kern w:val="0"/>
                <w:sz w:val="21"/>
                <w:szCs w:val="21"/>
              </w:rPr>
              <w:t>6</w:t>
            </w:r>
            <w:r>
              <w:rPr>
                <w:kern w:val="0"/>
                <w:sz w:val="21"/>
                <w:szCs w:val="21"/>
              </w:rPr>
              <w:t>.适用范围：基准地价成果主要应用于政府宏观地价管理和出让地价审核等管理需要，运用基准地价系数修正法评估公共服务项目用地宗地地价时，以本表中的级别基准地价作为评估修正基准。</w:t>
            </w:r>
          </w:p>
        </w:tc>
      </w:tr>
    </w:tbl>
    <w:p>
      <w:pPr>
        <w:pStyle w:val="2"/>
        <w:spacing w:before="120" w:after="120" w:line="200" w:lineRule="exact"/>
        <w:jc w:val="center"/>
        <w:rPr>
          <w:rFonts w:ascii="Times New Roman" w:hAnsi="Times New Roman"/>
        </w:rPr>
      </w:pPr>
      <w:bookmarkStart w:id="1" w:name="_Toc520465228"/>
      <w:bookmarkStart w:id="2" w:name="_Toc493753873"/>
    </w:p>
    <w:p>
      <w:pPr>
        <w:rPr>
          <w:rFonts w:ascii="Times New Roman" w:hAnsi="Times New Roman"/>
        </w:rPr>
      </w:pPr>
    </w:p>
    <w:p>
      <w:pPr>
        <w:rPr>
          <w:rFonts w:ascii="Times New Roman" w:hAnsi="Times New Roman"/>
        </w:rPr>
      </w:pPr>
    </w:p>
    <w:p>
      <w:pPr>
        <w:pStyle w:val="2"/>
        <w:spacing w:before="120" w:after="120" w:line="320" w:lineRule="exact"/>
        <w:jc w:val="center"/>
        <w:rPr>
          <w:rFonts w:ascii="黑体" w:hAnsi="黑体"/>
          <w:b w:val="0"/>
          <w:sz w:val="30"/>
          <w:szCs w:val="30"/>
        </w:rPr>
      </w:pPr>
      <w:r>
        <w:rPr>
          <w:rFonts w:ascii="黑体" w:hAnsi="黑体"/>
          <w:b w:val="0"/>
          <w:sz w:val="30"/>
          <w:szCs w:val="30"/>
        </w:rPr>
        <w:t>表7  绍兴市区公共服务项目</w:t>
      </w:r>
      <w:r>
        <w:rPr>
          <w:rFonts w:hint="eastAsia" w:ascii="黑体" w:hAnsi="黑体"/>
          <w:b w:val="0"/>
          <w:sz w:val="30"/>
          <w:szCs w:val="30"/>
        </w:rPr>
        <w:t>（</w:t>
      </w:r>
      <w:r>
        <w:rPr>
          <w:rFonts w:ascii="黑体" w:hAnsi="黑体"/>
          <w:b w:val="0"/>
          <w:sz w:val="30"/>
          <w:szCs w:val="30"/>
        </w:rPr>
        <w:t>基础设施类</w:t>
      </w:r>
      <w:r>
        <w:rPr>
          <w:rFonts w:hint="eastAsia" w:ascii="黑体" w:hAnsi="黑体"/>
          <w:b w:val="0"/>
          <w:sz w:val="30"/>
          <w:szCs w:val="30"/>
        </w:rPr>
        <w:t>）</w:t>
      </w:r>
      <w:r>
        <w:rPr>
          <w:rFonts w:ascii="黑体" w:hAnsi="黑体"/>
          <w:b w:val="0"/>
          <w:sz w:val="30"/>
          <w:szCs w:val="30"/>
        </w:rPr>
        <w:t>用地级别基准地价表</w:t>
      </w:r>
    </w:p>
    <w:p>
      <w:pPr>
        <w:spacing w:line="200" w:lineRule="exact"/>
      </w:pPr>
    </w:p>
    <w:p>
      <w:pPr>
        <w:adjustRightInd w:val="0"/>
        <w:snapToGrid w:val="0"/>
        <w:ind w:right="-168" w:rightChars="-80"/>
        <w:jc w:val="right"/>
        <w:rPr>
          <w:sz w:val="24"/>
        </w:rPr>
      </w:pPr>
      <w:r>
        <w:rPr>
          <w:sz w:val="24"/>
        </w:rPr>
        <w:t>单位：元/平方米</w:t>
      </w:r>
    </w:p>
    <w:tbl>
      <w:tblPr>
        <w:tblStyle w:val="8"/>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652"/>
        <w:gridCol w:w="694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426" w:hRule="atLeast"/>
          <w:tblHeader/>
          <w:jc w:val="center"/>
        </w:trPr>
        <w:tc>
          <w:tcPr>
            <w:tcW w:w="652" w:type="dxa"/>
            <w:vAlign w:val="center"/>
          </w:tcPr>
          <w:p>
            <w:pPr>
              <w:adjustRightInd w:val="0"/>
              <w:snapToGrid w:val="0"/>
              <w:jc w:val="center"/>
              <w:rPr>
                <w:sz w:val="24"/>
                <w:szCs w:val="24"/>
              </w:rPr>
            </w:pPr>
            <w:r>
              <w:rPr>
                <w:sz w:val="24"/>
                <w:szCs w:val="24"/>
              </w:rPr>
              <w:t>级别</w:t>
            </w:r>
          </w:p>
        </w:tc>
        <w:tc>
          <w:tcPr>
            <w:tcW w:w="6940" w:type="dxa"/>
            <w:vAlign w:val="center"/>
          </w:tcPr>
          <w:p>
            <w:pPr>
              <w:adjustRightInd w:val="0"/>
              <w:snapToGrid w:val="0"/>
              <w:jc w:val="center"/>
              <w:rPr>
                <w:sz w:val="24"/>
                <w:szCs w:val="24"/>
              </w:rPr>
            </w:pPr>
            <w:r>
              <w:rPr>
                <w:sz w:val="24"/>
                <w:szCs w:val="24"/>
              </w:rPr>
              <w:t>范    围</w:t>
            </w:r>
          </w:p>
        </w:tc>
        <w:tc>
          <w:tcPr>
            <w:tcW w:w="1101" w:type="dxa"/>
            <w:vAlign w:val="center"/>
          </w:tcPr>
          <w:p>
            <w:pPr>
              <w:adjustRightInd w:val="0"/>
              <w:snapToGrid w:val="0"/>
              <w:spacing w:line="240" w:lineRule="atLeast"/>
              <w:jc w:val="center"/>
              <w:rPr>
                <w:sz w:val="24"/>
                <w:szCs w:val="24"/>
              </w:rPr>
            </w:pPr>
            <w:r>
              <w:rPr>
                <w:sz w:val="24"/>
                <w:szCs w:val="24"/>
              </w:rPr>
              <w:t>基准地价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Ⅰ</w:t>
            </w:r>
            <w:r>
              <w:rPr>
                <w:sz w:val="24"/>
                <w:szCs w:val="24"/>
              </w:rPr>
              <w:t>级</w:t>
            </w:r>
          </w:p>
        </w:tc>
        <w:tc>
          <w:tcPr>
            <w:tcW w:w="6940" w:type="dxa"/>
            <w:vAlign w:val="center"/>
          </w:tcPr>
          <w:p>
            <w:pPr>
              <w:adjustRightInd w:val="0"/>
              <w:snapToGrid w:val="0"/>
              <w:rPr>
                <w:sz w:val="24"/>
              </w:rPr>
            </w:pPr>
            <w:r>
              <w:rPr>
                <w:sz w:val="24"/>
              </w:rPr>
              <w:t>越城区：外官塘-湘家荡-二环北路-二环东路-二环南路-二环西路-青甸湖-大树江-上官渡-下官渡-蛟里河-山闸西江-外官塘；柯桥区:瓜渚湖直江-群贤路-镜水路-萧甬铁路-鉴水路-钱陶路-马宅池-大坂湖直江-华齐路-浩田畈-杭甬铁路客运专线-瓜渚湖直江</w:t>
            </w:r>
          </w:p>
        </w:tc>
        <w:tc>
          <w:tcPr>
            <w:tcW w:w="1101" w:type="dxa"/>
            <w:vAlign w:val="center"/>
          </w:tcPr>
          <w:p>
            <w:pPr>
              <w:adjustRightInd w:val="0"/>
              <w:snapToGrid w:val="0"/>
              <w:spacing w:line="240" w:lineRule="atLeast"/>
              <w:jc w:val="center"/>
              <w:rPr>
                <w:sz w:val="24"/>
                <w:szCs w:val="24"/>
              </w:rPr>
            </w:pPr>
            <w:r>
              <w:rPr>
                <w:rFonts w:ascii="tim" w:hAnsi="tim"/>
                <w:sz w:val="24"/>
                <w:szCs w:val="24"/>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Ⅱ</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级地以外，越城区及柯桥区：越兴南路-银洲路-三路江-攒宫江西侧规划路-平水镇边界-平陶公路-山脊线-鉴湖街道边界-兰亭街道兴园路-福全街道边界-湖塘街道边界-钱清镇边界-杨汛桥镇边界-市域边界-齐贤街道边界-三江路-中兴大道-杭甬铁路客运专线-海南路-凤林东路-越兴南路；上虞区：迎宾大道-梁祝大道-萧甬铁路-舜江西路-人民大道西段-东山路-五星中路-兴业北路-复兴东路-虞舜大道中段-虞舜大道北段-迎宾大道</w:t>
            </w:r>
          </w:p>
        </w:tc>
        <w:tc>
          <w:tcPr>
            <w:tcW w:w="1101" w:type="dxa"/>
            <w:vAlign w:val="center"/>
          </w:tcPr>
          <w:p>
            <w:pPr>
              <w:adjustRightInd w:val="0"/>
              <w:snapToGrid w:val="0"/>
              <w:spacing w:line="240" w:lineRule="atLeast"/>
              <w:jc w:val="center"/>
              <w:rPr>
                <w:sz w:val="24"/>
                <w:szCs w:val="24"/>
              </w:rPr>
            </w:pPr>
            <w:r>
              <w:rPr>
                <w:rFonts w:ascii="tim" w:hAnsi="tim"/>
                <w:sz w:val="24"/>
                <w:szCs w:val="24"/>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Ⅲ</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级地以外，越城区及柯桥区：滨富路（规划名）-洋江东路东延段-</w:t>
            </w:r>
            <w:r>
              <w:rPr>
                <w:rFonts w:ascii="tim" w:hAnsi="tim"/>
                <w:sz w:val="24"/>
              </w:rPr>
              <w:t>104</w:t>
            </w:r>
            <w:r>
              <w:rPr>
                <w:sz w:val="24"/>
              </w:rPr>
              <w:t>国道-平陶公路-绍诸高速-皋埠镇边界-山脊线-平水镇边界-鉴湖街道边界-兰亭街道边界-漓渚镇边界-夏履镇边界-市域边界-滨海工业区（马鞍）边界-曹娥江-滨富路（规划名）；上虞区：白马湖-百官街道边界-梁祝大道-舜耕大道-亚厦大道-萧甬铁路-上三高速-杭甬高速-白马湖</w:t>
            </w:r>
          </w:p>
        </w:tc>
        <w:tc>
          <w:tcPr>
            <w:tcW w:w="1101" w:type="dxa"/>
            <w:vAlign w:val="center"/>
          </w:tcPr>
          <w:p>
            <w:pPr>
              <w:adjustRightInd w:val="0"/>
              <w:snapToGrid w:val="0"/>
              <w:spacing w:line="240" w:lineRule="atLeast"/>
              <w:jc w:val="center"/>
              <w:rPr>
                <w:sz w:val="24"/>
                <w:szCs w:val="24"/>
              </w:rPr>
            </w:pPr>
            <w:r>
              <w:rPr>
                <w:rFonts w:ascii="tim" w:hAnsi="tim"/>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Ⅳ</w:t>
            </w:r>
            <w:r>
              <w:rPr>
                <w:sz w:val="24"/>
                <w:szCs w:val="24"/>
              </w:rPr>
              <w:t xml:space="preserve">级 </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级地以外，越城区孙端、陶堰镇、富盛镇行政区范围内其余区域；柯桥区平水镇域范围内其余区域，稽东镇、王坛镇行政区范围内区域；上虞区：百官街道边界-博学路-越窑路-东五路-香茗路-凌江河-上三高速-亚厦大道-积山南路-腾飞路-规划路-闰土大道-杭甬高速-嘉绍高速-曹娥江-伞城大道-外环东路-杭甬高速-百官街道边界</w:t>
            </w:r>
          </w:p>
        </w:tc>
        <w:tc>
          <w:tcPr>
            <w:tcW w:w="1101" w:type="dxa"/>
            <w:vAlign w:val="center"/>
          </w:tcPr>
          <w:p>
            <w:pPr>
              <w:adjustRightInd w:val="0"/>
              <w:snapToGrid w:val="0"/>
              <w:spacing w:line="240" w:lineRule="atLeast"/>
              <w:jc w:val="center"/>
              <w:rPr>
                <w:sz w:val="24"/>
                <w:szCs w:val="24"/>
              </w:rPr>
            </w:pPr>
            <w:r>
              <w:rPr>
                <w:rFonts w:ascii="tim" w:hAnsi="tim"/>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Ⅴ</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级地以外，</w:t>
            </w:r>
            <w:r>
              <w:rPr>
                <w:sz w:val="24"/>
                <w:szCs w:val="21"/>
              </w:rPr>
              <w:t>上虞区百官街道、曹娥街道、东关街道、道墟街道、小越街道、</w:t>
            </w:r>
            <w:r>
              <w:rPr>
                <w:sz w:val="24"/>
              </w:rPr>
              <w:t>梁湖街道、</w:t>
            </w:r>
            <w:r>
              <w:rPr>
                <w:sz w:val="24"/>
                <w:szCs w:val="21"/>
              </w:rPr>
              <w:t>崧厦镇、</w:t>
            </w:r>
            <w:r>
              <w:rPr>
                <w:sz w:val="24"/>
              </w:rPr>
              <w:t>沥海镇、丰惠镇行政范围内其余区域，滨海新城嘉绍高速-区域边界-前进路-河流-嘉绍高速；上浦镇、章镇镇区规划建设区范围内区域</w:t>
            </w:r>
          </w:p>
        </w:tc>
        <w:tc>
          <w:tcPr>
            <w:tcW w:w="1101" w:type="dxa"/>
            <w:vAlign w:val="center"/>
          </w:tcPr>
          <w:p>
            <w:pPr>
              <w:adjustRightInd w:val="0"/>
              <w:snapToGrid w:val="0"/>
              <w:spacing w:line="240" w:lineRule="atLeast"/>
              <w:jc w:val="center"/>
              <w:rPr>
                <w:sz w:val="24"/>
                <w:szCs w:val="24"/>
              </w:rPr>
            </w:pPr>
            <w:r>
              <w:rPr>
                <w:rFonts w:ascii="tim" w:hAnsi="tim"/>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Ⅵ</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级地以外，驿亭镇、滨海新区、上浦镇、章镇镇行政区范围内其余区域，杭州湾经济技术开发区经东五路-行政边界-经三路-纬三经东合围区域，盖北镇、谢塘镇、汤浦镇、长塘镇、下管镇、永和镇、陈溪乡、岭南乡、丁宅乡行政范围内区域</w:t>
            </w:r>
          </w:p>
        </w:tc>
        <w:tc>
          <w:tcPr>
            <w:tcW w:w="1101" w:type="dxa"/>
            <w:vAlign w:val="center"/>
          </w:tcPr>
          <w:p>
            <w:pPr>
              <w:adjustRightInd w:val="0"/>
              <w:snapToGrid w:val="0"/>
              <w:spacing w:line="240" w:lineRule="atLeast"/>
              <w:jc w:val="center"/>
              <w:rPr>
                <w:sz w:val="24"/>
                <w:szCs w:val="24"/>
              </w:rPr>
            </w:pPr>
            <w:r>
              <w:rPr>
                <w:rFonts w:ascii="tim" w:hAnsi="tim"/>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rFonts w:hint="eastAsia" w:ascii="宋体" w:hAnsi="宋体" w:eastAsia="宋体" w:cs="宋体"/>
                <w:sz w:val="24"/>
                <w:szCs w:val="24"/>
              </w:rPr>
              <w:t>Ⅶ</w:t>
            </w:r>
            <w:r>
              <w:rPr>
                <w:sz w:val="24"/>
                <w:szCs w:val="24"/>
              </w:rPr>
              <w:t>级</w:t>
            </w:r>
          </w:p>
        </w:tc>
        <w:tc>
          <w:tcPr>
            <w:tcW w:w="6940" w:type="dxa"/>
            <w:vAlign w:val="center"/>
          </w:tcPr>
          <w:p>
            <w:pPr>
              <w:adjustRightInd w:val="0"/>
              <w:snapToGrid w:val="0"/>
              <w:rPr>
                <w:sz w:val="24"/>
              </w:rPr>
            </w:pPr>
            <w:r>
              <w:rPr>
                <w:rFonts w:hint="eastAsia" w:ascii="宋体" w:hAnsi="宋体" w:eastAsia="宋体" w:cs="宋体"/>
                <w:sz w:val="24"/>
              </w:rPr>
              <w:t>Ⅰ</w:t>
            </w:r>
            <w:r>
              <w:rPr>
                <w:sz w:val="24"/>
              </w:rPr>
              <w:t>、</w:t>
            </w:r>
            <w:r>
              <w:rPr>
                <w:rFonts w:hint="eastAsia" w:ascii="宋体" w:hAnsi="宋体" w:eastAsia="宋体" w:cs="宋体"/>
                <w:sz w:val="24"/>
              </w:rPr>
              <w:t>Ⅱ</w:t>
            </w:r>
            <w:r>
              <w:rPr>
                <w:sz w:val="24"/>
              </w:rPr>
              <w:t>、</w:t>
            </w:r>
            <w:r>
              <w:rPr>
                <w:rFonts w:hint="eastAsia" w:ascii="宋体" w:hAnsi="宋体" w:eastAsia="宋体" w:cs="宋体"/>
                <w:sz w:val="24"/>
              </w:rPr>
              <w:t>Ⅲ</w:t>
            </w:r>
            <w:r>
              <w:rPr>
                <w:sz w:val="24"/>
              </w:rPr>
              <w:t>、</w:t>
            </w:r>
            <w:r>
              <w:rPr>
                <w:rFonts w:hint="eastAsia" w:ascii="宋体" w:hAnsi="宋体" w:eastAsia="宋体" w:cs="宋体"/>
                <w:sz w:val="24"/>
              </w:rPr>
              <w:t>Ⅳ</w:t>
            </w:r>
            <w:r>
              <w:rPr>
                <w:sz w:val="24"/>
              </w:rPr>
              <w:t>、</w:t>
            </w:r>
            <w:r>
              <w:rPr>
                <w:rFonts w:hint="eastAsia" w:ascii="宋体" w:hAnsi="宋体" w:eastAsia="宋体" w:cs="宋体"/>
                <w:sz w:val="24"/>
              </w:rPr>
              <w:t>Ⅴ</w:t>
            </w:r>
            <w:r>
              <w:rPr>
                <w:sz w:val="24"/>
              </w:rPr>
              <w:t>、</w:t>
            </w:r>
            <w:r>
              <w:rPr>
                <w:rFonts w:hint="eastAsia" w:ascii="宋体" w:hAnsi="宋体" w:eastAsia="宋体" w:cs="宋体"/>
                <w:sz w:val="24"/>
              </w:rPr>
              <w:t>Ⅵ</w:t>
            </w:r>
            <w:r>
              <w:rPr>
                <w:sz w:val="24"/>
              </w:rPr>
              <w:t>级地以外，上虞区行政范围内其余区域</w:t>
            </w:r>
          </w:p>
        </w:tc>
        <w:tc>
          <w:tcPr>
            <w:tcW w:w="1101" w:type="dxa"/>
            <w:vAlign w:val="center"/>
          </w:tcPr>
          <w:p>
            <w:pPr>
              <w:adjustRightInd w:val="0"/>
              <w:snapToGrid w:val="0"/>
              <w:spacing w:line="240" w:lineRule="atLeast"/>
              <w:jc w:val="center"/>
              <w:rPr>
                <w:sz w:val="24"/>
                <w:szCs w:val="24"/>
              </w:rPr>
            </w:pPr>
            <w:r>
              <w:rPr>
                <w:rFonts w:ascii="tim" w:hAnsi="tim"/>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652" w:type="dxa"/>
            <w:tcBorders>
              <w:right w:val="nil"/>
            </w:tcBorders>
            <w:vAlign w:val="center"/>
          </w:tcPr>
          <w:p>
            <w:pPr>
              <w:adjustRightInd w:val="0"/>
              <w:snapToGrid w:val="0"/>
              <w:jc w:val="center"/>
              <w:rPr>
                <w:sz w:val="24"/>
                <w:szCs w:val="24"/>
              </w:rPr>
            </w:pPr>
            <w:r>
              <w:rPr>
                <w:sz w:val="24"/>
                <w:szCs w:val="24"/>
              </w:rPr>
              <w:t>备注</w:t>
            </w:r>
          </w:p>
        </w:tc>
        <w:tc>
          <w:tcPr>
            <w:tcW w:w="8041" w:type="dxa"/>
            <w:gridSpan w:val="2"/>
            <w:vAlign w:val="center"/>
          </w:tcPr>
          <w:p>
            <w:pPr>
              <w:adjustRightInd w:val="0"/>
              <w:snapToGrid w:val="0"/>
              <w:spacing w:line="300" w:lineRule="exact"/>
              <w:ind w:firstLine="420" w:firstLineChars="200"/>
              <w:rPr>
                <w:rFonts w:hint="eastAsia" w:ascii="tim" w:hAnsi="tim"/>
                <w:kern w:val="0"/>
                <w:sz w:val="21"/>
                <w:szCs w:val="21"/>
              </w:rPr>
            </w:pPr>
            <w:r>
              <w:rPr>
                <w:rFonts w:ascii="tim" w:hAnsi="tim"/>
                <w:kern w:val="0"/>
                <w:sz w:val="21"/>
                <w:szCs w:val="21"/>
              </w:rPr>
              <w:t>1.基准地价基准日：2019年1月1日；</w:t>
            </w:r>
          </w:p>
          <w:p>
            <w:pPr>
              <w:adjustRightInd w:val="0"/>
              <w:snapToGrid w:val="0"/>
              <w:spacing w:line="300" w:lineRule="exact"/>
              <w:ind w:firstLine="420" w:firstLineChars="200"/>
              <w:rPr>
                <w:rFonts w:hint="eastAsia" w:ascii="tim" w:hAnsi="tim"/>
                <w:kern w:val="0"/>
                <w:sz w:val="21"/>
                <w:szCs w:val="21"/>
              </w:rPr>
            </w:pPr>
            <w:r>
              <w:rPr>
                <w:rFonts w:ascii="tim" w:hAnsi="tim"/>
                <w:kern w:val="0"/>
                <w:sz w:val="21"/>
                <w:szCs w:val="21"/>
              </w:rPr>
              <w:t>2.基准地价内涵：各土地级别范围内</w:t>
            </w:r>
            <w:r>
              <w:rPr>
                <w:rFonts w:hint="eastAsia" w:ascii="tim" w:hAnsi="tim"/>
                <w:kern w:val="0"/>
                <w:sz w:val="21"/>
                <w:szCs w:val="21"/>
              </w:rPr>
              <w:t>达到“五通一平”土地开发程度、设定“基准条件”下最高使用年限完整出让土地使用权的单位土地面积</w:t>
            </w:r>
            <w:r>
              <w:rPr>
                <w:rFonts w:ascii="tim" w:hAnsi="tim"/>
                <w:kern w:val="0"/>
                <w:sz w:val="21"/>
                <w:szCs w:val="21"/>
              </w:rPr>
              <w:t>平均价格，地价内涵构成包括国家土地所有权收益、土地取得费用和土地前期开发费用；</w:t>
            </w:r>
          </w:p>
          <w:p>
            <w:pPr>
              <w:adjustRightInd w:val="0"/>
              <w:snapToGrid w:val="0"/>
              <w:spacing w:line="300" w:lineRule="exact"/>
              <w:ind w:firstLine="420" w:firstLineChars="200"/>
              <w:rPr>
                <w:rFonts w:hint="eastAsia" w:ascii="tim" w:hAnsi="tim"/>
                <w:kern w:val="0"/>
                <w:sz w:val="21"/>
                <w:szCs w:val="21"/>
              </w:rPr>
            </w:pPr>
            <w:r>
              <w:rPr>
                <w:rFonts w:ascii="tim" w:hAnsi="tim"/>
                <w:kern w:val="0"/>
                <w:sz w:val="21"/>
                <w:szCs w:val="21"/>
              </w:rPr>
              <w:t>3.土地使用年期：50年；</w:t>
            </w:r>
          </w:p>
          <w:p>
            <w:pPr>
              <w:adjustRightInd w:val="0"/>
              <w:snapToGrid w:val="0"/>
              <w:spacing w:line="300" w:lineRule="exact"/>
              <w:ind w:firstLine="420" w:firstLineChars="200"/>
              <w:rPr>
                <w:rFonts w:hint="eastAsia" w:ascii="tim" w:hAnsi="tim"/>
                <w:kern w:val="0"/>
                <w:sz w:val="21"/>
                <w:szCs w:val="21"/>
              </w:rPr>
            </w:pPr>
            <w:r>
              <w:rPr>
                <w:rFonts w:ascii="tim" w:hAnsi="tim"/>
                <w:kern w:val="0"/>
                <w:sz w:val="21"/>
                <w:szCs w:val="21"/>
              </w:rPr>
              <w:t>4.土地级别范围：具体详见绍兴市区公共服务项目（基础设施类）用地基准地价图；</w:t>
            </w:r>
          </w:p>
          <w:p>
            <w:pPr>
              <w:adjustRightInd w:val="0"/>
              <w:snapToGrid w:val="0"/>
              <w:spacing w:line="300" w:lineRule="exact"/>
              <w:ind w:firstLine="420" w:firstLineChars="200"/>
              <w:rPr>
                <w:sz w:val="24"/>
                <w:szCs w:val="24"/>
              </w:rPr>
            </w:pPr>
            <w:r>
              <w:rPr>
                <w:rFonts w:ascii="tim" w:hAnsi="tim"/>
                <w:kern w:val="0"/>
                <w:sz w:val="21"/>
                <w:szCs w:val="21"/>
              </w:rPr>
              <w:t>5.适用范围：基准地价成果主要应用于政府宏观地价管理和出让地价审核等管理需要，运用基准地价系数修正法评估公共服务项目用地宗地地价时，以本表中的级别基准地价作为评估修正基准。</w:t>
            </w:r>
          </w:p>
        </w:tc>
      </w:tr>
      <w:bookmarkEnd w:id="1"/>
      <w:bookmarkEnd w:id="2"/>
    </w:tbl>
    <w:p>
      <w:pPr>
        <w:spacing w:line="480" w:lineRule="exact"/>
        <w:rPr>
          <w:sz w:val="28"/>
          <w:szCs w:val="28"/>
        </w:rPr>
      </w:pPr>
    </w:p>
    <w:p/>
    <w:p>
      <w:pPr>
        <w:spacing w:line="600" w:lineRule="exact"/>
        <w:outlineLvl w:val="0"/>
        <w:rPr>
          <w:rFonts w:hint="eastAsia" w:eastAsia="黑体"/>
          <w:sz w:val="32"/>
          <w:szCs w:val="32"/>
          <w:lang w:val="en-US" w:eastAsia="zh-CN"/>
        </w:rPr>
      </w:pPr>
    </w:p>
    <w:p>
      <w:pPr>
        <w:rPr>
          <w:rFonts w:hint="eastAsia"/>
          <w:lang w:val="en-US" w:eastAsia="zh-CN"/>
        </w:rPr>
      </w:pPr>
      <w:r>
        <w:rPr>
          <w:rFonts w:hint="eastAsia" w:eastAsia="黑体"/>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D7C33"/>
    <w:rsid w:val="0CB929D1"/>
    <w:rsid w:val="0E6D7C33"/>
    <w:rsid w:val="5B88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2019-09-03T00:39:00Z</dcterms:created>
  <dc:creator>1303樊慧芝</dc:creator>
  <cp:lastModifiedBy>樊慧芝</cp:lastModifiedBy>
  <dcterms:modified xsi:type="dcterms:W3CDTF">2019-09-18T08:38:19Z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