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bookmarkStart w:id="2" w:name="_GoBack"/>
      <w:bookmarkEnd w:id="2"/>
      <w:r>
        <w:rPr>
          <w:rFonts w:hint="eastAsia" w:ascii="方正小标宋简体" w:eastAsia="方正小标宋简体"/>
          <w:sz w:val="36"/>
          <w:szCs w:val="36"/>
        </w:rPr>
        <w:t>浙江省药品行政执法评议办法</w:t>
      </w:r>
    </w:p>
    <w:p>
      <w:pPr>
        <w:jc w:val="center"/>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征求意见</w:t>
      </w:r>
      <w:r>
        <w:rPr>
          <w:rFonts w:hint="eastAsia" w:ascii="楷体" w:hAnsi="楷体" w:eastAsia="楷体"/>
          <w:sz w:val="32"/>
          <w:szCs w:val="32"/>
        </w:rPr>
        <w:t>稿）</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第一条　（制定目的）</w:t>
      </w:r>
    </w:p>
    <w:p>
      <w:pPr>
        <w:ind w:firstLine="640" w:firstLineChars="200"/>
        <w:rPr>
          <w:rFonts w:ascii="黑体" w:hAnsi="黑体" w:eastAsia="黑体"/>
          <w:sz w:val="32"/>
          <w:szCs w:val="32"/>
        </w:rPr>
      </w:pPr>
      <w:r>
        <w:rPr>
          <w:rFonts w:hint="eastAsia" w:ascii="仿宋_GB2312" w:eastAsia="仿宋_GB2312"/>
          <w:sz w:val="32"/>
          <w:szCs w:val="32"/>
        </w:rPr>
        <w:t>为规范行政执法评议，加强行政执法监督，推进药品监管工作，根据《中华人民共和国行政处罚法》《中华人民共和国药品管理法》</w:t>
      </w:r>
      <w:r>
        <w:rPr>
          <w:rFonts w:ascii="仿宋_GB2312" w:eastAsia="仿宋_GB2312"/>
          <w:sz w:val="32"/>
          <w:szCs w:val="32"/>
        </w:rPr>
        <w:t>《市场监督管理执法监督暂行规定》</w:t>
      </w:r>
      <w:r>
        <w:rPr>
          <w:rFonts w:hint="eastAsia" w:ascii="仿宋_GB2312" w:eastAsia="仿宋_GB2312"/>
          <w:sz w:val="32"/>
          <w:szCs w:val="32"/>
        </w:rPr>
        <w:t>《市场监督管理行政执法责任制规定》《浙江省行政执法评议办法（试行）》等规定，结合本省药品监管工作实际，制定本办法。</w:t>
      </w:r>
    </w:p>
    <w:p>
      <w:pPr>
        <w:ind w:firstLine="640" w:firstLineChars="200"/>
        <w:rPr>
          <w:rFonts w:ascii="黑体" w:hAnsi="黑体" w:eastAsia="黑体"/>
          <w:sz w:val="32"/>
          <w:szCs w:val="32"/>
        </w:rPr>
      </w:pPr>
      <w:r>
        <w:rPr>
          <w:rFonts w:hint="eastAsia" w:ascii="黑体" w:hAnsi="黑体" w:eastAsia="黑体"/>
          <w:sz w:val="32"/>
          <w:szCs w:val="32"/>
        </w:rPr>
        <w:t>第二条  （适用范围）</w:t>
      </w:r>
    </w:p>
    <w:p>
      <w:pPr>
        <w:ind w:firstLine="640" w:firstLineChars="200"/>
        <w:rPr>
          <w:rFonts w:ascii="仿宋_GB2312" w:eastAsia="仿宋_GB2312"/>
          <w:sz w:val="32"/>
          <w:szCs w:val="32"/>
        </w:rPr>
      </w:pPr>
      <w:r>
        <w:rPr>
          <w:rFonts w:hint="eastAsia" w:ascii="仿宋_GB2312" w:eastAsia="仿宋_GB2312"/>
          <w:sz w:val="32"/>
          <w:szCs w:val="32"/>
        </w:rPr>
        <w:t>本省药品监管部门开展药品行政执法评议工作适用本办法。</w:t>
      </w:r>
    </w:p>
    <w:p>
      <w:pPr>
        <w:ind w:firstLine="640" w:firstLineChars="200"/>
        <w:rPr>
          <w:rFonts w:ascii="仿宋_GB2312" w:eastAsia="仿宋_GB2312"/>
          <w:sz w:val="32"/>
          <w:szCs w:val="32"/>
        </w:rPr>
      </w:pPr>
      <w:r>
        <w:rPr>
          <w:rFonts w:hint="eastAsia" w:ascii="仿宋_GB2312" w:eastAsia="仿宋_GB2312"/>
          <w:sz w:val="32"/>
          <w:szCs w:val="32"/>
        </w:rPr>
        <w:t>本办法所称药品行政执法，包括本省药品监管部门实施的行政许可、行政处罚、行政强制、行政检查，以及法律、法规、规章规定的其他药品行政执法活动。</w:t>
      </w:r>
    </w:p>
    <w:p>
      <w:pPr>
        <w:ind w:firstLine="640" w:firstLineChars="200"/>
        <w:rPr>
          <w:rFonts w:ascii="仿宋_GB2312" w:eastAsia="仿宋_GB2312"/>
          <w:sz w:val="32"/>
          <w:szCs w:val="32"/>
        </w:rPr>
      </w:pPr>
      <w:r>
        <w:rPr>
          <w:rFonts w:hint="eastAsia" w:ascii="仿宋_GB2312" w:eastAsia="仿宋_GB2312"/>
          <w:sz w:val="32"/>
          <w:szCs w:val="32"/>
        </w:rPr>
        <w:t>本办法所称药品行政执法评议，是指药品监管部门通过听取意见、评查等方式，全面了解药品监管执法体制机制、执法绩效，以及执法人员行使执法职权，履行法定义务等情况，督促改进药品行政执法工作，促进严格规范公正文明执法的监督活动。</w:t>
      </w:r>
    </w:p>
    <w:p>
      <w:pPr>
        <w:ind w:firstLine="640" w:firstLineChars="200"/>
        <w:rPr>
          <w:rFonts w:ascii="黑体" w:hAnsi="黑体" w:eastAsia="黑体"/>
          <w:sz w:val="32"/>
          <w:szCs w:val="32"/>
        </w:rPr>
      </w:pPr>
      <w:r>
        <w:rPr>
          <w:rFonts w:hint="eastAsia" w:ascii="黑体" w:hAnsi="黑体" w:eastAsia="黑体"/>
          <w:sz w:val="32"/>
          <w:szCs w:val="32"/>
        </w:rPr>
        <w:t>第三条  （基本原则）</w:t>
      </w:r>
    </w:p>
    <w:p>
      <w:pPr>
        <w:ind w:firstLine="640" w:firstLineChars="200"/>
        <w:rPr>
          <w:rFonts w:ascii="黑体" w:hAnsi="黑体" w:eastAsia="黑体"/>
          <w:sz w:val="32"/>
          <w:szCs w:val="32"/>
        </w:rPr>
      </w:pPr>
      <w:r>
        <w:rPr>
          <w:rFonts w:hint="eastAsia" w:ascii="仿宋_GB2312" w:eastAsia="仿宋_GB2312"/>
          <w:sz w:val="32"/>
          <w:szCs w:val="32"/>
        </w:rPr>
        <w:t>药品行政执法评议坚持全面客观、公开公正、定性与定量相结合的原则，通过监督执法促进依法履职，保证法律、法规、规章的正确实施。</w:t>
      </w:r>
    </w:p>
    <w:p>
      <w:pPr>
        <w:ind w:firstLine="640" w:firstLineChars="200"/>
        <w:rPr>
          <w:rFonts w:ascii="黑体" w:hAnsi="黑体" w:eastAsia="黑体"/>
          <w:sz w:val="32"/>
          <w:szCs w:val="32"/>
        </w:rPr>
      </w:pPr>
      <w:r>
        <w:rPr>
          <w:rFonts w:hint="eastAsia" w:ascii="黑体" w:hAnsi="黑体" w:eastAsia="黑体"/>
          <w:sz w:val="32"/>
          <w:szCs w:val="32"/>
        </w:rPr>
        <w:t xml:space="preserve">第四条 </w:t>
      </w:r>
      <w:r>
        <w:rPr>
          <w:rFonts w:ascii="黑体" w:hAnsi="黑体" w:eastAsia="黑体"/>
          <w:sz w:val="32"/>
          <w:szCs w:val="32"/>
        </w:rPr>
        <w:t xml:space="preserve"> </w:t>
      </w:r>
      <w:r>
        <w:rPr>
          <w:rFonts w:hint="eastAsia" w:ascii="黑体" w:hAnsi="黑体" w:eastAsia="黑体"/>
          <w:sz w:val="32"/>
          <w:szCs w:val="32"/>
        </w:rPr>
        <w:t>（评议对象）</w:t>
      </w:r>
    </w:p>
    <w:p>
      <w:pPr>
        <w:ind w:firstLine="640" w:firstLineChars="200"/>
        <w:rPr>
          <w:rFonts w:ascii="仿宋_GB2312" w:eastAsia="仿宋_GB2312"/>
          <w:sz w:val="32"/>
          <w:szCs w:val="32"/>
        </w:rPr>
      </w:pPr>
      <w:r>
        <w:rPr>
          <w:rFonts w:hint="eastAsia" w:ascii="仿宋_GB2312" w:eastAsia="仿宋_GB2312"/>
          <w:sz w:val="32"/>
          <w:szCs w:val="32"/>
        </w:rPr>
        <w:t>药品监管部门可以对本级和下级药品监管部门组织开展药品行政执法评议，药品监管部门法制机构负责行政执法评议的具体工作。</w:t>
      </w:r>
    </w:p>
    <w:p>
      <w:pPr>
        <w:ind w:firstLine="640" w:firstLineChars="200"/>
        <w:rPr>
          <w:rFonts w:ascii="黑体" w:hAnsi="黑体" w:eastAsia="黑体"/>
          <w:sz w:val="32"/>
          <w:szCs w:val="32"/>
        </w:rPr>
      </w:pPr>
      <w:r>
        <w:rPr>
          <w:rFonts w:hint="eastAsia" w:ascii="黑体" w:hAnsi="黑体" w:eastAsia="黑体"/>
          <w:sz w:val="32"/>
          <w:szCs w:val="32"/>
        </w:rPr>
        <w:t>第五条  （具体内容）</w:t>
      </w:r>
    </w:p>
    <w:p>
      <w:pPr>
        <w:ind w:firstLine="640" w:firstLineChars="200"/>
        <w:rPr>
          <w:rFonts w:ascii="仿宋_GB2312" w:eastAsia="仿宋_GB2312"/>
          <w:sz w:val="32"/>
          <w:szCs w:val="32"/>
        </w:rPr>
      </w:pPr>
      <w:r>
        <w:rPr>
          <w:rFonts w:hint="eastAsia" w:ascii="仿宋_GB2312" w:eastAsia="仿宋_GB2312"/>
          <w:sz w:val="32"/>
          <w:szCs w:val="32"/>
        </w:rPr>
        <w:t>药品行政执法评议内容包括：</w:t>
      </w:r>
    </w:p>
    <w:p>
      <w:pPr>
        <w:ind w:firstLine="640" w:firstLineChars="200"/>
        <w:rPr>
          <w:rFonts w:ascii="仿宋_GB2312" w:eastAsia="仿宋_GB2312"/>
          <w:sz w:val="32"/>
          <w:szCs w:val="32"/>
        </w:rPr>
      </w:pPr>
      <w:r>
        <w:rPr>
          <w:rFonts w:hint="eastAsia" w:ascii="仿宋_GB2312" w:eastAsia="仿宋_GB2312"/>
          <w:sz w:val="32"/>
          <w:szCs w:val="32"/>
        </w:rPr>
        <w:t>（一）药品监管行政执法体制运行及机制建设情况，包括落实行政执法改革工作部署、健全落实行政执法“三项制度”、建立完善自由裁量机制、监管和稽查衔接、行政执法与刑事司法衔接等情况。</w:t>
      </w:r>
    </w:p>
    <w:p>
      <w:pPr>
        <w:ind w:firstLine="640" w:firstLineChars="200"/>
        <w:rPr>
          <w:rFonts w:ascii="仿宋_GB2312" w:eastAsia="仿宋_GB2312"/>
          <w:sz w:val="32"/>
          <w:szCs w:val="32"/>
        </w:rPr>
      </w:pPr>
      <w:r>
        <w:rPr>
          <w:rFonts w:hint="eastAsia" w:ascii="仿宋_GB2312" w:eastAsia="仿宋_GB2312"/>
          <w:sz w:val="32"/>
          <w:szCs w:val="32"/>
        </w:rPr>
        <w:t>（二）行政执法队伍建设情况，包括人员履职、内部管理、业务培训、纪律建设等情况。</w:t>
      </w:r>
    </w:p>
    <w:p>
      <w:pPr>
        <w:ind w:firstLine="640" w:firstLineChars="200"/>
        <w:rPr>
          <w:rFonts w:ascii="仿宋_GB2312" w:eastAsia="仿宋_GB2312"/>
          <w:sz w:val="32"/>
          <w:szCs w:val="32"/>
        </w:rPr>
      </w:pPr>
      <w:r>
        <w:rPr>
          <w:rFonts w:hint="eastAsia" w:ascii="仿宋_GB2312" w:eastAsia="仿宋_GB2312"/>
          <w:sz w:val="32"/>
          <w:szCs w:val="32"/>
        </w:rPr>
        <w:t>（三）行政执法活动情况，包括职权法定、程序规范、结果公正等情况。</w:t>
      </w:r>
    </w:p>
    <w:p>
      <w:pPr>
        <w:ind w:firstLine="640" w:firstLineChars="200"/>
        <w:rPr>
          <w:rFonts w:ascii="仿宋_GB2312" w:eastAsia="仿宋_GB2312"/>
          <w:sz w:val="32"/>
          <w:szCs w:val="32"/>
        </w:rPr>
      </w:pPr>
      <w:r>
        <w:rPr>
          <w:rFonts w:hint="eastAsia" w:ascii="仿宋_GB2312" w:eastAsia="仿宋_GB2312"/>
          <w:sz w:val="32"/>
          <w:szCs w:val="32"/>
        </w:rPr>
        <w:t>（四）行政执法效能情况，包括行政执法数字化水平、行政执法质量、社会满意度等情况。</w:t>
      </w:r>
    </w:p>
    <w:p>
      <w:pPr>
        <w:ind w:firstLine="640" w:firstLineChars="200"/>
        <w:rPr>
          <w:rFonts w:ascii="仿宋_GB2312" w:eastAsia="仿宋_GB2312"/>
          <w:sz w:val="32"/>
          <w:szCs w:val="32"/>
        </w:rPr>
      </w:pPr>
      <w:r>
        <w:rPr>
          <w:rFonts w:hint="eastAsia" w:ascii="仿宋_GB2312" w:eastAsia="仿宋_GB2312"/>
          <w:sz w:val="32"/>
          <w:szCs w:val="32"/>
        </w:rPr>
        <w:t>（五）行政执法保障情况，包括行政执法经费、行政执法装备及使用、行政执法场所等情况。</w:t>
      </w:r>
    </w:p>
    <w:p>
      <w:pPr>
        <w:ind w:firstLine="640" w:firstLineChars="200"/>
        <w:rPr>
          <w:rFonts w:ascii="仿宋_GB2312" w:eastAsia="仿宋_GB2312"/>
          <w:sz w:val="32"/>
          <w:szCs w:val="32"/>
        </w:rPr>
      </w:pPr>
      <w:r>
        <w:rPr>
          <w:rFonts w:hint="eastAsia" w:ascii="仿宋_GB2312" w:eastAsia="仿宋_GB2312"/>
          <w:sz w:val="32"/>
          <w:szCs w:val="32"/>
        </w:rPr>
        <w:t>（六）行政争议化解及行政复议、行政诉讼等制度落实情况；</w:t>
      </w:r>
    </w:p>
    <w:p>
      <w:pPr>
        <w:ind w:firstLine="640" w:firstLineChars="200"/>
        <w:rPr>
          <w:rFonts w:ascii="仿宋_GB2312" w:eastAsia="仿宋_GB2312"/>
          <w:sz w:val="32"/>
          <w:szCs w:val="32"/>
        </w:rPr>
      </w:pPr>
      <w:r>
        <w:rPr>
          <w:rFonts w:hint="eastAsia" w:ascii="仿宋_GB2312" w:eastAsia="仿宋_GB2312"/>
          <w:sz w:val="32"/>
          <w:szCs w:val="32"/>
        </w:rPr>
        <w:t>（七）与药品行政执法相关的其他内容。</w:t>
      </w:r>
    </w:p>
    <w:p>
      <w:pPr>
        <w:ind w:firstLine="640" w:firstLineChars="200"/>
        <w:rPr>
          <w:rFonts w:ascii="黑体" w:hAnsi="黑体" w:eastAsia="黑体"/>
          <w:sz w:val="32"/>
          <w:szCs w:val="32"/>
        </w:rPr>
      </w:pPr>
      <w:r>
        <w:rPr>
          <w:rFonts w:hint="eastAsia" w:ascii="黑体" w:hAnsi="黑体" w:eastAsia="黑体"/>
          <w:sz w:val="32"/>
          <w:szCs w:val="32"/>
        </w:rPr>
        <w:t>第六条  （综合评议和专项评议）</w:t>
      </w:r>
    </w:p>
    <w:p>
      <w:pPr>
        <w:ind w:firstLine="640" w:firstLineChars="200"/>
        <w:rPr>
          <w:rFonts w:ascii="仿宋" w:hAnsi="仿宋" w:eastAsia="仿宋"/>
          <w:sz w:val="32"/>
          <w:szCs w:val="32"/>
        </w:rPr>
      </w:pPr>
      <w:r>
        <w:rPr>
          <w:rFonts w:hint="eastAsia" w:ascii="仿宋" w:hAnsi="仿宋" w:eastAsia="仿宋"/>
          <w:sz w:val="32"/>
          <w:szCs w:val="32"/>
        </w:rPr>
        <w:t>药品行政执法评议包括综合评议和专项评议。综合评议是对药品监管部门行政执法整体情况的全面评议，评议对象为某一级的药品监管部门；专项评议是对药品、医疗器械、化妆品某一方面或某一环节的行政执法情况进行评议，评议对象为某一级药品监管部门的职能处(科</w:t>
      </w:r>
      <w:r>
        <w:rPr>
          <w:rFonts w:ascii="仿宋" w:hAnsi="仿宋" w:eastAsia="仿宋"/>
          <w:sz w:val="32"/>
          <w:szCs w:val="32"/>
        </w:rPr>
        <w:t>)</w:t>
      </w:r>
      <w:r>
        <w:rPr>
          <w:rFonts w:hint="eastAsia" w:ascii="仿宋" w:hAnsi="仿宋" w:eastAsia="仿宋"/>
          <w:sz w:val="32"/>
          <w:szCs w:val="32"/>
        </w:rPr>
        <w:t>室或直属单位。</w:t>
      </w:r>
    </w:p>
    <w:p>
      <w:pPr>
        <w:ind w:firstLine="640" w:firstLineChars="200"/>
        <w:rPr>
          <w:rFonts w:ascii="黑体" w:hAnsi="黑体" w:eastAsia="黑体"/>
          <w:sz w:val="32"/>
          <w:szCs w:val="32"/>
        </w:rPr>
      </w:pPr>
      <w:r>
        <w:rPr>
          <w:rFonts w:hint="eastAsia" w:ascii="黑体" w:hAnsi="黑体" w:eastAsia="黑体"/>
          <w:sz w:val="32"/>
          <w:szCs w:val="32"/>
        </w:rPr>
        <w:t>第七条  （评议方式）</w:t>
      </w:r>
    </w:p>
    <w:p>
      <w:pPr>
        <w:shd w:val="clear" w:color="auto" w:fill="FFFFFF"/>
        <w:spacing w:line="570" w:lineRule="atLeast"/>
        <w:ind w:firstLine="640"/>
        <w:rPr>
          <w:rFonts w:ascii="仿宋_GB2312" w:eastAsia="仿宋_GB2312"/>
          <w:sz w:val="32"/>
          <w:szCs w:val="32"/>
        </w:rPr>
      </w:pPr>
      <w:bookmarkStart w:id="0" w:name="_Hlk118309901"/>
      <w:r>
        <w:rPr>
          <w:rFonts w:hint="eastAsia" w:ascii="仿宋_GB2312" w:eastAsia="仿宋_GB2312"/>
          <w:sz w:val="32"/>
          <w:szCs w:val="32"/>
        </w:rPr>
        <w:t>药品行政执法评议可以采取自查自评、交叉互评等方式，</w:t>
      </w:r>
      <w:bookmarkEnd w:id="0"/>
      <w:r>
        <w:rPr>
          <w:rFonts w:hint="eastAsia" w:ascii="仿宋_GB2312" w:eastAsia="仿宋_GB2312"/>
          <w:sz w:val="32"/>
          <w:szCs w:val="32"/>
        </w:rPr>
        <w:t>实行内部评议与外部评议相结合、线上评议与线下评议相结合，征求人大常委会、政协、纪委监委、法院、检察院等意见，可以邀请人大代表、政协委员等参与评议，广泛听取药品监管执法人员和专家学者、药品行业代表、群众代表、媒体记者等社会公众的意见建议。</w:t>
      </w:r>
    </w:p>
    <w:p>
      <w:pPr>
        <w:widowControl/>
        <w:shd w:val="clear" w:color="auto" w:fill="FFFFFF"/>
        <w:spacing w:line="570" w:lineRule="atLeast"/>
        <w:ind w:firstLine="640" w:firstLineChars="200"/>
        <w:rPr>
          <w:rFonts w:ascii="仿宋" w:hAnsi="仿宋" w:eastAsia="仿宋"/>
          <w:sz w:val="32"/>
          <w:szCs w:val="32"/>
        </w:rPr>
      </w:pPr>
      <w:r>
        <w:rPr>
          <w:rFonts w:hint="eastAsia" w:ascii="仿宋" w:hAnsi="仿宋" w:eastAsia="仿宋"/>
          <w:sz w:val="32"/>
          <w:szCs w:val="32"/>
        </w:rPr>
        <w:t>药品监管部门可以自行组织评议，也可以根据委托高校、研究机构、行业协会、律师事务所等第三方机构开展评议工作。</w:t>
      </w:r>
    </w:p>
    <w:p>
      <w:pPr>
        <w:widowControl/>
        <w:shd w:val="clear" w:color="auto" w:fill="FFFFFF"/>
        <w:spacing w:line="570" w:lineRule="atLeast"/>
        <w:ind w:firstLine="640" w:firstLineChars="200"/>
        <w:rPr>
          <w:rFonts w:ascii="黑体" w:hAnsi="黑体" w:eastAsia="黑体"/>
          <w:sz w:val="32"/>
          <w:szCs w:val="32"/>
        </w:rPr>
      </w:pPr>
      <w:r>
        <w:rPr>
          <w:rFonts w:hint="eastAsia" w:ascii="黑体" w:hAnsi="黑体" w:eastAsia="黑体"/>
          <w:sz w:val="32"/>
          <w:szCs w:val="32"/>
        </w:rPr>
        <w:t xml:space="preserve">第八条 </w:t>
      </w:r>
      <w:r>
        <w:rPr>
          <w:rFonts w:ascii="黑体" w:hAnsi="黑体" w:eastAsia="黑体"/>
          <w:sz w:val="32"/>
          <w:szCs w:val="32"/>
        </w:rPr>
        <w:t xml:space="preserve"> </w:t>
      </w:r>
      <w:r>
        <w:rPr>
          <w:rFonts w:hint="eastAsia" w:ascii="黑体" w:hAnsi="黑体" w:eastAsia="黑体"/>
          <w:sz w:val="32"/>
          <w:szCs w:val="32"/>
        </w:rPr>
        <w:t>（评议计划）</w:t>
      </w:r>
    </w:p>
    <w:p>
      <w:pPr>
        <w:keepNext w:val="0"/>
        <w:keepLines w:val="0"/>
        <w:widowControl/>
        <w:suppressLineNumbers w:val="0"/>
        <w:shd w:val="clear" w:fill="FFFFFF"/>
        <w:spacing w:before="0" w:beforeAutospacing="0" w:after="0" w:afterAutospacing="0" w:line="570" w:lineRule="atLeast"/>
        <w:ind w:left="0" w:right="0" w:firstLine="640" w:firstLineChars="200"/>
        <w:jc w:val="both"/>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药品监管部门每年制定药品行政执法评议工作计划，部署药品行政执法评议工作。根据工作需要，药品监管部门可以对药品、医疗器械、化妆品某一方面或某一环节的行政执法情况的专项评议。</w:t>
      </w:r>
    </w:p>
    <w:p>
      <w:pPr>
        <w:widowControl/>
        <w:shd w:val="clear" w:color="auto" w:fill="FFFFFF"/>
        <w:spacing w:line="570" w:lineRule="atLeast"/>
        <w:ind w:left="640"/>
        <w:rPr>
          <w:rFonts w:ascii="黑体" w:hAnsi="黑体" w:eastAsia="黑体"/>
          <w:sz w:val="32"/>
          <w:szCs w:val="32"/>
        </w:rPr>
      </w:pPr>
      <w:r>
        <w:rPr>
          <w:rFonts w:hint="eastAsia" w:ascii="黑体" w:hAnsi="黑体" w:eastAsia="黑体"/>
          <w:sz w:val="32"/>
          <w:szCs w:val="32"/>
        </w:rPr>
        <w:t>第九条  （评议程序）</w:t>
      </w:r>
    </w:p>
    <w:p>
      <w:pPr>
        <w:widowControl/>
        <w:shd w:val="clear" w:color="auto" w:fill="FFFFFF"/>
        <w:spacing w:line="570" w:lineRule="atLeast"/>
        <w:ind w:left="640"/>
        <w:rPr>
          <w:rFonts w:ascii="仿宋" w:hAnsi="仿宋" w:eastAsia="仿宋"/>
          <w:sz w:val="32"/>
          <w:szCs w:val="32"/>
        </w:rPr>
      </w:pPr>
      <w:r>
        <w:rPr>
          <w:rFonts w:hint="eastAsia" w:ascii="仿宋" w:hAnsi="仿宋" w:eastAsia="仿宋"/>
          <w:sz w:val="32"/>
          <w:szCs w:val="32"/>
        </w:rPr>
        <w:t>药品行政执法评议按照下列程序进行：</w:t>
      </w:r>
    </w:p>
    <w:p>
      <w:pPr>
        <w:widowControl/>
        <w:shd w:val="clear" w:color="auto" w:fill="FFFFFF"/>
        <w:spacing w:line="570" w:lineRule="atLeast"/>
        <w:ind w:firstLine="640" w:firstLineChars="200"/>
        <w:rPr>
          <w:rFonts w:ascii="仿宋" w:hAnsi="仿宋" w:eastAsia="仿宋"/>
          <w:sz w:val="32"/>
          <w:szCs w:val="32"/>
        </w:rPr>
      </w:pPr>
      <w:r>
        <w:rPr>
          <w:rFonts w:hint="eastAsia" w:ascii="仿宋" w:hAnsi="仿宋" w:eastAsia="仿宋"/>
          <w:sz w:val="32"/>
          <w:szCs w:val="32"/>
        </w:rPr>
        <w:t>（一）组建评议小组。可以邀请评议对象同级司法行政部门及法治监督员等参加。</w:t>
      </w:r>
    </w:p>
    <w:p>
      <w:pPr>
        <w:widowControl/>
        <w:shd w:val="clear" w:color="auto" w:fill="FFFFFF"/>
        <w:spacing w:line="570" w:lineRule="atLeast"/>
        <w:ind w:firstLine="640" w:firstLineChars="200"/>
        <w:rPr>
          <w:rFonts w:ascii="仿宋" w:hAnsi="仿宋" w:eastAsia="仿宋"/>
          <w:sz w:val="32"/>
          <w:szCs w:val="32"/>
        </w:rPr>
      </w:pPr>
      <w:r>
        <w:rPr>
          <w:rFonts w:hint="eastAsia" w:ascii="仿宋" w:hAnsi="仿宋" w:eastAsia="仿宋"/>
          <w:sz w:val="32"/>
          <w:szCs w:val="32"/>
        </w:rPr>
        <w:t>（二）制定实施方案。结合评议对象特点，研究形成具体药品行政执法评议标准。</w:t>
      </w:r>
    </w:p>
    <w:p>
      <w:pPr>
        <w:widowControl/>
        <w:shd w:val="clear" w:color="auto" w:fill="FFFFFF"/>
        <w:spacing w:line="570" w:lineRule="atLeast"/>
        <w:ind w:firstLine="640" w:firstLineChars="200"/>
        <w:rPr>
          <w:rFonts w:ascii="仿宋" w:hAnsi="仿宋" w:eastAsia="仿宋"/>
          <w:sz w:val="32"/>
          <w:szCs w:val="32"/>
        </w:rPr>
      </w:pPr>
      <w:r>
        <w:rPr>
          <w:rFonts w:hint="eastAsia" w:ascii="仿宋" w:hAnsi="仿宋" w:eastAsia="仿宋"/>
          <w:sz w:val="32"/>
          <w:szCs w:val="32"/>
        </w:rPr>
        <w:t>（三）组织实施评议。药品监管部门自行组织或委托高校、研究机构、行业协会、律师事务所等第三方机构开展评议工作。</w:t>
      </w:r>
    </w:p>
    <w:p>
      <w:pPr>
        <w:widowControl/>
        <w:shd w:val="clear" w:color="auto" w:fill="FFFFFF"/>
        <w:spacing w:line="570" w:lineRule="atLeast"/>
        <w:ind w:firstLine="640" w:firstLineChars="200"/>
        <w:rPr>
          <w:rFonts w:ascii="仿宋" w:hAnsi="仿宋" w:eastAsia="仿宋"/>
          <w:sz w:val="32"/>
          <w:szCs w:val="32"/>
        </w:rPr>
      </w:pPr>
      <w:r>
        <w:rPr>
          <w:rFonts w:hint="eastAsia" w:ascii="仿宋" w:hAnsi="仿宋" w:eastAsia="仿宋"/>
          <w:sz w:val="32"/>
          <w:szCs w:val="32"/>
        </w:rPr>
        <w:t>（四）反馈评议情况。以书面形式向评议对象反馈评议内容</w:t>
      </w:r>
      <w:r>
        <w:rPr>
          <w:rFonts w:hint="eastAsia" w:ascii="仿宋" w:hAnsi="仿宋" w:eastAsia="仿宋"/>
          <w:sz w:val="32"/>
          <w:szCs w:val="32"/>
          <w:lang w:eastAsia="zh-CN"/>
        </w:rPr>
        <w:t>、</w:t>
      </w:r>
      <w:r>
        <w:rPr>
          <w:rFonts w:hint="eastAsia" w:ascii="仿宋" w:hAnsi="仿宋" w:eastAsia="仿宋"/>
          <w:sz w:val="32"/>
          <w:szCs w:val="32"/>
        </w:rPr>
        <w:t>初步意见等情况。</w:t>
      </w:r>
    </w:p>
    <w:p>
      <w:pPr>
        <w:widowControl/>
        <w:shd w:val="clear" w:color="auto" w:fill="FFFFFF"/>
        <w:spacing w:line="570" w:lineRule="atLeast"/>
        <w:ind w:firstLine="640" w:firstLineChars="200"/>
        <w:rPr>
          <w:rFonts w:ascii="仿宋" w:hAnsi="仿宋" w:eastAsia="仿宋"/>
          <w:sz w:val="32"/>
          <w:szCs w:val="32"/>
        </w:rPr>
      </w:pPr>
      <w:r>
        <w:rPr>
          <w:rFonts w:hint="eastAsia" w:ascii="仿宋" w:hAnsi="仿宋" w:eastAsia="仿宋"/>
          <w:sz w:val="32"/>
          <w:szCs w:val="32"/>
        </w:rPr>
        <w:t>（五）复核异议意见。评议对象有异议的可以自收到反馈后7个工作日内书面提出复核申请，组织评议的药品监管部门应充分听取评议对象异议和建议，及时反馈复核结果。</w:t>
      </w:r>
    </w:p>
    <w:p>
      <w:pPr>
        <w:widowControl/>
        <w:shd w:val="clear" w:color="auto" w:fill="FFFFFF"/>
        <w:spacing w:line="570" w:lineRule="atLeast"/>
        <w:ind w:firstLine="640" w:firstLineChars="200"/>
        <w:rPr>
          <w:rFonts w:ascii="仿宋" w:hAnsi="仿宋" w:eastAsia="仿宋"/>
          <w:sz w:val="32"/>
          <w:szCs w:val="32"/>
        </w:rPr>
      </w:pPr>
      <w:r>
        <w:rPr>
          <w:rFonts w:hint="eastAsia" w:ascii="仿宋" w:hAnsi="仿宋" w:eastAsia="仿宋"/>
          <w:sz w:val="32"/>
          <w:szCs w:val="32"/>
        </w:rPr>
        <w:t>（六）撰写评议报告。包括评议过程、评议内容、评议结果、结果反馈、评议对象的经验做法和困难问题、评议意见和建议等。</w:t>
      </w:r>
    </w:p>
    <w:p>
      <w:pPr>
        <w:widowControl/>
        <w:shd w:val="clear" w:color="auto" w:fill="FFFFFF"/>
        <w:spacing w:line="570" w:lineRule="atLeast"/>
        <w:ind w:firstLine="640" w:firstLineChars="200"/>
        <w:rPr>
          <w:rFonts w:ascii="仿宋" w:hAnsi="仿宋" w:eastAsia="仿宋"/>
          <w:sz w:val="32"/>
          <w:szCs w:val="32"/>
        </w:rPr>
      </w:pPr>
      <w:r>
        <w:rPr>
          <w:rFonts w:hint="eastAsia" w:ascii="仿宋" w:hAnsi="仿宋" w:eastAsia="仿宋"/>
          <w:sz w:val="32"/>
          <w:szCs w:val="32"/>
        </w:rPr>
        <w:t>（七）抄告评议情况。组织评议的药品监管部门应及时将药品行政执法评议报告抄告评议对象同级地方人民政府，评议涉及地方人民政府对药品安全工作保障相关问题的，商请当地人民政府予以协调解决。</w:t>
      </w:r>
    </w:p>
    <w:p>
      <w:pPr>
        <w:ind w:firstLine="640" w:firstLineChars="200"/>
        <w:rPr>
          <w:rFonts w:ascii="仿宋_GB2312" w:eastAsia="仿宋_GB2312"/>
          <w:sz w:val="32"/>
          <w:szCs w:val="32"/>
        </w:rPr>
      </w:pPr>
      <w:r>
        <w:rPr>
          <w:rFonts w:hint="eastAsia" w:ascii="黑体" w:hAnsi="黑体" w:eastAsia="黑体"/>
          <w:sz w:val="32"/>
          <w:szCs w:val="32"/>
        </w:rPr>
        <w:t>第十条  （信息采集途径）</w:t>
      </w:r>
    </w:p>
    <w:p>
      <w:pPr>
        <w:shd w:val="clear" w:color="auto" w:fill="FFFFFF"/>
        <w:spacing w:line="570" w:lineRule="atLeast"/>
        <w:ind w:firstLine="640"/>
        <w:rPr>
          <w:rFonts w:ascii="仿宋_GB2312" w:eastAsia="仿宋_GB2312"/>
          <w:sz w:val="32"/>
          <w:szCs w:val="32"/>
        </w:rPr>
      </w:pPr>
      <w:r>
        <w:rPr>
          <w:rFonts w:hint="eastAsia" w:ascii="仿宋_GB2312" w:eastAsia="仿宋_GB2312"/>
          <w:sz w:val="32"/>
          <w:szCs w:val="32"/>
        </w:rPr>
        <w:t>行政执法评议是执法监督的重要方式，药品行政执法评议信息采集途径包括：</w:t>
      </w:r>
    </w:p>
    <w:p>
      <w:pPr>
        <w:widowControl/>
        <w:shd w:val="clear" w:color="auto" w:fill="FFFFFF"/>
        <w:spacing w:line="570" w:lineRule="atLeast"/>
        <w:ind w:firstLine="640" w:firstLineChars="200"/>
        <w:rPr>
          <w:rFonts w:ascii="仿宋_GB2312" w:eastAsia="仿宋_GB2312"/>
          <w:sz w:val="32"/>
          <w:szCs w:val="32"/>
        </w:rPr>
      </w:pPr>
      <w:r>
        <w:rPr>
          <w:rFonts w:hint="eastAsia" w:ascii="仿宋_GB2312" w:eastAsia="仿宋_GB2312"/>
          <w:sz w:val="32"/>
          <w:szCs w:val="32"/>
        </w:rPr>
        <w:t>（一）听取汇报、查阅资料、归集平台数据；</w:t>
      </w:r>
    </w:p>
    <w:p>
      <w:pPr>
        <w:widowControl/>
        <w:shd w:val="clear" w:color="auto" w:fill="FFFFFF"/>
        <w:spacing w:line="570" w:lineRule="atLeast"/>
        <w:ind w:firstLine="640" w:firstLineChars="200"/>
        <w:rPr>
          <w:rFonts w:ascii="仿宋_GB2312" w:eastAsia="仿宋_GB2312"/>
          <w:sz w:val="32"/>
          <w:szCs w:val="32"/>
        </w:rPr>
      </w:pPr>
      <w:r>
        <w:rPr>
          <w:rFonts w:hint="eastAsia" w:ascii="仿宋_GB2312" w:eastAsia="仿宋_GB2312"/>
          <w:sz w:val="32"/>
          <w:szCs w:val="32"/>
        </w:rPr>
        <w:t>（二）现场查看、暗访；</w:t>
      </w:r>
    </w:p>
    <w:p>
      <w:pPr>
        <w:widowControl/>
        <w:shd w:val="clear" w:color="auto" w:fill="FFFFFF"/>
        <w:spacing w:line="570" w:lineRule="atLeast"/>
        <w:ind w:firstLine="640" w:firstLineChars="200"/>
        <w:rPr>
          <w:rFonts w:ascii="仿宋_GB2312" w:eastAsia="仿宋_GB2312"/>
          <w:sz w:val="32"/>
          <w:szCs w:val="32"/>
        </w:rPr>
      </w:pPr>
      <w:r>
        <w:rPr>
          <w:rFonts w:hint="eastAsia" w:ascii="仿宋_GB2312" w:eastAsia="仿宋_GB2312"/>
          <w:sz w:val="32"/>
          <w:szCs w:val="32"/>
        </w:rPr>
        <w:t>（三）组织法律知识考试、能力测验；</w:t>
      </w:r>
    </w:p>
    <w:p>
      <w:pPr>
        <w:widowControl/>
        <w:shd w:val="clear" w:color="auto" w:fill="FFFFFF"/>
        <w:spacing w:line="570" w:lineRule="atLeast"/>
        <w:ind w:firstLine="640" w:firstLineChars="200"/>
        <w:rPr>
          <w:rFonts w:ascii="仿宋_GB2312" w:eastAsia="仿宋_GB2312"/>
          <w:sz w:val="32"/>
          <w:szCs w:val="32"/>
        </w:rPr>
      </w:pPr>
      <w:r>
        <w:rPr>
          <w:rFonts w:hint="eastAsia" w:ascii="仿宋_GB2312" w:eastAsia="仿宋_GB2312"/>
          <w:sz w:val="32"/>
          <w:szCs w:val="32"/>
        </w:rPr>
        <w:t>（四）评查案卷；</w:t>
      </w:r>
    </w:p>
    <w:p>
      <w:pPr>
        <w:widowControl/>
        <w:shd w:val="clear" w:color="auto" w:fill="FFFFFF"/>
        <w:spacing w:line="570" w:lineRule="atLeast"/>
        <w:ind w:firstLine="640" w:firstLineChars="200"/>
        <w:rPr>
          <w:rFonts w:ascii="仿宋_GB2312" w:eastAsia="仿宋_GB2312"/>
          <w:sz w:val="32"/>
          <w:szCs w:val="32"/>
        </w:rPr>
      </w:pPr>
      <w:r>
        <w:rPr>
          <w:rFonts w:hint="eastAsia" w:ascii="仿宋_GB2312" w:eastAsia="仿宋_GB2312"/>
          <w:sz w:val="32"/>
          <w:szCs w:val="32"/>
        </w:rPr>
        <w:t>（五）召开座谈会、公开评议会；</w:t>
      </w:r>
    </w:p>
    <w:p>
      <w:pPr>
        <w:widowControl/>
        <w:shd w:val="clear" w:color="auto" w:fill="FFFFFF"/>
        <w:spacing w:line="570" w:lineRule="atLeast"/>
        <w:ind w:firstLine="640" w:firstLineChars="200"/>
        <w:rPr>
          <w:rFonts w:ascii="仿宋_GB2312" w:eastAsia="仿宋_GB2312"/>
          <w:sz w:val="32"/>
          <w:szCs w:val="32"/>
        </w:rPr>
      </w:pPr>
      <w:r>
        <w:rPr>
          <w:rFonts w:hint="eastAsia" w:ascii="仿宋_GB2312" w:eastAsia="仿宋_GB2312"/>
          <w:sz w:val="32"/>
          <w:szCs w:val="32"/>
        </w:rPr>
        <w:t>（六）问卷调查、设置公众意见箱；</w:t>
      </w:r>
    </w:p>
    <w:p>
      <w:pPr>
        <w:widowControl/>
        <w:shd w:val="clear" w:color="auto" w:fill="FFFFFF"/>
        <w:spacing w:line="570" w:lineRule="atLeast"/>
        <w:ind w:left="640"/>
        <w:rPr>
          <w:rFonts w:ascii="仿宋_GB2312" w:eastAsia="仿宋_GB2312"/>
          <w:sz w:val="32"/>
          <w:szCs w:val="32"/>
        </w:rPr>
      </w:pPr>
      <w:r>
        <w:rPr>
          <w:rFonts w:hint="eastAsia" w:ascii="仿宋_GB2312" w:eastAsia="仿宋_GB2312"/>
          <w:sz w:val="32"/>
          <w:szCs w:val="32"/>
        </w:rPr>
        <w:t>（七）其他方式。</w:t>
      </w:r>
    </w:p>
    <w:p>
      <w:pPr>
        <w:widowControl/>
        <w:shd w:val="clear" w:color="auto" w:fill="FFFFFF"/>
        <w:spacing w:line="570" w:lineRule="atLeast"/>
        <w:ind w:left="640"/>
        <w:rPr>
          <w:rFonts w:hint="eastAsia" w:ascii="仿宋" w:hAnsi="仿宋" w:eastAsia="仿宋"/>
          <w:sz w:val="32"/>
          <w:szCs w:val="32"/>
        </w:rPr>
      </w:pPr>
      <w:r>
        <w:rPr>
          <w:rFonts w:hint="eastAsia" w:ascii="仿宋_GB2312" w:eastAsia="仿宋_GB2312"/>
          <w:sz w:val="32"/>
          <w:szCs w:val="32"/>
        </w:rPr>
        <w:t>评议对象可以主动提交药品行政执法评议相关信息。</w:t>
      </w:r>
    </w:p>
    <w:p>
      <w:pPr>
        <w:ind w:firstLine="640" w:firstLineChars="200"/>
        <w:rPr>
          <w:rFonts w:ascii="黑体" w:hAnsi="黑体" w:eastAsia="黑体"/>
          <w:sz w:val="32"/>
          <w:szCs w:val="32"/>
        </w:rPr>
      </w:pPr>
      <w:r>
        <w:rPr>
          <w:rFonts w:hint="eastAsia" w:ascii="黑体" w:hAnsi="黑体" w:eastAsia="黑体"/>
          <w:sz w:val="32"/>
          <w:szCs w:val="32"/>
        </w:rPr>
        <w:t>第十一条  （评议要求）</w:t>
      </w:r>
    </w:p>
    <w:p>
      <w:pPr>
        <w:widowControl/>
        <w:shd w:val="clear" w:color="auto" w:fill="FFFFFF"/>
        <w:spacing w:line="570" w:lineRule="atLeast"/>
        <w:ind w:firstLine="627"/>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评议对象应当自觉接受并配合药品行政执法评议工作，不得拒绝、阻碍评议工作或者提供虚假材料。 </w:t>
      </w:r>
    </w:p>
    <w:p>
      <w:pPr>
        <w:widowControl/>
        <w:shd w:val="clear" w:color="auto" w:fill="FFFFFF"/>
        <w:spacing w:line="570" w:lineRule="atLeast"/>
        <w:ind w:firstLine="627"/>
        <w:rPr>
          <w:rFonts w:ascii="仿宋_GB2312" w:hAnsi="宋体" w:eastAsia="仿宋_GB2312" w:cs="宋体"/>
          <w:kern w:val="0"/>
          <w:sz w:val="32"/>
          <w:szCs w:val="32"/>
        </w:rPr>
      </w:pPr>
      <w:r>
        <w:rPr>
          <w:rFonts w:hint="eastAsia" w:ascii="仿宋_GB2312" w:hAnsi="宋体" w:eastAsia="仿宋_GB2312" w:cs="宋体"/>
          <w:kern w:val="0"/>
          <w:sz w:val="32"/>
          <w:szCs w:val="32"/>
        </w:rPr>
        <w:t>药品行政执法评议应当与督查检查、考核评价等工作有机衔接，评议时可以直接使用相关工作结果。</w:t>
      </w:r>
    </w:p>
    <w:p>
      <w:pPr>
        <w:widowControl/>
        <w:shd w:val="clear" w:color="auto" w:fill="FFFFFF"/>
        <w:spacing w:line="570" w:lineRule="atLeast"/>
        <w:ind w:firstLine="627"/>
        <w:rPr>
          <w:rFonts w:ascii="黑体" w:hAnsi="黑体" w:eastAsia="黑体" w:cs="宋体"/>
          <w:kern w:val="0"/>
          <w:sz w:val="32"/>
          <w:szCs w:val="32"/>
        </w:rPr>
      </w:pPr>
      <w:r>
        <w:rPr>
          <w:rFonts w:hint="eastAsia" w:ascii="黑体" w:hAnsi="黑体" w:eastAsia="黑体" w:cs="宋体"/>
          <w:kern w:val="0"/>
          <w:sz w:val="32"/>
          <w:szCs w:val="32"/>
        </w:rPr>
        <w:t>第十二条 （评议档次）</w:t>
      </w:r>
    </w:p>
    <w:p>
      <w:pPr>
        <w:widowControl/>
        <w:shd w:val="clear" w:color="auto" w:fill="FFFFFF"/>
        <w:spacing w:line="570" w:lineRule="atLeast"/>
        <w:ind w:firstLine="627"/>
        <w:rPr>
          <w:rFonts w:ascii="仿宋_GB2312" w:hAnsi="宋体" w:eastAsia="仿宋_GB2312" w:cs="宋体"/>
          <w:kern w:val="0"/>
          <w:sz w:val="32"/>
          <w:szCs w:val="32"/>
        </w:rPr>
      </w:pPr>
      <w:r>
        <w:rPr>
          <w:rFonts w:hint="eastAsia" w:ascii="仿宋_GB2312" w:hAnsi="宋体" w:eastAsia="仿宋_GB2312" w:cs="宋体"/>
          <w:kern w:val="0"/>
          <w:sz w:val="32"/>
          <w:szCs w:val="32"/>
        </w:rPr>
        <w:t>药品行政执法评议实行评分制，总分为1</w:t>
      </w:r>
      <w:r>
        <w:rPr>
          <w:rFonts w:ascii="仿宋_GB2312" w:hAnsi="宋体" w:eastAsia="仿宋_GB2312" w:cs="宋体"/>
          <w:kern w:val="0"/>
          <w:sz w:val="32"/>
          <w:szCs w:val="32"/>
        </w:rPr>
        <w:t>00</w:t>
      </w:r>
      <w:r>
        <w:rPr>
          <w:rFonts w:hint="eastAsia" w:ascii="仿宋_GB2312" w:hAnsi="宋体" w:eastAsia="仿宋_GB2312" w:cs="宋体"/>
          <w:kern w:val="0"/>
          <w:sz w:val="32"/>
          <w:szCs w:val="32"/>
        </w:rPr>
        <w:t>分，按照评分高低分为优秀、良好、合格和不合格4个档次。</w:t>
      </w:r>
    </w:p>
    <w:p>
      <w:pPr>
        <w:widowControl/>
        <w:shd w:val="clear" w:color="auto" w:fill="FFFFFF"/>
        <w:spacing w:line="570" w:lineRule="atLeast"/>
        <w:ind w:firstLine="627"/>
        <w:rPr>
          <w:rFonts w:ascii="黑体" w:hAnsi="黑体" w:eastAsia="黑体" w:cs="宋体"/>
          <w:kern w:val="0"/>
          <w:sz w:val="32"/>
          <w:szCs w:val="32"/>
        </w:rPr>
      </w:pPr>
      <w:r>
        <w:rPr>
          <w:rFonts w:hint="eastAsia" w:ascii="黑体" w:hAnsi="黑体" w:eastAsia="黑体" w:cs="宋体"/>
          <w:kern w:val="0"/>
          <w:sz w:val="32"/>
          <w:szCs w:val="32"/>
        </w:rPr>
        <w:t>第十三条 （以评议促整改）</w:t>
      </w:r>
    </w:p>
    <w:p>
      <w:pPr>
        <w:widowControl/>
        <w:shd w:val="clear" w:color="auto" w:fill="FFFFFF"/>
        <w:spacing w:line="570" w:lineRule="atLeast"/>
        <w:ind w:firstLine="627"/>
        <w:rPr>
          <w:rFonts w:ascii="仿宋_GB2312" w:hAnsi="宋体" w:eastAsia="仿宋_GB2312" w:cs="宋体"/>
          <w:kern w:val="0"/>
          <w:sz w:val="32"/>
          <w:szCs w:val="32"/>
        </w:rPr>
      </w:pPr>
      <w:r>
        <w:rPr>
          <w:rFonts w:hint="eastAsia" w:ascii="仿宋_GB2312" w:hAnsi="宋体" w:eastAsia="仿宋_GB2312" w:cs="宋体"/>
          <w:kern w:val="0"/>
          <w:sz w:val="32"/>
          <w:szCs w:val="32"/>
        </w:rPr>
        <w:t>评议对象应当及时整改存在问题和不足，并按要求反馈整改情况。整改内容涉及部门协作、支持保障的，需列明协调沟通情况。</w:t>
      </w:r>
    </w:p>
    <w:p>
      <w:pPr>
        <w:widowControl/>
        <w:shd w:val="clear" w:color="auto" w:fill="FFFFFF"/>
        <w:spacing w:line="570" w:lineRule="atLeast"/>
        <w:ind w:firstLine="627"/>
        <w:rPr>
          <w:rFonts w:ascii="黑体" w:hAnsi="黑体" w:eastAsia="黑体" w:cs="宋体"/>
          <w:kern w:val="0"/>
          <w:sz w:val="32"/>
          <w:szCs w:val="32"/>
        </w:rPr>
      </w:pPr>
      <w:r>
        <w:rPr>
          <w:rFonts w:hint="eastAsia" w:ascii="黑体" w:hAnsi="黑体" w:eastAsia="黑体" w:cs="宋体"/>
          <w:kern w:val="0"/>
          <w:sz w:val="32"/>
          <w:szCs w:val="32"/>
        </w:rPr>
        <w:t>第十四条 （发挥评议作用）</w:t>
      </w:r>
    </w:p>
    <w:p>
      <w:pPr>
        <w:widowControl/>
        <w:shd w:val="clear" w:color="auto" w:fill="FFFFFF"/>
        <w:spacing w:line="570" w:lineRule="atLeast"/>
        <w:ind w:firstLine="627"/>
        <w:rPr>
          <w:rFonts w:ascii="宋体" w:hAnsi="宋体" w:eastAsia="宋体" w:cs="宋体"/>
          <w:kern w:val="0"/>
          <w:sz w:val="24"/>
          <w:szCs w:val="24"/>
        </w:rPr>
      </w:pPr>
      <w:r>
        <w:rPr>
          <w:rFonts w:hint="eastAsia" w:ascii="仿宋_GB2312" w:hAnsi="宋体" w:eastAsia="仿宋_GB2312" w:cs="宋体"/>
          <w:kern w:val="0"/>
          <w:sz w:val="32"/>
          <w:szCs w:val="32"/>
        </w:rPr>
        <w:t>总结推广药品行政执法典型经验做法；对具有普遍性、代表性的药品行政执法困难和问题，组织评议的药品监管部门应当及时向同级人民政府和上级药品监管部门报告、建议。</w:t>
      </w:r>
    </w:p>
    <w:p>
      <w:pPr>
        <w:widowControl/>
        <w:shd w:val="clear" w:color="auto" w:fill="FFFFFF"/>
        <w:spacing w:line="570" w:lineRule="atLeast"/>
        <w:ind w:firstLine="640"/>
        <w:rPr>
          <w:rFonts w:ascii="黑体" w:hAnsi="黑体" w:eastAsia="黑体"/>
          <w:sz w:val="32"/>
          <w:szCs w:val="32"/>
        </w:rPr>
      </w:pPr>
      <w:r>
        <w:rPr>
          <w:rFonts w:hint="eastAsia" w:ascii="黑体" w:hAnsi="黑体" w:eastAsia="黑体"/>
          <w:sz w:val="32"/>
          <w:szCs w:val="32"/>
        </w:rPr>
        <w:t>第十五条  （约谈措施）</w:t>
      </w:r>
    </w:p>
    <w:p>
      <w:pPr>
        <w:widowControl/>
        <w:shd w:val="clear" w:color="auto" w:fill="FFFFFF"/>
        <w:spacing w:line="570" w:lineRule="atLeast"/>
        <w:ind w:firstLine="627"/>
        <w:rPr>
          <w:rFonts w:ascii="仿宋_GB2312" w:hAnsi="宋体" w:eastAsia="仿宋_GB2312" w:cs="宋体"/>
          <w:kern w:val="0"/>
          <w:sz w:val="32"/>
          <w:szCs w:val="32"/>
        </w:rPr>
      </w:pPr>
      <w:r>
        <w:rPr>
          <w:rFonts w:hint="eastAsia" w:ascii="仿宋_GB2312" w:hAnsi="宋体" w:eastAsia="仿宋_GB2312" w:cs="宋体"/>
          <w:kern w:val="0"/>
          <w:sz w:val="32"/>
          <w:szCs w:val="32"/>
        </w:rPr>
        <w:t>上级药品监管部门在药品行政执法评议工作中发现下级药品监管部门在履行法定职责时存在突出问题的，可以约谈下级药品监管部门负责人。</w:t>
      </w:r>
    </w:p>
    <w:p>
      <w:pPr>
        <w:widowControl/>
        <w:shd w:val="clear" w:color="auto" w:fill="FFFFFF"/>
        <w:spacing w:line="570" w:lineRule="atLeast"/>
        <w:ind w:firstLine="640"/>
        <w:rPr>
          <w:rFonts w:ascii="黑体" w:hAnsi="黑体" w:eastAsia="黑体"/>
          <w:sz w:val="32"/>
          <w:szCs w:val="32"/>
        </w:rPr>
      </w:pPr>
      <w:r>
        <w:rPr>
          <w:rFonts w:hint="eastAsia" w:ascii="黑体" w:hAnsi="黑体" w:eastAsia="黑体" w:cs="宋体"/>
          <w:color w:val="333333"/>
          <w:kern w:val="0"/>
          <w:sz w:val="32"/>
          <w:szCs w:val="32"/>
        </w:rPr>
        <w:t xml:space="preserve">第十六条  </w:t>
      </w:r>
      <w:r>
        <w:rPr>
          <w:rFonts w:hint="eastAsia" w:ascii="黑体" w:hAnsi="黑体" w:eastAsia="黑体"/>
          <w:sz w:val="32"/>
          <w:szCs w:val="32"/>
        </w:rPr>
        <w:t>（执法评议监督通知程序）</w:t>
      </w:r>
    </w:p>
    <w:p>
      <w:pPr>
        <w:widowControl/>
        <w:shd w:val="clear" w:color="auto" w:fill="FFFFFF"/>
        <w:spacing w:line="570" w:lineRule="atLeast"/>
        <w:ind w:firstLine="627"/>
        <w:rPr>
          <w:rFonts w:ascii="仿宋_GB2312" w:hAnsi="宋体" w:eastAsia="仿宋_GB2312" w:cs="宋体"/>
          <w:kern w:val="0"/>
          <w:sz w:val="32"/>
          <w:szCs w:val="32"/>
        </w:rPr>
      </w:pPr>
      <w:bookmarkStart w:id="1" w:name="_Hlk118309212"/>
      <w:r>
        <w:rPr>
          <w:rFonts w:hint="eastAsia" w:ascii="仿宋_GB2312" w:hAnsi="宋体" w:eastAsia="仿宋_GB2312" w:cs="宋体"/>
          <w:kern w:val="0"/>
          <w:sz w:val="32"/>
          <w:szCs w:val="32"/>
        </w:rPr>
        <w:t>上级药品监管部门</w:t>
      </w:r>
      <w:bookmarkEnd w:id="1"/>
      <w:r>
        <w:rPr>
          <w:rFonts w:hint="eastAsia" w:ascii="仿宋_GB2312" w:hAnsi="宋体" w:eastAsia="仿宋_GB2312" w:cs="宋体"/>
          <w:kern w:val="0"/>
          <w:sz w:val="32"/>
          <w:szCs w:val="32"/>
        </w:rPr>
        <w:t>在药品执法评议工作中发现下级药品监管部门及其执法人员可能存在不履行、违法履行或者不当履行法定职责情形的，可以向下级药品监管部门发出执法评议监督通知书。</w:t>
      </w:r>
    </w:p>
    <w:p>
      <w:pPr>
        <w:widowControl/>
        <w:shd w:val="clear" w:color="auto" w:fill="FFFFFF"/>
        <w:spacing w:line="570" w:lineRule="atLeast"/>
        <w:ind w:firstLine="627"/>
        <w:rPr>
          <w:rFonts w:ascii="仿宋_GB2312" w:hAnsi="宋体" w:eastAsia="仿宋_GB2312" w:cs="宋体"/>
          <w:kern w:val="0"/>
          <w:sz w:val="32"/>
          <w:szCs w:val="32"/>
        </w:rPr>
      </w:pPr>
      <w:r>
        <w:rPr>
          <w:rFonts w:hint="eastAsia" w:ascii="仿宋_GB2312" w:hAnsi="宋体" w:eastAsia="仿宋_GB2312" w:cs="宋体"/>
          <w:kern w:val="0"/>
          <w:sz w:val="32"/>
          <w:szCs w:val="32"/>
        </w:rPr>
        <w:t>下级药品监管部门收到执法评议监督通知书后，应当于1</w:t>
      </w:r>
      <w:r>
        <w:rPr>
          <w:rFonts w:ascii="仿宋_GB2312" w:hAnsi="宋体" w:eastAsia="仿宋_GB2312" w:cs="宋体"/>
          <w:kern w:val="0"/>
          <w:sz w:val="32"/>
          <w:szCs w:val="32"/>
        </w:rPr>
        <w:t>0</w:t>
      </w:r>
      <w:r>
        <w:rPr>
          <w:rFonts w:hint="eastAsia" w:ascii="仿宋_GB2312" w:hAnsi="宋体" w:eastAsia="仿宋_GB2312" w:cs="宋体"/>
          <w:kern w:val="0"/>
          <w:sz w:val="32"/>
          <w:szCs w:val="32"/>
        </w:rPr>
        <w:t>个工作日内提供相关材料或者情况说明。</w:t>
      </w:r>
    </w:p>
    <w:p>
      <w:pPr>
        <w:widowControl/>
        <w:shd w:val="clear" w:color="auto" w:fill="FFFFFF"/>
        <w:spacing w:line="570" w:lineRule="atLeast"/>
        <w:ind w:firstLine="640"/>
        <w:rPr>
          <w:rFonts w:ascii="黑体" w:hAnsi="黑体" w:eastAsia="黑体"/>
          <w:sz w:val="32"/>
          <w:szCs w:val="32"/>
        </w:rPr>
      </w:pPr>
      <w:r>
        <w:rPr>
          <w:rFonts w:hint="eastAsia" w:ascii="黑体" w:hAnsi="黑体" w:eastAsia="黑体" w:cs="宋体"/>
          <w:color w:val="333333"/>
          <w:kern w:val="0"/>
          <w:sz w:val="32"/>
          <w:szCs w:val="32"/>
        </w:rPr>
        <w:t xml:space="preserve">第十七条  </w:t>
      </w:r>
      <w:r>
        <w:rPr>
          <w:rFonts w:hint="eastAsia" w:ascii="黑体" w:hAnsi="黑体" w:eastAsia="黑体"/>
          <w:sz w:val="32"/>
          <w:szCs w:val="32"/>
        </w:rPr>
        <w:t>（执法评议监督决定程序）</w:t>
      </w:r>
    </w:p>
    <w:p>
      <w:pPr>
        <w:widowControl/>
        <w:shd w:val="clear" w:color="auto" w:fill="FFFFFF"/>
        <w:spacing w:line="570" w:lineRule="atLeas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上级药品监管部门发出执法评议监督通知书后，经过调查核实，认为存在不履行、违法履行或者不当履行法定职责情形的，可以向下级药品监管部门发出执法评议监督决定书，要求限期纠正，必要时可以直接纠正。</w:t>
      </w:r>
      <w:r>
        <w:rPr>
          <w:rFonts w:ascii="仿宋_GB2312" w:hAnsi="宋体" w:eastAsia="仿宋_GB2312" w:cs="宋体"/>
          <w:kern w:val="0"/>
          <w:sz w:val="32"/>
          <w:szCs w:val="32"/>
        </w:rPr>
        <w:t>  </w:t>
      </w:r>
    </w:p>
    <w:p>
      <w:pPr>
        <w:widowControl/>
        <w:shd w:val="clear" w:color="auto" w:fill="FFFFFF"/>
        <w:spacing w:line="570" w:lineRule="atLeas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下级药品监管部门应当在执法评议监督决定书规定的期限内纠正相关行为，并于纠正后1</w:t>
      </w:r>
      <w:r>
        <w:rPr>
          <w:rFonts w:ascii="仿宋_GB2312" w:hAnsi="宋体" w:eastAsia="仿宋_GB2312" w:cs="宋体"/>
          <w:kern w:val="0"/>
          <w:sz w:val="32"/>
          <w:szCs w:val="32"/>
        </w:rPr>
        <w:t>0</w:t>
      </w:r>
      <w:r>
        <w:rPr>
          <w:rFonts w:hint="eastAsia" w:ascii="仿宋_GB2312" w:hAnsi="宋体" w:eastAsia="仿宋_GB2312" w:cs="宋体"/>
          <w:kern w:val="0"/>
          <w:sz w:val="32"/>
          <w:szCs w:val="32"/>
        </w:rPr>
        <w:t>个工作日内向上级药品监管部门报告纠正情况。</w:t>
      </w:r>
    </w:p>
    <w:p>
      <w:pPr>
        <w:widowControl/>
        <w:shd w:val="clear" w:color="auto" w:fill="FFFFFF"/>
        <w:spacing w:line="570" w:lineRule="atLeast"/>
        <w:ind w:firstLine="640"/>
        <w:rPr>
          <w:rFonts w:ascii="黑体" w:hAnsi="黑体" w:eastAsia="黑体" w:cs="宋体"/>
          <w:color w:val="333333"/>
          <w:kern w:val="0"/>
          <w:sz w:val="32"/>
          <w:szCs w:val="32"/>
        </w:rPr>
      </w:pPr>
      <w:r>
        <w:rPr>
          <w:rFonts w:hint="eastAsia" w:ascii="黑体" w:hAnsi="黑体" w:eastAsia="黑体" w:cs="宋体"/>
          <w:color w:val="333333"/>
          <w:kern w:val="0"/>
          <w:sz w:val="32"/>
          <w:szCs w:val="32"/>
        </w:rPr>
        <w:t>第十八条  （救济途径）</w:t>
      </w:r>
    </w:p>
    <w:p>
      <w:pPr>
        <w:widowControl/>
        <w:shd w:val="clear" w:color="auto" w:fill="FFFFFF"/>
        <w:spacing w:line="570" w:lineRule="atLeas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下级药品监管部门对执法评议监督决定有异议的，可以在5个工作日内申请复查，上级药品监管部门应当自收到复查申请之日起1</w:t>
      </w:r>
      <w:r>
        <w:rPr>
          <w:rFonts w:ascii="仿宋_GB2312" w:hAnsi="宋体" w:eastAsia="仿宋_GB2312" w:cs="宋体"/>
          <w:kern w:val="0"/>
          <w:sz w:val="32"/>
          <w:szCs w:val="32"/>
        </w:rPr>
        <w:t>0</w:t>
      </w:r>
      <w:r>
        <w:rPr>
          <w:rFonts w:hint="eastAsia" w:ascii="仿宋_GB2312" w:hAnsi="宋体" w:eastAsia="仿宋_GB2312" w:cs="宋体"/>
          <w:kern w:val="0"/>
          <w:sz w:val="32"/>
          <w:szCs w:val="32"/>
        </w:rPr>
        <w:t>个工作日内予以复查并答复。</w:t>
      </w:r>
    </w:p>
    <w:p>
      <w:pPr>
        <w:widowControl/>
        <w:shd w:val="clear" w:color="auto" w:fill="FFFFFF"/>
        <w:spacing w:line="570" w:lineRule="atLeast"/>
        <w:ind w:firstLine="640"/>
        <w:rPr>
          <w:rFonts w:ascii="黑体" w:hAnsi="黑体" w:eastAsia="黑体" w:cs="宋体"/>
          <w:color w:val="333333"/>
          <w:kern w:val="0"/>
          <w:sz w:val="32"/>
          <w:szCs w:val="32"/>
        </w:rPr>
      </w:pPr>
      <w:r>
        <w:rPr>
          <w:rFonts w:hint="eastAsia" w:ascii="黑体" w:hAnsi="黑体" w:eastAsia="黑体" w:cs="宋体"/>
          <w:color w:val="333333"/>
          <w:kern w:val="0"/>
          <w:sz w:val="32"/>
          <w:szCs w:val="32"/>
        </w:rPr>
        <w:t>第十九条  （执法评议监督意见程序）</w:t>
      </w:r>
    </w:p>
    <w:p>
      <w:pPr>
        <w:widowControl/>
        <w:shd w:val="clear" w:color="auto" w:fill="FFFFFF"/>
        <w:spacing w:line="57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上级药品监管部门在药品执法评议工作中发现下级药品监管部门在药品行政执法工作中存在普遍性问题或者区域性风险，可以向下级药品监管部门发出执法评议监督意见书，提出完善制度或者改进工作的要求。</w:t>
      </w:r>
      <w:r>
        <w:rPr>
          <w:rFonts w:ascii="Times New Roman" w:hAnsi="Times New Roman" w:eastAsia="宋体" w:cs="Times New Roman"/>
          <w:color w:val="333333"/>
          <w:kern w:val="0"/>
          <w:sz w:val="32"/>
          <w:szCs w:val="32"/>
        </w:rPr>
        <w:t>  </w:t>
      </w:r>
    </w:p>
    <w:p>
      <w:pPr>
        <w:ind w:firstLine="640" w:firstLineChars="200"/>
        <w:rPr>
          <w:rFonts w:ascii="Times New Roman" w:hAnsi="Times New Roman" w:eastAsia="宋体" w:cs="Times New Roman"/>
          <w:color w:val="333333"/>
          <w:kern w:val="0"/>
          <w:sz w:val="32"/>
          <w:szCs w:val="32"/>
        </w:rPr>
      </w:pPr>
      <w:r>
        <w:rPr>
          <w:rFonts w:hint="eastAsia" w:ascii="黑体" w:hAnsi="黑体" w:eastAsia="黑体" w:cs="宋体"/>
          <w:color w:val="333333"/>
          <w:kern w:val="0"/>
          <w:sz w:val="32"/>
          <w:szCs w:val="32"/>
        </w:rPr>
        <w:t>第二十条 （不履行执法评议监督责任）</w:t>
      </w:r>
    </w:p>
    <w:p>
      <w:pPr>
        <w:widowControl/>
        <w:shd w:val="clear" w:color="auto" w:fill="FFFFFF"/>
        <w:spacing w:line="570" w:lineRule="atLeast"/>
        <w:ind w:firstLine="64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下级药品监管部门不执行执法评议监督通知书、决定书或者意见书的，上级药品监管部门可以责令改正、通报批评，并可以由上级药品监管部门或建议有权机关对负有责任的主管人员和相关责任人员予以批评教育、调离执法岗位或者处分。</w:t>
      </w:r>
    </w:p>
    <w:p>
      <w:pPr>
        <w:ind w:firstLine="640" w:firstLineChars="200"/>
        <w:rPr>
          <w:rFonts w:ascii="仿宋_GB2312" w:hAnsi="宋体" w:eastAsia="仿宋_GB2312" w:cs="宋体"/>
          <w:kern w:val="0"/>
          <w:sz w:val="32"/>
          <w:szCs w:val="32"/>
        </w:rPr>
      </w:pPr>
      <w:r>
        <w:rPr>
          <w:rFonts w:hint="eastAsia" w:ascii="黑体" w:hAnsi="黑体" w:eastAsia="黑体" w:cs="宋体"/>
          <w:color w:val="333333"/>
          <w:kern w:val="0"/>
          <w:sz w:val="32"/>
          <w:szCs w:val="32"/>
        </w:rPr>
        <w:t>第二十一条 （追责问责规定）</w:t>
      </w:r>
    </w:p>
    <w:p>
      <w:pPr>
        <w:widowControl/>
        <w:shd w:val="clear" w:color="auto" w:fill="FFFFFF"/>
        <w:spacing w:line="570" w:lineRule="atLeas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上级药品监管部门在药品执法评议工作中，发现存在不履行、违法履行或者不当履行法定职责情形需要追责问责的，应当根据有关规定处理。</w:t>
      </w:r>
    </w:p>
    <w:p>
      <w:pPr>
        <w:ind w:firstLine="640" w:firstLineChars="200"/>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二十二</w:t>
      </w:r>
      <w:r>
        <w:rPr>
          <w:rFonts w:ascii="黑体" w:hAnsi="黑体" w:eastAsia="黑体"/>
          <w:sz w:val="32"/>
          <w:szCs w:val="32"/>
        </w:rPr>
        <w:t>条</w:t>
      </w:r>
      <w:r>
        <w:rPr>
          <w:rFonts w:hint="eastAsia" w:ascii="黑体" w:hAnsi="黑体" w:eastAsia="黑体"/>
          <w:sz w:val="32"/>
          <w:szCs w:val="32"/>
        </w:rPr>
        <w:t xml:space="preserve"> </w:t>
      </w:r>
      <w:r>
        <w:rPr>
          <w:rFonts w:hint="eastAsia" w:ascii="黑体" w:hAnsi="黑体" w:eastAsia="黑体" w:cs="宋体"/>
          <w:color w:val="333333"/>
          <w:kern w:val="0"/>
          <w:sz w:val="32"/>
          <w:szCs w:val="32"/>
        </w:rPr>
        <w:t>（尽职免责规定）</w:t>
      </w:r>
    </w:p>
    <w:p>
      <w:pPr>
        <w:widowControl/>
        <w:shd w:val="clear" w:color="auto" w:fill="FFFFFF"/>
        <w:spacing w:line="570" w:lineRule="atLeas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上级药品监管部门在药品执法评议工作中结合监管履职情况，完善</w:t>
      </w:r>
      <w:r>
        <w:rPr>
          <w:rFonts w:ascii="仿宋_GB2312" w:hAnsi="宋体" w:eastAsia="仿宋_GB2312" w:cs="宋体"/>
          <w:kern w:val="0"/>
          <w:sz w:val="32"/>
          <w:szCs w:val="32"/>
        </w:rPr>
        <w:t>尽职免责</w:t>
      </w:r>
      <w:r>
        <w:rPr>
          <w:rFonts w:hint="eastAsia" w:ascii="仿宋_GB2312" w:hAnsi="宋体" w:eastAsia="仿宋_GB2312" w:cs="宋体"/>
          <w:kern w:val="0"/>
          <w:sz w:val="32"/>
          <w:szCs w:val="32"/>
        </w:rPr>
        <w:t>机制。</w:t>
      </w:r>
      <w:r>
        <w:rPr>
          <w:rFonts w:ascii="仿宋_GB2312" w:hAnsi="宋体" w:eastAsia="仿宋_GB2312" w:cs="宋体"/>
          <w:kern w:val="0"/>
          <w:sz w:val="32"/>
          <w:szCs w:val="32"/>
        </w:rPr>
        <w:t>下列情形不构成行政执法过错行为，不应追究有关人员的行政执法责任：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（一）因行政执法依据不明确或者对有关事实和依据的理解认识不一致，致使行政执法行为出现偏差的，但故意违法的除外；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（二）因行政相对人隐瞒有关情况或者提供虚假材料导致作出错误判断，且已按规定履行审查职责的；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（三）依据检验、检测、鉴定报告或者专家评审意见等作出行政执法决定，且已按规定履行审查职责的；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（四）行政相对人未依法申请行政许可或者登记备案，在其违法行为造成不良影响前，</w:t>
      </w:r>
      <w:r>
        <w:rPr>
          <w:rFonts w:hint="eastAsia" w:ascii="仿宋_GB2312" w:hAnsi="宋体" w:eastAsia="仿宋_GB2312" w:cs="宋体"/>
          <w:kern w:val="0"/>
          <w:sz w:val="32"/>
          <w:szCs w:val="32"/>
        </w:rPr>
        <w:t>药品</w:t>
      </w:r>
      <w:r>
        <w:rPr>
          <w:rFonts w:ascii="仿宋_GB2312" w:hAnsi="宋体" w:eastAsia="仿宋_GB2312" w:cs="宋体"/>
          <w:kern w:val="0"/>
          <w:sz w:val="32"/>
          <w:szCs w:val="32"/>
        </w:rPr>
        <w:t>监管部门未接到举报或者由于客观原因未能发现的，但未按规定履行监督检查职责的除外；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（五）因出现新的证据，致使原认定事实或者案件性质发生变化的，但故意隐瞒或者因重大过失遗漏证据的除外；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（六）按照年度监督检查、“双随机、一公开”监管等检查计划已经认真履行监督检查职责，或者虽尚未进行监督检查，但未超过法定或者规定时限，行政相对人违法的；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（七）因科学技术、监管手段等客观条件的限制，未能发现存在问题或者无法定性的；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（八）发生事故或者其他突发事件，非由</w:t>
      </w:r>
      <w:r>
        <w:rPr>
          <w:rFonts w:hint="eastAsia" w:ascii="仿宋_GB2312" w:hAnsi="宋体" w:eastAsia="仿宋_GB2312" w:cs="宋体"/>
          <w:kern w:val="0"/>
          <w:sz w:val="32"/>
          <w:szCs w:val="32"/>
        </w:rPr>
        <w:t>药品</w:t>
      </w:r>
      <w:r>
        <w:rPr>
          <w:rFonts w:ascii="仿宋_GB2312" w:hAnsi="宋体" w:eastAsia="仿宋_GB2312" w:cs="宋体"/>
          <w:kern w:val="0"/>
          <w:sz w:val="32"/>
          <w:szCs w:val="32"/>
        </w:rPr>
        <w:t>监管部门不履行或者不正确履行法定职责行为直接引起的；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九）对发现的违法行为或者事故隐患已经依法查处、责令改正或者采取行政强制措施，因行政相对人拒不改正、逃避检查、擅自违法生产经营或者违法启用查封、扣押的设备设施等行为造成危害后果或者不良影响的；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（十）在集体决策中对错误决策提出明确反对意见或者保留意见的；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（十一）发现上级的决定、命令或者文件有错误，已向上级提出改正或者撤销的意见，上级不予改变或者要求继续执行的，但执行明显违法的决定、命令或者文件的除外；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（十二）因不可抗力或者其他难以克服的因素，导致未能依法履行职责的； </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（十三）其他依法不应追究行政执法责任的情形。 </w:t>
      </w:r>
    </w:p>
    <w:p>
      <w:pPr>
        <w:ind w:firstLine="645"/>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二十三</w:t>
      </w:r>
      <w:r>
        <w:rPr>
          <w:rFonts w:ascii="黑体" w:hAnsi="黑体" w:eastAsia="黑体"/>
          <w:sz w:val="32"/>
          <w:szCs w:val="32"/>
        </w:rPr>
        <w:t>条</w:t>
      </w:r>
      <w:r>
        <w:rPr>
          <w:rFonts w:hint="eastAsia" w:ascii="黑体" w:hAnsi="黑体" w:eastAsia="黑体"/>
          <w:sz w:val="32"/>
          <w:szCs w:val="32"/>
        </w:rPr>
        <w:t>（容错机制）</w:t>
      </w:r>
    </w:p>
    <w:p>
      <w:pPr>
        <w:widowControl/>
        <w:shd w:val="clear" w:color="auto" w:fill="FFFFFF"/>
        <w:spacing w:line="570" w:lineRule="atLeast"/>
        <w:ind w:firstLine="640"/>
        <w:rPr>
          <w:rFonts w:ascii="仿宋_GB2312" w:hAnsi="宋体" w:eastAsia="仿宋_GB2312" w:cs="宋体"/>
          <w:kern w:val="0"/>
          <w:sz w:val="32"/>
          <w:szCs w:val="32"/>
        </w:rPr>
      </w:pPr>
      <w:r>
        <w:rPr>
          <w:rFonts w:ascii="仿宋_GB2312" w:hAnsi="宋体" w:eastAsia="仿宋_GB2312" w:cs="宋体"/>
          <w:kern w:val="0"/>
          <w:sz w:val="32"/>
          <w:szCs w:val="32"/>
        </w:rPr>
        <w:t>在推进行政执法改革创新中因缺乏经验、先行先试出现的失误，尚无明确限制的探索性试验中的失误，为推动发展的无意过失，免予或者不予追究行政执法责任。但应当依法予以纠正。</w:t>
      </w:r>
    </w:p>
    <w:p>
      <w:pPr>
        <w:ind w:firstLine="640" w:firstLineChars="200"/>
        <w:rPr>
          <w:rFonts w:ascii="黑体" w:hAnsi="黑体" w:eastAsia="黑体"/>
          <w:sz w:val="32"/>
          <w:szCs w:val="32"/>
        </w:rPr>
      </w:pPr>
      <w:r>
        <w:rPr>
          <w:rFonts w:hint="eastAsia" w:ascii="黑体" w:hAnsi="黑体" w:eastAsia="黑体"/>
          <w:sz w:val="32"/>
          <w:szCs w:val="32"/>
        </w:rPr>
        <w:t>第二十四条</w:t>
      </w:r>
    </w:p>
    <w:p>
      <w:pPr>
        <w:ind w:firstLine="645"/>
        <w:rPr>
          <w:rFonts w:ascii="仿宋_GB2312" w:eastAsia="仿宋_GB2312"/>
          <w:sz w:val="32"/>
          <w:szCs w:val="32"/>
        </w:rPr>
      </w:pPr>
      <w:r>
        <w:rPr>
          <w:rFonts w:hint="eastAsia" w:ascii="仿宋_GB2312" w:eastAsia="仿宋_GB2312"/>
          <w:sz w:val="32"/>
          <w:szCs w:val="32"/>
        </w:rPr>
        <w:t>本办法自202</w:t>
      </w:r>
      <w:r>
        <w:rPr>
          <w:rFonts w:ascii="仿宋_GB2312" w:eastAsia="仿宋_GB2312"/>
          <w:sz w:val="32"/>
          <w:szCs w:val="32"/>
        </w:rPr>
        <w:t>2</w:t>
      </w:r>
      <w:r>
        <w:rPr>
          <w:rFonts w:hint="eastAsia" w:ascii="仿宋_GB2312" w:eastAsia="仿宋_GB2312"/>
          <w:sz w:val="32"/>
          <w:szCs w:val="32"/>
        </w:rPr>
        <w:t>年  月   日起执行。</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hint="eastAsia"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ind w:firstLine="645"/>
        <w:rPr>
          <w:rFonts w:ascii="仿宋_GB2312" w:eastAsia="仿宋_GB2312"/>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药品行政执法评议监督约谈通知书</w:t>
      </w:r>
    </w:p>
    <w:p>
      <w:pPr>
        <w:jc w:val="center"/>
        <w:rPr>
          <w:rFonts w:ascii="方正小标宋简体" w:eastAsia="方正小标宋简体"/>
          <w:sz w:val="44"/>
          <w:szCs w:val="44"/>
        </w:rPr>
      </w:pPr>
    </w:p>
    <w:p>
      <w:pPr>
        <w:jc w:val="left"/>
        <w:rPr>
          <w:rFonts w:ascii="方正小标宋简体" w:eastAsia="方正小标宋简体"/>
          <w:sz w:val="44"/>
          <w:szCs w:val="44"/>
          <w:u w:val="single"/>
        </w:rPr>
      </w:pPr>
      <w:r>
        <w:rPr>
          <w:rFonts w:hint="eastAsia" w:ascii="方正小标宋简体" w:eastAsia="方正小标宋简体"/>
          <w:sz w:val="44"/>
          <w:szCs w:val="44"/>
          <w:u w:val="single"/>
        </w:rPr>
        <w:t xml:space="preserve">            ：</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在药品行政执法评议工作中，发现你单位在履行法定执法职责方面存在以下问题：</w:t>
      </w:r>
    </w:p>
    <w:p>
      <w:pPr>
        <w:ind w:firstLine="640" w:firstLineChars="200"/>
        <w:rPr>
          <w:rFonts w:ascii="仿宋_GB2312" w:hAnsi="宋体" w:eastAsia="仿宋_GB2312" w:cs="宋体"/>
          <w:kern w:val="0"/>
          <w:sz w:val="32"/>
          <w:szCs w:val="32"/>
          <w:u w:val="single"/>
        </w:rPr>
      </w:pPr>
      <w:r>
        <w:rPr>
          <w:rFonts w:hint="eastAsia" w:ascii="仿宋_GB2312" w:hAnsi="宋体" w:eastAsia="仿宋_GB2312" w:cs="宋体"/>
          <w:kern w:val="0"/>
          <w:sz w:val="32"/>
          <w:szCs w:val="32"/>
          <w:u w:val="single"/>
        </w:rPr>
        <w:t xml:space="preserve">1.                                                    </w:t>
      </w:r>
    </w:p>
    <w:p>
      <w:pPr>
        <w:ind w:firstLine="640" w:firstLineChars="200"/>
        <w:rPr>
          <w:rFonts w:ascii="仿宋_GB2312" w:hAnsi="宋体" w:eastAsia="仿宋_GB2312" w:cs="宋体"/>
          <w:kern w:val="0"/>
          <w:sz w:val="32"/>
          <w:szCs w:val="32"/>
          <w:u w:val="single"/>
        </w:rPr>
      </w:pPr>
      <w:r>
        <w:rPr>
          <w:rFonts w:hint="eastAsia" w:ascii="仿宋_GB2312" w:hAnsi="宋体" w:eastAsia="仿宋_GB2312" w:cs="宋体"/>
          <w:kern w:val="0"/>
          <w:sz w:val="32"/>
          <w:szCs w:val="32"/>
          <w:u w:val="single"/>
        </w:rPr>
        <w:t xml:space="preserve">2.                                                         </w:t>
      </w:r>
    </w:p>
    <w:p>
      <w:pPr>
        <w:ind w:firstLine="640" w:firstLineChars="200"/>
        <w:rPr>
          <w:rFonts w:ascii="仿宋_GB2312" w:hAnsi="宋体" w:eastAsia="仿宋_GB2312" w:cs="宋体"/>
          <w:kern w:val="0"/>
          <w:sz w:val="32"/>
          <w:szCs w:val="32"/>
          <w:u w:val="single"/>
        </w:rPr>
      </w:pPr>
      <w:r>
        <w:rPr>
          <w:rFonts w:hint="eastAsia" w:ascii="仿宋_GB2312" w:hAnsi="宋体" w:eastAsia="仿宋_GB2312" w:cs="宋体"/>
          <w:kern w:val="0"/>
          <w:sz w:val="32"/>
          <w:szCs w:val="32"/>
          <w:u w:val="single"/>
        </w:rPr>
        <w:t xml:space="preserve">3.                                                   </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根据《市场监督管理执法监督暂行规定》第十六条规定，现对你单位负责人进行约谈。</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约谈时间：</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约谈地点：</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联系人：         联系电话：</w:t>
      </w:r>
    </w:p>
    <w:p>
      <w:pPr>
        <w:rPr>
          <w:rFonts w:ascii="仿宋_GB2312" w:hAnsi="宋体" w:eastAsia="仿宋_GB2312" w:cs="宋体"/>
          <w:kern w:val="0"/>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（印章）</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年   月   日</w:t>
      </w:r>
    </w:p>
    <w:p>
      <w:pPr>
        <w:rPr>
          <w:rFonts w:ascii="仿宋_GB2312" w:hAnsi="宋体" w:eastAsia="仿宋_GB2312" w:cs="宋体"/>
          <w:kern w:val="0"/>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注：本文书一式三份，一份送达，一份留存，一份归档</w:t>
      </w:r>
    </w:p>
    <w:p>
      <w:pPr>
        <w:rPr>
          <w:rFonts w:hint="eastAsia" w:ascii="仿宋_GB2312" w:hAnsi="宋体" w:eastAsia="仿宋_GB2312" w:cs="宋体"/>
          <w:kern w:val="0"/>
          <w:sz w:val="32"/>
          <w:szCs w:val="32"/>
        </w:rPr>
      </w:pPr>
    </w:p>
    <w:p>
      <w:pPr>
        <w:rPr>
          <w:rFonts w:ascii="仿宋_GB2312" w:hAnsi="宋体" w:eastAsia="仿宋_GB2312" w:cs="宋体"/>
          <w:kern w:val="0"/>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autoSpaceDE w:val="0"/>
        <w:autoSpaceDN w:val="0"/>
        <w:adjustRightInd w:val="0"/>
        <w:jc w:val="center"/>
        <w:rPr>
          <w:rFonts w:ascii="方正小标宋简体" w:eastAsia="方正小标宋简体"/>
          <w:sz w:val="44"/>
          <w:szCs w:val="44"/>
        </w:rPr>
      </w:pPr>
      <w:r>
        <w:rPr>
          <w:rFonts w:hint="eastAsia" w:ascii="方正小标宋简体" w:eastAsia="方正小标宋简体"/>
          <w:sz w:val="44"/>
          <w:szCs w:val="44"/>
        </w:rPr>
        <w:t>药品行政执法评议监督通知书</w:t>
      </w:r>
    </w:p>
    <w:p>
      <w:pPr>
        <w:autoSpaceDE w:val="0"/>
        <w:autoSpaceDN w:val="0"/>
        <w:adjustRightInd w:val="0"/>
        <w:jc w:val="center"/>
        <w:rPr>
          <w:rFonts w:ascii="方正小标宋简体" w:eastAsia="方正小标宋简体"/>
          <w:sz w:val="44"/>
          <w:szCs w:val="44"/>
        </w:rPr>
      </w:pPr>
    </w:p>
    <w:p>
      <w:pPr>
        <w:autoSpaceDE w:val="0"/>
        <w:autoSpaceDN w:val="0"/>
        <w:adjustRightInd w:val="0"/>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    </w:t>
      </w:r>
      <w:r>
        <w:rPr>
          <w:rFonts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rPr>
        <w:t xml:space="preserve">   ：</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在</w:t>
      </w:r>
      <w:r>
        <w:rPr>
          <w:rFonts w:hint="eastAsia" w:ascii="仿宋_GB2312" w:hAnsi="宋体" w:eastAsia="仿宋_GB2312" w:cs="宋体"/>
          <w:kern w:val="0"/>
          <w:sz w:val="32"/>
          <w:szCs w:val="32"/>
        </w:rPr>
        <w:t>药品行政执法评议工作中，</w:t>
      </w:r>
      <w:r>
        <w:rPr>
          <w:rFonts w:hint="eastAsia" w:ascii="仿宋_GB2312" w:eastAsia="仿宋_GB2312" w:cs="仿宋_GB2312"/>
          <w:kern w:val="0"/>
          <w:sz w:val="32"/>
          <w:szCs w:val="32"/>
        </w:rPr>
        <w:t>发现你单位存在如下情形：</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u w:val="single"/>
        </w:rPr>
        <w:t>（列明具体情形）</w:t>
      </w:r>
    </w:p>
    <w:p>
      <w:pPr>
        <w:autoSpaceDE w:val="0"/>
        <w:autoSpaceDN w:val="0"/>
        <w:adjustRightInd w:val="0"/>
        <w:ind w:firstLine="640" w:firstLineChars="200"/>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                                                          </w:t>
      </w:r>
    </w:p>
    <w:p>
      <w:pPr>
        <w:autoSpaceDE w:val="0"/>
        <w:autoSpaceDN w:val="0"/>
        <w:adjustRightInd w:val="0"/>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根据《市场监督管理执法监督暂行规定》第十八条的规定，现请于</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年</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月</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日前提供以下材料或者情况说明：</w:t>
      </w:r>
    </w:p>
    <w:p>
      <w:pPr>
        <w:autoSpaceDE w:val="0"/>
        <w:autoSpaceDN w:val="0"/>
        <w:adjustRightInd w:val="0"/>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（列明需要提供的具体材料或者情况说明）                                                            </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逾期不提供的，将按照《市场监督管理执法监督暂行规定》第二十二条的规定予以处理。</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联系人：                 </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联系电话：</w:t>
      </w:r>
    </w:p>
    <w:p>
      <w:pPr>
        <w:autoSpaceDE w:val="0"/>
        <w:autoSpaceDN w:val="0"/>
        <w:adjustRightInd w:val="0"/>
        <w:rPr>
          <w:rFonts w:ascii="仿宋_GB2312" w:eastAsia="仿宋_GB2312" w:cs="仿宋_GB2312"/>
          <w:kern w:val="0"/>
          <w:sz w:val="32"/>
          <w:szCs w:val="32"/>
        </w:rPr>
      </w:pPr>
    </w:p>
    <w:p>
      <w:pPr>
        <w:ind w:right="128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（印章）</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年   月   日</w:t>
      </w:r>
    </w:p>
    <w:p>
      <w:pPr>
        <w:autoSpaceDE w:val="0"/>
        <w:autoSpaceDN w:val="0"/>
        <w:adjustRightInd w:val="0"/>
        <w:ind w:right="480"/>
        <w:rPr>
          <w:rFonts w:ascii="仿宋_GB2312" w:eastAsia="仿宋_GB2312" w:cs="仿宋_GB2312"/>
          <w:kern w:val="0"/>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注：本文书一式三份，一份送达，一份留存，一份归档</w:t>
      </w:r>
    </w:p>
    <w:p>
      <w:pPr>
        <w:autoSpaceDE w:val="0"/>
        <w:autoSpaceDN w:val="0"/>
        <w:adjustRightInd w:val="0"/>
        <w:ind w:right="480"/>
        <w:jc w:val="both"/>
        <w:rPr>
          <w:rFonts w:ascii="仿宋_GB2312" w:eastAsia="仿宋_GB2312" w:cs="仿宋_GB2312"/>
          <w:kern w:val="0"/>
          <w:sz w:val="32"/>
          <w:szCs w:val="32"/>
        </w:rPr>
      </w:pPr>
    </w:p>
    <w:p>
      <w:pPr>
        <w:autoSpaceDE w:val="0"/>
        <w:autoSpaceDN w:val="0"/>
        <w:adjustRightInd w:val="0"/>
        <w:spacing w:line="56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药品行政执法评议监督决定书</w:t>
      </w:r>
    </w:p>
    <w:p>
      <w:pPr>
        <w:autoSpaceDE w:val="0"/>
        <w:autoSpaceDN w:val="0"/>
        <w:adjustRightInd w:val="0"/>
        <w:spacing w:line="560" w:lineRule="exact"/>
        <w:jc w:val="center"/>
        <w:rPr>
          <w:rFonts w:ascii="方正小标宋简体" w:eastAsia="方正小标宋简体" w:cs="FZXBSJW--GB1-0"/>
          <w:kern w:val="0"/>
          <w:sz w:val="44"/>
          <w:szCs w:val="44"/>
        </w:rPr>
      </w:pPr>
    </w:p>
    <w:p>
      <w:pPr>
        <w:autoSpaceDE w:val="0"/>
        <w:autoSpaceDN w:val="0"/>
        <w:adjustRightInd w:val="0"/>
        <w:spacing w:line="560" w:lineRule="exact"/>
        <w:jc w:val="left"/>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      </w:t>
      </w:r>
      <w:r>
        <w:rPr>
          <w:rFonts w:ascii="仿宋_GB2312" w:eastAsia="仿宋_GB2312" w:cs="仿宋_GB2312"/>
          <w:kern w:val="0"/>
          <w:sz w:val="32"/>
          <w:szCs w:val="32"/>
          <w:u w:val="single"/>
        </w:rPr>
        <w:t xml:space="preserve">  </w:t>
      </w:r>
      <w:r>
        <w:rPr>
          <w:rFonts w:hint="eastAsia" w:ascii="仿宋_GB2312" w:eastAsia="仿宋_GB2312" w:cs="仿宋_GB2312"/>
          <w:kern w:val="0"/>
          <w:sz w:val="32"/>
          <w:szCs w:val="32"/>
          <w:u w:val="single"/>
        </w:rPr>
        <w:t xml:space="preserve">  ：</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年    月    日，我局向你单位发出了《浙江省药品监督管理局行政执法评议监督通知书》。经过调查核实，我局认为你单位存在如下情形：</w:t>
      </w:r>
    </w:p>
    <w:p>
      <w:pPr>
        <w:autoSpaceDE w:val="0"/>
        <w:autoSpaceDN w:val="0"/>
        <w:adjustRightInd w:val="0"/>
        <w:spacing w:line="560" w:lineRule="exact"/>
        <w:ind w:firstLine="640" w:firstLineChars="200"/>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（列明具体情形）                                    </w:t>
      </w:r>
    </w:p>
    <w:p>
      <w:pPr>
        <w:autoSpaceDE w:val="0"/>
        <w:autoSpaceDN w:val="0"/>
        <w:adjustRightInd w:val="0"/>
        <w:spacing w:line="560" w:lineRule="exact"/>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                                                           </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根据《市场监督管理执法监督暂行规定》第十九条的规定，现作出如下决定：</w:t>
      </w:r>
    </w:p>
    <w:p>
      <w:pPr>
        <w:autoSpaceDE w:val="0"/>
        <w:autoSpaceDN w:val="0"/>
        <w:adjustRightInd w:val="0"/>
        <w:spacing w:line="560" w:lineRule="exact"/>
        <w:ind w:firstLine="640" w:firstLineChars="200"/>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（决定的具体内容）                                    </w:t>
      </w:r>
    </w:p>
    <w:p>
      <w:pPr>
        <w:autoSpaceDE w:val="0"/>
        <w:autoSpaceDN w:val="0"/>
        <w:adjustRightInd w:val="0"/>
        <w:spacing w:line="560" w:lineRule="exact"/>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                                                                </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请你单位自收到本决定书后</w:t>
      </w:r>
      <w:r>
        <w:rPr>
          <w:rFonts w:hint="eastAsia" w:ascii="仿宋_GB2312" w:eastAsia="仿宋_GB2312" w:cs="仿宋_GB2312"/>
          <w:kern w:val="0"/>
          <w:sz w:val="32"/>
          <w:szCs w:val="32"/>
          <w:u w:val="single"/>
        </w:rPr>
        <w:t xml:space="preserve">      个</w:t>
      </w:r>
      <w:r>
        <w:rPr>
          <w:rFonts w:hint="eastAsia" w:ascii="仿宋_GB2312" w:eastAsia="仿宋_GB2312" w:cs="仿宋_GB2312"/>
          <w:kern w:val="0"/>
          <w:sz w:val="32"/>
          <w:szCs w:val="32"/>
        </w:rPr>
        <w:t>工作日内执行上述决定，并在执行后十个工作日内向我局报告执行情况。逾期不执行的，将按照《市场监督管理执法监督暂行规定》第二十二条的规定予以处理。</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如你单位对上述决定有异议，可以自收到本决定书之日起五个工作日内申请复查。</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联系人： </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联系电话：</w:t>
      </w:r>
    </w:p>
    <w:p>
      <w:pPr>
        <w:autoSpaceDE w:val="0"/>
        <w:autoSpaceDN w:val="0"/>
        <w:adjustRightInd w:val="0"/>
        <w:spacing w:line="560" w:lineRule="exact"/>
        <w:rPr>
          <w:rFonts w:ascii="仿宋_GB2312" w:eastAsia="仿宋_GB2312" w:cs="仿宋_GB2312"/>
          <w:kern w:val="0"/>
          <w:sz w:val="32"/>
          <w:szCs w:val="32"/>
        </w:rPr>
      </w:pPr>
    </w:p>
    <w:p>
      <w:pPr>
        <w:autoSpaceDE w:val="0"/>
        <w:autoSpaceDN w:val="0"/>
        <w:adjustRightInd w:val="0"/>
        <w:spacing w:line="560" w:lineRule="exact"/>
        <w:ind w:right="1760" w:firstLine="5120" w:firstLineChars="1600"/>
        <w:rPr>
          <w:rFonts w:ascii="仿宋_GB2312" w:eastAsia="仿宋_GB2312" w:cs="仿宋_GB2312"/>
          <w:kern w:val="0"/>
          <w:sz w:val="32"/>
          <w:szCs w:val="32"/>
        </w:rPr>
      </w:pPr>
      <w:r>
        <w:rPr>
          <w:rFonts w:hint="eastAsia" w:ascii="仿宋_GB2312" w:eastAsia="仿宋_GB2312" w:cs="仿宋_GB2312"/>
          <w:kern w:val="0"/>
          <w:sz w:val="32"/>
          <w:szCs w:val="32"/>
        </w:rPr>
        <w:t>（印章）</w:t>
      </w:r>
    </w:p>
    <w:p>
      <w:pPr>
        <w:autoSpaceDE w:val="0"/>
        <w:autoSpaceDN w:val="0"/>
        <w:adjustRightInd w:val="0"/>
        <w:spacing w:line="560" w:lineRule="exact"/>
        <w:ind w:right="480"/>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                               年   月   日</w:t>
      </w:r>
    </w:p>
    <w:p>
      <w:pPr>
        <w:autoSpaceDE w:val="0"/>
        <w:autoSpaceDN w:val="0"/>
        <w:adjustRightInd w:val="0"/>
        <w:spacing w:line="560" w:lineRule="exact"/>
        <w:ind w:right="480"/>
        <w:rPr>
          <w:rFonts w:ascii="仿宋_GB2312" w:eastAsia="仿宋_GB2312" w:cs="仿宋_GB2312"/>
          <w:kern w:val="0"/>
          <w:sz w:val="32"/>
          <w:szCs w:val="32"/>
        </w:rPr>
      </w:pPr>
      <w:r>
        <w:rPr>
          <w:rFonts w:hint="eastAsia" w:ascii="仿宋_GB2312" w:eastAsia="仿宋_GB2312" w:cs="仿宋_GB2312"/>
          <w:kern w:val="0"/>
          <w:sz w:val="32"/>
          <w:szCs w:val="32"/>
        </w:rPr>
        <w:t>注：本文书一式三份，一份送达，一份留存，一份归档。</w:t>
      </w:r>
    </w:p>
    <w:p>
      <w:pPr>
        <w:autoSpaceDE w:val="0"/>
        <w:autoSpaceDN w:val="0"/>
        <w:adjustRightInd w:val="0"/>
        <w:spacing w:line="560" w:lineRule="exact"/>
        <w:ind w:right="480"/>
        <w:rPr>
          <w:rFonts w:ascii="仿宋_GB2312" w:eastAsia="仿宋_GB2312" w:cs="仿宋_GB2312"/>
          <w:kern w:val="0"/>
          <w:sz w:val="32"/>
          <w:szCs w:val="32"/>
        </w:rPr>
      </w:pPr>
    </w:p>
    <w:p>
      <w:pPr>
        <w:autoSpaceDE w:val="0"/>
        <w:autoSpaceDN w:val="0"/>
        <w:adjustRightInd w:val="0"/>
        <w:spacing w:line="600" w:lineRule="exact"/>
        <w:jc w:val="center"/>
        <w:rPr>
          <w:rFonts w:ascii="方正小标宋简体" w:eastAsia="方正小标宋简体" w:cs="FZXBSJW--GB1-0"/>
          <w:kern w:val="0"/>
          <w:sz w:val="44"/>
          <w:szCs w:val="44"/>
        </w:rPr>
      </w:pPr>
      <w:r>
        <w:rPr>
          <w:rFonts w:hint="eastAsia" w:ascii="方正小标宋简体" w:eastAsia="方正小标宋简体" w:cs="FZXBSJW--GB1-0"/>
          <w:kern w:val="0"/>
          <w:sz w:val="44"/>
          <w:szCs w:val="44"/>
        </w:rPr>
        <w:t>药品行政执法评议监督意见书</w:t>
      </w:r>
    </w:p>
    <w:p>
      <w:pPr>
        <w:autoSpaceDE w:val="0"/>
        <w:autoSpaceDN w:val="0"/>
        <w:adjustRightInd w:val="0"/>
        <w:jc w:val="left"/>
        <w:rPr>
          <w:rFonts w:ascii="仿宋_GB2312" w:eastAsia="仿宋_GB2312" w:cs="仿宋_GB2312"/>
          <w:kern w:val="0"/>
          <w:sz w:val="32"/>
          <w:szCs w:val="32"/>
          <w:u w:val="single"/>
        </w:rPr>
      </w:pPr>
    </w:p>
    <w:p>
      <w:pPr>
        <w:autoSpaceDE w:val="0"/>
        <w:autoSpaceDN w:val="0"/>
        <w:adjustRightInd w:val="0"/>
        <w:rPr>
          <w:rFonts w:ascii="TimesNewRomanPSMT" w:eastAsia="TimesNewRomanPSMT" w:cs="TimesNewRomanPSMT"/>
          <w:kern w:val="0"/>
          <w:sz w:val="32"/>
          <w:szCs w:val="32"/>
          <w:u w:val="single"/>
        </w:rPr>
      </w:pPr>
      <w:r>
        <w:rPr>
          <w:rFonts w:hint="eastAsia" w:ascii="仿宋_GB2312" w:eastAsia="仿宋_GB2312" w:cs="仿宋_GB2312"/>
          <w:kern w:val="0"/>
          <w:sz w:val="32"/>
          <w:szCs w:val="32"/>
          <w:u w:val="single"/>
        </w:rPr>
        <w:t xml:space="preserve"> </w:t>
      </w:r>
      <w:r>
        <w:rPr>
          <w:rFonts w:ascii="仿宋_GB2312" w:eastAsia="仿宋_GB2312" w:cs="仿宋_GB2312"/>
          <w:kern w:val="0"/>
          <w:sz w:val="32"/>
          <w:szCs w:val="32"/>
          <w:u w:val="single"/>
        </w:rPr>
        <w:t xml:space="preserve">         </w:t>
      </w:r>
      <w:r>
        <w:rPr>
          <w:rFonts w:ascii="TimesNewRomanPSMT" w:eastAsia="TimesNewRomanPSMT" w:cs="TimesNewRomanPSMT"/>
          <w:kern w:val="0"/>
          <w:sz w:val="32"/>
          <w:szCs w:val="32"/>
          <w:u w:val="single"/>
        </w:rPr>
        <w:t>:</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在在</w:t>
      </w:r>
      <w:r>
        <w:rPr>
          <w:rFonts w:hint="eastAsia" w:ascii="仿宋_GB2312" w:hAnsi="宋体" w:eastAsia="仿宋_GB2312" w:cs="宋体"/>
          <w:kern w:val="0"/>
          <w:sz w:val="32"/>
          <w:szCs w:val="32"/>
        </w:rPr>
        <w:t>药品行政执法评议工作中</w:t>
      </w:r>
      <w:r>
        <w:rPr>
          <w:rFonts w:hint="eastAsia" w:ascii="仿宋_GB2312" w:eastAsia="仿宋_GB2312" w:cs="仿宋_GB2312"/>
          <w:kern w:val="0"/>
          <w:sz w:val="32"/>
          <w:szCs w:val="32"/>
        </w:rPr>
        <w:t>，发现你单位在行政执法工作中存在如下问题或者风险：</w:t>
      </w:r>
    </w:p>
    <w:p>
      <w:pPr>
        <w:autoSpaceDE w:val="0"/>
        <w:autoSpaceDN w:val="0"/>
        <w:adjustRightInd w:val="0"/>
        <w:ind w:firstLine="640" w:firstLineChars="200"/>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（列明具体问题或者风险）  </w:t>
      </w:r>
    </w:p>
    <w:p>
      <w:pPr>
        <w:autoSpaceDE w:val="0"/>
        <w:autoSpaceDN w:val="0"/>
        <w:adjustRightInd w:val="0"/>
        <w:ind w:firstLine="640" w:firstLineChars="200"/>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                                         </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根据《市场监督管理执法监督暂行规定》第二十一条的规定，现提出如下要求：</w:t>
      </w:r>
    </w:p>
    <w:p>
      <w:pPr>
        <w:autoSpaceDE w:val="0"/>
        <w:autoSpaceDN w:val="0"/>
        <w:adjustRightInd w:val="0"/>
        <w:rPr>
          <w:rFonts w:ascii="仿宋_GB2312" w:eastAsia="仿宋_GB2312" w:cs="仿宋_GB2312"/>
          <w:kern w:val="0"/>
          <w:sz w:val="32"/>
          <w:szCs w:val="32"/>
          <w:u w:val="single"/>
        </w:rPr>
      </w:pPr>
      <w:r>
        <w:rPr>
          <w:rFonts w:hint="eastAsia" w:ascii="仿宋_GB2312" w:eastAsia="仿宋_GB2312" w:cs="仿宋_GB2312"/>
          <w:kern w:val="0"/>
          <w:sz w:val="32"/>
          <w:szCs w:val="32"/>
          <w:u w:val="single"/>
        </w:rPr>
        <w:t xml:space="preserve">（列明具体要求）                                             </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请你单位自收到本意见书后</w:t>
      </w: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工作日内将相关完善制度或者改进工作的情况报告我局。逾期不报告的，将按照《市场监督管理执法监督暂行规定》第二十二条的规定予以处理。</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联系人：              </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联系电话：</w:t>
      </w:r>
    </w:p>
    <w:p>
      <w:pPr>
        <w:autoSpaceDE w:val="0"/>
        <w:autoSpaceDN w:val="0"/>
        <w:adjustRightInd w:val="0"/>
        <w:spacing w:line="560" w:lineRule="exact"/>
        <w:ind w:right="1760"/>
        <w:jc w:val="right"/>
        <w:rPr>
          <w:rFonts w:ascii="仿宋_GB2312" w:eastAsia="仿宋_GB2312" w:cs="仿宋_GB2312"/>
          <w:kern w:val="0"/>
          <w:sz w:val="32"/>
          <w:szCs w:val="32"/>
        </w:rPr>
      </w:pPr>
    </w:p>
    <w:p>
      <w:pPr>
        <w:autoSpaceDE w:val="0"/>
        <w:autoSpaceDN w:val="0"/>
        <w:adjustRightInd w:val="0"/>
        <w:spacing w:line="560" w:lineRule="exact"/>
        <w:ind w:right="1760"/>
        <w:jc w:val="right"/>
        <w:rPr>
          <w:rFonts w:ascii="仿宋_GB2312" w:eastAsia="仿宋_GB2312" w:cs="仿宋_GB2312"/>
          <w:kern w:val="0"/>
          <w:sz w:val="32"/>
          <w:szCs w:val="32"/>
        </w:rPr>
      </w:pPr>
      <w:r>
        <w:rPr>
          <w:rFonts w:hint="eastAsia" w:ascii="仿宋_GB2312" w:eastAsia="仿宋_GB2312" w:cs="仿宋_GB2312"/>
          <w:kern w:val="0"/>
          <w:sz w:val="32"/>
          <w:szCs w:val="32"/>
        </w:rPr>
        <w:t>（印章）</w:t>
      </w:r>
    </w:p>
    <w:p>
      <w:pPr>
        <w:autoSpaceDE w:val="0"/>
        <w:autoSpaceDN w:val="0"/>
        <w:adjustRightInd w:val="0"/>
        <w:spacing w:line="560" w:lineRule="exact"/>
        <w:ind w:right="480"/>
        <w:rPr>
          <w:rFonts w:ascii="仿宋_GB2312" w:eastAsia="仿宋_GB2312" w:cs="仿宋_GB2312"/>
          <w:kern w:val="0"/>
          <w:sz w:val="32"/>
          <w:szCs w:val="32"/>
        </w:rPr>
      </w:pPr>
      <w:r>
        <w:rPr>
          <w:rFonts w:hint="eastAsia" w:ascii="仿宋_GB2312" w:eastAsia="仿宋_GB2312" w:cs="仿宋_GB2312"/>
          <w:kern w:val="0"/>
          <w:sz w:val="32"/>
          <w:szCs w:val="32"/>
        </w:rPr>
        <w:t xml:space="preserve">                               年   月   日</w:t>
      </w:r>
    </w:p>
    <w:p>
      <w:pPr>
        <w:autoSpaceDE w:val="0"/>
        <w:autoSpaceDN w:val="0"/>
        <w:adjustRightInd w:val="0"/>
        <w:spacing w:line="560" w:lineRule="exact"/>
        <w:ind w:right="480"/>
        <w:rPr>
          <w:rFonts w:ascii="仿宋_GB2312" w:eastAsia="仿宋_GB2312" w:cs="仿宋_GB2312"/>
          <w:kern w:val="0"/>
          <w:sz w:val="32"/>
          <w:szCs w:val="32"/>
        </w:rPr>
      </w:pPr>
    </w:p>
    <w:p>
      <w:pPr>
        <w:autoSpaceDE w:val="0"/>
        <w:autoSpaceDN w:val="0"/>
        <w:adjustRightInd w:val="0"/>
        <w:spacing w:line="560" w:lineRule="exact"/>
        <w:ind w:right="480"/>
        <w:rPr>
          <w:rFonts w:ascii="仿宋_GB2312" w:eastAsia="仿宋_GB2312" w:cs="仿宋_GB2312"/>
          <w:kern w:val="0"/>
          <w:sz w:val="32"/>
          <w:szCs w:val="32"/>
        </w:rPr>
      </w:pPr>
    </w:p>
    <w:p>
      <w:pPr>
        <w:autoSpaceDE w:val="0"/>
        <w:autoSpaceDN w:val="0"/>
        <w:adjustRightInd w:val="0"/>
        <w:spacing w:line="560" w:lineRule="exact"/>
        <w:ind w:right="480"/>
        <w:rPr>
          <w:rFonts w:ascii="仿宋_GB2312" w:eastAsia="仿宋_GB2312"/>
          <w:sz w:val="32"/>
          <w:szCs w:val="32"/>
        </w:rPr>
      </w:pPr>
      <w:r>
        <w:rPr>
          <w:rFonts w:hint="eastAsia" w:ascii="仿宋_GB2312" w:eastAsia="仿宋_GB2312" w:cs="仿宋_GB2312"/>
          <w:kern w:val="0"/>
          <w:sz w:val="32"/>
          <w:szCs w:val="32"/>
        </w:rPr>
        <w:t>注：本文书一式三份，一份送达，一份留存，一份归档。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FZXBSJW--GB1-0">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032189"/>
      <w:docPartObj>
        <w:docPartGallery w:val="autotext"/>
      </w:docPartObj>
    </w:sdtPr>
    <w:sdtContent>
      <w:p>
        <w:pPr>
          <w:pStyle w:val="6"/>
          <w:jc w:val="right"/>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documentProtection w:enforcement="0"/>
  <w:defaultTabStop w:val="4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F6"/>
    <w:rsid w:val="000054A1"/>
    <w:rsid w:val="00022DAE"/>
    <w:rsid w:val="000365A4"/>
    <w:rsid w:val="00067A1B"/>
    <w:rsid w:val="000756A1"/>
    <w:rsid w:val="000907CC"/>
    <w:rsid w:val="000F510D"/>
    <w:rsid w:val="000F55BB"/>
    <w:rsid w:val="00141798"/>
    <w:rsid w:val="00182439"/>
    <w:rsid w:val="001C0E04"/>
    <w:rsid w:val="001C3AC2"/>
    <w:rsid w:val="001D6881"/>
    <w:rsid w:val="0029204B"/>
    <w:rsid w:val="002B46C8"/>
    <w:rsid w:val="002D0ADE"/>
    <w:rsid w:val="00310F79"/>
    <w:rsid w:val="00370D03"/>
    <w:rsid w:val="003C0AEE"/>
    <w:rsid w:val="003C0D80"/>
    <w:rsid w:val="003D50A2"/>
    <w:rsid w:val="00410F8E"/>
    <w:rsid w:val="0043027D"/>
    <w:rsid w:val="004D6C12"/>
    <w:rsid w:val="00500D70"/>
    <w:rsid w:val="005311D3"/>
    <w:rsid w:val="00534E05"/>
    <w:rsid w:val="00572C39"/>
    <w:rsid w:val="00574AE8"/>
    <w:rsid w:val="005756F8"/>
    <w:rsid w:val="00583EEB"/>
    <w:rsid w:val="005B1EB3"/>
    <w:rsid w:val="00605CBC"/>
    <w:rsid w:val="00646914"/>
    <w:rsid w:val="006D3BD5"/>
    <w:rsid w:val="006D7802"/>
    <w:rsid w:val="006E4C28"/>
    <w:rsid w:val="00726513"/>
    <w:rsid w:val="00743E04"/>
    <w:rsid w:val="007808DC"/>
    <w:rsid w:val="007854A4"/>
    <w:rsid w:val="0079245A"/>
    <w:rsid w:val="007A569E"/>
    <w:rsid w:val="007D2E83"/>
    <w:rsid w:val="007F4AE0"/>
    <w:rsid w:val="008000B3"/>
    <w:rsid w:val="00806533"/>
    <w:rsid w:val="00857A2D"/>
    <w:rsid w:val="008644A5"/>
    <w:rsid w:val="00865EFB"/>
    <w:rsid w:val="00870DBE"/>
    <w:rsid w:val="00882C9D"/>
    <w:rsid w:val="00920440"/>
    <w:rsid w:val="00934CB4"/>
    <w:rsid w:val="0094649F"/>
    <w:rsid w:val="009626F6"/>
    <w:rsid w:val="00970811"/>
    <w:rsid w:val="00975856"/>
    <w:rsid w:val="009E4491"/>
    <w:rsid w:val="00A1321B"/>
    <w:rsid w:val="00A33610"/>
    <w:rsid w:val="00A37729"/>
    <w:rsid w:val="00A51CCA"/>
    <w:rsid w:val="00A90FD0"/>
    <w:rsid w:val="00AB52C1"/>
    <w:rsid w:val="00AC642F"/>
    <w:rsid w:val="00AD46D2"/>
    <w:rsid w:val="00AF2FA4"/>
    <w:rsid w:val="00B30315"/>
    <w:rsid w:val="00B30614"/>
    <w:rsid w:val="00B31DB0"/>
    <w:rsid w:val="00B3670E"/>
    <w:rsid w:val="00B51FAC"/>
    <w:rsid w:val="00B745E6"/>
    <w:rsid w:val="00B84C55"/>
    <w:rsid w:val="00BB71B8"/>
    <w:rsid w:val="00C00E45"/>
    <w:rsid w:val="00C11C39"/>
    <w:rsid w:val="00C27172"/>
    <w:rsid w:val="00C75FB9"/>
    <w:rsid w:val="00CA0523"/>
    <w:rsid w:val="00CC1B62"/>
    <w:rsid w:val="00CC677D"/>
    <w:rsid w:val="00CD08A7"/>
    <w:rsid w:val="00CD4030"/>
    <w:rsid w:val="00D03B7D"/>
    <w:rsid w:val="00D212C6"/>
    <w:rsid w:val="00D27B24"/>
    <w:rsid w:val="00D50641"/>
    <w:rsid w:val="00D63E35"/>
    <w:rsid w:val="00D83ADA"/>
    <w:rsid w:val="00DA6DA6"/>
    <w:rsid w:val="00DC0B0E"/>
    <w:rsid w:val="00DD1D04"/>
    <w:rsid w:val="00DD2F18"/>
    <w:rsid w:val="00E35FC1"/>
    <w:rsid w:val="00E40C43"/>
    <w:rsid w:val="00E63317"/>
    <w:rsid w:val="00E66E68"/>
    <w:rsid w:val="00EC4E40"/>
    <w:rsid w:val="00EC6535"/>
    <w:rsid w:val="00EE7598"/>
    <w:rsid w:val="00EF2E40"/>
    <w:rsid w:val="00F26C4A"/>
    <w:rsid w:val="00F415AE"/>
    <w:rsid w:val="00F571C1"/>
    <w:rsid w:val="00F673AD"/>
    <w:rsid w:val="00FA3306"/>
    <w:rsid w:val="00FA5126"/>
    <w:rsid w:val="03BD6194"/>
    <w:rsid w:val="047450B6"/>
    <w:rsid w:val="1DC44704"/>
    <w:rsid w:val="35931758"/>
    <w:rsid w:val="6D025A55"/>
    <w:rsid w:val="DFBCABD9"/>
    <w:rsid w:val="FE7940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First Indent 2"/>
    <w:basedOn w:val="3"/>
    <w:link w:val="16"/>
    <w:unhideWhenUsed/>
    <w:qFormat/>
    <w:uiPriority w:val="99"/>
    <w:pPr>
      <w:ind w:firstLine="420" w:firstLineChars="200"/>
    </w:pPr>
  </w:style>
  <w:style w:type="paragraph" w:styleId="3">
    <w:name w:val="Body Text Indent"/>
    <w:basedOn w:val="1"/>
    <w:link w:val="15"/>
    <w:qFormat/>
    <w:uiPriority w:val="0"/>
    <w:pPr>
      <w:ind w:firstLine="616" w:firstLineChars="200"/>
    </w:pPr>
    <w:rPr>
      <w:rFonts w:ascii="仿宋_GB2312" w:hAnsi="宋体" w:eastAsia="仿宋_GB2312"/>
      <w:sz w:val="30"/>
    </w:rPr>
  </w:style>
  <w:style w:type="paragraph" w:styleId="5">
    <w:name w:val="Balloon Text"/>
    <w:basedOn w:val="1"/>
    <w:link w:val="13"/>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character" w:customStyle="1" w:styleId="12">
    <w:name w:val="标题 1 字符"/>
    <w:basedOn w:val="9"/>
    <w:link w:val="4"/>
    <w:qFormat/>
    <w:uiPriority w:val="9"/>
    <w:rPr>
      <w:rFonts w:ascii="宋体" w:hAnsi="宋体" w:eastAsia="宋体" w:cs="宋体"/>
      <w:b/>
      <w:bCs/>
      <w:kern w:val="36"/>
      <w:sz w:val="48"/>
      <w:szCs w:val="48"/>
    </w:rPr>
  </w:style>
  <w:style w:type="character" w:customStyle="1" w:styleId="13">
    <w:name w:val="批注框文本 字符"/>
    <w:basedOn w:val="9"/>
    <w:link w:val="5"/>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正文文本缩进 Char"/>
    <w:basedOn w:val="9"/>
    <w:link w:val="3"/>
    <w:qFormat/>
    <w:uiPriority w:val="0"/>
    <w:rPr>
      <w:kern w:val="2"/>
      <w:sz w:val="21"/>
      <w:szCs w:val="22"/>
    </w:rPr>
  </w:style>
  <w:style w:type="character" w:customStyle="1" w:styleId="16">
    <w:name w:val="正文首行缩进 2 Char"/>
    <w:basedOn w:val="15"/>
    <w:link w:val="2"/>
    <w:qFormat/>
    <w:uiPriority w:val="0"/>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14</Pages>
  <Words>880</Words>
  <Characters>5020</Characters>
  <Lines>41</Lines>
  <Paragraphs>11</Paragraphs>
  <TotalTime>35</TotalTime>
  <ScaleCrop>false</ScaleCrop>
  <LinksUpToDate>false</LinksUpToDate>
  <CharactersWithSpaces>5889</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2022-11-07T23:50:00Z</dcterms:created>
  <dc:creator>阮颖潇</dc:creator>
  <cp:lastModifiedBy>杨坚</cp:lastModifiedBy>
  <cp:lastPrinted>2021-09-11T01:17:00Z</cp:lastPrinted>
  <dcterms:modified xsi:type="dcterms:W3CDTF">2022-11-14T14:45:05Z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FE42EB83B437D770F1E37163085AA0BF</vt:lpwstr>
  </property>
</Properties>
</file>