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eastAsia="方正小标宋简体"/>
          <w:sz w:val="44"/>
          <w:szCs w:val="44"/>
        </w:rPr>
      </w:pPr>
      <w:r>
        <w:rPr>
          <w:rFonts w:hint="eastAsia" w:ascii="方正小标宋简体" w:eastAsia="方正小标宋简体" w:cs="文星简小标宋"/>
          <w:sz w:val="44"/>
          <w:szCs w:val="44"/>
        </w:rPr>
        <w:t>关于《温州市数字经济发展“十四五”规划》的起草说明</w:t>
      </w:r>
    </w:p>
    <w:p>
      <w:pPr>
        <w:adjustRightInd w:val="0"/>
        <w:snapToGrid w:val="0"/>
        <w:spacing w:line="560" w:lineRule="exact"/>
        <w:ind w:firstLine="0" w:firstLineChars="0"/>
        <w:jc w:val="center"/>
        <w:rPr>
          <w:rFonts w:hint="eastAsia" w:ascii="楷体_GB2312" w:hAnsi="楷体_GB2312" w:eastAsia="楷体_GB2312" w:cs="楷体_GB2312"/>
          <w:lang w:eastAsia="zh-CN"/>
        </w:rPr>
      </w:pPr>
      <w:r>
        <w:rPr>
          <w:rFonts w:hint="eastAsia" w:ascii="楷体_GB2312" w:hAnsi="楷体_GB2312" w:eastAsia="楷体_GB2312" w:cs="楷体_GB2312"/>
          <w:lang w:eastAsia="zh-CN"/>
        </w:rPr>
        <w:t>温州市经济和信息化局</w:t>
      </w:r>
    </w:p>
    <w:p>
      <w:pPr>
        <w:adjustRightInd w:val="0"/>
        <w:snapToGrid w:val="0"/>
        <w:spacing w:line="560" w:lineRule="exact"/>
        <w:ind w:firstLine="0" w:firstLineChars="0"/>
        <w:jc w:val="center"/>
        <w:rPr>
          <w:rFonts w:ascii="楷体_GB2312" w:hAnsi="楷体_GB2312" w:eastAsia="楷体_GB2312"/>
        </w:rPr>
      </w:pPr>
      <w:r>
        <w:rPr>
          <w:rFonts w:hint="eastAsia" w:ascii="楷体_GB2312" w:hAnsi="楷体_GB2312" w:eastAsia="楷体_GB2312" w:cs="楷体_GB2312"/>
        </w:rPr>
        <w:t>（</w:t>
      </w:r>
      <w:r>
        <w:rPr>
          <w:rFonts w:ascii="楷体_GB2312" w:hAnsi="楷体_GB2312" w:eastAsia="楷体_GB2312" w:cs="楷体_GB2312"/>
        </w:rPr>
        <w:t>2021</w:t>
      </w:r>
      <w:r>
        <w:rPr>
          <w:rFonts w:hint="eastAsia" w:ascii="楷体_GB2312" w:hAnsi="楷体_GB2312" w:eastAsia="楷体_GB2312" w:cs="楷体_GB2312"/>
        </w:rPr>
        <w:t>年</w:t>
      </w:r>
      <w:r>
        <w:rPr>
          <w:rFonts w:hint="eastAsia" w:ascii="楷体_GB2312" w:hAnsi="楷体_GB2312" w:eastAsia="楷体_GB2312" w:cs="楷体_GB2312"/>
          <w:lang w:val="en-US" w:eastAsia="zh-CN"/>
        </w:rPr>
        <w:t>11</w:t>
      </w:r>
      <w:r>
        <w:rPr>
          <w:rFonts w:hint="eastAsia" w:ascii="楷体_GB2312" w:hAnsi="楷体_GB2312" w:eastAsia="楷体_GB2312" w:cs="楷体_GB2312"/>
        </w:rPr>
        <w:t>月）</w:t>
      </w:r>
    </w:p>
    <w:p>
      <w:pPr>
        <w:spacing w:line="560" w:lineRule="exact"/>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ascii="黑体" w:hAnsi="黑体" w:eastAsia="黑体" w:cs="黑体"/>
        </w:rPr>
      </w:pPr>
      <w:r>
        <w:rPr>
          <w:rFonts w:hint="eastAsia" w:ascii="黑体" w:hAnsi="黑体" w:eastAsia="黑体" w:cs="黑体"/>
        </w:rPr>
        <w:t>一、起草背景及依据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_GB2312" w:hAnsi="仿宋_GB2312" w:eastAsia="仿宋_GB2312" w:cs="仿宋_GB2312"/>
        </w:rPr>
      </w:pPr>
      <w:r>
        <w:rPr>
          <w:rFonts w:hint="eastAsia" w:ascii="仿宋_GB2312" w:hAnsi="仿宋_GB2312" w:eastAsia="仿宋_GB2312" w:cs="仿宋_GB2312"/>
          <w:lang w:eastAsia="zh-CN"/>
        </w:rPr>
        <w:t>根据《温州市人民政府办公室关于印发温州市“十四五”规划编制体系目录的通知》（温政办〔2020〕55号），《温州市数字经济发展“十四五”规划》是温州市“十四五”专项规划重点专项规划之一。</w:t>
      </w:r>
      <w:r>
        <w:rPr>
          <w:rFonts w:hint="eastAsia" w:ascii="仿宋_GB2312" w:hAnsi="仿宋_GB2312" w:eastAsia="仿宋_GB2312" w:cs="仿宋_GB2312"/>
        </w:rPr>
        <w:t>为进一步推动温州</w:t>
      </w:r>
      <w:r>
        <w:rPr>
          <w:rFonts w:hint="eastAsia" w:ascii="仿宋_GB2312" w:hAnsi="仿宋_GB2312" w:eastAsia="仿宋_GB2312" w:cs="仿宋_GB2312"/>
          <w:lang w:eastAsia="zh-CN"/>
        </w:rPr>
        <w:t>数字经济高质量发展</w:t>
      </w:r>
      <w:r>
        <w:rPr>
          <w:rFonts w:hint="eastAsia" w:ascii="仿宋_GB2312" w:hAnsi="仿宋_GB2312" w:eastAsia="仿宋_GB2312" w:cs="仿宋_GB2312"/>
        </w:rPr>
        <w:t>，在《温州市数字经济五年倍增实施方案》（2018-2022年）基础上，对照浙江省数字经济发展“一号工程”2.0版的总体要求，参照《浙江省数字经济促进条例》《浙江省数字经济发展“十四五”规划》等文件，根据《温州市国民经济和社会发展第十四个五年规划和二〇三五年远景目标纲要》，</w:t>
      </w:r>
      <w:r>
        <w:rPr>
          <w:rFonts w:hint="eastAsia" w:ascii="仿宋_GB2312" w:hAnsi="仿宋_GB2312" w:eastAsia="仿宋_GB2312" w:cs="仿宋_GB2312"/>
          <w:lang w:eastAsia="zh-CN"/>
        </w:rPr>
        <w:t>市经信局牵头</w:t>
      </w:r>
      <w:r>
        <w:rPr>
          <w:rFonts w:hint="eastAsia" w:ascii="仿宋_GB2312" w:hAnsi="仿宋_GB2312" w:eastAsia="仿宋_GB2312" w:cs="仿宋_GB2312"/>
        </w:rPr>
        <w:t>编制</w:t>
      </w:r>
      <w:r>
        <w:rPr>
          <w:rFonts w:hint="eastAsia" w:ascii="仿宋_GB2312" w:hAnsi="仿宋_GB2312" w:eastAsia="仿宋_GB2312" w:cs="仿宋_GB2312"/>
          <w:lang w:eastAsia="zh-CN"/>
        </w:rPr>
        <w:t>了</w:t>
      </w:r>
      <w:r>
        <w:rPr>
          <w:rFonts w:hint="eastAsia" w:ascii="仿宋_GB2312" w:hAnsi="仿宋_GB2312" w:eastAsia="仿宋_GB2312" w:cs="仿宋_GB2312"/>
        </w:rPr>
        <w:t>《温州市数字经济发展“十四五”规划》（送审稿）（以下简称</w:t>
      </w:r>
      <w:r>
        <w:rPr>
          <w:rFonts w:hint="eastAsia" w:ascii="仿宋_GB2312" w:hAnsi="仿宋_GB2312" w:eastAsia="仿宋_GB2312" w:cs="仿宋_GB2312"/>
          <w:lang w:eastAsia="zh-CN"/>
        </w:rPr>
        <w:t>《规划》</w:t>
      </w:r>
      <w:r>
        <w:rPr>
          <w:rFonts w:hint="eastAsia" w:ascii="仿宋_GB2312" w:hAnsi="仿宋_GB2312" w:eastAsia="仿宋_GB2312" w:cs="仿宋_GB2312"/>
        </w:rPr>
        <w:t>），</w:t>
      </w:r>
      <w:r>
        <w:rPr>
          <w:rFonts w:hint="eastAsia" w:ascii="仿宋_GB2312" w:hAnsi="仿宋_GB2312" w:cs="仿宋_GB2312"/>
          <w:lang w:eastAsia="zh-CN"/>
        </w:rPr>
        <w:t>并</w:t>
      </w:r>
      <w:r>
        <w:rPr>
          <w:rFonts w:hint="eastAsia" w:ascii="仿宋_GB2312" w:hAnsi="仿宋_GB2312" w:eastAsia="仿宋_GB2312" w:cs="仿宋_GB2312"/>
        </w:rPr>
        <w:t>提请市政府常务会议审议</w:t>
      </w:r>
      <w:r>
        <w:rPr>
          <w:rFonts w:hint="eastAsia" w:ascii="仿宋_GB2312" w:hAnsi="仿宋_GB2312" w:cs="仿宋_GB2312"/>
          <w:lang w:eastAsia="zh-CN"/>
        </w:rPr>
        <w:t>通过，现提请市政府予以印发</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ascii="黑体" w:hAnsi="黑体" w:eastAsia="黑体" w:cs="黑体"/>
        </w:rPr>
      </w:pPr>
      <w:r>
        <w:rPr>
          <w:rFonts w:hint="eastAsia" w:ascii="黑体" w:hAnsi="黑体" w:eastAsia="黑体" w:cs="黑体"/>
        </w:rPr>
        <w:t>二、起草过程</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lang w:eastAsia="zh-CN"/>
        </w:rPr>
        <w:t>根据《温州市人民政府办公室关于印发温州市“十四五”规划编制体系目录的通知》（温政办〔2020〕55号）文件要求</w:t>
      </w:r>
      <w:r>
        <w:rPr>
          <w:rFonts w:hint="eastAsia" w:ascii="仿宋_GB2312" w:hAnsi="仿宋_GB2312" w:eastAsia="仿宋_GB2312" w:cs="仿宋_GB2312"/>
        </w:rPr>
        <w:t>，市</w:t>
      </w:r>
      <w:r>
        <w:rPr>
          <w:rFonts w:hint="eastAsia" w:ascii="仿宋_GB2312" w:hAnsi="仿宋_GB2312" w:eastAsia="仿宋_GB2312" w:cs="仿宋_GB2312"/>
          <w:lang w:eastAsia="zh-CN"/>
        </w:rPr>
        <w:t>经信局第一时间组建“十四五”规划编制工作领导小组</w:t>
      </w:r>
      <w:r>
        <w:rPr>
          <w:rFonts w:hint="eastAsia" w:ascii="仿宋_GB2312" w:hAnsi="仿宋_GB2312" w:eastAsia="仿宋_GB2312" w:cs="仿宋_GB2312"/>
          <w:shd w:val="clear" w:color="auto" w:fill="FFFFFF"/>
          <w:lang w:eastAsia="zh-CN"/>
        </w:rPr>
        <w:t>确定</w:t>
      </w:r>
      <w:r>
        <w:rPr>
          <w:rFonts w:hint="eastAsia" w:ascii="仿宋_GB2312" w:hAnsi="仿宋_GB2312" w:eastAsia="仿宋_GB2312" w:cs="仿宋_GB2312"/>
          <w:shd w:val="clear" w:color="auto" w:fill="FFFFFF"/>
        </w:rPr>
        <w:t>专班人员</w:t>
      </w:r>
      <w:r>
        <w:rPr>
          <w:rFonts w:hint="eastAsia" w:ascii="仿宋_GB2312" w:hAnsi="仿宋_GB2312" w:cs="仿宋_GB2312"/>
          <w:shd w:val="clear" w:color="auto" w:fill="FFFFFF"/>
          <w:lang w:eastAsia="zh-CN"/>
        </w:rPr>
        <w:t>。经公开招投标，由温州大学（温州市数字经济研究院）承担规划编制工作，</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月启动规划编制</w:t>
      </w:r>
      <w:r>
        <w:rPr>
          <w:rFonts w:hint="eastAsia" w:ascii="仿宋_GB2312" w:hAnsi="仿宋_GB2312" w:eastAsia="仿宋_GB2312" w:cs="仿宋_GB2312"/>
          <w:sz w:val="32"/>
          <w:szCs w:val="32"/>
          <w:lang w:eastAsia="zh-CN"/>
        </w:rPr>
        <w:t>调研</w:t>
      </w:r>
      <w:r>
        <w:rPr>
          <w:rFonts w:hint="eastAsia" w:ascii="仿宋_GB2312" w:hAnsi="仿宋_GB2312" w:eastAsia="仿宋_GB2312" w:cs="仿宋_GB2312"/>
          <w:shd w:val="clear" w:color="auto" w:fill="FFFFFF"/>
        </w:rPr>
        <w:t>，</w:t>
      </w:r>
      <w:r>
        <w:rPr>
          <w:rFonts w:hint="eastAsia" w:ascii="仿宋_GB2312" w:hAnsi="仿宋_GB2312" w:eastAsia="仿宋_GB2312" w:cs="仿宋_GB2312"/>
          <w:sz w:val="32"/>
          <w:szCs w:val="32"/>
        </w:rPr>
        <w:t>经多次实地调研、深入研究，并多次</w:t>
      </w:r>
      <w:r>
        <w:rPr>
          <w:rFonts w:hint="eastAsia" w:ascii="仿宋_GB2312" w:hAnsi="仿宋_GB2312" w:eastAsia="仿宋_GB2312" w:cs="仿宋_GB2312"/>
          <w:sz w:val="32"/>
          <w:szCs w:val="32"/>
          <w:lang w:eastAsia="zh-CN"/>
        </w:rPr>
        <w:t>广泛</w:t>
      </w:r>
      <w:r>
        <w:rPr>
          <w:rFonts w:hint="eastAsia" w:ascii="仿宋_GB2312" w:hAnsi="仿宋_GB2312" w:eastAsia="仿宋_GB2312" w:cs="仿宋_GB2312"/>
          <w:sz w:val="32"/>
          <w:szCs w:val="32"/>
        </w:rPr>
        <w:t>征求了</w:t>
      </w:r>
      <w:r>
        <w:rPr>
          <w:rFonts w:hint="eastAsia" w:ascii="仿宋_GB2312" w:hAnsi="仿宋_GB2312" w:eastAsia="仿宋_GB2312" w:cs="仿宋_GB2312"/>
          <w:sz w:val="32"/>
          <w:szCs w:val="32"/>
          <w:lang w:eastAsia="zh-CN"/>
        </w:rPr>
        <w:t>省经信厅、</w:t>
      </w:r>
      <w:r>
        <w:rPr>
          <w:rFonts w:hint="eastAsia" w:ascii="仿宋_GB2312" w:hAnsi="仿宋_GB2312" w:eastAsia="仿宋_GB2312" w:cs="仿宋_GB2312"/>
          <w:sz w:val="32"/>
          <w:szCs w:val="32"/>
        </w:rPr>
        <w:t>市有关部门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各县（市、区）经信局</w:t>
      </w:r>
      <w:r>
        <w:rPr>
          <w:rFonts w:hint="eastAsia" w:ascii="仿宋_GB2312" w:hAnsi="仿宋_GB2312" w:eastAsia="仿宋_GB2312" w:cs="仿宋_GB2312"/>
          <w:sz w:val="32"/>
          <w:szCs w:val="32"/>
          <w:lang w:eastAsia="zh-CN"/>
        </w:rPr>
        <w:t>和相关重点企业</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2021年3月3日报送市发改委初审，2021年3</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日通过专家评审</w:t>
      </w:r>
      <w:r>
        <w:rPr>
          <w:rFonts w:hint="eastAsia" w:ascii="仿宋_GB2312" w:hAnsi="仿宋_GB2312" w:eastAsia="仿宋_GB2312" w:cs="仿宋_GB2312"/>
          <w:sz w:val="32"/>
          <w:szCs w:val="32"/>
          <w:lang w:eastAsia="zh-CN"/>
        </w:rPr>
        <w:t>，根据专家和部门意见</w:t>
      </w:r>
      <w:r>
        <w:rPr>
          <w:rFonts w:hint="eastAsia" w:ascii="仿宋_GB2312" w:hAnsi="仿宋_GB2312" w:eastAsia="仿宋_GB2312" w:cs="仿宋_GB2312"/>
          <w:sz w:val="32"/>
          <w:szCs w:val="32"/>
        </w:rPr>
        <w:t>形成咨询审议稿</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2021年4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日报市发改委审核，</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5月7日</w:t>
      </w:r>
      <w:r>
        <w:rPr>
          <w:rFonts w:hint="eastAsia" w:ascii="仿宋_GB2312" w:hAnsi="仿宋_GB2312" w:eastAsia="仿宋_GB2312" w:cs="仿宋_GB2312"/>
          <w:sz w:val="32"/>
          <w:szCs w:val="32"/>
        </w:rPr>
        <w:t>市发改委</w:t>
      </w:r>
      <w:r>
        <w:rPr>
          <w:rFonts w:hint="eastAsia" w:ascii="仿宋_GB2312" w:hAnsi="仿宋_GB2312" w:eastAsia="仿宋_GB2312" w:cs="仿宋_GB2312"/>
          <w:sz w:val="32"/>
          <w:szCs w:val="32"/>
          <w:lang w:eastAsia="zh-CN"/>
        </w:rPr>
        <w:t>出具的</w:t>
      </w:r>
      <w:r>
        <w:rPr>
          <w:rFonts w:hint="eastAsia" w:ascii="仿宋_GB2312" w:hAnsi="仿宋_GB2312" w:eastAsia="仿宋_GB2312" w:cs="仿宋_GB2312"/>
          <w:sz w:val="32"/>
          <w:szCs w:val="32"/>
        </w:rPr>
        <w:t>审核意见作了进一步修改完善</w:t>
      </w:r>
      <w:r>
        <w:rPr>
          <w:rFonts w:hint="eastAsia" w:ascii="仿宋_GB2312" w:hAnsi="仿宋_GB2312" w:eastAsia="仿宋_GB2312" w:cs="仿宋_GB2312"/>
          <w:sz w:val="32"/>
          <w:szCs w:val="32"/>
          <w:lang w:eastAsia="zh-CN"/>
        </w:rPr>
        <w:t>，形成了报批稿。</w:t>
      </w:r>
      <w:r>
        <w:rPr>
          <w:rFonts w:hint="eastAsia" w:ascii="仿宋_GB2312" w:hAnsi="仿宋_GB2312" w:eastAsia="仿宋_GB2312" w:cs="仿宋_GB2312"/>
          <w:sz w:val="32"/>
          <w:szCs w:val="32"/>
          <w:lang w:val="en-US" w:eastAsia="zh-CN"/>
        </w:rPr>
        <w:t>《规划》在市政府门户网站上向社会发布公开征求意见</w:t>
      </w:r>
      <w:r>
        <w:rPr>
          <w:rFonts w:hint="eastAsia" w:ascii="仿宋_GB2312" w:hAnsi="仿宋_GB2312" w:eastAsia="仿宋_GB2312" w:cs="仿宋_GB2312"/>
        </w:rPr>
        <w:t>，</w:t>
      </w:r>
      <w:r>
        <w:rPr>
          <w:rFonts w:hint="eastAsia" w:ascii="仿宋_GB2312" w:hAnsi="仿宋_GB2312" w:eastAsia="仿宋_GB2312" w:cs="仿宋_GB2312"/>
          <w:sz w:val="32"/>
          <w:szCs w:val="32"/>
          <w:lang w:val="en-US" w:eastAsia="zh-CN"/>
        </w:rPr>
        <w:t>6月28日，汪驰副市长在《规划》报批稿上批示要求上市政府常务会议研究，</w:t>
      </w:r>
      <w:r>
        <w:rPr>
          <w:rFonts w:hint="eastAsia" w:ascii="仿宋_GB2312" w:hAnsi="仿宋_GB2312" w:eastAsia="仿宋_GB2312" w:cs="仿宋_GB2312"/>
        </w:rPr>
        <w:t>经市司法局合法性审查</w:t>
      </w:r>
      <w:r>
        <w:rPr>
          <w:rFonts w:hint="eastAsia" w:ascii="仿宋_GB2312" w:hAnsi="仿宋_GB2312" w:eastAsia="仿宋_GB2312" w:cs="仿宋_GB2312"/>
          <w:lang w:eastAsia="zh-CN"/>
        </w:rPr>
        <w:t>，</w:t>
      </w:r>
      <w:r>
        <w:rPr>
          <w:rFonts w:hint="eastAsia" w:ascii="仿宋_GB2312" w:hAnsi="仿宋_GB2312" w:eastAsia="仿宋_GB2312" w:cs="仿宋_GB2312"/>
        </w:rPr>
        <w:t>最终形成了《</w:t>
      </w:r>
      <w:r>
        <w:rPr>
          <w:rFonts w:hint="eastAsia" w:ascii="仿宋_GB2312" w:hAnsi="仿宋_GB2312" w:cs="仿宋_GB2312"/>
          <w:lang w:eastAsia="zh-CN"/>
        </w:rPr>
        <w:t>规划</w:t>
      </w:r>
      <w:r>
        <w:rPr>
          <w:rFonts w:hint="eastAsia" w:ascii="仿宋_GB2312" w:hAnsi="仿宋_GB2312" w:eastAsia="仿宋_GB2312" w:cs="仿宋_GB2312"/>
        </w:rPr>
        <w:t>》（送审稿）。</w:t>
      </w:r>
      <w:r>
        <w:rPr>
          <w:rFonts w:hint="eastAsia" w:ascii="仿宋_GB2312" w:hAnsi="仿宋_GB2312" w:cs="仿宋_GB2312"/>
          <w:lang w:val="en-US" w:eastAsia="zh-CN"/>
        </w:rPr>
        <w:t>11月3日，《规划》（送审稿）经市政府第96次常务会议审议通过</w:t>
      </w:r>
      <w:bookmarkStart w:id="0" w:name="_GoBack"/>
      <w:bookmarkEnd w:id="0"/>
      <w:r>
        <w:rPr>
          <w:rFonts w:hint="eastAsia" w:ascii="仿宋_GB2312" w:hAnsi="仿宋_GB2312" w:cs="仿宋_GB2312"/>
          <w:lang w:val="en-US" w:eastAsia="zh-CN"/>
        </w:rPr>
        <w:t>。</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ascii="黑体" w:hAnsi="黑体" w:eastAsia="黑体" w:cs="黑体"/>
        </w:rPr>
      </w:pPr>
      <w:r>
        <w:rPr>
          <w:rFonts w:hint="eastAsia" w:ascii="黑体" w:hAnsi="黑体" w:eastAsia="黑体" w:cs="黑体"/>
        </w:rPr>
        <w:t>三、主要内容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规划</w:t>
      </w:r>
      <w:r>
        <w:rPr>
          <w:rFonts w:hint="eastAsia" w:ascii="仿宋_GB2312" w:hAnsi="仿宋_GB2312" w:eastAsia="仿宋_GB2312" w:cs="仿宋_GB2312"/>
        </w:rPr>
        <w:t>》包括</w:t>
      </w:r>
      <w:r>
        <w:rPr>
          <w:rFonts w:hint="eastAsia" w:ascii="仿宋_GB2312" w:hAnsi="仿宋_GB2312" w:eastAsia="仿宋_GB2312" w:cs="仿宋_GB2312"/>
          <w:lang w:eastAsia="zh-CN"/>
        </w:rPr>
        <w:t>前言、基础趋势研究</w:t>
      </w:r>
      <w:r>
        <w:rPr>
          <w:rFonts w:hint="eastAsia" w:ascii="仿宋_GB2312" w:hAnsi="仿宋_GB2312" w:eastAsia="仿宋_GB2312" w:cs="仿宋_GB2312"/>
        </w:rPr>
        <w:t>、</w:t>
      </w:r>
      <w:r>
        <w:rPr>
          <w:rFonts w:hint="eastAsia" w:ascii="仿宋_GB2312" w:hAnsi="仿宋_GB2312" w:eastAsia="仿宋_GB2312" w:cs="仿宋_GB2312"/>
          <w:lang w:eastAsia="zh-CN"/>
        </w:rPr>
        <w:t>总体要求</w:t>
      </w:r>
      <w:r>
        <w:rPr>
          <w:rFonts w:hint="eastAsia" w:ascii="仿宋_GB2312" w:hAnsi="仿宋_GB2312" w:eastAsia="仿宋_GB2312" w:cs="仿宋_GB2312"/>
        </w:rPr>
        <w:t>、</w:t>
      </w:r>
      <w:r>
        <w:rPr>
          <w:rFonts w:hint="eastAsia" w:ascii="仿宋_GB2312" w:hAnsi="仿宋_GB2312" w:eastAsia="仿宋_GB2312" w:cs="仿宋_GB2312"/>
          <w:lang w:eastAsia="zh-CN"/>
        </w:rPr>
        <w:t>主要任务、保障措施、附件</w:t>
      </w:r>
      <w:r>
        <w:rPr>
          <w:rFonts w:hint="eastAsia" w:ascii="仿宋_GB2312" w:hAnsi="仿宋_GB2312" w:eastAsia="仿宋_GB2312" w:cs="仿宋_GB2312"/>
        </w:rPr>
        <w:t>等</w:t>
      </w:r>
      <w:r>
        <w:rPr>
          <w:rFonts w:hint="eastAsia" w:ascii="仿宋_GB2312" w:hAnsi="仿宋_GB2312" w:eastAsia="仿宋_GB2312" w:cs="仿宋_GB2312"/>
          <w:lang w:val="en-US" w:eastAsia="zh-CN"/>
        </w:rPr>
        <w:t>6</w:t>
      </w:r>
      <w:r>
        <w:rPr>
          <w:rFonts w:hint="eastAsia" w:ascii="仿宋_GB2312" w:hAnsi="仿宋_GB2312" w:eastAsia="仿宋_GB2312" w:cs="仿宋_GB2312"/>
        </w:rPr>
        <w:t>部分。</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前言</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讲述数字经济的法定含义，起草的背景依据等内容</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基础趋势研究</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包</w:t>
      </w:r>
      <w:r>
        <w:rPr>
          <w:rFonts w:hint="eastAsia" w:ascii="仿宋_GB2312" w:hAnsi="仿宋_GB2312" w:eastAsia="仿宋_GB2312" w:cs="仿宋_GB2312"/>
          <w:sz w:val="32"/>
          <w:szCs w:val="32"/>
          <w:lang w:eastAsia="zh-CN"/>
        </w:rPr>
        <w:t>括</w:t>
      </w:r>
      <w:r>
        <w:rPr>
          <w:rFonts w:hint="eastAsia" w:ascii="仿宋_GB2312" w:hAnsi="仿宋_GB2312" w:eastAsia="仿宋_GB2312" w:cs="仿宋_GB2312"/>
          <w:sz w:val="32"/>
          <w:szCs w:val="32"/>
        </w:rPr>
        <w:t>数字经济发展的形势和基础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温州发展数字经济的现状</w:t>
      </w:r>
      <w:r>
        <w:rPr>
          <w:rFonts w:hint="eastAsia" w:ascii="仿宋_GB2312" w:hAnsi="仿宋_GB2312" w:eastAsia="仿宋_GB2312" w:cs="仿宋_GB2312"/>
          <w:sz w:val="32"/>
          <w:szCs w:val="32"/>
          <w:lang w:eastAsia="zh-CN"/>
        </w:rPr>
        <w:t>两个章节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eastAsia="zh-CN"/>
        </w:rPr>
      </w:pPr>
      <w:r>
        <w:rPr>
          <w:rFonts w:hint="eastAsia" w:ascii="楷体_GB2312" w:hAnsi="楷体_GB2312" w:eastAsia="楷体_GB2312" w:cs="楷体_GB2312"/>
        </w:rPr>
        <w:t>（三）</w:t>
      </w:r>
      <w:r>
        <w:rPr>
          <w:rFonts w:hint="eastAsia" w:ascii="楷体_GB2312" w:hAnsi="楷体_GB2312" w:eastAsia="楷体_GB2312" w:cs="楷体_GB2312"/>
          <w:lang w:eastAsia="zh-CN"/>
        </w:rPr>
        <w:t>总体要求</w:t>
      </w:r>
      <w:r>
        <w:rPr>
          <w:rFonts w:hint="eastAsia" w:ascii="楷体_GB2312" w:hAnsi="楷体_GB2312" w:eastAsia="楷体_GB2312" w:cs="楷体_GB2312"/>
        </w:rPr>
        <w:t>。</w:t>
      </w:r>
      <w:r>
        <w:rPr>
          <w:rFonts w:hint="eastAsia" w:ascii="仿宋_GB2312" w:hAnsi="仿宋_GB2312" w:eastAsia="仿宋_GB2312" w:cs="仿宋_GB2312"/>
          <w:b/>
          <w:bCs/>
        </w:rPr>
        <w:t>一是</w:t>
      </w:r>
      <w:r>
        <w:rPr>
          <w:rFonts w:hint="eastAsia" w:ascii="仿宋_GB2312" w:hAnsi="仿宋_GB2312" w:eastAsia="仿宋_GB2312" w:cs="仿宋_GB2312"/>
          <w:b/>
          <w:bCs/>
          <w:lang w:eastAsia="zh-CN"/>
        </w:rPr>
        <w:t>指导思想。</w:t>
      </w:r>
      <w:r>
        <w:rPr>
          <w:rFonts w:hint="eastAsia" w:ascii="仿宋_GB2312" w:hAnsi="仿宋_GB2312" w:eastAsia="仿宋_GB2312" w:cs="仿宋_GB2312"/>
          <w:b w:val="0"/>
          <w:bCs w:val="0"/>
          <w:lang w:eastAsia="zh-CN"/>
        </w:rPr>
        <w:t>深入实施数字经济发展“一号工程”</w:t>
      </w:r>
      <w:r>
        <w:rPr>
          <w:rFonts w:hint="eastAsia" w:ascii="仿宋_GB2312" w:hAnsi="仿宋_GB2312" w:eastAsia="仿宋_GB2312" w:cs="仿宋_GB2312"/>
          <w:b w:val="0"/>
          <w:bCs w:val="0"/>
          <w:lang w:val="en-US" w:eastAsia="zh-CN"/>
        </w:rPr>
        <w:t>2.0版，以数字化改革为引领，聚力打造数字经济领跑区，紧扣“数字产业化、产业数字化、治理数字化”发展主线，努力实现数字强市和云上温州</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b/>
          <w:bCs/>
          <w:lang w:eastAsia="zh-CN"/>
        </w:rPr>
        <w:t>二是发展原则；三是发展目标。</w:t>
      </w:r>
      <w:r>
        <w:rPr>
          <w:rFonts w:hint="eastAsia" w:ascii="仿宋_GB2312" w:hAnsi="仿宋_GB2312" w:eastAsia="仿宋_GB2312" w:cs="仿宋_GB2312"/>
          <w:sz w:val="32"/>
          <w:szCs w:val="32"/>
          <w:lang w:eastAsia="zh-CN"/>
        </w:rPr>
        <w:t>十四五期间</w:t>
      </w:r>
      <w:r>
        <w:rPr>
          <w:rFonts w:hint="eastAsia" w:ascii="仿宋_GB2312" w:hAnsi="仿宋_GB2312" w:eastAsia="仿宋_GB2312" w:cs="仿宋_GB2312"/>
          <w:color w:val="000000"/>
          <w:sz w:val="32"/>
          <w:szCs w:val="32"/>
          <w:lang w:eastAsia="zh-CN"/>
        </w:rPr>
        <w:t>提</w:t>
      </w:r>
      <w:r>
        <w:rPr>
          <w:rFonts w:hint="eastAsia" w:ascii="仿宋_GB2312" w:hAnsi="仿宋_GB2312" w:eastAsia="仿宋_GB2312" w:cs="仿宋_GB2312"/>
          <w:sz w:val="32"/>
          <w:szCs w:val="32"/>
        </w:rPr>
        <w:t>出了</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项主要发展指标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具体目标测算见附</w:t>
      </w:r>
      <w:r>
        <w:rPr>
          <w:rFonts w:hint="eastAsia" w:ascii="仿宋_GB2312" w:hAnsi="仿宋_GB2312" w:eastAsia="仿宋_GB2312" w:cs="仿宋_GB2312"/>
          <w:color w:val="000000"/>
          <w:sz w:val="32"/>
          <w:szCs w:val="32"/>
          <w:lang w:eastAsia="zh-CN"/>
        </w:rPr>
        <w:t>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color w:val="000000"/>
          <w:sz w:val="32"/>
          <w:szCs w:val="32"/>
        </w:rPr>
        <w:t>以“培育千亿级数字</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产业集群，打造数字经济</w:t>
      </w:r>
      <w:r>
        <w:rPr>
          <w:rFonts w:hint="eastAsia" w:ascii="仿宋_GB2312" w:hAnsi="仿宋_GB2312" w:eastAsia="仿宋_GB2312" w:cs="仿宋_GB2312"/>
          <w:color w:val="000000"/>
          <w:sz w:val="32"/>
          <w:szCs w:val="32"/>
          <w:lang w:eastAsia="zh-CN"/>
        </w:rPr>
        <w:t>领跑区</w:t>
      </w:r>
      <w:r>
        <w:rPr>
          <w:rFonts w:hint="eastAsia" w:ascii="仿宋_GB2312" w:hAnsi="仿宋_GB2312" w:eastAsia="仿宋_GB2312" w:cs="仿宋_GB2312"/>
          <w:color w:val="000000"/>
          <w:sz w:val="32"/>
          <w:szCs w:val="32"/>
        </w:rPr>
        <w:t>”为目标，全力做大做强全省数字经济“第三极”。到2025年，加快建设全国传统产业数字化转型发展示范区、全国数字产业创新发展示范区，打造全国数字金融发展中心、全国智慧物流综合服务中心，</w:t>
      </w:r>
      <w:r>
        <w:rPr>
          <w:rFonts w:hint="eastAsia" w:ascii="仿宋_GB2312" w:hAnsi="仿宋_GB2312" w:eastAsia="仿宋_GB2312" w:cs="仿宋_GB2312"/>
          <w:color w:val="000000"/>
          <w:sz w:val="32"/>
          <w:szCs w:val="32"/>
          <w:lang w:eastAsia="zh-CN"/>
        </w:rPr>
        <w:t>（两区两中心）</w:t>
      </w:r>
      <w:r>
        <w:rPr>
          <w:rFonts w:hint="eastAsia" w:ascii="仿宋_GB2312" w:hAnsi="仿宋_GB2312" w:eastAsia="仿宋_GB2312" w:cs="仿宋_GB2312"/>
          <w:color w:val="000000"/>
          <w:sz w:val="32"/>
          <w:szCs w:val="32"/>
        </w:rPr>
        <w:t>实现数字经济发展水平进入全国先进地区行列。</w:t>
      </w:r>
      <w:r>
        <w:rPr>
          <w:rFonts w:hint="eastAsia" w:ascii="仿宋_GB2312" w:hAnsi="仿宋_GB2312" w:eastAsia="仿宋_GB2312" w:cs="仿宋_GB2312"/>
          <w:color w:val="000000"/>
          <w:sz w:val="32"/>
          <w:szCs w:val="32"/>
          <w:lang w:eastAsia="zh-CN"/>
        </w:rPr>
        <w:t>综合实力显著增强、产业数字化更加深入、数字科技创新活跃、数字治理效果明显、数字基建全省领先。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rPr>
        <w:t>（四）</w:t>
      </w:r>
      <w:r>
        <w:rPr>
          <w:rFonts w:hint="eastAsia" w:ascii="楷体_GB2312" w:hAnsi="楷体_GB2312" w:eastAsia="楷体_GB2312" w:cs="楷体_GB2312"/>
          <w:lang w:eastAsia="zh-CN"/>
        </w:rPr>
        <w:t>主要任务</w:t>
      </w:r>
      <w:r>
        <w:rPr>
          <w:rFonts w:hint="eastAsia" w:ascii="楷体_GB2312" w:hAnsi="楷体_GB2312" w:eastAsia="楷体_GB2312" w:cs="楷体_GB2312"/>
        </w:rPr>
        <w:t>。</w:t>
      </w:r>
      <w:r>
        <w:rPr>
          <w:rFonts w:hint="eastAsia" w:ascii="仿宋_GB2312" w:hAnsi="仿宋_GB2312" w:eastAsia="仿宋_GB2312" w:cs="仿宋_GB2312"/>
          <w:sz w:val="32"/>
          <w:szCs w:val="32"/>
        </w:rPr>
        <w:t>提出</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sz w:val="32"/>
          <w:szCs w:val="32"/>
        </w:rPr>
        <w:t>大任务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32项子任务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一是数字经济产业能级提升工程。</w:t>
      </w:r>
      <w:r>
        <w:rPr>
          <w:rFonts w:hint="eastAsia" w:ascii="仿宋_GB2312" w:hAnsi="仿宋_GB2312" w:eastAsia="仿宋_GB2312" w:cs="仿宋_GB2312"/>
          <w:sz w:val="32"/>
          <w:szCs w:val="32"/>
          <w:lang w:eastAsia="zh-CN"/>
        </w:rPr>
        <w:t>包括优化空间布局、提升产业结构、建好产业平台、谋引重大项目、培育优质企业等</w:t>
      </w:r>
      <w:r>
        <w:rPr>
          <w:rFonts w:hint="eastAsia" w:ascii="仿宋_GB2312" w:hAnsi="仿宋_GB2312" w:eastAsia="仿宋_GB2312" w:cs="仿宋_GB2312"/>
          <w:sz w:val="32"/>
          <w:szCs w:val="32"/>
          <w:lang w:val="en-US" w:eastAsia="zh-CN"/>
        </w:rPr>
        <w:t>5项子任务。</w:t>
      </w:r>
      <w:r>
        <w:rPr>
          <w:rFonts w:hint="eastAsia" w:ascii="仿宋_GB2312" w:hAnsi="仿宋_GB2312" w:eastAsia="仿宋_GB2312" w:cs="仿宋_GB2312"/>
          <w:b/>
          <w:bCs/>
          <w:sz w:val="32"/>
          <w:szCs w:val="32"/>
          <w:lang w:val="en-US" w:eastAsia="zh-CN"/>
        </w:rPr>
        <w:t>二是数字创新生态培育工程。</w:t>
      </w:r>
      <w:r>
        <w:rPr>
          <w:rFonts w:hint="eastAsia" w:ascii="仿宋_GB2312" w:hAnsi="仿宋_GB2312" w:eastAsia="仿宋_GB2312" w:cs="仿宋_GB2312"/>
          <w:sz w:val="32"/>
          <w:szCs w:val="32"/>
          <w:lang w:val="en-US" w:eastAsia="zh-CN"/>
        </w:rPr>
        <w:t>包括加快数字创新平台建设、加快企业创新载体建设、加快数字经济人才汇聚、深化对外开放共享合作等4项子任务。</w:t>
      </w:r>
      <w:r>
        <w:rPr>
          <w:rFonts w:hint="eastAsia" w:ascii="仿宋_GB2312" w:hAnsi="仿宋_GB2312" w:eastAsia="仿宋_GB2312" w:cs="仿宋_GB2312"/>
          <w:b/>
          <w:bCs/>
          <w:sz w:val="32"/>
          <w:szCs w:val="32"/>
          <w:lang w:val="en-US" w:eastAsia="zh-CN"/>
        </w:rPr>
        <w:t>三是制造业数字化赋能工程。</w:t>
      </w:r>
      <w:r>
        <w:rPr>
          <w:rFonts w:hint="eastAsia" w:ascii="仿宋_GB2312" w:hAnsi="仿宋_GB2312" w:eastAsia="仿宋_GB2312" w:cs="仿宋_GB2312"/>
          <w:sz w:val="32"/>
          <w:szCs w:val="32"/>
          <w:lang w:val="en-US" w:eastAsia="zh-CN"/>
        </w:rPr>
        <w:t>包括推进产业大脑建设、打造工业互联网赋能体系、推动产品装备智能化升级、加快制造企业数字化赋能、加快园区平台数字化转型等5项子任务。</w:t>
      </w:r>
      <w:r>
        <w:rPr>
          <w:rFonts w:hint="eastAsia" w:ascii="仿宋_GB2312" w:hAnsi="仿宋_GB2312" w:eastAsia="仿宋_GB2312" w:cs="仿宋_GB2312"/>
          <w:b/>
          <w:bCs/>
          <w:sz w:val="32"/>
          <w:szCs w:val="32"/>
          <w:lang w:val="en-US" w:eastAsia="zh-CN"/>
        </w:rPr>
        <w:t>四是服务业数字化提升工程。</w:t>
      </w:r>
      <w:r>
        <w:rPr>
          <w:rFonts w:hint="eastAsia" w:ascii="仿宋_GB2312" w:hAnsi="仿宋_GB2312" w:eastAsia="仿宋_GB2312" w:cs="仿宋_GB2312"/>
          <w:sz w:val="32"/>
          <w:szCs w:val="32"/>
          <w:lang w:val="en-US" w:eastAsia="zh-CN"/>
        </w:rPr>
        <w:t>包括建设数字商务创新城市、打造全国智慧物流综合服务中心、打造全国数字金融发展中心、加快智慧教育创新发展、全面推进数字医疗实践、培育数字文旅新业态等6项子任务。</w:t>
      </w:r>
      <w:r>
        <w:rPr>
          <w:rFonts w:hint="eastAsia" w:ascii="仿宋_GB2312" w:hAnsi="仿宋_GB2312" w:eastAsia="仿宋_GB2312" w:cs="仿宋_GB2312"/>
          <w:b/>
          <w:bCs/>
          <w:sz w:val="32"/>
          <w:szCs w:val="32"/>
          <w:lang w:val="en-US" w:eastAsia="zh-CN"/>
        </w:rPr>
        <w:t>五是农业数字化转型工程。</w:t>
      </w:r>
      <w:r>
        <w:rPr>
          <w:rFonts w:hint="eastAsia" w:ascii="仿宋_GB2312" w:hAnsi="仿宋_GB2312" w:eastAsia="仿宋_GB2312" w:cs="仿宋_GB2312"/>
          <w:sz w:val="32"/>
          <w:szCs w:val="32"/>
          <w:lang w:val="en-US" w:eastAsia="zh-CN"/>
        </w:rPr>
        <w:t>包括完善数字乡村服务平台体系、推动乡村流通营销数字化应用、加快推进农业产业数字科技应用等3项子任务。</w:t>
      </w:r>
      <w:r>
        <w:rPr>
          <w:rFonts w:hint="eastAsia" w:ascii="仿宋_GB2312" w:hAnsi="仿宋_GB2312" w:eastAsia="仿宋_GB2312" w:cs="仿宋_GB2312"/>
          <w:b/>
          <w:bCs/>
          <w:sz w:val="32"/>
          <w:szCs w:val="32"/>
          <w:lang w:val="en-US" w:eastAsia="zh-CN"/>
        </w:rPr>
        <w:t>六是数字基建全面提速工程。</w:t>
      </w:r>
      <w:r>
        <w:rPr>
          <w:rFonts w:hint="eastAsia" w:ascii="仿宋_GB2312" w:hAnsi="仿宋_GB2312" w:eastAsia="仿宋_GB2312" w:cs="仿宋_GB2312"/>
          <w:sz w:val="32"/>
          <w:szCs w:val="32"/>
          <w:lang w:val="en-US" w:eastAsia="zh-CN"/>
        </w:rPr>
        <w:t>包括全面建设5G等新一代网络基础设施、建设国家级区域型数据中心等新技术和算力基础设施、深化部署融合基础设施等3项子任务。</w:t>
      </w:r>
      <w:r>
        <w:rPr>
          <w:rFonts w:hint="eastAsia" w:ascii="仿宋_GB2312" w:hAnsi="仿宋_GB2312" w:eastAsia="仿宋_GB2312" w:cs="仿宋_GB2312"/>
          <w:b/>
          <w:bCs/>
          <w:sz w:val="32"/>
          <w:szCs w:val="32"/>
          <w:lang w:val="en-US" w:eastAsia="zh-CN"/>
        </w:rPr>
        <w:t>七是治理数字化提效工程。</w:t>
      </w:r>
      <w:r>
        <w:rPr>
          <w:rFonts w:hint="eastAsia" w:ascii="仿宋_GB2312" w:hAnsi="仿宋_GB2312" w:eastAsia="仿宋_GB2312" w:cs="仿宋_GB2312"/>
          <w:sz w:val="32"/>
          <w:szCs w:val="32"/>
          <w:lang w:val="en-US" w:eastAsia="zh-CN"/>
        </w:rPr>
        <w:t>包括建设数字经济系统、提升政府服务效能、构建监管治理体系等3项子任务。</w:t>
      </w:r>
      <w:r>
        <w:rPr>
          <w:rFonts w:hint="eastAsia" w:ascii="仿宋_GB2312" w:hAnsi="仿宋_GB2312" w:eastAsia="仿宋_GB2312" w:cs="仿宋_GB2312"/>
          <w:b/>
          <w:bCs/>
          <w:sz w:val="32"/>
          <w:szCs w:val="32"/>
          <w:lang w:val="en-US" w:eastAsia="zh-CN"/>
        </w:rPr>
        <w:t>八是数据资源开发共享工程。</w:t>
      </w:r>
      <w:r>
        <w:rPr>
          <w:rFonts w:hint="eastAsia" w:ascii="仿宋_GB2312" w:hAnsi="仿宋_GB2312" w:eastAsia="仿宋_GB2312" w:cs="仿宋_GB2312"/>
          <w:sz w:val="32"/>
          <w:szCs w:val="32"/>
          <w:lang w:val="en-US" w:eastAsia="zh-CN"/>
        </w:rPr>
        <w:t>包括加强数据采集整合、开展数据价值挖掘、推进数据开发应用等3项子任务。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rPr>
        <w:t>（</w:t>
      </w:r>
      <w:r>
        <w:rPr>
          <w:rFonts w:hint="eastAsia" w:ascii="楷体_GB2312" w:hAnsi="楷体_GB2312" w:eastAsia="楷体_GB2312" w:cs="楷体_GB2312"/>
          <w:lang w:eastAsia="zh-CN"/>
        </w:rPr>
        <w:t>五</w:t>
      </w:r>
      <w:r>
        <w:rPr>
          <w:rFonts w:hint="eastAsia" w:ascii="楷体_GB2312" w:hAnsi="楷体_GB2312" w:eastAsia="楷体_GB2312" w:cs="楷体_GB2312"/>
        </w:rPr>
        <w:t>）</w:t>
      </w:r>
      <w:r>
        <w:rPr>
          <w:rFonts w:hint="eastAsia" w:ascii="楷体_GB2312" w:hAnsi="楷体_GB2312" w:eastAsia="楷体_GB2312" w:cs="楷体_GB2312"/>
          <w:lang w:eastAsia="zh-CN"/>
        </w:rPr>
        <w:t>保障措施</w:t>
      </w:r>
      <w:r>
        <w:rPr>
          <w:rFonts w:hint="eastAsia" w:ascii="楷体_GB2312" w:hAnsi="楷体_GB2312" w:eastAsia="楷体_GB2312" w:cs="楷体_GB2312"/>
        </w:rPr>
        <w:t>。</w:t>
      </w:r>
      <w:r>
        <w:rPr>
          <w:rFonts w:hint="eastAsia" w:ascii="仿宋_GB2312" w:hAnsi="仿宋_GB2312" w:eastAsia="仿宋_GB2312" w:cs="仿宋_GB2312"/>
          <w:sz w:val="32"/>
          <w:szCs w:val="32"/>
          <w:lang w:eastAsia="zh-CN"/>
        </w:rPr>
        <w:t>主要包括四方面的内容：一是健全推进机制，二是加强要素保障，三是优化发展环境，四是强化数据安全。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w:t>
      </w:r>
      <w:r>
        <w:rPr>
          <w:rFonts w:hint="eastAsia" w:ascii="楷体_GB2312" w:hAnsi="楷体_GB2312" w:eastAsia="楷体_GB2312" w:cs="楷体_GB2312"/>
          <w:lang w:eastAsia="zh-CN"/>
        </w:rPr>
        <w:t>六</w:t>
      </w:r>
      <w:r>
        <w:rPr>
          <w:rFonts w:hint="eastAsia" w:ascii="楷体_GB2312" w:hAnsi="楷体_GB2312" w:eastAsia="楷体_GB2312" w:cs="楷体_GB2312"/>
        </w:rPr>
        <w:t>）</w:t>
      </w:r>
      <w:r>
        <w:rPr>
          <w:rFonts w:hint="eastAsia" w:ascii="楷体_GB2312" w:hAnsi="楷体_GB2312" w:eastAsia="楷体_GB2312" w:cs="楷体_GB2312"/>
          <w:lang w:eastAsia="zh-CN"/>
        </w:rPr>
        <w:t>附件</w:t>
      </w:r>
      <w:r>
        <w:rPr>
          <w:rFonts w:hint="eastAsia" w:ascii="楷体_GB2312" w:hAnsi="楷体_GB2312" w:eastAsia="楷体_GB2312" w:cs="楷体_GB2312"/>
        </w:rPr>
        <w:t>。</w:t>
      </w:r>
      <w:r>
        <w:rPr>
          <w:rFonts w:hint="eastAsia" w:ascii="仿宋_GB2312" w:hAnsi="仿宋_GB2312" w:eastAsia="仿宋_GB2312" w:cs="仿宋_GB2312"/>
          <w:color w:val="000000"/>
          <w:sz w:val="32"/>
          <w:szCs w:val="32"/>
          <w:lang w:eastAsia="zh-CN"/>
        </w:rPr>
        <w:t>包括</w:t>
      </w:r>
      <w:r>
        <w:rPr>
          <w:rFonts w:hint="eastAsia" w:ascii="仿宋_GB2312" w:hAnsi="仿宋_GB2312" w:eastAsia="仿宋_GB2312" w:cs="仿宋_GB2312"/>
          <w:color w:val="000000"/>
          <w:sz w:val="32"/>
          <w:szCs w:val="32"/>
        </w:rPr>
        <w:t>温州市“十四五”数字经济发展空间布局图</w:t>
      </w:r>
      <w:r>
        <w:rPr>
          <w:rFonts w:hint="eastAsia" w:ascii="仿宋_GB2312" w:hAnsi="仿宋_GB2312" w:eastAsia="仿宋_GB2312" w:cs="仿宋_GB2312"/>
          <w:color w:val="000000"/>
          <w:sz w:val="32"/>
          <w:szCs w:val="32"/>
          <w:lang w:eastAsia="zh-CN"/>
        </w:rPr>
        <w:t>、全国重点数字企业招商</w:t>
      </w:r>
      <w:r>
        <w:rPr>
          <w:rFonts w:hint="eastAsia" w:ascii="仿宋_GB2312" w:hAnsi="仿宋_GB2312" w:cs="仿宋_GB2312"/>
          <w:color w:val="000000"/>
          <w:sz w:val="32"/>
          <w:szCs w:val="32"/>
          <w:lang w:eastAsia="zh-CN"/>
        </w:rPr>
        <w:t>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温州市数字经济重点项目库等3个附件内容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4"/>
        </w:rPr>
        <w:t>建议</w:t>
      </w:r>
      <w:r>
        <w:rPr>
          <w:rFonts w:hint="eastAsia" w:ascii="仿宋_GB2312" w:hAnsi="仿宋_GB2312" w:eastAsia="仿宋_GB2312" w:cs="仿宋_GB2312"/>
          <w:snapToGrid w:val="0"/>
          <w:kern w:val="0"/>
        </w:rPr>
        <w:t>《</w:t>
      </w:r>
      <w:r>
        <w:rPr>
          <w:rFonts w:hint="eastAsia" w:ascii="仿宋_GB2312" w:hAnsi="仿宋_GB2312" w:eastAsia="仿宋_GB2312" w:cs="仿宋_GB2312"/>
          <w:snapToGrid w:val="0"/>
          <w:kern w:val="0"/>
          <w:lang w:eastAsia="zh-CN"/>
        </w:rPr>
        <w:t>规划</w:t>
      </w:r>
      <w:r>
        <w:rPr>
          <w:rFonts w:hint="eastAsia" w:ascii="仿宋_GB2312" w:hAnsi="仿宋_GB2312" w:eastAsia="仿宋_GB2312" w:cs="仿宋_GB2312"/>
          <w:snapToGrid w:val="0"/>
          <w:kern w:val="0"/>
        </w:rPr>
        <w:t>》（送审稿）经</w:t>
      </w:r>
      <w:r>
        <w:rPr>
          <w:rFonts w:hint="eastAsia" w:ascii="仿宋_GB2312" w:hAnsi="仿宋_GB2312" w:eastAsia="仿宋_GB2312" w:cs="仿宋_GB2312"/>
          <w:color w:val="000000"/>
          <w:spacing w:val="-4"/>
        </w:rPr>
        <w:t>市政府常务会议通过后，由市政府印发实施。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160" w:rightChars="5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附件：温州市数字经济发展“十四五”规划主要目标      测算表</w:t>
      </w:r>
    </w:p>
    <w:p>
      <w:pPr>
        <w:spacing w:line="560" w:lineRule="exact"/>
        <w:ind w:firstLine="640" w:firstLineChars="200"/>
        <w:rPr>
          <w:rFonts w:ascii="仿宋_GB2312"/>
          <w:color w:val="000000"/>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1389" w:gutter="0"/>
          <w:pgNumType w:fmt="numberInDash"/>
          <w:cols w:space="425" w:num="1"/>
          <w:docGrid w:type="lines" w:linePitch="312" w:charSpace="0"/>
        </w:sectPr>
      </w:pPr>
    </w:p>
    <w:p>
      <w:pPr>
        <w:spacing w:line="600" w:lineRule="exact"/>
        <w:ind w:left="0" w:leftChars="0" w:firstLine="0" w:firstLineChars="0"/>
        <w:jc w:val="both"/>
        <w:outlineLvl w:val="0"/>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附件</w:t>
      </w:r>
    </w:p>
    <w:p>
      <w:pPr>
        <w:spacing w:line="600"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sz w:val="44"/>
          <w:szCs w:val="44"/>
        </w:rPr>
        <w:t>温州市数字经济发展</w:t>
      </w:r>
      <w:r>
        <w:rPr>
          <w:rFonts w:hint="default" w:ascii="Times New Roman" w:hAnsi="Times New Roman" w:eastAsia="方正小标宋简体" w:cs="Times New Roman"/>
          <w:color w:val="000000"/>
          <w:sz w:val="44"/>
          <w:szCs w:val="44"/>
          <w:lang w:eastAsia="zh-CN"/>
        </w:rPr>
        <w:t>“十四五”规划</w:t>
      </w:r>
      <w:r>
        <w:rPr>
          <w:rFonts w:hint="default" w:ascii="Times New Roman" w:hAnsi="Times New Roman" w:eastAsia="方正小标宋简体" w:cs="Times New Roman"/>
          <w:color w:val="000000"/>
          <w:sz w:val="44"/>
          <w:szCs w:val="44"/>
        </w:rPr>
        <w:t>主要目标</w:t>
      </w:r>
      <w:r>
        <w:rPr>
          <w:rFonts w:hint="default" w:ascii="Times New Roman" w:hAnsi="Times New Roman" w:eastAsia="方正小标宋简体" w:cs="Times New Roman"/>
          <w:color w:val="000000"/>
          <w:sz w:val="44"/>
          <w:szCs w:val="44"/>
          <w:lang w:eastAsia="zh-CN"/>
        </w:rPr>
        <w:t>测算</w:t>
      </w:r>
      <w:r>
        <w:rPr>
          <w:rFonts w:hint="default" w:ascii="Times New Roman" w:hAnsi="Times New Roman" w:eastAsia="方正小标宋简体" w:cs="Times New Roman"/>
          <w:color w:val="000000"/>
          <w:sz w:val="44"/>
          <w:szCs w:val="44"/>
        </w:rPr>
        <w:t>表</w:t>
      </w:r>
    </w:p>
    <w:tbl>
      <w:tblPr>
        <w:tblStyle w:val="10"/>
        <w:tblW w:w="14173" w:type="dxa"/>
        <w:jc w:val="center"/>
        <w:tblLayout w:type="autofit"/>
        <w:tblCellMar>
          <w:top w:w="0" w:type="dxa"/>
          <w:left w:w="108" w:type="dxa"/>
          <w:bottom w:w="0" w:type="dxa"/>
          <w:right w:w="108" w:type="dxa"/>
        </w:tblCellMar>
      </w:tblPr>
      <w:tblGrid>
        <w:gridCol w:w="1126"/>
        <w:gridCol w:w="4040"/>
        <w:gridCol w:w="1440"/>
        <w:gridCol w:w="1387"/>
        <w:gridCol w:w="6180"/>
      </w:tblGrid>
      <w:tr>
        <w:tblPrEx>
          <w:tblCellMar>
            <w:top w:w="0" w:type="dxa"/>
            <w:left w:w="108" w:type="dxa"/>
            <w:bottom w:w="0" w:type="dxa"/>
            <w:right w:w="108" w:type="dxa"/>
          </w:tblCellMar>
        </w:tblPrEx>
        <w:trPr>
          <w:trHeight w:val="600" w:hRule="atLeast"/>
          <w:tblHeader/>
          <w:jc w:val="center"/>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类别</w:t>
            </w: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指标</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2020</w:t>
            </w:r>
            <w:r>
              <w:rPr>
                <w:rStyle w:val="21"/>
                <w:rFonts w:hint="default" w:ascii="Times New Roman" w:hAnsi="Times New Roman" w:cs="Times New Roman"/>
                <w:lang w:val="en-US" w:eastAsia="zh-CN" w:bidi="ar"/>
              </w:rPr>
              <w:t>年</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2025</w:t>
            </w:r>
            <w:r>
              <w:rPr>
                <w:rStyle w:val="21"/>
                <w:rFonts w:hint="default" w:ascii="Times New Roman" w:hAnsi="Times New Roman" w:cs="Times New Roman"/>
                <w:lang w:val="en-US" w:eastAsia="zh-CN" w:bidi="ar"/>
              </w:rPr>
              <w:t>年</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测算依据</w:t>
            </w:r>
          </w:p>
        </w:tc>
      </w:tr>
      <w:tr>
        <w:tblPrEx>
          <w:tblCellMar>
            <w:top w:w="0" w:type="dxa"/>
            <w:left w:w="108" w:type="dxa"/>
            <w:bottom w:w="0" w:type="dxa"/>
            <w:right w:w="108" w:type="dxa"/>
          </w:tblCellMar>
        </w:tblPrEx>
        <w:trPr>
          <w:trHeight w:val="600" w:hRule="atLeast"/>
          <w:jc w:val="center"/>
        </w:trPr>
        <w:tc>
          <w:tcPr>
            <w:tcW w:w="11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综合发展</w:t>
            </w: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数字经济增加值（亿元）</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2916*</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6500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2916</w:t>
            </w:r>
            <w:r>
              <w:rPr>
                <w:rStyle w:val="22"/>
                <w:rFonts w:hint="default" w:ascii="Times New Roman" w:hAnsi="Times New Roman" w:cs="Times New Roman"/>
                <w:lang w:val="en-US" w:eastAsia="zh-CN" w:bidi="ar"/>
              </w:rPr>
              <w:t>为</w:t>
            </w:r>
            <w:r>
              <w:rPr>
                <w:rStyle w:val="23"/>
                <w:rFonts w:hint="default" w:ascii="Times New Roman" w:hAnsi="Times New Roman" w:eastAsia="宋体" w:cs="Times New Roman"/>
                <w:lang w:val="en-US" w:eastAsia="zh-CN" w:bidi="ar"/>
              </w:rPr>
              <w:t>2019</w:t>
            </w:r>
            <w:r>
              <w:rPr>
                <w:rStyle w:val="22"/>
                <w:rFonts w:hint="default" w:ascii="Times New Roman" w:hAnsi="Times New Roman" w:cs="Times New Roman"/>
                <w:lang w:val="en-US" w:eastAsia="zh-CN" w:bidi="ar"/>
              </w:rPr>
              <w:t>年的数据，</w:t>
            </w:r>
            <w:r>
              <w:rPr>
                <w:rStyle w:val="23"/>
                <w:rFonts w:hint="default" w:ascii="Times New Roman" w:hAnsi="Times New Roman" w:eastAsia="宋体" w:cs="Times New Roman"/>
                <w:lang w:val="en-US" w:eastAsia="zh-CN" w:bidi="ar"/>
              </w:rPr>
              <w:t>2020</w:t>
            </w:r>
            <w:r>
              <w:rPr>
                <w:rStyle w:val="22"/>
                <w:rFonts w:hint="default" w:ascii="Times New Roman" w:hAnsi="Times New Roman" w:cs="Times New Roman"/>
                <w:lang w:val="en-US" w:eastAsia="zh-CN" w:bidi="ar"/>
              </w:rPr>
              <w:t>年估算</w:t>
            </w:r>
            <w:r>
              <w:rPr>
                <w:rStyle w:val="23"/>
                <w:rFonts w:hint="default" w:ascii="Times New Roman" w:hAnsi="Times New Roman" w:eastAsia="宋体" w:cs="Times New Roman"/>
                <w:lang w:val="en-US" w:eastAsia="zh-CN" w:bidi="ar"/>
              </w:rPr>
              <w:t>3250</w:t>
            </w:r>
            <w:r>
              <w:rPr>
                <w:rStyle w:val="22"/>
                <w:rFonts w:hint="default" w:ascii="Times New Roman" w:hAnsi="Times New Roman" w:cs="Times New Roman"/>
                <w:lang w:val="en-US" w:eastAsia="zh-CN" w:bidi="ar"/>
              </w:rPr>
              <w:t>，按年均增幅</w:t>
            </w:r>
            <w:r>
              <w:rPr>
                <w:rStyle w:val="23"/>
                <w:rFonts w:hint="default" w:ascii="Times New Roman" w:hAnsi="Times New Roman" w:eastAsia="宋体" w:cs="Times New Roman"/>
                <w:lang w:val="en-US" w:eastAsia="zh-CN" w:bidi="ar"/>
              </w:rPr>
              <w:t>15%</w:t>
            </w:r>
            <w:r>
              <w:rPr>
                <w:rStyle w:val="22"/>
                <w:rFonts w:hint="default" w:ascii="Times New Roman" w:hAnsi="Times New Roman" w:cs="Times New Roman"/>
                <w:lang w:val="en-US" w:eastAsia="zh-CN" w:bidi="ar"/>
              </w:rPr>
              <w:t>以上</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数字经济增加值占GDP</w:t>
            </w:r>
            <w:r>
              <w:rPr>
                <w:rStyle w:val="22"/>
                <w:rFonts w:hint="default" w:ascii="Times New Roman" w:hAnsi="Times New Roman" w:cs="Times New Roman"/>
                <w:lang w:val="en-US" w:eastAsia="zh-CN" w:bidi="ar"/>
              </w:rPr>
              <w:t>比重（</w:t>
            </w:r>
            <w:r>
              <w:rPr>
                <w:rStyle w:val="23"/>
                <w:rFonts w:hint="default" w:ascii="Times New Roman" w:hAnsi="Times New Roman" w:eastAsia="宋体" w:cs="Times New Roman"/>
                <w:lang w:val="en-US" w:eastAsia="zh-CN" w:bidi="ar"/>
              </w:rPr>
              <w:t>%</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44.14*</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根据《温州市国民经济和社会发展第十四个五年规划和二〇三五年远景目标纲要》2025年我市GDP达到1万亿元</w:t>
            </w:r>
          </w:p>
        </w:tc>
      </w:tr>
      <w:tr>
        <w:tblPrEx>
          <w:tblCellMar>
            <w:top w:w="0" w:type="dxa"/>
            <w:left w:w="108" w:type="dxa"/>
            <w:bottom w:w="0" w:type="dxa"/>
            <w:right w:w="108" w:type="dxa"/>
          </w:tblCellMar>
        </w:tblPrEx>
        <w:trPr>
          <w:trHeight w:val="600" w:hRule="atLeast"/>
          <w:jc w:val="center"/>
        </w:trPr>
        <w:tc>
          <w:tcPr>
            <w:tcW w:w="11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数字科创</w:t>
            </w: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规上数字经济核心产业R&amp;D</w:t>
            </w:r>
            <w:r>
              <w:rPr>
                <w:rStyle w:val="22"/>
                <w:rFonts w:hint="default" w:ascii="Times New Roman" w:hAnsi="Times New Roman" w:cs="Times New Roman"/>
                <w:lang w:val="en-US" w:eastAsia="zh-CN" w:bidi="ar"/>
              </w:rPr>
              <w:t>经费支出占营业收入比重（</w:t>
            </w:r>
            <w:r>
              <w:rPr>
                <w:rStyle w:val="23"/>
                <w:rFonts w:hint="default" w:ascii="Times New Roman" w:hAnsi="Times New Roman" w:eastAsia="宋体" w:cs="Times New Roman"/>
                <w:lang w:val="en-US" w:eastAsia="zh-CN" w:bidi="ar"/>
              </w:rPr>
              <w:t>%</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2.69*</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按照年均增长</w:t>
            </w:r>
            <w:r>
              <w:rPr>
                <w:rStyle w:val="23"/>
                <w:rFonts w:hint="default" w:ascii="Times New Roman" w:hAnsi="Times New Roman" w:eastAsia="宋体" w:cs="Times New Roman"/>
                <w:lang w:val="en-US" w:eastAsia="zh-CN" w:bidi="ar"/>
              </w:rPr>
              <w:t>0.12</w:t>
            </w:r>
            <w:r>
              <w:rPr>
                <w:rStyle w:val="22"/>
                <w:rFonts w:hint="default" w:ascii="Times New Roman" w:hAnsi="Times New Roman" w:cs="Times New Roman"/>
                <w:lang w:val="en-US" w:eastAsia="zh-CN" w:bidi="ar"/>
              </w:rPr>
              <w:t>个百分点测算，高于浙江省</w:t>
            </w:r>
            <w:r>
              <w:rPr>
                <w:rStyle w:val="23"/>
                <w:rFonts w:hint="default" w:ascii="Times New Roman" w:hAnsi="Times New Roman" w:eastAsia="宋体" w:cs="Times New Roman"/>
                <w:lang w:val="en-US" w:eastAsia="zh-CN" w:bidi="ar"/>
              </w:rPr>
              <w:t>2.8%</w:t>
            </w:r>
            <w:r>
              <w:rPr>
                <w:rStyle w:val="22"/>
                <w:rFonts w:hint="default" w:ascii="Times New Roman" w:hAnsi="Times New Roman" w:cs="Times New Roman"/>
                <w:lang w:val="en-US" w:eastAsia="zh-CN" w:bidi="ar"/>
              </w:rPr>
              <w:t>的目标</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数字经济核心产业有效发明专利（件）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4430</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按年均增长</w:t>
            </w:r>
            <w:r>
              <w:rPr>
                <w:rStyle w:val="23"/>
                <w:rFonts w:hint="default" w:ascii="Times New Roman" w:hAnsi="Times New Roman" w:eastAsia="宋体" w:cs="Times New Roman"/>
                <w:lang w:val="en-US" w:eastAsia="zh-CN" w:bidi="ar"/>
              </w:rPr>
              <w:t>10%</w:t>
            </w:r>
            <w:r>
              <w:rPr>
                <w:rStyle w:val="22"/>
                <w:rFonts w:hint="default" w:ascii="Times New Roman" w:hAnsi="Times New Roman" w:cs="Times New Roman"/>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数字经济核心产业国家高新技术企业（家）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115</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315</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按照年均新增</w:t>
            </w:r>
            <w:r>
              <w:rPr>
                <w:rStyle w:val="23"/>
                <w:rFonts w:hint="default" w:ascii="Times New Roman" w:hAnsi="Times New Roman" w:eastAsia="宋体" w:cs="Times New Roman"/>
                <w:lang w:val="en-US" w:eastAsia="zh-CN" w:bidi="ar"/>
              </w:rPr>
              <w:t>40</w:t>
            </w:r>
            <w:r>
              <w:rPr>
                <w:rStyle w:val="22"/>
                <w:rFonts w:hint="default" w:ascii="Times New Roman" w:hAnsi="Times New Roman" w:cs="Times New Roman"/>
                <w:lang w:val="en-US" w:eastAsia="zh-CN" w:bidi="ar"/>
              </w:rPr>
              <w:t>家测算</w:t>
            </w:r>
          </w:p>
        </w:tc>
      </w:tr>
      <w:tr>
        <w:tblPrEx>
          <w:tblCellMar>
            <w:top w:w="0" w:type="dxa"/>
            <w:left w:w="108" w:type="dxa"/>
            <w:bottom w:w="0" w:type="dxa"/>
            <w:right w:w="108" w:type="dxa"/>
          </w:tblCellMar>
        </w:tblPrEx>
        <w:trPr>
          <w:trHeight w:val="600" w:hRule="atLeast"/>
          <w:jc w:val="center"/>
        </w:trPr>
        <w:tc>
          <w:tcPr>
            <w:tcW w:w="11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数字产业化</w:t>
            </w: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数字经济核心产业增加值占GDP</w:t>
            </w:r>
            <w:r>
              <w:rPr>
                <w:rStyle w:val="22"/>
                <w:rFonts w:hint="default" w:ascii="Times New Roman" w:hAnsi="Times New Roman" w:cs="Times New Roman"/>
                <w:lang w:val="en-US" w:eastAsia="zh-CN" w:bidi="ar"/>
              </w:rPr>
              <w:t>比重（</w:t>
            </w:r>
            <w:r>
              <w:rPr>
                <w:rStyle w:val="23"/>
                <w:rFonts w:hint="default" w:ascii="Times New Roman" w:hAnsi="Times New Roman" w:eastAsia="宋体" w:cs="Times New Roman"/>
                <w:lang w:val="en-US" w:eastAsia="zh-CN" w:bidi="ar"/>
              </w:rPr>
              <w:t>%</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r>
              <w:rPr>
                <w:rFonts w:hint="eastAsia" w:eastAsia="宋体" w:cs="Times New Roman"/>
                <w:i w:val="0"/>
                <w:iCs w:val="0"/>
                <w:color w:val="000000"/>
                <w:kern w:val="0"/>
                <w:sz w:val="21"/>
                <w:szCs w:val="21"/>
                <w:u w:val="none"/>
                <w:lang w:val="en-US" w:eastAsia="zh-CN" w:bidi="ar"/>
              </w:rPr>
              <w:t>左右</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规上数字经济核心产业主营业务收入（亿元）</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945.5</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按年均增长</w:t>
            </w:r>
            <w:r>
              <w:rPr>
                <w:rStyle w:val="23"/>
                <w:rFonts w:hint="default" w:ascii="Times New Roman" w:hAnsi="Times New Roman" w:eastAsia="宋体" w:cs="Times New Roman"/>
                <w:lang w:val="en-US" w:eastAsia="zh-CN" w:bidi="ar"/>
              </w:rPr>
              <w:t>8%</w:t>
            </w:r>
            <w:r>
              <w:rPr>
                <w:rStyle w:val="22"/>
                <w:rFonts w:hint="default" w:ascii="Times New Roman" w:hAnsi="Times New Roman" w:cs="Times New Roman"/>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规上数字经济核心产业劳动生产率（万元/</w:t>
            </w:r>
            <w:r>
              <w:rPr>
                <w:rStyle w:val="22"/>
                <w:rFonts w:hint="default" w:ascii="Times New Roman" w:hAnsi="Times New Roman" w:cs="Times New Roman"/>
                <w:lang w:val="en-US" w:eastAsia="zh-CN" w:bidi="ar"/>
              </w:rPr>
              <w:t>人）</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19.47</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参照《浙江省数字经济发展十四五规划》主要指标表，按每年增长</w:t>
            </w:r>
            <w:r>
              <w:rPr>
                <w:rStyle w:val="23"/>
                <w:rFonts w:hint="default" w:ascii="Times New Roman" w:hAnsi="Times New Roman" w:eastAsia="宋体" w:cs="Times New Roman"/>
                <w:lang w:val="en-US" w:eastAsia="zh-CN" w:bidi="ar"/>
              </w:rPr>
              <w:t>21%</w:t>
            </w:r>
            <w:r>
              <w:rPr>
                <w:rStyle w:val="22"/>
                <w:rFonts w:hint="default" w:ascii="Times New Roman" w:hAnsi="Times New Roman" w:cs="Times New Roman"/>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规上数字经济核心制造业增加值（亿元）</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163.7</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按年均增长</w:t>
            </w:r>
            <w:r>
              <w:rPr>
                <w:rStyle w:val="23"/>
                <w:rFonts w:hint="default" w:ascii="Times New Roman" w:hAnsi="Times New Roman" w:eastAsia="宋体" w:cs="Times New Roman"/>
                <w:lang w:val="en-US" w:eastAsia="zh-CN" w:bidi="ar"/>
              </w:rPr>
              <w:t>12%</w:t>
            </w:r>
            <w:r>
              <w:rPr>
                <w:rStyle w:val="22"/>
                <w:rFonts w:hint="default" w:ascii="Times New Roman" w:hAnsi="Times New Roman" w:cs="Times New Roman"/>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软件和信息服务业营业收入（亿元）</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48.03</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按年均增长</w:t>
            </w:r>
            <w:r>
              <w:rPr>
                <w:rStyle w:val="23"/>
                <w:rFonts w:hint="default" w:ascii="Times New Roman" w:hAnsi="Times New Roman" w:eastAsia="宋体" w:cs="Times New Roman"/>
                <w:lang w:val="en-US" w:eastAsia="zh-CN" w:bidi="ar"/>
              </w:rPr>
              <w:t>20%</w:t>
            </w:r>
            <w:r>
              <w:rPr>
                <w:rStyle w:val="22"/>
                <w:rFonts w:hint="default" w:ascii="Times New Roman" w:hAnsi="Times New Roman" w:cs="Times New Roman"/>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数字经济核心产业上市企业（家）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按年均新增</w:t>
            </w:r>
            <w:r>
              <w:rPr>
                <w:rStyle w:val="23"/>
                <w:rFonts w:hint="default" w:ascii="Times New Roman" w:hAnsi="Times New Roman" w:eastAsia="宋体" w:cs="Times New Roman"/>
                <w:lang w:val="en-US" w:eastAsia="zh-CN" w:bidi="ar"/>
              </w:rPr>
              <w:t>1</w:t>
            </w:r>
            <w:r>
              <w:rPr>
                <w:rStyle w:val="22"/>
                <w:rFonts w:hint="default" w:ascii="Times New Roman" w:hAnsi="Times New Roman" w:cs="Times New Roman"/>
                <w:lang w:val="en-US" w:eastAsia="zh-CN" w:bidi="ar"/>
              </w:rPr>
              <w:t>家测算</w:t>
            </w:r>
          </w:p>
        </w:tc>
      </w:tr>
      <w:tr>
        <w:tblPrEx>
          <w:tblCellMar>
            <w:top w:w="0" w:type="dxa"/>
            <w:left w:w="108" w:type="dxa"/>
            <w:bottom w:w="0" w:type="dxa"/>
            <w:right w:w="108" w:type="dxa"/>
          </w:tblCellMar>
        </w:tblPrEx>
        <w:trPr>
          <w:trHeight w:val="600" w:hRule="atLeast"/>
          <w:jc w:val="center"/>
        </w:trPr>
        <w:tc>
          <w:tcPr>
            <w:tcW w:w="11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产业数字化</w:t>
            </w: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规上工业全员劳动生产率（万元/</w:t>
            </w:r>
            <w:r>
              <w:rPr>
                <w:rStyle w:val="22"/>
                <w:rFonts w:hint="default" w:ascii="Times New Roman" w:hAnsi="Times New Roman" w:cs="Times New Roman"/>
                <w:lang w:val="en-US" w:eastAsia="zh-CN" w:bidi="ar"/>
              </w:rPr>
              <w:t>人年）</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16.16</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按年均增长</w:t>
            </w:r>
            <w:r>
              <w:rPr>
                <w:rStyle w:val="23"/>
                <w:rFonts w:hint="default" w:ascii="Times New Roman" w:hAnsi="Times New Roman" w:eastAsia="宋体" w:cs="Times New Roman"/>
                <w:lang w:val="en-US" w:eastAsia="zh-CN" w:bidi="ar"/>
              </w:rPr>
              <w:t>17%</w:t>
            </w:r>
            <w:r>
              <w:rPr>
                <w:rStyle w:val="22"/>
                <w:rFonts w:hint="default" w:ascii="Times New Roman" w:hAnsi="Times New Roman" w:cs="Times New Roman"/>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在役工业机器人数量（台）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8469</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参照《浙江省数字经济发展十四五规划》主要指标表对应指标数的</w:t>
            </w:r>
            <w:r>
              <w:rPr>
                <w:rStyle w:val="23"/>
                <w:rFonts w:hint="default" w:ascii="Times New Roman" w:hAnsi="Times New Roman" w:eastAsia="宋体" w:cs="Times New Roman"/>
                <w:lang w:val="en-US" w:eastAsia="zh-CN" w:bidi="ar"/>
              </w:rPr>
              <w:t>10%</w:t>
            </w:r>
            <w:r>
              <w:rPr>
                <w:rStyle w:val="22"/>
                <w:rFonts w:hint="default" w:ascii="Times New Roman" w:hAnsi="Times New Roman" w:cs="Times New Roman"/>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重点工业企业设备联网率（%</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45.94</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按照每年</w:t>
            </w:r>
            <w:r>
              <w:rPr>
                <w:rStyle w:val="23"/>
                <w:rFonts w:hint="default" w:ascii="Times New Roman" w:hAnsi="Times New Roman" w:eastAsia="宋体" w:cs="Times New Roman"/>
                <w:lang w:val="en-US" w:eastAsia="zh-CN" w:bidi="ar"/>
              </w:rPr>
              <w:t>2</w:t>
            </w:r>
            <w:r>
              <w:rPr>
                <w:rStyle w:val="22"/>
                <w:rFonts w:hint="default" w:ascii="Times New Roman" w:hAnsi="Times New Roman" w:cs="Times New Roman"/>
                <w:lang w:val="en-US" w:eastAsia="zh-CN" w:bidi="ar"/>
              </w:rPr>
              <w:t>个百分点增长幅度测算。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网络零售额（亿元）</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2030.2</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2720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跨境网络零售出口额（亿元）</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101.6</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w:t>
            </w:r>
          </w:p>
        </w:tc>
      </w:tr>
      <w:tr>
        <w:tblPrEx>
          <w:tblCellMar>
            <w:top w:w="0" w:type="dxa"/>
            <w:left w:w="108" w:type="dxa"/>
            <w:bottom w:w="0" w:type="dxa"/>
            <w:right w:w="108" w:type="dxa"/>
          </w:tblCellMar>
        </w:tblPrEx>
        <w:trPr>
          <w:trHeight w:val="605"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移动支付活跃用户普及率（%</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按年均增长</w:t>
            </w:r>
            <w:r>
              <w:rPr>
                <w:rStyle w:val="23"/>
                <w:rFonts w:hint="default" w:ascii="Times New Roman" w:hAnsi="Times New Roman" w:eastAsia="宋体" w:cs="Times New Roman"/>
                <w:lang w:val="en-US" w:eastAsia="zh-CN" w:bidi="ar"/>
              </w:rPr>
              <w:t>4%</w:t>
            </w:r>
            <w:r>
              <w:rPr>
                <w:rStyle w:val="22"/>
                <w:rFonts w:hint="default" w:ascii="Times New Roman" w:hAnsi="Times New Roman" w:cs="Times New Roman"/>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农产品网络零售额（亿元）</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91.3</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w:t>
            </w:r>
          </w:p>
        </w:tc>
      </w:tr>
      <w:tr>
        <w:tblPrEx>
          <w:tblCellMar>
            <w:top w:w="0" w:type="dxa"/>
            <w:left w:w="108" w:type="dxa"/>
            <w:bottom w:w="0" w:type="dxa"/>
            <w:right w:w="108" w:type="dxa"/>
          </w:tblCellMar>
        </w:tblPrEx>
        <w:trPr>
          <w:trHeight w:val="600" w:hRule="atLeast"/>
          <w:jc w:val="center"/>
        </w:trPr>
        <w:tc>
          <w:tcPr>
            <w:tcW w:w="11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治理数字化</w:t>
            </w: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“浙政钉”用户日活跃率（%</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eastAsia" w:eastAsia="宋体" w:cs="Times New Roman"/>
                <w:i w:val="0"/>
                <w:iCs w:val="0"/>
                <w:color w:val="000000"/>
                <w:kern w:val="0"/>
                <w:sz w:val="21"/>
                <w:szCs w:val="21"/>
                <w:u w:val="none"/>
                <w:lang w:val="en-US" w:eastAsia="zh-CN" w:bidi="ar"/>
              </w:rPr>
              <w:t>65.2</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eastAsia" w:eastAsia="宋体" w:cs="Times New Roman"/>
                <w:i w:val="0"/>
                <w:iCs w:val="0"/>
                <w:color w:val="000000"/>
                <w:kern w:val="0"/>
                <w:sz w:val="21"/>
                <w:szCs w:val="21"/>
                <w:u w:val="none"/>
                <w:lang w:val="en-US" w:eastAsia="zh-CN" w:bidi="ar"/>
              </w:rPr>
              <w:t>90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按年均增幅</w:t>
            </w:r>
            <w:r>
              <w:rPr>
                <w:rFonts w:hint="eastAsia" w:eastAsia="宋体" w:cs="Times New Roman"/>
                <w:i w:val="0"/>
                <w:iCs w:val="0"/>
                <w:color w:val="000000"/>
                <w:kern w:val="0"/>
                <w:sz w:val="21"/>
                <w:szCs w:val="21"/>
                <w:u w:val="none"/>
                <w:lang w:val="en-US" w:eastAsia="zh-CN" w:bidi="ar"/>
              </w:rPr>
              <w:t>7.6</w:t>
            </w:r>
            <w:r>
              <w:rPr>
                <w:rFonts w:hint="default" w:ascii="Times New Roman" w:hAnsi="Times New Roman" w:eastAsia="宋体" w:cs="Times New Roman"/>
                <w:i w:val="0"/>
                <w:iCs w:val="0"/>
                <w:color w:val="000000"/>
                <w:kern w:val="0"/>
                <w:sz w:val="21"/>
                <w:szCs w:val="21"/>
                <w:u w:val="none"/>
                <w:lang w:val="en-US" w:eastAsia="zh-CN" w:bidi="ar"/>
              </w:rPr>
              <w:t>%测算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依申请政务服务办件‘</w:t>
            </w:r>
            <w:r>
              <w:rPr>
                <w:rStyle w:val="22"/>
                <w:rFonts w:hint="default" w:ascii="Times New Roman" w:hAnsi="Times New Roman" w:cs="Times New Roman"/>
                <w:lang w:val="en-US" w:eastAsia="zh-CN" w:bidi="ar"/>
              </w:rPr>
              <w:t>一网通办</w:t>
            </w:r>
            <w:r>
              <w:rPr>
                <w:rStyle w:val="23"/>
                <w:rFonts w:hint="default" w:ascii="Times New Roman" w:hAnsi="Times New Roman" w:eastAsia="宋体" w:cs="Times New Roman"/>
                <w:lang w:val="en-US" w:eastAsia="zh-CN" w:bidi="ar"/>
              </w:rPr>
              <w:t>’</w:t>
            </w:r>
            <w:r>
              <w:rPr>
                <w:rStyle w:val="22"/>
                <w:rFonts w:hint="default" w:ascii="Times New Roman" w:hAnsi="Times New Roman" w:cs="Times New Roman"/>
                <w:lang w:val="en-US" w:eastAsia="zh-CN" w:bidi="ar"/>
              </w:rPr>
              <w:t>率（</w:t>
            </w:r>
            <w:r>
              <w:rPr>
                <w:rStyle w:val="23"/>
                <w:rFonts w:hint="default" w:ascii="Times New Roman" w:hAnsi="Times New Roman" w:eastAsia="宋体" w:cs="Times New Roman"/>
                <w:lang w:val="en-US" w:eastAsia="zh-CN" w:bidi="ar"/>
              </w:rPr>
              <w:t>%</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rPr>
              <w:t>82.73</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r>
              <w:rPr>
                <w:rFonts w:hint="eastAsia" w:eastAsia="宋体" w:cs="Times New Roman"/>
                <w:i w:val="0"/>
                <w:iCs w:val="0"/>
                <w:color w:val="000000"/>
                <w:kern w:val="0"/>
                <w:sz w:val="21"/>
                <w:szCs w:val="21"/>
                <w:u w:val="none"/>
                <w:lang w:val="en-US" w:eastAsia="zh-CN" w:bidi="ar"/>
              </w:rPr>
              <w:t>5</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互联网+</w:t>
            </w:r>
            <w:r>
              <w:rPr>
                <w:rStyle w:val="22"/>
                <w:rFonts w:hint="default" w:ascii="Times New Roman" w:hAnsi="Times New Roman" w:cs="Times New Roman"/>
                <w:lang w:val="en-US" w:eastAsia="zh-CN" w:bidi="ar"/>
              </w:rPr>
              <w:t>监管平台承载的监管事项（</w:t>
            </w:r>
            <w:r>
              <w:rPr>
                <w:rStyle w:val="23"/>
                <w:rFonts w:hint="default" w:ascii="Times New Roman" w:hAnsi="Times New Roman" w:eastAsia="宋体" w:cs="Times New Roman"/>
                <w:lang w:val="en-US" w:eastAsia="zh-CN" w:bidi="ar"/>
              </w:rPr>
              <w:t>%</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eastAsia" w:eastAsia="宋体" w:cs="Times New Roman"/>
                <w:i w:val="0"/>
                <w:iCs w:val="0"/>
                <w:color w:val="000000"/>
                <w:kern w:val="0"/>
                <w:sz w:val="21"/>
                <w:szCs w:val="21"/>
                <w:u w:val="none"/>
                <w:lang w:val="en-US" w:eastAsia="zh-CN" w:bidi="ar"/>
              </w:rPr>
              <w:t>95以上</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按照每年</w:t>
            </w:r>
            <w:r>
              <w:rPr>
                <w:rFonts w:hint="eastAsia" w:eastAsia="宋体"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个百分点增长幅度测算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城市大脑应用场景（个）</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按照每年递增30%测算</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eastAsia" w:eastAsia="宋体" w:cs="Times New Roman"/>
                <w:i w:val="0"/>
                <w:iCs w:val="0"/>
                <w:color w:val="000000"/>
                <w:kern w:val="0"/>
                <w:sz w:val="21"/>
                <w:szCs w:val="21"/>
                <w:u w:val="none"/>
                <w:lang w:val="en-US" w:eastAsia="zh-CN" w:bidi="ar"/>
              </w:rPr>
              <w:t>数据开放率</w:t>
            </w:r>
            <w:r>
              <w:rPr>
                <w:rFonts w:hint="default" w:ascii="Times New Roman" w:hAnsi="Times New Roman" w:eastAsia="宋体" w:cs="Times New Roman"/>
                <w:i w:val="0"/>
                <w:iCs w:val="0"/>
                <w:color w:val="000000"/>
                <w:kern w:val="0"/>
                <w:sz w:val="21"/>
                <w:szCs w:val="21"/>
                <w:u w:val="none"/>
                <w:lang w:val="en-US" w:eastAsia="zh-CN" w:bidi="ar"/>
              </w:rPr>
              <w:t>（%</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eastAsia" w:eastAsia="宋体" w:cs="Times New Roman"/>
                <w:i w:val="0"/>
                <w:iCs w:val="0"/>
                <w:color w:val="000000"/>
                <w:kern w:val="0"/>
                <w:sz w:val="21"/>
                <w:szCs w:val="21"/>
                <w:u w:val="none"/>
                <w:lang w:val="en-US" w:eastAsia="zh-CN" w:bidi="ar"/>
              </w:rPr>
              <w:t>13</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eastAsia" w:eastAsia="宋体" w:cs="Times New Roman"/>
                <w:i w:val="0"/>
                <w:iCs w:val="0"/>
                <w:color w:val="000000"/>
                <w:kern w:val="0"/>
                <w:sz w:val="21"/>
                <w:szCs w:val="21"/>
                <w:u w:val="none"/>
                <w:lang w:val="en-US" w:eastAsia="zh-CN" w:bidi="ar"/>
              </w:rPr>
              <w:t>50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根据《浙江省数字化改革总体方案》</w:t>
            </w:r>
          </w:p>
        </w:tc>
      </w:tr>
      <w:tr>
        <w:tblPrEx>
          <w:tblCellMar>
            <w:top w:w="0" w:type="dxa"/>
            <w:left w:w="108" w:type="dxa"/>
            <w:bottom w:w="0" w:type="dxa"/>
            <w:right w:w="108" w:type="dxa"/>
          </w:tblCellMar>
        </w:tblPrEx>
        <w:trPr>
          <w:trHeight w:val="600"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eastAsia" w:eastAsia="宋体" w:cs="Times New Roman"/>
                <w:i w:val="0"/>
                <w:iCs w:val="0"/>
                <w:color w:val="000000"/>
                <w:kern w:val="0"/>
                <w:sz w:val="21"/>
                <w:szCs w:val="21"/>
                <w:u w:val="none"/>
                <w:lang w:val="en-US" w:eastAsia="zh-CN" w:bidi="ar"/>
              </w:rPr>
              <w:t>数据共享率</w:t>
            </w:r>
            <w:r>
              <w:rPr>
                <w:rFonts w:hint="default" w:ascii="Times New Roman" w:hAnsi="Times New Roman" w:eastAsia="宋体" w:cs="Times New Roman"/>
                <w:i w:val="0"/>
                <w:iCs w:val="0"/>
                <w:color w:val="000000"/>
                <w:kern w:val="0"/>
                <w:sz w:val="21"/>
                <w:szCs w:val="21"/>
                <w:u w:val="none"/>
                <w:lang w:val="en-US" w:eastAsia="zh-CN" w:bidi="ar"/>
              </w:rPr>
              <w:t>（%</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eastAsia" w:eastAsia="宋体" w:cs="Times New Roman"/>
                <w:i w:val="0"/>
                <w:iCs w:val="0"/>
                <w:color w:val="000000"/>
                <w:kern w:val="0"/>
                <w:sz w:val="21"/>
                <w:szCs w:val="21"/>
                <w:u w:val="none"/>
                <w:lang w:val="en-US" w:eastAsia="zh-CN" w:bidi="ar"/>
              </w:rPr>
              <w:t>78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99</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4" w:firstLineChars="202"/>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根据《浙江省数字化改革总体方案》</w:t>
            </w:r>
          </w:p>
        </w:tc>
      </w:tr>
      <w:tr>
        <w:tblPrEx>
          <w:tblCellMar>
            <w:top w:w="0" w:type="dxa"/>
            <w:left w:w="108" w:type="dxa"/>
            <w:bottom w:w="0" w:type="dxa"/>
            <w:right w:w="108" w:type="dxa"/>
          </w:tblCellMar>
        </w:tblPrEx>
        <w:trPr>
          <w:trHeight w:val="600" w:hRule="atLeast"/>
          <w:jc w:val="center"/>
        </w:trPr>
        <w:tc>
          <w:tcPr>
            <w:tcW w:w="112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数字基础设施</w:t>
            </w: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FTTH/O</w:t>
            </w:r>
            <w:r>
              <w:rPr>
                <w:rStyle w:val="22"/>
                <w:rFonts w:hint="default" w:ascii="Times New Roman" w:hAnsi="Times New Roman" w:cs="Times New Roman"/>
                <w:lang w:val="en-US" w:eastAsia="zh-CN" w:bidi="ar"/>
              </w:rPr>
              <w:t>宽带接入率（光纤宽带用户率）</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按用户数及覆盖率、新用户增长数进行估算</w:t>
            </w:r>
          </w:p>
        </w:tc>
      </w:tr>
      <w:tr>
        <w:tblPrEx>
          <w:tblCellMar>
            <w:top w:w="0" w:type="dxa"/>
            <w:left w:w="108" w:type="dxa"/>
            <w:bottom w:w="0" w:type="dxa"/>
            <w:right w:w="108" w:type="dxa"/>
          </w:tblCellMar>
        </w:tblPrEx>
        <w:trPr>
          <w:trHeight w:val="600" w:hRule="atLeast"/>
          <w:jc w:val="center"/>
        </w:trPr>
        <w:tc>
          <w:tcPr>
            <w:tcW w:w="1126" w:type="dxa"/>
            <w:vMerge w:val="continue"/>
            <w:tcBorders>
              <w:left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IPv6</w:t>
            </w:r>
            <w:r>
              <w:rPr>
                <w:rStyle w:val="22"/>
                <w:rFonts w:hint="default" w:ascii="Times New Roman" w:hAnsi="Times New Roman" w:cs="Times New Roman"/>
                <w:lang w:val="en-US" w:eastAsia="zh-CN" w:bidi="ar"/>
              </w:rPr>
              <w:t>活跃用户数（万户）</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1072.8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按用户数及覆盖率、新用户增长数进行估算</w:t>
            </w:r>
          </w:p>
        </w:tc>
      </w:tr>
      <w:tr>
        <w:tblPrEx>
          <w:tblCellMar>
            <w:top w:w="0" w:type="dxa"/>
            <w:left w:w="108" w:type="dxa"/>
            <w:bottom w:w="0" w:type="dxa"/>
            <w:right w:w="108" w:type="dxa"/>
          </w:tblCellMar>
        </w:tblPrEx>
        <w:trPr>
          <w:trHeight w:val="600" w:hRule="atLeast"/>
          <w:jc w:val="center"/>
        </w:trPr>
        <w:tc>
          <w:tcPr>
            <w:tcW w:w="1126" w:type="dxa"/>
            <w:vMerge w:val="continue"/>
            <w:tcBorders>
              <w:left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城域网出口带宽（Tbps</w:t>
            </w:r>
            <w:r>
              <w:rPr>
                <w:rStyle w:val="22"/>
                <w:rFonts w:hint="default" w:ascii="Times New Roman" w:hAnsi="Times New Roman" w:cs="Times New Roman"/>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w:t>
            </w:r>
          </w:p>
        </w:tc>
      </w:tr>
      <w:tr>
        <w:tblPrEx>
          <w:tblCellMar>
            <w:top w:w="0" w:type="dxa"/>
            <w:left w:w="108" w:type="dxa"/>
            <w:bottom w:w="0" w:type="dxa"/>
            <w:right w:w="108" w:type="dxa"/>
          </w:tblCellMar>
        </w:tblPrEx>
        <w:trPr>
          <w:trHeight w:val="600" w:hRule="atLeast"/>
          <w:jc w:val="center"/>
        </w:trPr>
        <w:tc>
          <w:tcPr>
            <w:tcW w:w="1126" w:type="dxa"/>
            <w:vMerge w:val="continue"/>
            <w:tcBorders>
              <w:left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2"/>
                <w:szCs w:val="22"/>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5G</w:t>
            </w:r>
            <w:r>
              <w:rPr>
                <w:rStyle w:val="22"/>
                <w:rFonts w:hint="default" w:ascii="Times New Roman" w:hAnsi="Times New Roman" w:cs="Times New Roman"/>
                <w:lang w:val="en-US" w:eastAsia="zh-CN" w:bidi="ar"/>
              </w:rPr>
              <w:t>基站数量（个）</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9072</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w:t>
            </w:r>
          </w:p>
        </w:tc>
      </w:tr>
      <w:tr>
        <w:tblPrEx>
          <w:tblCellMar>
            <w:top w:w="0" w:type="dxa"/>
            <w:left w:w="108" w:type="dxa"/>
            <w:bottom w:w="0" w:type="dxa"/>
            <w:right w:w="108" w:type="dxa"/>
          </w:tblCellMar>
        </w:tblPrEx>
        <w:trPr>
          <w:trHeight w:val="600" w:hRule="atLeast"/>
          <w:jc w:val="center"/>
        </w:trPr>
        <w:tc>
          <w:tcPr>
            <w:tcW w:w="1126" w:type="dxa"/>
            <w:vMerge w:val="continue"/>
            <w:tcBorders>
              <w:left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2"/>
                <w:szCs w:val="22"/>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数据中心总机架数（个）</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8620</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18000</w:t>
            </w:r>
            <w:r>
              <w:rPr>
                <w:rStyle w:val="24"/>
                <w:rFonts w:hint="default" w:ascii="Times New Roman" w:hAnsi="Times New Roman" w:cs="Times New Roman"/>
                <w:lang w:val="en-US" w:eastAsia="zh-CN" w:bidi="ar"/>
              </w:rPr>
              <w:t>以上</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根据《温州市国民经济和社会发展第十四个五年规划和二〇三五年远景目标纲要》</w:t>
            </w:r>
          </w:p>
        </w:tc>
      </w:tr>
      <w:tr>
        <w:tblPrEx>
          <w:tblCellMar>
            <w:top w:w="0" w:type="dxa"/>
            <w:left w:w="108" w:type="dxa"/>
            <w:bottom w:w="0" w:type="dxa"/>
            <w:right w:w="108" w:type="dxa"/>
          </w:tblCellMar>
        </w:tblPrEx>
        <w:trPr>
          <w:trHeight w:val="600" w:hRule="atLeast"/>
          <w:jc w:val="center"/>
        </w:trPr>
        <w:tc>
          <w:tcPr>
            <w:tcW w:w="1126" w:type="dxa"/>
            <w:vMerge w:val="continue"/>
            <w:tcBorders>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2"/>
                <w:szCs w:val="22"/>
                <w:u w:val="none"/>
              </w:rPr>
            </w:pPr>
          </w:p>
        </w:tc>
        <w:tc>
          <w:tcPr>
            <w:tcW w:w="4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工业互联网平台（个）</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6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按照年均增加</w:t>
            </w:r>
            <w:r>
              <w:rPr>
                <w:rStyle w:val="23"/>
                <w:rFonts w:hint="default" w:ascii="Times New Roman" w:hAnsi="Times New Roman" w:eastAsia="宋体" w:cs="Times New Roman"/>
                <w:lang w:val="en-US" w:eastAsia="zh-CN" w:bidi="ar"/>
              </w:rPr>
              <w:t>3</w:t>
            </w:r>
            <w:r>
              <w:rPr>
                <w:rStyle w:val="22"/>
                <w:rFonts w:hint="default" w:ascii="Times New Roman" w:hAnsi="Times New Roman" w:cs="Times New Roman"/>
                <w:lang w:val="en-US" w:eastAsia="zh-CN" w:bidi="ar"/>
              </w:rPr>
              <w:t>个测算</w:t>
            </w:r>
          </w:p>
        </w:tc>
      </w:tr>
    </w:tbl>
    <w:p>
      <w:pPr>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备注：标*为2019年数据</w:t>
      </w:r>
    </w:p>
    <w:p>
      <w:pPr>
        <w:pStyle w:val="2"/>
        <w:ind w:left="0" w:leftChars="0" w:firstLine="0" w:firstLineChars="0"/>
        <w:rPr>
          <w:rFonts w:hint="eastAsia" w:eastAsia="仿宋_GB2312"/>
          <w:lang w:eastAsia="zh-CN"/>
        </w:rPr>
      </w:pPr>
    </w:p>
    <w:sectPr>
      <w:pgSz w:w="16838" w:h="11906" w:orient="landscape"/>
      <w:pgMar w:top="1797" w:right="1440" w:bottom="1797" w:left="1440" w:header="851" w:footer="992" w:gutter="0"/>
      <w:pgNumType w:fmt="numberInDash"/>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6"/>
      </w:pPr>
      <w:r>
        <w:separator/>
      </w:r>
    </w:p>
  </w:endnote>
  <w:endnote w:type="continuationSeparator" w:id="1">
    <w:p>
      <w:pPr>
        <w:ind w:firstLine="64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文星简小标宋">
    <w:altName w:val="宋体"/>
    <w:panose1 w:val="00000000000000000000"/>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5"/>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485"/>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ind w:firstLine="485"/>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txbxContent>
              </v:textbox>
            </v:shape>
          </w:pict>
        </mc:Fallback>
      </mc:AlternateContent>
    </w:r>
  </w:p>
  <w:p>
    <w:pPr>
      <w:pStyle w:val="7"/>
      <w:ind w:firstLine="36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6"/>
      </w:pPr>
      <w:r>
        <w:separator/>
      </w:r>
    </w:p>
  </w:footnote>
  <w:footnote w:type="continuationSeparator" w:id="1">
    <w:p>
      <w:pPr>
        <w:ind w:firstLine="64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6"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76"/>
    <w:rsid w:val="00071F8D"/>
    <w:rsid w:val="00081A57"/>
    <w:rsid w:val="000A143B"/>
    <w:rsid w:val="000A2F9C"/>
    <w:rsid w:val="000B3ABF"/>
    <w:rsid w:val="000B737E"/>
    <w:rsid w:val="000C1412"/>
    <w:rsid w:val="000C75CE"/>
    <w:rsid w:val="000E5763"/>
    <w:rsid w:val="00121B32"/>
    <w:rsid w:val="00137B19"/>
    <w:rsid w:val="00147E80"/>
    <w:rsid w:val="00163476"/>
    <w:rsid w:val="00184C3E"/>
    <w:rsid w:val="001A7E1A"/>
    <w:rsid w:val="001C4D1D"/>
    <w:rsid w:val="001D0E00"/>
    <w:rsid w:val="001F0EAF"/>
    <w:rsid w:val="00235D70"/>
    <w:rsid w:val="00241F72"/>
    <w:rsid w:val="002700AF"/>
    <w:rsid w:val="00281ACE"/>
    <w:rsid w:val="002876F8"/>
    <w:rsid w:val="002A1E49"/>
    <w:rsid w:val="002B58E0"/>
    <w:rsid w:val="002C26FB"/>
    <w:rsid w:val="00301890"/>
    <w:rsid w:val="00301B91"/>
    <w:rsid w:val="00303E4A"/>
    <w:rsid w:val="00304E00"/>
    <w:rsid w:val="00352B00"/>
    <w:rsid w:val="00361510"/>
    <w:rsid w:val="0036456F"/>
    <w:rsid w:val="003833ED"/>
    <w:rsid w:val="003F22D7"/>
    <w:rsid w:val="003F6CDB"/>
    <w:rsid w:val="0041203A"/>
    <w:rsid w:val="00434143"/>
    <w:rsid w:val="0047675B"/>
    <w:rsid w:val="00484B0A"/>
    <w:rsid w:val="004926C6"/>
    <w:rsid w:val="004C3CEB"/>
    <w:rsid w:val="004D55EC"/>
    <w:rsid w:val="004D74A8"/>
    <w:rsid w:val="004E3E86"/>
    <w:rsid w:val="004E56B4"/>
    <w:rsid w:val="0053682A"/>
    <w:rsid w:val="00543F48"/>
    <w:rsid w:val="0057669A"/>
    <w:rsid w:val="00577CEA"/>
    <w:rsid w:val="005A0A53"/>
    <w:rsid w:val="005C66EB"/>
    <w:rsid w:val="00606E9E"/>
    <w:rsid w:val="00613502"/>
    <w:rsid w:val="00637B27"/>
    <w:rsid w:val="00685DD5"/>
    <w:rsid w:val="00716E85"/>
    <w:rsid w:val="0072509E"/>
    <w:rsid w:val="00752588"/>
    <w:rsid w:val="007532D2"/>
    <w:rsid w:val="007622D9"/>
    <w:rsid w:val="00766B83"/>
    <w:rsid w:val="007711C4"/>
    <w:rsid w:val="0079405B"/>
    <w:rsid w:val="007958E5"/>
    <w:rsid w:val="007B5676"/>
    <w:rsid w:val="007B7446"/>
    <w:rsid w:val="007C0091"/>
    <w:rsid w:val="007F45E0"/>
    <w:rsid w:val="007F7450"/>
    <w:rsid w:val="00815088"/>
    <w:rsid w:val="0084246F"/>
    <w:rsid w:val="008611B6"/>
    <w:rsid w:val="00875FDE"/>
    <w:rsid w:val="00876E7C"/>
    <w:rsid w:val="00877570"/>
    <w:rsid w:val="00881479"/>
    <w:rsid w:val="008C1AC0"/>
    <w:rsid w:val="008D36F9"/>
    <w:rsid w:val="008E2030"/>
    <w:rsid w:val="008F0EC3"/>
    <w:rsid w:val="00926885"/>
    <w:rsid w:val="00947F7E"/>
    <w:rsid w:val="00984BDF"/>
    <w:rsid w:val="00985EB6"/>
    <w:rsid w:val="009A015A"/>
    <w:rsid w:val="009C530C"/>
    <w:rsid w:val="00A13C84"/>
    <w:rsid w:val="00A607C6"/>
    <w:rsid w:val="00A64201"/>
    <w:rsid w:val="00A83849"/>
    <w:rsid w:val="00A95357"/>
    <w:rsid w:val="00AA4B3B"/>
    <w:rsid w:val="00AA5F9A"/>
    <w:rsid w:val="00AB0956"/>
    <w:rsid w:val="00AB3F1A"/>
    <w:rsid w:val="00AF6EC1"/>
    <w:rsid w:val="00B11F76"/>
    <w:rsid w:val="00B20670"/>
    <w:rsid w:val="00B44050"/>
    <w:rsid w:val="00B93804"/>
    <w:rsid w:val="00BA3355"/>
    <w:rsid w:val="00BD630C"/>
    <w:rsid w:val="00BD7482"/>
    <w:rsid w:val="00C2358B"/>
    <w:rsid w:val="00C66C36"/>
    <w:rsid w:val="00C85C5A"/>
    <w:rsid w:val="00CA30F2"/>
    <w:rsid w:val="00CB5CA8"/>
    <w:rsid w:val="00CB5CD0"/>
    <w:rsid w:val="00CC241D"/>
    <w:rsid w:val="00CE6323"/>
    <w:rsid w:val="00D22356"/>
    <w:rsid w:val="00D47D2A"/>
    <w:rsid w:val="00D65669"/>
    <w:rsid w:val="00D708AB"/>
    <w:rsid w:val="00D77045"/>
    <w:rsid w:val="00D8746E"/>
    <w:rsid w:val="00D96B51"/>
    <w:rsid w:val="00DA0084"/>
    <w:rsid w:val="00DA2952"/>
    <w:rsid w:val="00DA5EF9"/>
    <w:rsid w:val="00DC6854"/>
    <w:rsid w:val="00DD5CFF"/>
    <w:rsid w:val="00E20159"/>
    <w:rsid w:val="00E6013E"/>
    <w:rsid w:val="00E65CF5"/>
    <w:rsid w:val="00E74154"/>
    <w:rsid w:val="00EA44C4"/>
    <w:rsid w:val="00EA7E66"/>
    <w:rsid w:val="00EC4A38"/>
    <w:rsid w:val="00ED033C"/>
    <w:rsid w:val="00ED6AD7"/>
    <w:rsid w:val="00EE1F68"/>
    <w:rsid w:val="00EE55B9"/>
    <w:rsid w:val="00F10ACD"/>
    <w:rsid w:val="00F470D4"/>
    <w:rsid w:val="00F730C5"/>
    <w:rsid w:val="00FC3BB8"/>
    <w:rsid w:val="01CB1C0E"/>
    <w:rsid w:val="04614C06"/>
    <w:rsid w:val="04D31200"/>
    <w:rsid w:val="069C7071"/>
    <w:rsid w:val="06A37327"/>
    <w:rsid w:val="081A28D7"/>
    <w:rsid w:val="0AFA4AD0"/>
    <w:rsid w:val="0B01373A"/>
    <w:rsid w:val="0C9101DA"/>
    <w:rsid w:val="0DAF0DC9"/>
    <w:rsid w:val="0FBE4003"/>
    <w:rsid w:val="13133E38"/>
    <w:rsid w:val="17A27F8C"/>
    <w:rsid w:val="18021673"/>
    <w:rsid w:val="189920D9"/>
    <w:rsid w:val="1AC90FAC"/>
    <w:rsid w:val="22DE401A"/>
    <w:rsid w:val="268A47B3"/>
    <w:rsid w:val="27346110"/>
    <w:rsid w:val="28541231"/>
    <w:rsid w:val="294B5B7F"/>
    <w:rsid w:val="2DF7BD63"/>
    <w:rsid w:val="31AD3BC3"/>
    <w:rsid w:val="38BB6A52"/>
    <w:rsid w:val="3A773732"/>
    <w:rsid w:val="3AFF7BED"/>
    <w:rsid w:val="3B6A8729"/>
    <w:rsid w:val="3B7F554E"/>
    <w:rsid w:val="3EE11E82"/>
    <w:rsid w:val="3EEF05A2"/>
    <w:rsid w:val="3F522828"/>
    <w:rsid w:val="40430123"/>
    <w:rsid w:val="46885FC4"/>
    <w:rsid w:val="46E018B5"/>
    <w:rsid w:val="498D7A47"/>
    <w:rsid w:val="535447CC"/>
    <w:rsid w:val="54887A96"/>
    <w:rsid w:val="57696871"/>
    <w:rsid w:val="588B4383"/>
    <w:rsid w:val="5B017773"/>
    <w:rsid w:val="5D3369F5"/>
    <w:rsid w:val="5D5FF30A"/>
    <w:rsid w:val="645C6448"/>
    <w:rsid w:val="682E678A"/>
    <w:rsid w:val="69737664"/>
    <w:rsid w:val="6BDE400A"/>
    <w:rsid w:val="74733411"/>
    <w:rsid w:val="74EE4C9C"/>
    <w:rsid w:val="7558506E"/>
    <w:rsid w:val="768C27A4"/>
    <w:rsid w:val="77DF393C"/>
    <w:rsid w:val="7A1A7F65"/>
    <w:rsid w:val="7AA92B86"/>
    <w:rsid w:val="7AF777A9"/>
    <w:rsid w:val="AED9C12A"/>
    <w:rsid w:val="AFDF7508"/>
    <w:rsid w:val="FEFD97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6" w:firstLineChars="202"/>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3"/>
    <w:qFormat/>
    <w:uiPriority w:val="99"/>
    <w:pPr>
      <w:adjustRightInd w:val="0"/>
      <w:snapToGrid w:val="0"/>
      <w:spacing w:line="580" w:lineRule="exact"/>
      <w:ind w:firstLine="0" w:firstLineChars="0"/>
      <w:outlineLvl w:val="0"/>
    </w:pPr>
    <w:rPr>
      <w:rFonts w:eastAsia="黑体"/>
    </w:rPr>
  </w:style>
  <w:style w:type="paragraph" w:styleId="4">
    <w:name w:val="heading 2"/>
    <w:basedOn w:val="1"/>
    <w:next w:val="1"/>
    <w:link w:val="14"/>
    <w:qFormat/>
    <w:uiPriority w:val="99"/>
    <w:pPr>
      <w:keepNext/>
      <w:keepLines/>
      <w:spacing w:before="260" w:after="260" w:line="416" w:lineRule="auto"/>
      <w:outlineLvl w:val="1"/>
    </w:pPr>
    <w:rPr>
      <w:rFonts w:ascii="Calibri Light" w:hAnsi="Calibri Light" w:eastAsia="宋体" w:cs="Calibri Light"/>
      <w:b/>
      <w:bCs/>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5">
    <w:name w:val="Body Text"/>
    <w:basedOn w:val="1"/>
    <w:link w:val="19"/>
    <w:semiHidden/>
    <w:unhideWhenUsed/>
    <w:qFormat/>
    <w:uiPriority w:val="99"/>
    <w:pPr>
      <w:spacing w:after="120"/>
    </w:pPr>
  </w:style>
  <w:style w:type="paragraph" w:styleId="6">
    <w:name w:val="Balloon Text"/>
    <w:basedOn w:val="1"/>
    <w:link w:val="17"/>
    <w:semiHidden/>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link w:val="20"/>
    <w:qFormat/>
    <w:uiPriority w:val="0"/>
    <w:pPr>
      <w:spacing w:after="0" w:line="500" w:lineRule="exact"/>
      <w:ind w:firstLine="420" w:firstLineChars="0"/>
    </w:pPr>
    <w:rPr>
      <w:rFonts w:eastAsia="宋体"/>
      <w:sz w:val="28"/>
      <w:szCs w:val="20"/>
    </w:rPr>
  </w:style>
  <w:style w:type="character" w:styleId="12">
    <w:name w:val="Strong"/>
    <w:qFormat/>
    <w:locked/>
    <w:uiPriority w:val="0"/>
    <w:rPr>
      <w:b/>
      <w:bCs/>
    </w:rPr>
  </w:style>
  <w:style w:type="character" w:customStyle="1" w:styleId="13">
    <w:name w:val="标题 1 字符"/>
    <w:link w:val="3"/>
    <w:qFormat/>
    <w:locked/>
    <w:uiPriority w:val="99"/>
    <w:rPr>
      <w:rFonts w:ascii="Times New Roman" w:hAnsi="Times New Roman" w:eastAsia="黑体" w:cs="Times New Roman"/>
      <w:sz w:val="32"/>
      <w:szCs w:val="32"/>
    </w:rPr>
  </w:style>
  <w:style w:type="character" w:customStyle="1" w:styleId="14">
    <w:name w:val="标题 2 字符"/>
    <w:link w:val="4"/>
    <w:semiHidden/>
    <w:qFormat/>
    <w:locked/>
    <w:uiPriority w:val="99"/>
    <w:rPr>
      <w:rFonts w:ascii="Calibri Light" w:hAnsi="Calibri Light" w:eastAsia="宋体" w:cs="Calibri Light"/>
      <w:b/>
      <w:bCs/>
      <w:sz w:val="32"/>
      <w:szCs w:val="32"/>
    </w:rPr>
  </w:style>
  <w:style w:type="character" w:customStyle="1" w:styleId="15">
    <w:name w:val="页脚 字符"/>
    <w:link w:val="7"/>
    <w:qFormat/>
    <w:locked/>
    <w:uiPriority w:val="99"/>
    <w:rPr>
      <w:rFonts w:ascii="Times New Roman" w:hAnsi="Times New Roman" w:eastAsia="仿宋_GB2312" w:cs="Times New Roman"/>
      <w:sz w:val="18"/>
      <w:szCs w:val="18"/>
    </w:rPr>
  </w:style>
  <w:style w:type="character" w:customStyle="1" w:styleId="16">
    <w:name w:val="页眉 字符"/>
    <w:link w:val="8"/>
    <w:qFormat/>
    <w:locked/>
    <w:uiPriority w:val="99"/>
    <w:rPr>
      <w:rFonts w:ascii="Times New Roman" w:hAnsi="Times New Roman" w:eastAsia="仿宋_GB2312" w:cs="Times New Roman"/>
      <w:sz w:val="18"/>
      <w:szCs w:val="18"/>
    </w:rPr>
  </w:style>
  <w:style w:type="character" w:customStyle="1" w:styleId="17">
    <w:name w:val="批注框文本 字符"/>
    <w:link w:val="6"/>
    <w:semiHidden/>
    <w:qFormat/>
    <w:uiPriority w:val="99"/>
    <w:rPr>
      <w:rFonts w:eastAsia="仿宋_GB2312"/>
      <w:sz w:val="0"/>
      <w:szCs w:val="0"/>
    </w:rPr>
  </w:style>
  <w:style w:type="paragraph" w:customStyle="1" w:styleId="18">
    <w:name w:val="Char"/>
    <w:basedOn w:val="1"/>
    <w:qFormat/>
    <w:uiPriority w:val="0"/>
    <w:pPr>
      <w:widowControl/>
      <w:spacing w:after="160" w:line="240" w:lineRule="exact"/>
      <w:ind w:firstLine="0" w:firstLineChars="0"/>
      <w:jc w:val="left"/>
    </w:pPr>
    <w:rPr>
      <w:rFonts w:ascii="Verdana" w:hAnsi="Verdana" w:cs="Verdana"/>
      <w:kern w:val="0"/>
      <w:sz w:val="24"/>
      <w:szCs w:val="24"/>
      <w:lang w:eastAsia="en-US"/>
    </w:rPr>
  </w:style>
  <w:style w:type="character" w:customStyle="1" w:styleId="19">
    <w:name w:val="正文文本 字符"/>
    <w:link w:val="5"/>
    <w:semiHidden/>
    <w:qFormat/>
    <w:uiPriority w:val="99"/>
    <w:rPr>
      <w:rFonts w:eastAsia="仿宋_GB2312"/>
      <w:kern w:val="2"/>
      <w:sz w:val="32"/>
      <w:szCs w:val="32"/>
    </w:rPr>
  </w:style>
  <w:style w:type="character" w:customStyle="1" w:styleId="20">
    <w:name w:val="正文文本首行缩进 字符"/>
    <w:link w:val="9"/>
    <w:qFormat/>
    <w:uiPriority w:val="0"/>
    <w:rPr>
      <w:rFonts w:eastAsia="仿宋_GB2312"/>
      <w:kern w:val="2"/>
      <w:sz w:val="28"/>
      <w:szCs w:val="32"/>
    </w:rPr>
  </w:style>
  <w:style w:type="character" w:customStyle="1" w:styleId="21">
    <w:name w:val="font41"/>
    <w:basedOn w:val="11"/>
    <w:qFormat/>
    <w:uiPriority w:val="0"/>
    <w:rPr>
      <w:rFonts w:hint="eastAsia" w:ascii="宋体" w:hAnsi="宋体" w:eastAsia="宋体" w:cs="宋体"/>
      <w:b/>
      <w:bCs/>
      <w:color w:val="000000"/>
      <w:sz w:val="21"/>
      <w:szCs w:val="21"/>
      <w:u w:val="none"/>
    </w:rPr>
  </w:style>
  <w:style w:type="character" w:customStyle="1" w:styleId="22">
    <w:name w:val="font61"/>
    <w:basedOn w:val="11"/>
    <w:qFormat/>
    <w:uiPriority w:val="0"/>
    <w:rPr>
      <w:rFonts w:hint="eastAsia" w:ascii="宋体" w:hAnsi="宋体" w:eastAsia="宋体" w:cs="宋体"/>
      <w:color w:val="000000"/>
      <w:sz w:val="21"/>
      <w:szCs w:val="21"/>
      <w:u w:val="none"/>
    </w:rPr>
  </w:style>
  <w:style w:type="character" w:customStyle="1" w:styleId="23">
    <w:name w:val="font01"/>
    <w:basedOn w:val="11"/>
    <w:qFormat/>
    <w:uiPriority w:val="0"/>
    <w:rPr>
      <w:rFonts w:hint="default" w:ascii="Times New Roman" w:hAnsi="Times New Roman" w:cs="Times New Roman"/>
      <w:color w:val="000000"/>
      <w:sz w:val="21"/>
      <w:szCs w:val="21"/>
      <w:u w:val="none"/>
    </w:rPr>
  </w:style>
  <w:style w:type="character" w:customStyle="1" w:styleId="24">
    <w:name w:val="font3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297</Words>
  <Characters>1695</Characters>
  <Lines>14</Lines>
  <Paragraphs>3</Paragraphs>
  <TotalTime>9</TotalTime>
  <ScaleCrop>false</ScaleCrop>
  <LinksUpToDate>false</LinksUpToDate>
  <CharactersWithSpaces>1989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2019-05-16T01:28:00Z</dcterms:created>
  <dc:creator>qq</dc:creator>
  <cp:lastModifiedBy>greatwall</cp:lastModifiedBy>
  <cp:lastPrinted>2021-04-08T16:57:00Z</cp:lastPrinted>
  <dcterms:modified xsi:type="dcterms:W3CDTF">2021-11-04T17:34:26Z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B49C8A6E4C614572B23591C18C35E6A5</vt:lpwstr>
  </property>
</Properties>
</file>