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Style w:val="6"/>
          <w:rFonts w:ascii="方正小标宋简体" w:eastAsia="方正小标宋简体"/>
          <w:b w:val="0"/>
          <w:bCs/>
          <w:kern w:val="0"/>
          <w:sz w:val="44"/>
          <w:szCs w:val="44"/>
          <w:lang w:bidi="ar"/>
        </w:rPr>
      </w:pPr>
      <w:bookmarkStart w:id="0" w:name="_GoBack"/>
      <w:r>
        <w:rPr>
          <w:rStyle w:val="6"/>
          <w:rFonts w:hint="eastAsia" w:ascii="方正小标宋简体" w:eastAsia="方正小标宋简体"/>
          <w:b w:val="0"/>
          <w:bCs/>
          <w:kern w:val="0"/>
          <w:sz w:val="44"/>
          <w:szCs w:val="44"/>
          <w:lang w:eastAsia="zh-CN" w:bidi="ar"/>
        </w:rPr>
        <w:t>关于绍兴</w:t>
      </w:r>
      <w:r>
        <w:rPr>
          <w:rStyle w:val="6"/>
          <w:rFonts w:hint="eastAsia" w:ascii="方正小标宋简体" w:eastAsia="方正小标宋简体"/>
          <w:b w:val="0"/>
          <w:bCs/>
          <w:kern w:val="0"/>
          <w:sz w:val="44"/>
          <w:szCs w:val="44"/>
          <w:lang w:bidi="ar"/>
        </w:rPr>
        <w:t>市义务教育阶段</w:t>
      </w:r>
      <w:r>
        <w:rPr>
          <w:rStyle w:val="6"/>
          <w:rFonts w:hint="eastAsia" w:ascii="方正小标宋简体" w:eastAsia="方正小标宋简体"/>
          <w:b w:val="0"/>
          <w:bCs/>
          <w:kern w:val="0"/>
          <w:sz w:val="44"/>
          <w:szCs w:val="44"/>
          <w:lang w:eastAsia="zh-CN" w:bidi="ar"/>
        </w:rPr>
        <w:t>线下</w:t>
      </w:r>
      <w:r>
        <w:rPr>
          <w:rStyle w:val="6"/>
          <w:rFonts w:hint="eastAsia" w:ascii="方正小标宋简体" w:eastAsia="方正小标宋简体"/>
          <w:b w:val="0"/>
          <w:bCs/>
          <w:kern w:val="0"/>
          <w:sz w:val="44"/>
          <w:szCs w:val="44"/>
          <w:lang w:bidi="ar"/>
        </w:rPr>
        <w:t>学科类校外</w:t>
      </w:r>
    </w:p>
    <w:p>
      <w:pPr>
        <w:widowControl/>
        <w:spacing w:line="560" w:lineRule="exact"/>
        <w:jc w:val="center"/>
        <w:rPr>
          <w:rStyle w:val="6"/>
          <w:rFonts w:hint="eastAsia" w:ascii="方正小标宋简体" w:eastAsia="方正小标宋简体"/>
          <w:b w:val="0"/>
          <w:bCs/>
          <w:kern w:val="0"/>
          <w:sz w:val="44"/>
          <w:szCs w:val="44"/>
          <w:lang w:bidi="ar"/>
        </w:rPr>
      </w:pPr>
      <w:r>
        <w:rPr>
          <w:rStyle w:val="6"/>
          <w:rFonts w:hint="eastAsia" w:ascii="方正小标宋简体" w:eastAsia="方正小标宋简体"/>
          <w:b w:val="0"/>
          <w:bCs/>
          <w:kern w:val="0"/>
          <w:sz w:val="44"/>
          <w:szCs w:val="44"/>
          <w:lang w:bidi="ar"/>
        </w:rPr>
        <w:t>培训收费</w:t>
      </w:r>
      <w:r>
        <w:rPr>
          <w:rStyle w:val="6"/>
          <w:rFonts w:hint="eastAsia" w:ascii="方正小标宋简体" w:eastAsia="方正小标宋简体"/>
          <w:b w:val="0"/>
          <w:bCs/>
          <w:kern w:val="0"/>
          <w:sz w:val="44"/>
          <w:szCs w:val="44"/>
          <w:lang w:eastAsia="zh-CN" w:bidi="ar"/>
        </w:rPr>
        <w:t>标准</w:t>
      </w:r>
      <w:r>
        <w:rPr>
          <w:rStyle w:val="6"/>
          <w:rFonts w:hint="eastAsia" w:ascii="方正小标宋简体" w:eastAsia="方正小标宋简体"/>
          <w:b w:val="0"/>
          <w:bCs/>
          <w:kern w:val="0"/>
          <w:sz w:val="44"/>
          <w:szCs w:val="44"/>
          <w:lang w:bidi="ar"/>
        </w:rPr>
        <w:t>的</w:t>
      </w:r>
      <w:r>
        <w:rPr>
          <w:rStyle w:val="6"/>
          <w:rFonts w:hint="eastAsia" w:ascii="方正小标宋简体" w:eastAsia="方正小标宋简体"/>
          <w:b w:val="0"/>
          <w:bCs/>
          <w:kern w:val="0"/>
          <w:sz w:val="44"/>
          <w:szCs w:val="44"/>
          <w:lang w:eastAsia="zh-CN" w:bidi="ar"/>
        </w:rPr>
        <w:t>通知</w:t>
      </w:r>
    </w:p>
    <w:bookmarkEnd w:id="0"/>
    <w:p>
      <w:pPr>
        <w:widowControl/>
        <w:spacing w:line="560" w:lineRule="exact"/>
        <w:ind w:firstLine="420" w:firstLineChars="200"/>
        <w:rPr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各有关单位：</w:t>
      </w:r>
    </w:p>
    <w:p>
      <w:pPr>
        <w:ind w:firstLine="640"/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为有效减轻义务教育阶段学生校外培训负担，规范学科类校外培训收费管理，根据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国家发展改革委、教育部、市场监管总局《关于加强义务教育阶段学科类校外培训收费监管的通知》（发改价格〔2021〕1279号）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省发展改革委、省教育厅、省市场监管局《关于加强义务教育阶段学科类校外培训收费管理的通知》（浙发改价格〔2021〕378号）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和《绍兴市加强义务教育阶段学科类校外培训收费管理实施方案》（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绍市发改价〔2021〕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14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号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），现就我市义务教育阶段线下学科类校外培训收费有关事项通知如下：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一、实施范围</w:t>
      </w:r>
    </w:p>
    <w:p>
      <w:pPr>
        <w:ind w:firstLine="640"/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绍兴市义务教育阶段线下学科类校外培训机构培训收费。学科类校外培训范围包括道德与法治、语文、历史、地理、数学、外语（英语、日语、俄语）、科学（物理、化学、生物）等国家课程标准规定的学习内容，具体可参照《浙江省义务教育阶段校外培训机构学科类和非学科类项目鉴定指引（试行）》。</w:t>
      </w:r>
    </w:p>
    <w:p>
      <w:pPr>
        <w:numPr>
          <w:ilvl w:val="0"/>
          <w:numId w:val="1"/>
        </w:numPr>
        <w:ind w:firstLine="640"/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收费标准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1. 义务教育阶段线下学科类校外培训基准收费标准和浮动幅度为：</w:t>
      </w:r>
    </w:p>
    <w:tbl>
      <w:tblPr>
        <w:tblStyle w:val="4"/>
        <w:tblW w:w="0" w:type="auto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1269"/>
        <w:gridCol w:w="2212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</w:trPr>
        <w:tc>
          <w:tcPr>
            <w:tcW w:w="2556" w:type="dxa"/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rFonts w:eastAsia="黑体"/>
                <w:kern w:val="0"/>
                <w:sz w:val="24"/>
                <w:szCs w:val="24"/>
                <w:lang w:bidi="ar"/>
              </w:rPr>
            </w:pPr>
            <w:r>
              <w:rPr>
                <w:rFonts w:eastAsia="黑体"/>
                <w:kern w:val="0"/>
                <w:sz w:val="24"/>
                <w:szCs w:val="24"/>
                <w:lang w:bidi="ar"/>
              </w:rPr>
              <w:t>班型</w:t>
            </w:r>
          </w:p>
        </w:tc>
        <w:tc>
          <w:tcPr>
            <w:tcW w:w="1269" w:type="dxa"/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rFonts w:eastAsia="黑体"/>
                <w:kern w:val="0"/>
                <w:sz w:val="24"/>
                <w:szCs w:val="24"/>
                <w:lang w:bidi="ar"/>
              </w:rPr>
            </w:pPr>
            <w:r>
              <w:rPr>
                <w:rFonts w:eastAsia="黑体"/>
                <w:kern w:val="0"/>
                <w:sz w:val="24"/>
                <w:szCs w:val="24"/>
                <w:lang w:bidi="ar"/>
              </w:rPr>
              <w:t>课程时长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rFonts w:eastAsia="黑体"/>
                <w:kern w:val="0"/>
                <w:sz w:val="24"/>
                <w:szCs w:val="24"/>
                <w:lang w:bidi="ar"/>
              </w:rPr>
            </w:pPr>
            <w:r>
              <w:rPr>
                <w:rFonts w:eastAsia="黑体"/>
                <w:kern w:val="0"/>
                <w:sz w:val="24"/>
                <w:szCs w:val="24"/>
                <w:lang w:bidi="ar"/>
              </w:rPr>
              <w:t>基准价</w:t>
            </w:r>
          </w:p>
        </w:tc>
        <w:tc>
          <w:tcPr>
            <w:tcW w:w="2558" w:type="dxa"/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rFonts w:eastAsia="黑体"/>
                <w:kern w:val="0"/>
                <w:sz w:val="24"/>
                <w:szCs w:val="24"/>
                <w:lang w:bidi="ar"/>
              </w:rPr>
            </w:pPr>
            <w:r>
              <w:rPr>
                <w:rFonts w:eastAsia="黑体"/>
                <w:kern w:val="0"/>
                <w:sz w:val="24"/>
                <w:szCs w:val="24"/>
                <w:lang w:bidi="ar"/>
              </w:rPr>
              <w:t>浮动幅度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56" w:type="dxa"/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10人以下</w:t>
            </w:r>
          </w:p>
        </w:tc>
        <w:tc>
          <w:tcPr>
            <w:tcW w:w="1269" w:type="dxa"/>
            <w:vMerge w:val="restart"/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20" w:lineRule="exact"/>
              <w:jc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45分钟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widowControl/>
              <w:spacing w:line="420" w:lineRule="exact"/>
              <w:ind w:firstLine="240" w:firstLineChars="100"/>
              <w:jc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"/>
              </w:rPr>
              <w:t>55</w:t>
            </w:r>
            <w:r>
              <w:rPr>
                <w:kern w:val="0"/>
                <w:sz w:val="24"/>
                <w:szCs w:val="24"/>
                <w:lang w:bidi="ar"/>
              </w:rPr>
              <w:t>元/课时人次</w:t>
            </w:r>
          </w:p>
        </w:tc>
        <w:tc>
          <w:tcPr>
            <w:tcW w:w="2558" w:type="dxa"/>
            <w:vMerge w:val="restart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上浮不超过10%，下浮不限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6" w:type="dxa"/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10-35人</w:t>
            </w:r>
          </w:p>
        </w:tc>
        <w:tc>
          <w:tcPr>
            <w:tcW w:w="1269" w:type="dxa"/>
            <w:vMerge w:val="continue"/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widowControl/>
              <w:spacing w:line="420" w:lineRule="exact"/>
              <w:ind w:firstLine="240" w:firstLineChars="100"/>
              <w:jc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kern w:val="0"/>
                <w:sz w:val="24"/>
                <w:szCs w:val="24"/>
                <w:lang w:bidi="ar"/>
              </w:rPr>
              <w:t>元/课时人次</w:t>
            </w:r>
          </w:p>
        </w:tc>
        <w:tc>
          <w:tcPr>
            <w:tcW w:w="2558" w:type="dxa"/>
            <w:vMerge w:val="continue"/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6" w:type="dxa"/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35人以上</w:t>
            </w:r>
          </w:p>
        </w:tc>
        <w:tc>
          <w:tcPr>
            <w:tcW w:w="1269" w:type="dxa"/>
            <w:vMerge w:val="continue"/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widowControl/>
              <w:spacing w:line="420" w:lineRule="exact"/>
              <w:ind w:firstLine="240" w:firstLineChars="100"/>
              <w:jc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kern w:val="0"/>
                <w:sz w:val="24"/>
                <w:szCs w:val="24"/>
                <w:lang w:bidi="ar"/>
              </w:rPr>
              <w:t>元/课时人次</w:t>
            </w:r>
          </w:p>
        </w:tc>
        <w:tc>
          <w:tcPr>
            <w:tcW w:w="2558" w:type="dxa"/>
            <w:vMerge w:val="continue"/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ind w:firstLine="640"/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2. 各培训机构在基准收费标准和浮动幅度内，确定具体收费标准。其中：45分钟为标准课程时长。</w:t>
      </w:r>
    </w:p>
    <w:p>
      <w:pPr>
        <w:ind w:firstLine="640"/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三、收费监管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1. 各政府有关单位要认真贯彻落实《绍兴市加强义务教育阶段学科类校外培训收费管理实施方案》（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绍市发改价〔2021〕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14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号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）精神，加强收费监管和宣传指导工作，督促线下学科类校外培训机构进一步统一思想，严格执行政府指导价，自觉接受社会监督和政府管理。</w:t>
      </w:r>
    </w:p>
    <w:p>
      <w:pPr>
        <w:ind w:firstLine="640"/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2. 各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培训机构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应按照规定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通过网站、收费场所、线上应用程序、公开媒体等途径，将学科类校外培训项目、培训内容、培训时长、收费标准、教师资质等信息提前向社会公开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；全面使用教育部和市场监管总局统一制定的《中小学生校外培训服务合同（示范文本）》，严格履行合同义务，规范收费行为，不得以任何理由、任何方式提高或变相提高政府制定的培训收费标准，不得在培训费外另行收取其他费用。</w:t>
      </w:r>
    </w:p>
    <w:p>
      <w:pPr>
        <w:ind w:firstLine="640"/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四、执行时间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本通知自2021年12月20日起执行。</w:t>
      </w:r>
    </w:p>
    <w:p>
      <w:pPr>
        <w:ind w:firstLine="640"/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五、其它事项</w:t>
      </w:r>
    </w:p>
    <w:p>
      <w:pPr>
        <w:ind w:firstLine="640"/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对面向普通高中学生的学科类校外培训收费的管理，参照执行。</w:t>
      </w:r>
    </w:p>
    <w:p>
      <w:pP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 xml:space="preserve">绍兴市发展和改革委员会 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 xml:space="preserve">绍兴市教育局 </w:t>
      </w:r>
    </w:p>
    <w:p>
      <w:pPr>
        <w:ind w:firstLine="640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ind w:firstLine="640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ind w:firstLine="4166" w:firstLineChars="1302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绍兴市市场监管局</w:t>
      </w:r>
    </w:p>
    <w:p>
      <w:pPr>
        <w:ind w:firstLine="640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" w:eastAsia="zh-CN" w:bidi="ar"/>
        </w:rPr>
      </w:pPr>
    </w:p>
    <w:p>
      <w:pPr>
        <w:ind w:firstLine="640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" w:eastAsia="zh-CN" w:bidi="ar"/>
        </w:rPr>
      </w:pPr>
    </w:p>
    <w:p>
      <w:pPr>
        <w:ind w:firstLine="5766" w:firstLineChars="1802"/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" w:eastAsia="zh-CN" w:bidi="ar"/>
        </w:rPr>
        <w:t>2021年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 xml:space="preserve">月   日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EDC710"/>
    <w:multiLevelType w:val="singleLevel"/>
    <w:tmpl w:val="EBEDC71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D1C56"/>
    <w:rsid w:val="3F6D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420" w:leftChars="200" w:firstLine="420" w:firstLineChars="200"/>
    </w:pPr>
  </w:style>
  <w:style w:type="paragraph" w:styleId="3">
    <w:name w:val="Body Text Indent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市发改委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2021-12-01T09:08:00Z</dcterms:created>
  <dc:creator>-邵嘉达</dc:creator>
  <cp:lastModifiedBy>-邵嘉达</cp:lastModifiedBy>
  <dcterms:modified xsi:type="dcterms:W3CDTF">2021-12-01T09:10:21Z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F45C6884088C4BA880F76B4E5D238EDE</vt:lpwstr>
  </property>
</Properties>
</file>