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企业投资工业项目标准地“极简极速”审批改革的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实施意见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起草说明</w:t>
      </w:r>
    </w:p>
    <w:p>
      <w:pPr>
        <w:spacing w:line="560" w:lineRule="exact"/>
        <w:jc w:val="center"/>
        <w:rPr>
          <w:rFonts w:hint="eastAsia" w:ascii="Times New Roman" w:hAnsi="Times New Roman" w:cs="Times New Roman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firstLine="643" w:firstLineChars="200"/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制定本文件的必要性和可行性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进一步加快企业投资工业项目标准地“极简极速”审批改革，提高企业投资项目审批效率和服务质量，持续擦亮“标准地”改革金名片，打造营商生态环境最优区，推进金义新区（金东区）高质量发展，在2021年4月下发的《金义新区（金东区）企业投资工业项目标准地“极简极速”审批改革实施意见（试行）》【金区政办〔2021〕20号】文件基础上，针对责任主体不明确，标准地不标准，办事流程不通畅，标准不统一等问题提出完善“极简极速”审批改革相关举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540" w:lineRule="exact"/>
        <w:ind w:left="0" w:leftChars="0" w:firstLine="643" w:firstLineChars="200"/>
        <w:rPr>
          <w:rFonts w:hint="eastAsia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制定本文件的法律和政策依据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1、关于完善市区城市基础设施配套费征收管理有关事项的通知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2、金东区工业园区“二次开发”领导小组关于明确工业园区“二次开发”有关事项的意见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3、省发展改革委关于进一步加强和规范投资在线平台3.0（工程审批系统2.0）应用的函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4、浙江省一般企业投资项目审批“最多80天”改革工作指引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5、省发展改革委关于全面开展2021年度企业投资低风险小型项目审批“最多15个工作日”改革的通知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6、关于印发《中国（浙江）自由贸易试验区金义片区（金东）建设方案》的通知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三、本文件拟解决的主要问题以及拟采取的主要措施</w:t>
      </w:r>
    </w:p>
    <w:p>
      <w:pPr>
        <w:spacing w:line="60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拟解决的主要问题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在2021年4月下发的《金义新区（金东区）企业投资工业项目标准地“极简极速”审批改革实施意见（试行）》【金区政办〔2021〕20号】文件基础上，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解决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责任主体不明确，标准地不标准，办事流程不通畅，标准不统一等问题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（二）拟采取的主要措施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明确做地主体。资规分局负责编报年度出让地块计划，各责任主体严格按照“七通一平一围墙”等要求做好地块标准化工作。东城50km²范围之内由新城建管中心作为做地责任主体，西城60km²范围之内由新区开发中心作为做地责任主体，其余以各乡镇街道作为做地责任主体。强电搬迁由供电分局提出意见，弱电搬迁分别由移动、联通、电信、华数等单位提出意见，签订区级战略框架协议，区级各责任主体做好配合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优化招商环节。招引项目由投促中心牵头负责，内培项目由经商局牵头负责，包括低效用地盘活项目。牵头部门通过投资项目全周期数字化管理平台，征求相关部门、乡镇和平台意见，提出“标准地”地块经济技术、规划、能耗、环境等指标标准，增加总平图、地勘、施工图完成时间，并明确供地后2个月内不开工，按供地价收回土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3、优化供地环节。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资规分局严格执行土地出让双条件制度，通过投资项目全周期数字化管理平台征求相关部门、乡镇和平台意见，明确待出让地块做地达到标准地要求、投资方完成总平图和施工图方可</w:t>
      </w:r>
      <w:r>
        <w:rPr>
          <w:rFonts w:hint="eastAsia" w:eastAsia="仿宋_GB2312"/>
          <w:color w:val="2F00FF"/>
          <w:sz w:val="32"/>
          <w:szCs w:val="32"/>
          <w:lang w:val="en-US" w:eastAsia="zh-CN"/>
        </w:rPr>
        <w:t>挂牌公示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4、建立预审制度。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投资方完成总平图、施工图等资料后，通过投资项目全周期数字化管理平台提交资规、住建等部门审查，部门需在</w:t>
      </w:r>
      <w:r>
        <w:rPr>
          <w:rFonts w:hint="eastAsia" w:eastAsia="仿宋_GB2312"/>
          <w:color w:val="2F00FF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个工作日内受理，符合条件的，</w:t>
      </w:r>
      <w:r>
        <w:rPr>
          <w:rFonts w:hint="eastAsia" w:ascii="宋体" w:hAnsi="Calibri" w:eastAsia="仿宋_GB2312" w:cs="宋体"/>
          <w:color w:val="2F00FF"/>
          <w:kern w:val="0"/>
          <w:sz w:val="32"/>
          <w:szCs w:val="32"/>
          <w:lang w:val="en-US" w:eastAsia="zh-CN" w:bidi="ar-SA"/>
        </w:rPr>
        <w:t>受理后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3个工作日内完成</w:t>
      </w:r>
      <w:r>
        <w:rPr>
          <w:rFonts w:hint="eastAsia" w:eastAsia="仿宋_GB2312"/>
          <w:color w:val="2F00FF"/>
          <w:sz w:val="32"/>
          <w:szCs w:val="32"/>
          <w:lang w:val="en-US" w:eastAsia="zh-CN"/>
        </w:rPr>
        <w:t>预审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；不符合条件的，办理意见一次性告知，全过程留痕。在土地出让公告前，资规分局完成总平图预审服务，住建完成施工图预审委托；其余审批事项在摘牌前完成预审服务。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5、规范低风险小型项目标准。总建筑面积不大于10000平方米，功能单一、技术要求简单（包括采用桩基）的普通仓库、标准厂房、创新性产业用地项目，纳入低风险小型项目标准。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6、规范配套费征收标准。为鼓励土地集约、节约利用，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对已完成投资协议容积率或已按土地面积征收的工业用地，企业扩大生产性用房，改建、扩建、翻建多层厂房，由园区二次开发办书面提出减免相应的城市基础设施配套费，住建部门依据园区二次开发办的意见办理相关手续。</w:t>
      </w:r>
      <w:r>
        <w:rPr>
          <w:rFonts w:hint="eastAsia" w:eastAsia="仿宋_GB2312"/>
          <w:color w:val="2F00FF"/>
          <w:sz w:val="32"/>
          <w:szCs w:val="32"/>
          <w:lang w:val="en-US" w:eastAsia="zh-CN"/>
        </w:rPr>
        <w:t>低风险小型项目免征城市基础设施配套费。</w:t>
      </w:r>
    </w:p>
    <w:p>
      <w:pPr>
        <w:widowControl/>
        <w:spacing w:line="54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四、起草过程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1、调研论证情况。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金东区发改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部门进行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中期的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调研论证。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8月底对接相关部门探讨完善办法，并向主要领导汇报，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拟出讨论稿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2、征求意见情况。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8月6日向各部门、乡镇书面征求意见并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在区政府门户网站（或书面征求意见、或召开座谈会、听证会形式等方式）公开征求意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见。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3、本部门对文件的法制审查情况。文件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已经由本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单位综合体改科法制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审核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法律顾问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出具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法律审查意见。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、文件的施行日期是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2021年12 月15日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36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起草部门：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金华市金东区发展和改革局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</w:t>
      </w:r>
    </w:p>
    <w:p>
      <w:pPr>
        <w:spacing w:line="36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3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7C948"/>
    <w:multiLevelType w:val="singleLevel"/>
    <w:tmpl w:val="8037C9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A4057"/>
    <w:rsid w:val="04FD635A"/>
    <w:rsid w:val="05BB6686"/>
    <w:rsid w:val="061E7D09"/>
    <w:rsid w:val="081649D6"/>
    <w:rsid w:val="0AAA4057"/>
    <w:rsid w:val="0F804CC4"/>
    <w:rsid w:val="0FEA5294"/>
    <w:rsid w:val="10BC51B2"/>
    <w:rsid w:val="11BB1C04"/>
    <w:rsid w:val="145C64EA"/>
    <w:rsid w:val="175A6D19"/>
    <w:rsid w:val="1D4D401E"/>
    <w:rsid w:val="237D58E5"/>
    <w:rsid w:val="34890906"/>
    <w:rsid w:val="3B441F6A"/>
    <w:rsid w:val="43D370CB"/>
    <w:rsid w:val="4B7F2E74"/>
    <w:rsid w:val="4DC06CAF"/>
    <w:rsid w:val="5534170A"/>
    <w:rsid w:val="59D46618"/>
    <w:rsid w:val="5E983BBF"/>
    <w:rsid w:val="64505F20"/>
    <w:rsid w:val="65B457D0"/>
    <w:rsid w:val="793A01A3"/>
    <w:rsid w:val="7FC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潘泽专用黑体"/>
    <w:basedOn w:val="1"/>
    <w:qFormat/>
    <w:uiPriority w:val="0"/>
    <w:pPr>
      <w:spacing w:line="600" w:lineRule="exact"/>
      <w:ind w:firstLine="880" w:firstLineChars="200"/>
    </w:pPr>
    <w:rPr>
      <w:rFonts w:eastAsia="黑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2019-10-10T00:48:00Z</dcterms:created>
  <dc:creator>ZX</dc:creator>
  <cp:lastModifiedBy>水门柬</cp:lastModifiedBy>
  <dcterms:modified xsi:type="dcterms:W3CDTF">2022-02-25T04:04:43Z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