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8"/>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Borders>
              <w:top w:val="nil"/>
              <w:left w:val="nil"/>
              <w:bottom w:val="nil"/>
              <w:right w:val="nil"/>
            </w:tcBorders>
          </w:tcPr>
          <w:p>
            <w:pPr>
              <w:pStyle w:val="33"/>
            </w:pPr>
            <w:r>
              <w:rPr>
                <w:rFonts w:hint="eastAsia"/>
              </w:rPr>
              <w:t xml:space="preserve"> </w:t>
            </w:r>
          </w:p>
        </w:tc>
      </w:tr>
    </w:tbl>
    <w:p>
      <w:pPr>
        <w:pStyle w:val="34"/>
      </w:pPr>
      <w:r>
        <w:t>DB</w:t>
      </w:r>
    </w:p>
    <w:p>
      <w:pPr>
        <w:pStyle w:val="36"/>
      </w:pPr>
      <w:r>
        <w:rPr>
          <w:rFonts w:hint="eastAsia"/>
        </w:rPr>
        <w:t>浙江省绍兴市地方标准</w:t>
      </w:r>
    </w:p>
    <w:p>
      <w:pPr>
        <w:pStyle w:val="37"/>
        <w:rPr>
          <w:rFonts w:hAnsi="黑体"/>
        </w:rPr>
      </w:pPr>
      <w:r>
        <w:rPr>
          <w:rFonts w:ascii="Times New Roman"/>
        </w:rPr>
        <w:t xml:space="preserve">DB </w:t>
      </w:r>
      <w:r>
        <w:rPr>
          <w:rFonts w:hint="eastAsia" w:ascii="Times New Roman"/>
        </w:rPr>
        <w:t>3306</w:t>
      </w:r>
      <w:r>
        <w:rPr>
          <w:rFonts w:hAnsi="黑体"/>
        </w:rPr>
        <w:t>/</w:t>
      </w:r>
      <w:r>
        <w:rPr>
          <w:rFonts w:hint="eastAsia" w:hAnsi="黑体"/>
        </w:rPr>
        <w:t>T</w:t>
      </w:r>
      <w:r>
        <w:rPr>
          <w:rFonts w:hAnsi="黑体"/>
        </w:rPr>
        <w:t xml:space="preserve"> </w:t>
      </w:r>
      <w:r>
        <w:rPr>
          <w:rFonts w:hint="eastAsia" w:hAnsi="黑体"/>
        </w:rPr>
        <w:t>XXXX</w:t>
      </w:r>
      <w:r>
        <w:rPr>
          <w:rFonts w:hAnsi="黑体"/>
        </w:rPr>
        <w:t>—</w:t>
      </w:r>
      <w:r>
        <w:rPr>
          <w:rFonts w:hint="eastAsia" w:hAnsi="黑体"/>
        </w:rPr>
        <w:t>XXXX</w:t>
      </w:r>
    </w:p>
    <w:tbl>
      <w:tblPr>
        <w:tblStyle w:val="18"/>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tcPr>
          <w:p>
            <w:pPr>
              <w:pStyle w:val="38"/>
            </w:pPr>
            <w:r>
              <mc:AlternateContent>
                <mc:Choice Requires="wps">
                  <w:drawing>
                    <wp:anchor distT="0" distB="0" distL="114300" distR="114300" simplePos="0" relativeHeight="251658240"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矩形 1"/>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372.8pt;margin-top:2.7pt;height:18pt;width:90pt;z-index:-251658240;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HmDyy9YAAAAIAQAADwAAAAAAAAABACAAAAAiAAAA&#10;ZHJzL2Rvd25yZXYueG1sUEsBAhQAFAAAAAgAh07iQFCdlkyXAQAAHAMAAA4AAAAAAAAAAQAgAAAA&#10;JQEAAGRycy9lMm9Eb2MueG1sUEsFBgAAAAAGAAYAWQEAAC4FAAAAAA==&#10;">
                      <v:fill on="t" focussize="0,0"/>
                      <v:stroke on="f"/>
                      <v:imagedata o:title=""/>
                      <o:lock v:ext="edit" aspectratio="f"/>
                      <v:textbox>
                        <w:txbxContent>
                          <w:p/>
                        </w:txbxContent>
                      </v:textbox>
                    </v:rect>
                  </w:pict>
                </mc:Fallback>
              </mc:AlternateContent>
            </w:r>
          </w:p>
        </w:tc>
      </w:tr>
    </w:tbl>
    <w:p>
      <w:pPr>
        <w:pStyle w:val="37"/>
        <w:rPr>
          <w:rFonts w:hAnsi="黑体"/>
        </w:rPr>
      </w:pPr>
    </w:p>
    <w:p>
      <w:pPr>
        <w:pStyle w:val="37"/>
        <w:rPr>
          <w:rFonts w:hAnsi="黑体"/>
        </w:rPr>
      </w:pPr>
    </w:p>
    <w:p>
      <w:pPr>
        <w:pStyle w:val="39"/>
        <w:framePr w:x="1258" w:y="4728"/>
      </w:pPr>
      <w:r>
        <w:rPr>
          <w:rFonts w:hint="eastAsia"/>
        </w:rPr>
        <w:t>非遗研学游基地认定标准</w:t>
      </w:r>
    </w:p>
    <w:p>
      <w:pPr>
        <w:pStyle w:val="41"/>
        <w:framePr w:x="1258" w:y="4728"/>
      </w:pPr>
      <w:r>
        <w:rPr>
          <w:rFonts w:hint="eastAsia"/>
        </w:rPr>
        <w:t>Evaluation standard of intangible cultural heritage study travel base</w:t>
      </w:r>
    </w:p>
    <w:tbl>
      <w:tblPr>
        <w:tblStyle w:val="18"/>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pStyle w:val="42"/>
              <w:framePr w:x="1258" w:y="4728"/>
            </w:pPr>
            <w:r>
              <mc:AlternateContent>
                <mc:Choice Requires="wps">
                  <w:drawing>
                    <wp:anchor distT="0" distB="0" distL="114300" distR="114300" simplePos="0" relativeHeight="251660288"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2" name="矩形 2"/>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173.3pt;margin-top:45.15pt;height:20pt;width:150pt;z-index:-251656192;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BYmuktUAAAAKAQAADwAAAAAAAAABACAAAAAiAAAA&#10;ZHJzL2Rvd25yZXYueG1sUEsBAhQAFAAAAAgAh07iQDBtLkmYAQAAHAMAAA4AAAAAAAAAAQAgAAAA&#10;JAEAAGRycy9lMm9Eb2MueG1sUEsFBgAAAAAGAAYAWQEAAC4FAAAAAA==&#10;">
                      <v:fill on="t" focussize="0,0"/>
                      <v:stroke on="f"/>
                      <v:imagedata o:title=""/>
                      <o:lock v:ext="edit" aspectratio="f"/>
                      <v:textbox>
                        <w:txbxContent>
                          <w:p/>
                        </w:txbxContent>
                      </v:textbox>
                      <w10:anchorlock/>
                    </v:rect>
                  </w:pict>
                </mc:Fallback>
              </mc:AlternateContent>
            </w:r>
            <w:r>
              <mc:AlternateContent>
                <mc:Choice Requires="wps">
                  <w:drawing>
                    <wp:anchor distT="0" distB="0" distL="114300" distR="114300" simplePos="0" relativeHeight="251659264" behindDoc="1" locked="0" layoutInCell="1" allowOverlap="1">
                      <wp:simplePos x="0" y="0"/>
                      <wp:positionH relativeFrom="column">
                        <wp:posOffset>2454910</wp:posOffset>
                      </wp:positionH>
                      <wp:positionV relativeFrom="paragraph">
                        <wp:posOffset>255905</wp:posOffset>
                      </wp:positionV>
                      <wp:extent cx="1270000" cy="304800"/>
                      <wp:effectExtent l="0" t="0" r="0" b="0"/>
                      <wp:wrapNone/>
                      <wp:docPr id="4" name="矩形 4"/>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193.3pt;margin-top:20.15pt;height:24pt;width:100pt;z-index:-251657216;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APhi+XWAAAACQEAAA8AAAAAAAAAAQAgAAAAIgAA&#10;AGRycy9kb3ducmV2LnhtbFBLAQIUABQAAAAIAIdO4kByeS6TmAEAABwDAAAOAAAAAAAAAAEAIAAA&#10;ACUBAABkcnMvZTJvRG9jLnhtbFBLBQYAAAAABgAGAFkBAAAvBQAAAAA=&#10;">
                      <v:fill on="t" focussize="0,0"/>
                      <v:stroke on="f"/>
                      <v:imagedata o:title=""/>
                      <o:lock v:ext="edit" aspectratio="f"/>
                      <v:textbox>
                        <w:txbxContent>
                          <w:p/>
                        </w:txbxContent>
                      </v:textbox>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pStyle w:val="43"/>
              <w:framePr w:x="1258" w:y="4728"/>
            </w:pPr>
            <w:r>
              <w:rPr>
                <w:rFonts w:hint="eastAsia"/>
              </w:rPr>
              <w:t>（征求意见稿）</w:t>
            </w:r>
            <w:bookmarkStart w:id="76" w:name="_GoBack"/>
            <w:bookmarkEnd w:id="76"/>
          </w:p>
        </w:tc>
      </w:tr>
    </w:tbl>
    <w:p>
      <w:pPr>
        <w:pStyle w:val="44"/>
        <w:framePr w:hAnchor="page" w:x="1191" w:y="14091"/>
      </w:pPr>
      <w:r>
        <w:rPr>
          <w:rFonts w:hint="eastAsia" w:ascii="黑体"/>
        </w:rPr>
        <w:t>XXXX</w:t>
      </w:r>
      <w:r>
        <w:t xml:space="preserve"> </w:t>
      </w:r>
      <w:r>
        <w:rPr>
          <w:rFonts w:ascii="黑体"/>
        </w:rPr>
        <w:t>-</w:t>
      </w:r>
      <w:r>
        <w:t xml:space="preserve"> </w:t>
      </w:r>
      <w:r>
        <w:rPr>
          <w:rFonts w:hint="eastAsia" w:ascii="黑体"/>
        </w:rPr>
        <w:t>XX</w:t>
      </w:r>
      <w:r>
        <w:t xml:space="preserve"> </w:t>
      </w:r>
      <w:r>
        <w:rPr>
          <w:rFonts w:ascii="黑体"/>
        </w:rPr>
        <w:t>-</w:t>
      </w:r>
      <w:r>
        <w:t xml:space="preserve"> </w:t>
      </w:r>
      <w:r>
        <w:rPr>
          <w:rFonts w:hint="eastAsia" w:ascii="黑体"/>
        </w:rPr>
        <w:t>XX</w:t>
      </w:r>
      <w:r>
        <w:rPr>
          <w:rFonts w:hint="eastAsia"/>
        </w:rPr>
        <w:t>发布</w:t>
      </w:r>
      <w: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9251950</wp:posOffset>
                </wp:positionV>
                <wp:extent cx="612013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05pt;margin-top:728.5pt;height:0pt;width:481.9pt;mso-position-vertical-relative:page;z-index:251662336;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YdrPNYAAAALAQAADwAAAAAAAAABACAAAAAiAAAA&#10;ZHJzL2Rvd25yZXYueG1sUEsBAhQAFAAAAAgAh07iQOUTqT3QAQAAigMAAA4AAAAAAAAAAQAgAAAA&#10;JQEAAGRycy9lMm9Eb2MueG1sUEsFBgAAAAAGAAYAWQEAAGcFAAAAAA==&#10;">
                <v:fill on="f" focussize="0,0"/>
                <v:stroke color="#000000" joinstyle="round"/>
                <v:imagedata o:title=""/>
                <o:lock v:ext="edit" aspectratio="f"/>
                <w10:anchorlock/>
              </v:line>
            </w:pict>
          </mc:Fallback>
        </mc:AlternateContent>
      </w:r>
    </w:p>
    <w:p>
      <w:pPr>
        <w:pStyle w:val="46"/>
        <w:jc w:val="left"/>
      </w:pPr>
      <w:r>
        <w:rPr>
          <w:rFonts w:hint="eastAsia" w:ascii="黑体"/>
        </w:rPr>
        <w:t>XXXX</w:t>
      </w:r>
      <w:r>
        <w:t xml:space="preserve"> </w:t>
      </w:r>
      <w:r>
        <w:rPr>
          <w:rFonts w:ascii="黑体"/>
        </w:rPr>
        <w:t>-</w:t>
      </w:r>
      <w:r>
        <w:t xml:space="preserve"> </w:t>
      </w:r>
      <w:r>
        <w:rPr>
          <w:rFonts w:hint="eastAsia" w:ascii="黑体"/>
        </w:rPr>
        <w:t>XX</w:t>
      </w:r>
      <w:r>
        <w:t xml:space="preserve"> </w:t>
      </w:r>
      <w:r>
        <w:rPr>
          <w:rFonts w:ascii="黑体"/>
        </w:rPr>
        <w:t>-</w:t>
      </w:r>
      <w:r>
        <w:t xml:space="preserve"> </w:t>
      </w:r>
      <w:r>
        <w:rPr>
          <w:rFonts w:hint="eastAsia" w:ascii="黑体"/>
        </w:rPr>
        <w:t>XX</w:t>
      </w:r>
      <w:r>
        <w:rPr>
          <w:rFonts w:hint="eastAsia"/>
        </w:rPr>
        <w:t>实施</w:t>
      </w:r>
    </w:p>
    <w:p>
      <w:pPr>
        <w:pStyle w:val="48"/>
      </w:pPr>
      <w:r>
        <w:rPr>
          <w:rFonts w:hAnsi="黑体"/>
        </w:rPr>
        <w:t>   </w:t>
      </w:r>
      <w:r>
        <w:rPr>
          <w:rStyle w:val="50"/>
          <w:rFonts w:hint="eastAsia"/>
        </w:rPr>
        <w:t>发布</w:t>
      </w:r>
    </w:p>
    <w:p>
      <w:pPr>
        <w:jc w:val="center"/>
        <w:rPr>
          <w:rFonts w:ascii="黑体" w:hAnsi="黑体" w:eastAsia="黑体" w:cs="黑体"/>
          <w:sz w:val="32"/>
          <w:szCs w:val="32"/>
        </w:rPr>
      </w:pPr>
    </w:p>
    <w:p>
      <w:pPr>
        <w:jc w:val="center"/>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sectPr>
          <w:footerReference r:id="rId3" w:type="default"/>
          <w:pgSz w:w="11906" w:h="16838"/>
          <w:pgMar w:top="1440" w:right="1080" w:bottom="1440" w:left="1080" w:header="851" w:footer="992" w:gutter="0"/>
          <w:pgNumType w:fmt="upperRoman" w:start="0"/>
          <w:cols w:space="425" w:num="1"/>
          <w:docGrid w:type="lines" w:linePitch="312" w:charSpace="0"/>
        </w:sectPr>
      </w:pPr>
    </w:p>
    <w:sdt>
      <w:sdtPr>
        <w:rPr>
          <w:rFonts w:ascii="宋体" w:hAnsi="宋体" w:eastAsia="宋体"/>
        </w:rPr>
        <w:id w:val="147482708"/>
        <w15:color w:val="DBDBDB"/>
      </w:sdtPr>
      <w:sdtEndPr>
        <w:rPr>
          <w:rFonts w:hint="eastAsia" w:ascii="黑体" w:hAnsi="黑体" w:eastAsia="黑体" w:cs="黑体"/>
          <w:szCs w:val="32"/>
        </w:rPr>
      </w:sdtEndPr>
      <w:sdtContent>
        <w:p>
          <w:pPr>
            <w:jc w:val="center"/>
            <w:rPr>
              <w:rFonts w:eastAsia="宋体"/>
            </w:rPr>
          </w:pPr>
          <w:r>
            <w:rPr>
              <w:rFonts w:hint="eastAsia" w:ascii="宋体" w:hAnsi="宋体" w:eastAsia="宋体"/>
            </w:rPr>
            <w:t>目  次</w:t>
          </w:r>
        </w:p>
        <w:p>
          <w:pPr>
            <w:pStyle w:val="13"/>
            <w:tabs>
              <w:tab w:val="right" w:leader="dot" w:pos="9736"/>
            </w:tabs>
            <w:rPr>
              <w:szCs w:val="2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TOC \o "1-1" \h \u </w:instrText>
          </w:r>
          <w:r>
            <w:rPr>
              <w:rFonts w:hint="eastAsia" w:ascii="黑体" w:hAnsi="黑体" w:eastAsia="黑体" w:cs="黑体"/>
              <w:sz w:val="32"/>
              <w:szCs w:val="32"/>
            </w:rPr>
            <w:fldChar w:fldCharType="separate"/>
          </w:r>
          <w:r>
            <w:fldChar w:fldCharType="begin"/>
          </w:r>
          <w:r>
            <w:instrText xml:space="preserve"> HYPERLINK \l "_Toc50012194" </w:instrText>
          </w:r>
          <w:r>
            <w:fldChar w:fldCharType="separate"/>
          </w:r>
          <w:r>
            <w:rPr>
              <w:rStyle w:val="16"/>
              <w:rFonts w:ascii="黑体" w:hAnsi="黑体" w:eastAsia="黑体" w:cs="黑体"/>
            </w:rPr>
            <w:t>前   言</w:t>
          </w:r>
          <w:r>
            <w:tab/>
          </w:r>
          <w:r>
            <w:fldChar w:fldCharType="begin"/>
          </w:r>
          <w:r>
            <w:instrText xml:space="preserve"> PAGEREF _Toc50012194 \h </w:instrText>
          </w:r>
          <w:r>
            <w:fldChar w:fldCharType="separate"/>
          </w:r>
          <w:r>
            <w:t>II</w:t>
          </w:r>
          <w:r>
            <w:fldChar w:fldCharType="end"/>
          </w:r>
          <w:r>
            <w:fldChar w:fldCharType="end"/>
          </w:r>
        </w:p>
        <w:p>
          <w:pPr>
            <w:pStyle w:val="13"/>
            <w:tabs>
              <w:tab w:val="right" w:leader="dot" w:pos="9736"/>
            </w:tabs>
            <w:rPr>
              <w:szCs w:val="22"/>
            </w:rPr>
          </w:pPr>
          <w:r>
            <w:fldChar w:fldCharType="begin"/>
          </w:r>
          <w:r>
            <w:instrText xml:space="preserve"> HYPERLINK \l "_Toc50012195" </w:instrText>
          </w:r>
          <w:r>
            <w:fldChar w:fldCharType="separate"/>
          </w:r>
          <w:r>
            <w:rPr>
              <w:rStyle w:val="16"/>
              <w:rFonts w:hAnsi="Times New Roman"/>
            </w:rPr>
            <w:t>1</w:t>
          </w:r>
          <w:r>
            <w:rPr>
              <w:rStyle w:val="16"/>
            </w:rPr>
            <w:t xml:space="preserve"> 范围</w:t>
          </w:r>
          <w:r>
            <w:tab/>
          </w:r>
          <w:r>
            <w:fldChar w:fldCharType="begin"/>
          </w:r>
          <w:r>
            <w:instrText xml:space="preserve"> PAGEREF _Toc50012195 \h </w:instrText>
          </w:r>
          <w:r>
            <w:fldChar w:fldCharType="separate"/>
          </w:r>
          <w:r>
            <w:t>1</w:t>
          </w:r>
          <w:r>
            <w:fldChar w:fldCharType="end"/>
          </w:r>
          <w:r>
            <w:fldChar w:fldCharType="end"/>
          </w:r>
        </w:p>
        <w:p>
          <w:pPr>
            <w:pStyle w:val="13"/>
            <w:tabs>
              <w:tab w:val="right" w:leader="dot" w:pos="9736"/>
            </w:tabs>
            <w:rPr>
              <w:szCs w:val="22"/>
            </w:rPr>
          </w:pPr>
          <w:r>
            <w:fldChar w:fldCharType="begin"/>
          </w:r>
          <w:r>
            <w:instrText xml:space="preserve"> HYPERLINK \l "_Toc50012196" </w:instrText>
          </w:r>
          <w:r>
            <w:fldChar w:fldCharType="separate"/>
          </w:r>
          <w:r>
            <w:rPr>
              <w:rStyle w:val="16"/>
              <w:rFonts w:hAnsi="Times New Roman"/>
            </w:rPr>
            <w:t>2</w:t>
          </w:r>
          <w:r>
            <w:rPr>
              <w:rStyle w:val="16"/>
            </w:rPr>
            <w:t xml:space="preserve"> 规范性引用文件</w:t>
          </w:r>
          <w:r>
            <w:tab/>
          </w:r>
          <w:r>
            <w:fldChar w:fldCharType="begin"/>
          </w:r>
          <w:r>
            <w:instrText xml:space="preserve"> PAGEREF _Toc50012196 \h </w:instrText>
          </w:r>
          <w:r>
            <w:fldChar w:fldCharType="separate"/>
          </w:r>
          <w:r>
            <w:t>1</w:t>
          </w:r>
          <w:r>
            <w:fldChar w:fldCharType="end"/>
          </w:r>
          <w:r>
            <w:fldChar w:fldCharType="end"/>
          </w:r>
        </w:p>
        <w:p>
          <w:pPr>
            <w:pStyle w:val="13"/>
            <w:tabs>
              <w:tab w:val="right" w:leader="dot" w:pos="9736"/>
            </w:tabs>
            <w:rPr>
              <w:szCs w:val="22"/>
            </w:rPr>
          </w:pPr>
          <w:r>
            <w:fldChar w:fldCharType="begin"/>
          </w:r>
          <w:r>
            <w:instrText xml:space="preserve"> HYPERLINK \l "_Toc50012197" </w:instrText>
          </w:r>
          <w:r>
            <w:fldChar w:fldCharType="separate"/>
          </w:r>
          <w:r>
            <w:rPr>
              <w:rStyle w:val="16"/>
              <w:rFonts w:hAnsi="Times New Roman"/>
            </w:rPr>
            <w:t>3</w:t>
          </w:r>
          <w:r>
            <w:rPr>
              <w:rStyle w:val="16"/>
            </w:rPr>
            <w:t xml:space="preserve"> 术语和定义</w:t>
          </w:r>
          <w:r>
            <w:tab/>
          </w:r>
          <w:r>
            <w:fldChar w:fldCharType="begin"/>
          </w:r>
          <w:r>
            <w:instrText xml:space="preserve"> PAGEREF _Toc50012197 \h </w:instrText>
          </w:r>
          <w:r>
            <w:fldChar w:fldCharType="separate"/>
          </w:r>
          <w:r>
            <w:t>1</w:t>
          </w:r>
          <w:r>
            <w:fldChar w:fldCharType="end"/>
          </w:r>
          <w:r>
            <w:fldChar w:fldCharType="end"/>
          </w:r>
        </w:p>
        <w:p>
          <w:pPr>
            <w:pStyle w:val="13"/>
            <w:tabs>
              <w:tab w:val="right" w:leader="dot" w:pos="9736"/>
            </w:tabs>
            <w:rPr>
              <w:szCs w:val="22"/>
            </w:rPr>
          </w:pPr>
          <w:r>
            <w:fldChar w:fldCharType="begin"/>
          </w:r>
          <w:r>
            <w:instrText xml:space="preserve"> HYPERLINK \l "_Toc50012198" </w:instrText>
          </w:r>
          <w:r>
            <w:fldChar w:fldCharType="separate"/>
          </w:r>
          <w:r>
            <w:rPr>
              <w:rStyle w:val="16"/>
              <w:rFonts w:hAnsi="Times New Roman"/>
            </w:rPr>
            <w:t>4</w:t>
          </w:r>
          <w:r>
            <w:rPr>
              <w:rStyle w:val="16"/>
            </w:rPr>
            <w:t xml:space="preserve"> 总则</w:t>
          </w:r>
          <w:r>
            <w:tab/>
          </w:r>
          <w:r>
            <w:fldChar w:fldCharType="begin"/>
          </w:r>
          <w:r>
            <w:instrText xml:space="preserve"> PAGEREF _Toc50012198 \h </w:instrText>
          </w:r>
          <w:r>
            <w:fldChar w:fldCharType="separate"/>
          </w:r>
          <w:r>
            <w:t>2</w:t>
          </w:r>
          <w:r>
            <w:fldChar w:fldCharType="end"/>
          </w:r>
          <w:r>
            <w:fldChar w:fldCharType="end"/>
          </w:r>
        </w:p>
        <w:p>
          <w:pPr>
            <w:pStyle w:val="13"/>
            <w:tabs>
              <w:tab w:val="right" w:leader="dot" w:pos="9736"/>
            </w:tabs>
            <w:rPr>
              <w:szCs w:val="22"/>
            </w:rPr>
          </w:pPr>
          <w:r>
            <w:fldChar w:fldCharType="begin"/>
          </w:r>
          <w:r>
            <w:instrText xml:space="preserve"> HYPERLINK \l "_Toc50012199" </w:instrText>
          </w:r>
          <w:r>
            <w:fldChar w:fldCharType="separate"/>
          </w:r>
          <w:r>
            <w:rPr>
              <w:rStyle w:val="16"/>
              <w:rFonts w:hAnsi="Times New Roman"/>
            </w:rPr>
            <w:t>5</w:t>
          </w:r>
          <w:r>
            <w:rPr>
              <w:rStyle w:val="16"/>
            </w:rPr>
            <w:t xml:space="preserve"> 基地类型</w:t>
          </w:r>
          <w:r>
            <w:tab/>
          </w:r>
          <w:r>
            <w:fldChar w:fldCharType="begin"/>
          </w:r>
          <w:r>
            <w:instrText xml:space="preserve"> PAGEREF _Toc50012199 \h </w:instrText>
          </w:r>
          <w:r>
            <w:fldChar w:fldCharType="separate"/>
          </w:r>
          <w:r>
            <w:t>3</w:t>
          </w:r>
          <w:r>
            <w:fldChar w:fldCharType="end"/>
          </w:r>
          <w:r>
            <w:fldChar w:fldCharType="end"/>
          </w:r>
        </w:p>
        <w:p>
          <w:pPr>
            <w:pStyle w:val="13"/>
            <w:tabs>
              <w:tab w:val="right" w:leader="dot" w:pos="9736"/>
            </w:tabs>
            <w:rPr>
              <w:szCs w:val="22"/>
            </w:rPr>
          </w:pPr>
          <w:r>
            <w:fldChar w:fldCharType="begin"/>
          </w:r>
          <w:r>
            <w:instrText xml:space="preserve"> HYPERLINK \l "_Toc50012200" </w:instrText>
          </w:r>
          <w:r>
            <w:fldChar w:fldCharType="separate"/>
          </w:r>
          <w:r>
            <w:rPr>
              <w:rStyle w:val="16"/>
              <w:rFonts w:hAnsi="Times New Roman"/>
            </w:rPr>
            <w:t>6</w:t>
          </w:r>
          <w:r>
            <w:rPr>
              <w:rStyle w:val="16"/>
            </w:rPr>
            <w:t xml:space="preserve"> 基本要求</w:t>
          </w:r>
          <w:r>
            <w:tab/>
          </w:r>
          <w:r>
            <w:fldChar w:fldCharType="begin"/>
          </w:r>
          <w:r>
            <w:instrText xml:space="preserve"> PAGEREF _Toc50012200 \h </w:instrText>
          </w:r>
          <w:r>
            <w:fldChar w:fldCharType="separate"/>
          </w:r>
          <w:r>
            <w:t>4</w:t>
          </w:r>
          <w:r>
            <w:fldChar w:fldCharType="end"/>
          </w:r>
          <w:r>
            <w:fldChar w:fldCharType="end"/>
          </w:r>
        </w:p>
        <w:p>
          <w:pPr>
            <w:pStyle w:val="13"/>
            <w:tabs>
              <w:tab w:val="right" w:leader="dot" w:pos="9736"/>
            </w:tabs>
            <w:rPr>
              <w:szCs w:val="22"/>
            </w:rPr>
          </w:pPr>
          <w:r>
            <w:fldChar w:fldCharType="begin"/>
          </w:r>
          <w:r>
            <w:instrText xml:space="preserve"> HYPERLINK \l "_Toc50012201" </w:instrText>
          </w:r>
          <w:r>
            <w:fldChar w:fldCharType="separate"/>
          </w:r>
          <w:r>
            <w:rPr>
              <w:rStyle w:val="16"/>
              <w:rFonts w:hAnsi="Times New Roman"/>
            </w:rPr>
            <w:t>7</w:t>
          </w:r>
          <w:r>
            <w:rPr>
              <w:rStyle w:val="16"/>
            </w:rPr>
            <w:t xml:space="preserve"> 活动及安排</w:t>
          </w:r>
          <w:r>
            <w:tab/>
          </w:r>
          <w:r>
            <w:fldChar w:fldCharType="begin"/>
          </w:r>
          <w:r>
            <w:instrText xml:space="preserve"> PAGEREF _Toc50012201 \h </w:instrText>
          </w:r>
          <w:r>
            <w:fldChar w:fldCharType="separate"/>
          </w:r>
          <w:r>
            <w:t>5</w:t>
          </w:r>
          <w:r>
            <w:fldChar w:fldCharType="end"/>
          </w:r>
          <w:r>
            <w:fldChar w:fldCharType="end"/>
          </w:r>
        </w:p>
        <w:p>
          <w:pPr>
            <w:pStyle w:val="13"/>
            <w:tabs>
              <w:tab w:val="right" w:leader="dot" w:pos="9736"/>
            </w:tabs>
            <w:rPr>
              <w:szCs w:val="22"/>
            </w:rPr>
          </w:pPr>
          <w:r>
            <w:fldChar w:fldCharType="begin"/>
          </w:r>
          <w:r>
            <w:instrText xml:space="preserve"> HYPERLINK \l "_Toc50012202" </w:instrText>
          </w:r>
          <w:r>
            <w:fldChar w:fldCharType="separate"/>
          </w:r>
          <w:r>
            <w:rPr>
              <w:rStyle w:val="16"/>
              <w:rFonts w:hAnsi="Times New Roman"/>
            </w:rPr>
            <w:t>8</w:t>
          </w:r>
          <w:r>
            <w:rPr>
              <w:rStyle w:val="16"/>
            </w:rPr>
            <w:t xml:space="preserve"> 运行管理</w:t>
          </w:r>
          <w:r>
            <w:tab/>
          </w:r>
          <w:r>
            <w:fldChar w:fldCharType="begin"/>
          </w:r>
          <w:r>
            <w:instrText xml:space="preserve"> PAGEREF _Toc50012202 \h </w:instrText>
          </w:r>
          <w:r>
            <w:fldChar w:fldCharType="separate"/>
          </w:r>
          <w:r>
            <w:t>6</w:t>
          </w:r>
          <w:r>
            <w:fldChar w:fldCharType="end"/>
          </w:r>
          <w:r>
            <w:fldChar w:fldCharType="end"/>
          </w:r>
        </w:p>
        <w:p>
          <w:pPr>
            <w:pStyle w:val="13"/>
            <w:tabs>
              <w:tab w:val="right" w:leader="dot" w:pos="9736"/>
            </w:tabs>
            <w:rPr>
              <w:szCs w:val="22"/>
            </w:rPr>
          </w:pPr>
          <w:r>
            <w:fldChar w:fldCharType="begin"/>
          </w:r>
          <w:r>
            <w:instrText xml:space="preserve"> HYPERLINK \l "_Toc50012203" </w:instrText>
          </w:r>
          <w:r>
            <w:fldChar w:fldCharType="separate"/>
          </w:r>
          <w:r>
            <w:rPr>
              <w:rStyle w:val="16"/>
              <w:rFonts w:hAnsi="Times New Roman"/>
            </w:rPr>
            <w:t>9</w:t>
          </w:r>
          <w:r>
            <w:rPr>
              <w:rStyle w:val="16"/>
            </w:rPr>
            <w:t xml:space="preserve"> 配套设施要求</w:t>
          </w:r>
          <w:r>
            <w:tab/>
          </w:r>
          <w:r>
            <w:fldChar w:fldCharType="begin"/>
          </w:r>
          <w:r>
            <w:instrText xml:space="preserve"> PAGEREF _Toc50012203 \h </w:instrText>
          </w:r>
          <w:r>
            <w:fldChar w:fldCharType="separate"/>
          </w:r>
          <w:r>
            <w:t>6</w:t>
          </w:r>
          <w:r>
            <w:fldChar w:fldCharType="end"/>
          </w:r>
          <w:r>
            <w:fldChar w:fldCharType="end"/>
          </w:r>
        </w:p>
        <w:p>
          <w:pPr>
            <w:pStyle w:val="13"/>
            <w:tabs>
              <w:tab w:val="right" w:leader="dot" w:pos="9736"/>
            </w:tabs>
            <w:rPr>
              <w:szCs w:val="22"/>
            </w:rPr>
          </w:pPr>
          <w:r>
            <w:fldChar w:fldCharType="begin"/>
          </w:r>
          <w:r>
            <w:instrText xml:space="preserve"> HYPERLINK \l "_Toc50012204" </w:instrText>
          </w:r>
          <w:r>
            <w:fldChar w:fldCharType="separate"/>
          </w:r>
          <w:r>
            <w:rPr>
              <w:rStyle w:val="16"/>
              <w:rFonts w:hAnsi="Times New Roman" w:cs="黑体"/>
            </w:rPr>
            <w:t>10</w:t>
          </w:r>
          <w:r>
            <w:rPr>
              <w:rStyle w:val="16"/>
              <w:rFonts w:hAnsi="黑体" w:cs="黑体"/>
            </w:rPr>
            <w:t xml:space="preserve"> 安全与应急管理</w:t>
          </w:r>
          <w:r>
            <w:tab/>
          </w:r>
          <w:r>
            <w:fldChar w:fldCharType="begin"/>
          </w:r>
          <w:r>
            <w:instrText xml:space="preserve"> PAGEREF _Toc50012204 \h </w:instrText>
          </w:r>
          <w:r>
            <w:fldChar w:fldCharType="separate"/>
          </w:r>
          <w:r>
            <w:t>8</w:t>
          </w:r>
          <w:r>
            <w:fldChar w:fldCharType="end"/>
          </w:r>
          <w:r>
            <w:fldChar w:fldCharType="end"/>
          </w:r>
        </w:p>
        <w:p>
          <w:pPr>
            <w:pStyle w:val="13"/>
            <w:tabs>
              <w:tab w:val="right" w:leader="dot" w:pos="9736"/>
            </w:tabs>
            <w:rPr>
              <w:szCs w:val="22"/>
            </w:rPr>
          </w:pPr>
          <w:r>
            <w:fldChar w:fldCharType="begin"/>
          </w:r>
          <w:r>
            <w:instrText xml:space="preserve"> HYPERLINK \l "_Toc50012205" </w:instrText>
          </w:r>
          <w:r>
            <w:fldChar w:fldCharType="separate"/>
          </w:r>
          <w:r>
            <w:rPr>
              <w:rStyle w:val="16"/>
              <w:rFonts w:hAnsi="Times New Roman" w:cs="黑体"/>
            </w:rPr>
            <w:t>11</w:t>
          </w:r>
          <w:r>
            <w:rPr>
              <w:rStyle w:val="16"/>
              <w:rFonts w:hAnsi="黑体" w:cs="黑体"/>
            </w:rPr>
            <w:t xml:space="preserve"> 公开和反馈机制</w:t>
          </w:r>
          <w:r>
            <w:tab/>
          </w:r>
          <w:r>
            <w:fldChar w:fldCharType="begin"/>
          </w:r>
          <w:r>
            <w:instrText xml:space="preserve"> PAGEREF _Toc50012205 \h </w:instrText>
          </w:r>
          <w:r>
            <w:fldChar w:fldCharType="separate"/>
          </w:r>
          <w:r>
            <w:t>8</w:t>
          </w:r>
          <w:r>
            <w:fldChar w:fldCharType="end"/>
          </w:r>
          <w:r>
            <w:fldChar w:fldCharType="end"/>
          </w:r>
        </w:p>
        <w:p>
          <w:pPr>
            <w:pStyle w:val="13"/>
            <w:tabs>
              <w:tab w:val="right" w:leader="dot" w:pos="9736"/>
            </w:tabs>
            <w:rPr>
              <w:szCs w:val="22"/>
            </w:rPr>
          </w:pPr>
          <w:r>
            <w:fldChar w:fldCharType="begin"/>
          </w:r>
          <w:r>
            <w:instrText xml:space="preserve"> HYPERLINK \l "_Toc50012206" </w:instrText>
          </w:r>
          <w:r>
            <w:fldChar w:fldCharType="separate"/>
          </w:r>
          <w:r>
            <w:rPr>
              <w:rStyle w:val="16"/>
              <w:rFonts w:hAnsi="Times New Roman" w:cs="黑体"/>
            </w:rPr>
            <w:t>12</w:t>
          </w:r>
          <w:r>
            <w:rPr>
              <w:rStyle w:val="16"/>
              <w:rFonts w:hAnsi="黑体" w:cs="黑体"/>
            </w:rPr>
            <w:t xml:space="preserve"> 评定与复核</w:t>
          </w:r>
          <w:r>
            <w:tab/>
          </w:r>
          <w:r>
            <w:fldChar w:fldCharType="begin"/>
          </w:r>
          <w:r>
            <w:instrText xml:space="preserve"> PAGEREF _Toc50012206 \h </w:instrText>
          </w:r>
          <w:r>
            <w:fldChar w:fldCharType="separate"/>
          </w:r>
          <w:r>
            <w:t>8</w:t>
          </w:r>
          <w:r>
            <w:fldChar w:fldCharType="end"/>
          </w:r>
          <w:r>
            <w:fldChar w:fldCharType="end"/>
          </w:r>
        </w:p>
        <w:p>
          <w:pPr>
            <w:rPr>
              <w:rFonts w:ascii="黑体" w:hAnsi="黑体" w:eastAsia="黑体" w:cs="黑体"/>
              <w:sz w:val="32"/>
              <w:szCs w:val="32"/>
            </w:rPr>
          </w:pPr>
          <w:r>
            <w:rPr>
              <w:rFonts w:hint="eastAsia" w:ascii="黑体" w:hAnsi="黑体" w:eastAsia="黑体" w:cs="黑体"/>
              <w:szCs w:val="32"/>
            </w:rPr>
            <w:fldChar w:fldCharType="end"/>
          </w:r>
        </w:p>
      </w:sdtContent>
    </w:sdt>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sectPr>
          <w:footerReference r:id="rId4" w:type="default"/>
          <w:pgSz w:w="11906" w:h="16838"/>
          <w:pgMar w:top="1440" w:right="1080" w:bottom="1440" w:left="1080" w:header="851" w:footer="992" w:gutter="0"/>
          <w:pgNumType w:fmt="upperRoman" w:start="1"/>
          <w:cols w:space="425" w:num="1"/>
          <w:docGrid w:type="lines" w:linePitch="312" w:charSpace="0"/>
        </w:sectPr>
      </w:pPr>
    </w:p>
    <w:p>
      <w:pPr>
        <w:jc w:val="center"/>
        <w:rPr>
          <w:rFonts w:ascii="黑体" w:hAnsi="黑体" w:eastAsia="黑体" w:cs="黑体"/>
          <w:sz w:val="32"/>
          <w:szCs w:val="32"/>
        </w:rPr>
      </w:pPr>
    </w:p>
    <w:p>
      <w:pPr>
        <w:jc w:val="center"/>
        <w:outlineLvl w:val="0"/>
        <w:rPr>
          <w:rFonts w:ascii="黑体" w:hAnsi="黑体" w:eastAsia="黑体" w:cs="黑体"/>
          <w:sz w:val="32"/>
          <w:szCs w:val="32"/>
        </w:rPr>
      </w:pPr>
      <w:bookmarkStart w:id="0" w:name="_Toc50012194"/>
      <w:r>
        <w:rPr>
          <w:rFonts w:hint="eastAsia" w:ascii="黑体" w:hAnsi="黑体" w:eastAsia="黑体" w:cs="黑体"/>
          <w:sz w:val="32"/>
          <w:szCs w:val="32"/>
        </w:rPr>
        <w:t>前   言</w:t>
      </w:r>
      <w:bookmarkEnd w:id="0"/>
    </w:p>
    <w:p>
      <w:pPr>
        <w:jc w:val="center"/>
        <w:rPr>
          <w:rFonts w:ascii="黑体" w:hAnsi="黑体" w:eastAsia="黑体" w:cs="黑体"/>
          <w:sz w:val="32"/>
          <w:szCs w:val="32"/>
        </w:rPr>
      </w:pPr>
    </w:p>
    <w:p>
      <w:pPr>
        <w:ind w:firstLine="420"/>
        <w:rPr>
          <w:rFonts w:ascii="宋体" w:hAnsi="宋体" w:eastAsia="宋体" w:cs="宋体"/>
          <w:szCs w:val="21"/>
        </w:rPr>
      </w:pPr>
      <w:r>
        <w:rPr>
          <w:rFonts w:hint="eastAsia" w:ascii="宋体" w:hAnsi="宋体" w:eastAsia="宋体" w:cs="宋体"/>
          <w:szCs w:val="21"/>
        </w:rPr>
        <w:t>本标准按照GB/T 1.1-2009给出的规则起草。</w:t>
      </w:r>
    </w:p>
    <w:p>
      <w:pPr>
        <w:ind w:firstLine="420"/>
        <w:rPr>
          <w:rFonts w:ascii="宋体" w:hAnsi="宋体" w:eastAsia="宋体" w:cs="宋体"/>
          <w:szCs w:val="21"/>
        </w:rPr>
      </w:pPr>
      <w:r>
        <w:rPr>
          <w:rFonts w:hint="eastAsia" w:ascii="宋体" w:hAnsi="宋体" w:eastAsia="宋体" w:cs="宋体"/>
          <w:szCs w:val="21"/>
        </w:rPr>
        <w:t>本标准由绍兴市文化广电旅游局提出并归口管理。</w:t>
      </w:r>
    </w:p>
    <w:p>
      <w:pPr>
        <w:topLinePunct/>
        <w:autoSpaceDE w:val="0"/>
        <w:autoSpaceDN w:val="0"/>
        <w:ind w:firstLine="420"/>
        <w:rPr>
          <w:rFonts w:ascii="宋体" w:hAnsi="宋体" w:eastAsia="宋体" w:cs="宋体"/>
          <w:szCs w:val="21"/>
        </w:rPr>
      </w:pPr>
      <w:r>
        <w:rPr>
          <w:rFonts w:hint="eastAsia" w:ascii="宋体" w:hAnsi="宋体" w:eastAsia="宋体" w:cs="宋体"/>
          <w:szCs w:val="21"/>
        </w:rPr>
        <w:t>本标准起草单位：</w:t>
      </w:r>
      <w:r>
        <w:rPr>
          <w:rFonts w:hint="eastAsia" w:ascii="宋体" w:hAnsi="宋体" w:eastAsia="宋体" w:cs="Times New Roman"/>
        </w:rPr>
        <w:t>绍兴市文化广电旅游局、中国传媒大学。</w:t>
      </w:r>
    </w:p>
    <w:p>
      <w:pPr>
        <w:ind w:firstLine="420"/>
        <w:rPr>
          <w:rFonts w:ascii="宋体" w:hAnsi="宋体" w:eastAsia="宋体" w:cs="宋体"/>
          <w:szCs w:val="21"/>
        </w:rPr>
      </w:pPr>
      <w:r>
        <w:rPr>
          <w:rFonts w:hint="eastAsia" w:ascii="宋体" w:hAnsi="宋体" w:eastAsia="宋体" w:cs="宋体"/>
          <w:szCs w:val="21"/>
        </w:rPr>
        <w:t>本标准主要起草人：杨红、刘畅、赖再博、梁智渊、徐红。</w:t>
      </w:r>
    </w:p>
    <w:p>
      <w:pPr>
        <w:spacing w:after="624" w:afterLines="200"/>
        <w:jc w:val="center"/>
        <w:rPr>
          <w:rFonts w:ascii="黑体" w:hAnsi="黑体" w:eastAsia="黑体" w:cs="黑体"/>
          <w:b/>
          <w:bCs/>
          <w:sz w:val="48"/>
          <w:szCs w:val="48"/>
        </w:rPr>
      </w:pPr>
    </w:p>
    <w:p>
      <w:pPr>
        <w:spacing w:after="624" w:afterLines="200"/>
        <w:jc w:val="center"/>
        <w:rPr>
          <w:rFonts w:ascii="黑体" w:hAnsi="黑体" w:eastAsia="黑体" w:cs="黑体"/>
          <w:sz w:val="48"/>
          <w:szCs w:val="48"/>
        </w:rPr>
      </w:pPr>
    </w:p>
    <w:p>
      <w:pPr>
        <w:spacing w:after="624" w:afterLines="200"/>
        <w:jc w:val="center"/>
        <w:rPr>
          <w:rFonts w:ascii="黑体" w:hAnsi="黑体" w:eastAsia="黑体" w:cs="黑体"/>
          <w:sz w:val="48"/>
          <w:szCs w:val="48"/>
        </w:rPr>
      </w:pPr>
    </w:p>
    <w:p>
      <w:pPr>
        <w:spacing w:after="624" w:afterLines="200"/>
        <w:jc w:val="center"/>
        <w:rPr>
          <w:rFonts w:ascii="黑体" w:hAnsi="黑体" w:eastAsia="黑体" w:cs="黑体"/>
          <w:sz w:val="48"/>
          <w:szCs w:val="48"/>
        </w:rPr>
      </w:pPr>
    </w:p>
    <w:p>
      <w:pPr>
        <w:spacing w:after="624" w:afterLines="200"/>
        <w:jc w:val="center"/>
        <w:rPr>
          <w:rFonts w:ascii="黑体" w:hAnsi="黑体" w:eastAsia="黑体" w:cs="黑体"/>
          <w:sz w:val="48"/>
          <w:szCs w:val="48"/>
        </w:rPr>
      </w:pPr>
    </w:p>
    <w:p>
      <w:pPr>
        <w:spacing w:after="624" w:afterLines="200"/>
        <w:jc w:val="center"/>
        <w:rPr>
          <w:rFonts w:ascii="黑体" w:hAnsi="黑体" w:eastAsia="黑体" w:cs="黑体"/>
          <w:sz w:val="48"/>
          <w:szCs w:val="48"/>
        </w:rPr>
      </w:pPr>
    </w:p>
    <w:p>
      <w:pPr>
        <w:spacing w:after="624" w:afterLines="200"/>
        <w:jc w:val="center"/>
        <w:rPr>
          <w:rFonts w:ascii="黑体" w:hAnsi="黑体" w:eastAsia="黑体" w:cs="黑体"/>
          <w:sz w:val="48"/>
          <w:szCs w:val="48"/>
        </w:rPr>
      </w:pPr>
    </w:p>
    <w:p>
      <w:pPr>
        <w:spacing w:after="624" w:afterLines="200"/>
        <w:rPr>
          <w:rFonts w:ascii="黑体" w:hAnsi="黑体" w:eastAsia="黑体" w:cs="黑体"/>
          <w:sz w:val="48"/>
          <w:szCs w:val="48"/>
        </w:rPr>
      </w:pPr>
    </w:p>
    <w:p>
      <w:pPr>
        <w:spacing w:after="624" w:afterLines="200"/>
        <w:rPr>
          <w:rFonts w:ascii="黑体" w:hAnsi="黑体" w:eastAsia="黑体" w:cs="黑体"/>
          <w:sz w:val="48"/>
          <w:szCs w:val="48"/>
        </w:rPr>
        <w:sectPr>
          <w:footerReference r:id="rId5" w:type="default"/>
          <w:pgSz w:w="11906" w:h="16838"/>
          <w:pgMar w:top="1440" w:right="1080" w:bottom="1440" w:left="1080" w:header="851" w:footer="992" w:gutter="0"/>
          <w:pgNumType w:fmt="upperRoman"/>
          <w:cols w:space="425" w:num="1"/>
          <w:docGrid w:type="lines" w:linePitch="312" w:charSpace="0"/>
        </w:sectPr>
      </w:pPr>
    </w:p>
    <w:p>
      <w:pPr>
        <w:spacing w:after="624" w:afterLines="200"/>
        <w:rPr>
          <w:rFonts w:ascii="黑体" w:hAnsi="黑体" w:eastAsia="黑体" w:cs="黑体"/>
          <w:sz w:val="48"/>
          <w:szCs w:val="48"/>
        </w:rPr>
      </w:pPr>
    </w:p>
    <w:p>
      <w:pPr>
        <w:jc w:val="center"/>
        <w:outlineLvl w:val="0"/>
        <w:rPr>
          <w:rFonts w:ascii="黑体" w:hAnsi="黑体" w:eastAsia="黑体"/>
          <w:sz w:val="48"/>
          <w:szCs w:val="48"/>
        </w:rPr>
      </w:pPr>
      <w:bookmarkStart w:id="1" w:name="_Toc9393"/>
      <w:bookmarkStart w:id="2" w:name="_Toc29107"/>
      <w:bookmarkStart w:id="3" w:name="_Toc12560"/>
      <w:r>
        <w:rPr>
          <w:rFonts w:hint="eastAsia" w:ascii="黑体" w:hAnsi="黑体" w:eastAsia="黑体"/>
          <w:sz w:val="48"/>
          <w:szCs w:val="48"/>
        </w:rPr>
        <w:t>绍兴市非遗研学游基地认定标准</w:t>
      </w:r>
      <w:bookmarkEnd w:id="1"/>
      <w:bookmarkEnd w:id="2"/>
      <w:bookmarkEnd w:id="3"/>
    </w:p>
    <w:p>
      <w:pPr>
        <w:pStyle w:val="20"/>
        <w:numPr>
          <w:ilvl w:val="0"/>
          <w:numId w:val="0"/>
        </w:numPr>
      </w:pPr>
    </w:p>
    <w:p>
      <w:pPr>
        <w:pStyle w:val="20"/>
        <w:numPr>
          <w:ilvl w:val="0"/>
          <w:numId w:val="0"/>
        </w:numPr>
      </w:pPr>
    </w:p>
    <w:p>
      <w:pPr>
        <w:pStyle w:val="20"/>
        <w:outlineLvl w:val="0"/>
      </w:pPr>
      <w:bookmarkStart w:id="4" w:name="_Toc50012195"/>
      <w:r>
        <w:rPr>
          <w:rFonts w:hint="eastAsia"/>
        </w:rPr>
        <w:t>范围</w:t>
      </w:r>
      <w:bookmarkEnd w:id="4"/>
    </w:p>
    <w:p>
      <w:pPr>
        <w:ind w:firstLine="420"/>
        <w:rPr>
          <w:rFonts w:ascii="宋体" w:hAnsi="宋体" w:eastAsia="宋体" w:cs="宋体"/>
          <w:szCs w:val="21"/>
        </w:rPr>
      </w:pPr>
    </w:p>
    <w:p>
      <w:pPr>
        <w:ind w:firstLine="420"/>
        <w:rPr>
          <w:rFonts w:ascii="宋体" w:hAnsi="宋体" w:eastAsia="宋体" w:cs="宋体"/>
          <w:szCs w:val="21"/>
        </w:rPr>
      </w:pPr>
      <w:r>
        <w:rPr>
          <w:rFonts w:hint="eastAsia" w:ascii="宋体" w:hAnsi="宋体" w:eastAsia="宋体" w:cs="宋体"/>
          <w:szCs w:val="21"/>
        </w:rPr>
        <w:t>本标准规定了浙江省绍兴市非遗研学游基地（以下简称：基地）的认定标准，包括：总则、基地类型、基本要求、活动及安排、运行管理、配套设施要求、安全与应急管理、公开和反馈机制、评定与复核。</w:t>
      </w:r>
    </w:p>
    <w:p>
      <w:pPr>
        <w:ind w:firstLine="420"/>
        <w:rPr>
          <w:rFonts w:ascii="宋体" w:hAnsi="宋体" w:eastAsia="宋体" w:cs="宋体"/>
          <w:szCs w:val="21"/>
        </w:rPr>
      </w:pPr>
      <w:r>
        <w:rPr>
          <w:rFonts w:hint="eastAsia" w:ascii="宋体" w:hAnsi="宋体" w:eastAsia="宋体" w:cs="宋体"/>
          <w:szCs w:val="21"/>
        </w:rPr>
        <w:t>本标准适用于浙江省绍兴市非遗研学游基地的认定与选用。</w:t>
      </w:r>
    </w:p>
    <w:p>
      <w:pPr>
        <w:pStyle w:val="20"/>
        <w:numPr>
          <w:ilvl w:val="0"/>
          <w:numId w:val="0"/>
        </w:numPr>
      </w:pPr>
    </w:p>
    <w:p>
      <w:pPr>
        <w:pStyle w:val="20"/>
        <w:outlineLvl w:val="0"/>
      </w:pPr>
      <w:bookmarkStart w:id="5" w:name="_Toc50012196"/>
      <w:r>
        <w:rPr>
          <w:rFonts w:hint="eastAsia"/>
        </w:rPr>
        <w:t>规范性引用文件</w:t>
      </w:r>
      <w:bookmarkEnd w:id="5"/>
    </w:p>
    <w:p>
      <w:pPr>
        <w:ind w:firstLine="420"/>
        <w:rPr>
          <w:rFonts w:ascii="宋体" w:hAnsi="宋体" w:eastAsia="宋体" w:cs="宋体"/>
          <w:szCs w:val="21"/>
        </w:rPr>
      </w:pPr>
    </w:p>
    <w:p>
      <w:pPr>
        <w:ind w:firstLine="420"/>
        <w:rPr>
          <w:rFonts w:ascii="宋体" w:hAnsi="宋体" w:eastAsia="宋体" w:cs="宋体"/>
          <w:szCs w:val="21"/>
        </w:rPr>
      </w:pPr>
      <w:r>
        <w:rPr>
          <w:rFonts w:hint="eastAsia" w:ascii="宋体" w:hAnsi="宋体" w:eastAsia="宋体" w:cs="宋体"/>
          <w:szCs w:val="21"/>
        </w:rPr>
        <w:t>下列文件对于本文件的应用必不可少。凡是注日期的引用文件，仅所注日期的版本适用于本文件。凡是不注日期的引用文件，其最新版本（包括所有的修改单）适用于本文件。</w:t>
      </w:r>
    </w:p>
    <w:p>
      <w:pPr>
        <w:pStyle w:val="8"/>
        <w:topLinePunct/>
        <w:autoSpaceDE w:val="0"/>
        <w:autoSpaceDN w:val="0"/>
        <w:ind w:firstLine="420" w:firstLineChars="200"/>
        <w:jc w:val="left"/>
        <w:rPr>
          <w:rFonts w:cs="Times New Roman"/>
          <w:szCs w:val="24"/>
          <w:lang w:val="en-US" w:bidi="ar-SA"/>
        </w:rPr>
      </w:pPr>
      <w:r>
        <w:rPr>
          <w:rFonts w:hint="eastAsia" w:cs="Times New Roman"/>
          <w:szCs w:val="24"/>
          <w:lang w:val="en-US" w:bidi="ar-SA"/>
        </w:rPr>
        <w:t>GB 3095  环境空气质量标准</w:t>
      </w:r>
    </w:p>
    <w:p>
      <w:pPr>
        <w:pStyle w:val="8"/>
        <w:topLinePunct/>
        <w:autoSpaceDE w:val="0"/>
        <w:autoSpaceDN w:val="0"/>
        <w:ind w:firstLine="420" w:firstLineChars="200"/>
        <w:jc w:val="left"/>
        <w:rPr>
          <w:rFonts w:cs="Times New Roman"/>
          <w:szCs w:val="24"/>
          <w:lang w:val="en-US" w:bidi="ar-SA"/>
        </w:rPr>
      </w:pPr>
      <w:r>
        <w:rPr>
          <w:rFonts w:hint="eastAsia" w:cs="Times New Roman"/>
          <w:szCs w:val="24"/>
          <w:lang w:val="en-US" w:bidi="ar-SA"/>
        </w:rPr>
        <w:t>GB 3096  声环境质量标准</w:t>
      </w:r>
    </w:p>
    <w:p>
      <w:pPr>
        <w:pStyle w:val="8"/>
        <w:topLinePunct/>
        <w:autoSpaceDE w:val="0"/>
        <w:autoSpaceDN w:val="0"/>
        <w:ind w:firstLine="420" w:firstLineChars="200"/>
        <w:jc w:val="left"/>
        <w:rPr>
          <w:rFonts w:cs="Times New Roman"/>
          <w:szCs w:val="24"/>
          <w:lang w:val="en-US" w:bidi="ar-SA"/>
        </w:rPr>
      </w:pPr>
      <w:r>
        <w:rPr>
          <w:rFonts w:hint="eastAsia" w:cs="Times New Roman"/>
          <w:szCs w:val="24"/>
          <w:lang w:val="en-US" w:bidi="ar-SA"/>
        </w:rPr>
        <w:t>GB 5749  生活饮用水卫生标准</w:t>
      </w:r>
    </w:p>
    <w:p>
      <w:pPr>
        <w:pStyle w:val="8"/>
        <w:topLinePunct/>
        <w:autoSpaceDE w:val="0"/>
        <w:autoSpaceDN w:val="0"/>
        <w:ind w:firstLine="420" w:firstLineChars="200"/>
        <w:jc w:val="left"/>
        <w:rPr>
          <w:rFonts w:cs="Times New Roman"/>
          <w:szCs w:val="24"/>
          <w:lang w:val="en-US" w:bidi="ar-SA"/>
        </w:rPr>
      </w:pPr>
      <w:r>
        <w:rPr>
          <w:rFonts w:hint="eastAsia" w:cs="Times New Roman"/>
          <w:szCs w:val="24"/>
          <w:lang w:val="en-US" w:bidi="ar-SA"/>
        </w:rPr>
        <w:t>GB 8978  污水综合排放标准</w:t>
      </w:r>
    </w:p>
    <w:p>
      <w:pPr>
        <w:pStyle w:val="8"/>
        <w:topLinePunct/>
        <w:autoSpaceDE w:val="0"/>
        <w:autoSpaceDN w:val="0"/>
        <w:ind w:firstLine="420" w:firstLineChars="200"/>
        <w:jc w:val="left"/>
        <w:rPr>
          <w:rFonts w:cs="Times New Roman"/>
          <w:szCs w:val="24"/>
          <w:lang w:val="en-US" w:bidi="ar-SA"/>
        </w:rPr>
      </w:pPr>
      <w:r>
        <w:rPr>
          <w:rFonts w:hint="eastAsia" w:cs="Times New Roman"/>
          <w:szCs w:val="24"/>
          <w:lang w:val="en-US" w:bidi="ar-SA"/>
        </w:rPr>
        <w:t>GB 14934  食品安全国家标准：消毒餐（饮）具</w:t>
      </w:r>
    </w:p>
    <w:p>
      <w:pPr>
        <w:pStyle w:val="8"/>
        <w:topLinePunct/>
        <w:autoSpaceDE w:val="0"/>
        <w:autoSpaceDN w:val="0"/>
        <w:ind w:firstLine="420" w:firstLineChars="200"/>
        <w:jc w:val="left"/>
        <w:rPr>
          <w:rFonts w:cs="Times New Roman"/>
          <w:szCs w:val="24"/>
          <w:lang w:val="en-US" w:bidi="ar-SA"/>
        </w:rPr>
      </w:pPr>
      <w:r>
        <w:rPr>
          <w:rFonts w:hint="eastAsia" w:cs="Times New Roman"/>
          <w:szCs w:val="24"/>
          <w:lang w:val="en-US" w:bidi="ar-SA"/>
        </w:rPr>
        <w:t>GB 17945  消防应急照明和疏散指示系统</w:t>
      </w:r>
    </w:p>
    <w:p>
      <w:pPr>
        <w:pStyle w:val="8"/>
        <w:topLinePunct/>
        <w:autoSpaceDE w:val="0"/>
        <w:autoSpaceDN w:val="0"/>
        <w:ind w:firstLine="420" w:firstLineChars="200"/>
        <w:jc w:val="left"/>
        <w:rPr>
          <w:rFonts w:cs="Times New Roman"/>
          <w:szCs w:val="24"/>
          <w:lang w:val="en-US" w:bidi="ar-SA"/>
        </w:rPr>
      </w:pPr>
      <w:r>
        <w:rPr>
          <w:rFonts w:hint="eastAsia" w:cs="Times New Roman"/>
          <w:szCs w:val="24"/>
          <w:lang w:val="en-US" w:bidi="ar-SA"/>
        </w:rPr>
        <w:t>GB 37487  公共场所卫生管理规范</w:t>
      </w:r>
    </w:p>
    <w:p>
      <w:pPr>
        <w:pStyle w:val="8"/>
        <w:topLinePunct/>
        <w:autoSpaceDE w:val="0"/>
        <w:autoSpaceDN w:val="0"/>
        <w:ind w:firstLine="420" w:firstLineChars="200"/>
        <w:jc w:val="left"/>
        <w:rPr>
          <w:rFonts w:cs="Times New Roman"/>
          <w:szCs w:val="24"/>
          <w:lang w:val="en-US" w:bidi="ar-SA"/>
        </w:rPr>
      </w:pPr>
      <w:r>
        <w:rPr>
          <w:rFonts w:hint="eastAsia" w:cs="Times New Roman"/>
          <w:szCs w:val="24"/>
          <w:lang w:val="en-US" w:bidi="ar-SA"/>
        </w:rPr>
        <w:t>GB/T 10001.1  标志用公共信息图形符号第1部分：通用符号</w:t>
      </w:r>
    </w:p>
    <w:p>
      <w:pPr>
        <w:pStyle w:val="8"/>
        <w:topLinePunct/>
        <w:autoSpaceDE w:val="0"/>
        <w:autoSpaceDN w:val="0"/>
        <w:ind w:firstLine="420" w:firstLineChars="200"/>
        <w:jc w:val="left"/>
        <w:rPr>
          <w:rFonts w:cs="Times New Roman"/>
          <w:szCs w:val="24"/>
          <w:lang w:val="en-US" w:bidi="ar-SA"/>
        </w:rPr>
      </w:pPr>
      <w:r>
        <w:rPr>
          <w:rFonts w:hint="eastAsia" w:cs="Times New Roman"/>
          <w:szCs w:val="24"/>
          <w:lang w:val="en-US" w:bidi="ar-SA"/>
        </w:rPr>
        <w:t>GB/T 10001.2  标志用公共信息图形符号第2部分：旅游休闲符号</w:t>
      </w:r>
    </w:p>
    <w:p>
      <w:pPr>
        <w:pStyle w:val="8"/>
        <w:topLinePunct/>
        <w:autoSpaceDE w:val="0"/>
        <w:autoSpaceDN w:val="0"/>
        <w:ind w:firstLine="420" w:firstLineChars="200"/>
        <w:jc w:val="left"/>
        <w:rPr>
          <w:rFonts w:cs="Times New Roman"/>
          <w:szCs w:val="24"/>
          <w:lang w:val="en-US" w:bidi="ar-SA"/>
        </w:rPr>
      </w:pPr>
      <w:r>
        <w:rPr>
          <w:rFonts w:hint="eastAsia" w:cs="Times New Roman"/>
          <w:szCs w:val="24"/>
          <w:lang w:val="en-US" w:bidi="ar-SA"/>
        </w:rPr>
        <w:t>GB/T 10001.9  标志用公共信息图形符号第9部分：无障碍设施符号</w:t>
      </w:r>
    </w:p>
    <w:p>
      <w:pPr>
        <w:pStyle w:val="8"/>
        <w:topLinePunct/>
        <w:autoSpaceDE w:val="0"/>
        <w:autoSpaceDN w:val="0"/>
        <w:ind w:firstLine="420" w:firstLineChars="200"/>
        <w:jc w:val="left"/>
        <w:rPr>
          <w:rFonts w:cs="Times New Roman"/>
          <w:color w:val="000000" w:themeColor="text1"/>
          <w:szCs w:val="24"/>
          <w:lang w:val="en-US" w:bidi="ar-SA"/>
          <w14:textFill>
            <w14:solidFill>
              <w14:schemeClr w14:val="tx1"/>
            </w14:solidFill>
          </w14:textFill>
        </w:rPr>
      </w:pPr>
      <w:r>
        <w:rPr>
          <w:rFonts w:hint="eastAsia" w:cs="Times New Roman"/>
          <w:color w:val="000000" w:themeColor="text1"/>
          <w:szCs w:val="24"/>
          <w:lang w:val="en-US" w:bidi="ar-SA"/>
          <w14:textFill>
            <w14:solidFill>
              <w14:schemeClr w14:val="tx1"/>
            </w14:solidFill>
          </w14:textFill>
        </w:rPr>
        <w:t>GB/T 14308  旅游饭店星级的划分与评定</w:t>
      </w:r>
    </w:p>
    <w:p>
      <w:pPr>
        <w:pStyle w:val="8"/>
        <w:topLinePunct/>
        <w:autoSpaceDE w:val="0"/>
        <w:autoSpaceDN w:val="0"/>
        <w:ind w:firstLine="420" w:firstLineChars="200"/>
        <w:jc w:val="left"/>
        <w:rPr>
          <w:rFonts w:cs="Times New Roman"/>
          <w:color w:val="000000" w:themeColor="text1"/>
          <w:szCs w:val="24"/>
          <w:lang w:val="en-US" w:bidi="ar-SA"/>
          <w14:textFill>
            <w14:solidFill>
              <w14:schemeClr w14:val="tx1"/>
            </w14:solidFill>
          </w14:textFill>
        </w:rPr>
      </w:pPr>
      <w:r>
        <w:rPr>
          <w:rFonts w:hint="eastAsia" w:cs="Times New Roman"/>
          <w:color w:val="000000" w:themeColor="text1"/>
          <w:szCs w:val="24"/>
          <w:lang w:val="en-US" w:bidi="ar-SA"/>
          <w14:textFill>
            <w14:solidFill>
              <w14:schemeClr w14:val="tx1"/>
            </w14:solidFill>
          </w14:textFill>
        </w:rPr>
        <w:t>GB/T 18973-2016  旅游厕所质量等级的划分与评定</w:t>
      </w:r>
    </w:p>
    <w:p>
      <w:pPr>
        <w:pStyle w:val="8"/>
        <w:topLinePunct/>
        <w:autoSpaceDE w:val="0"/>
        <w:autoSpaceDN w:val="0"/>
        <w:ind w:firstLine="420" w:firstLineChars="200"/>
        <w:jc w:val="left"/>
        <w:rPr>
          <w:rFonts w:cs="Times New Roman"/>
          <w:szCs w:val="24"/>
          <w:lang w:val="en-US" w:bidi="ar-SA"/>
        </w:rPr>
      </w:pPr>
      <w:r>
        <w:rPr>
          <w:rFonts w:hint="eastAsia" w:cs="Times New Roman"/>
          <w:szCs w:val="24"/>
          <w:lang w:val="en-US" w:bidi="ar-SA"/>
        </w:rPr>
        <w:t>GB/T 19095  生活垃圾分类标志</w:t>
      </w:r>
    </w:p>
    <w:p>
      <w:pPr>
        <w:pStyle w:val="8"/>
        <w:topLinePunct/>
        <w:autoSpaceDE w:val="0"/>
        <w:autoSpaceDN w:val="0"/>
        <w:ind w:firstLine="420" w:firstLineChars="200"/>
        <w:jc w:val="left"/>
        <w:rPr>
          <w:rFonts w:cs="Times New Roman"/>
          <w:color w:val="000000" w:themeColor="text1"/>
          <w:szCs w:val="24"/>
          <w:lang w:val="en-US" w:bidi="ar-SA"/>
          <w14:textFill>
            <w14:solidFill>
              <w14:schemeClr w14:val="tx1"/>
            </w14:solidFill>
          </w14:textFill>
        </w:rPr>
      </w:pPr>
      <w:r>
        <w:rPr>
          <w:rFonts w:hint="eastAsia" w:cs="Times New Roman"/>
          <w:color w:val="000000" w:themeColor="text1"/>
          <w:szCs w:val="24"/>
          <w:lang w:val="en-US" w:bidi="ar-SA"/>
          <w14:textFill>
            <w14:solidFill>
              <w14:schemeClr w14:val="tx1"/>
            </w14:solidFill>
          </w14:textFill>
        </w:rPr>
        <w:t xml:space="preserve">DB 3306/T </w:t>
      </w:r>
      <w:r>
        <w:rPr>
          <w:rFonts w:hint="eastAsia" w:cs="Times New Roman"/>
          <w:color w:val="000000" w:themeColor="text1"/>
          <w:szCs w:val="24"/>
          <w:highlight w:val="yellow"/>
          <w:lang w:val="en-US" w:bidi="ar-SA"/>
          <w14:textFill>
            <w14:solidFill>
              <w14:schemeClr w14:val="tx1"/>
            </w14:solidFill>
          </w14:textFill>
        </w:rPr>
        <w:t>xxxx-xxxx</w:t>
      </w:r>
      <w:r>
        <w:rPr>
          <w:rFonts w:hint="eastAsia" w:cs="Times New Roman"/>
          <w:color w:val="000000" w:themeColor="text1"/>
          <w:szCs w:val="24"/>
          <w:lang w:val="en-US" w:bidi="ar-SA"/>
          <w14:textFill>
            <w14:solidFill>
              <w14:schemeClr w14:val="tx1"/>
            </w14:solidFill>
          </w14:textFill>
        </w:rPr>
        <w:t xml:space="preserve"> </w:t>
      </w:r>
      <w:r>
        <w:rPr>
          <w:rFonts w:ascii="宋体" w:hAnsi="宋体" w:eastAsia="宋体" w:cs="宋体"/>
          <w:sz w:val="24"/>
          <w:szCs w:val="24"/>
        </w:rPr>
        <w:t xml:space="preserve"> </w:t>
      </w:r>
      <w:r>
        <w:rPr>
          <w:rFonts w:ascii="宋体" w:hAnsi="宋体" w:eastAsia="宋体" w:cs="宋体"/>
          <w:color w:val="FF0000"/>
          <w:sz w:val="24"/>
          <w:szCs w:val="24"/>
        </w:rPr>
        <w:t>025—2020</w:t>
      </w:r>
      <w:r>
        <w:rPr>
          <w:rFonts w:hint="eastAsia" w:cs="Times New Roman"/>
          <w:color w:val="000000" w:themeColor="text1"/>
          <w:szCs w:val="24"/>
          <w:lang w:val="en-US" w:bidi="ar-SA"/>
          <w14:textFill>
            <w14:solidFill>
              <w14:schemeClr w14:val="tx1"/>
            </w14:solidFill>
          </w14:textFill>
        </w:rPr>
        <w:t xml:space="preserve"> </w:t>
      </w:r>
      <w:r>
        <w:rPr>
          <w:rFonts w:hint="eastAsia"/>
          <w:color w:val="000000" w:themeColor="text1"/>
          <w14:textFill>
            <w14:solidFill>
              <w14:schemeClr w14:val="tx1"/>
            </w14:solidFill>
          </w14:textFill>
        </w:rPr>
        <w:t>研学旅行基地和营地建设与管理规范</w:t>
      </w:r>
    </w:p>
    <w:p>
      <w:pPr>
        <w:pStyle w:val="21"/>
        <w:ind w:firstLine="0" w:firstLineChars="0"/>
      </w:pPr>
    </w:p>
    <w:p>
      <w:pPr>
        <w:pStyle w:val="20"/>
        <w:outlineLvl w:val="0"/>
      </w:pPr>
      <w:bookmarkStart w:id="6" w:name="_Toc50012197"/>
      <w:r>
        <w:rPr>
          <w:rFonts w:hint="eastAsia"/>
        </w:rPr>
        <w:t>术语和定义</w:t>
      </w:r>
      <w:bookmarkEnd w:id="6"/>
    </w:p>
    <w:p>
      <w:pPr>
        <w:pStyle w:val="8"/>
        <w:topLinePunct/>
        <w:autoSpaceDE w:val="0"/>
        <w:autoSpaceDN w:val="0"/>
        <w:spacing w:before="156" w:beforeLines="50" w:after="156" w:afterLines="50"/>
        <w:ind w:firstLine="420" w:firstLineChars="200"/>
        <w:jc w:val="left"/>
        <w:rPr>
          <w:rFonts w:cs="Times New Roman"/>
        </w:rPr>
      </w:pPr>
      <w:r>
        <w:rPr>
          <w:rFonts w:hint="eastAsia" w:cs="Times New Roman"/>
          <w:szCs w:val="24"/>
          <w:lang w:val="en-US" w:bidi="ar-SA"/>
        </w:rPr>
        <w:t>下列术语和定义适用于本文件。</w:t>
      </w:r>
    </w:p>
    <w:p>
      <w:pPr>
        <w:pStyle w:val="22"/>
      </w:pPr>
      <w:r>
        <w:rPr>
          <w:rFonts w:hint="eastAsia"/>
        </w:rPr>
        <w:t xml:space="preserve"> </w:t>
      </w:r>
    </w:p>
    <w:p>
      <w:pPr>
        <w:ind w:firstLine="420" w:firstLineChars="200"/>
        <w:rPr>
          <w:rFonts w:ascii="黑体" w:hAnsi="黑体" w:eastAsia="黑体" w:cs="黑体"/>
          <w:color w:val="000000"/>
          <w:szCs w:val="21"/>
          <w:shd w:val="clear" w:color="auto" w:fill="FFFFFF"/>
        </w:rPr>
      </w:pPr>
      <w:r>
        <w:rPr>
          <w:rFonts w:hint="eastAsia" w:ascii="黑体" w:hAnsi="黑体" w:eastAsia="黑体" w:cs="黑体"/>
          <w:szCs w:val="21"/>
        </w:rPr>
        <w:t>非物质文化遗产</w:t>
      </w:r>
      <w:r>
        <w:rPr>
          <w:rFonts w:hint="eastAsia" w:ascii="黑体" w:hAnsi="黑体" w:eastAsia="黑体" w:cs="黑体"/>
          <w:b/>
          <w:bCs/>
          <w:szCs w:val="21"/>
        </w:rPr>
        <w:t xml:space="preserve"> </w:t>
      </w:r>
      <w:r>
        <w:rPr>
          <w:rFonts w:hint="eastAsia" w:ascii="黑体" w:hAnsi="黑体" w:eastAsia="黑体" w:cs="黑体"/>
          <w:b/>
          <w:bCs/>
          <w:color w:val="000000"/>
          <w:szCs w:val="21"/>
          <w:shd w:val="clear" w:color="auto" w:fill="FFFFFF"/>
        </w:rPr>
        <w:t xml:space="preserve"> </w:t>
      </w:r>
      <w:r>
        <w:rPr>
          <w:rFonts w:hint="eastAsia" w:ascii="黑体" w:hAnsi="黑体" w:eastAsia="黑体" w:cs="黑体"/>
          <w:color w:val="000000"/>
          <w:szCs w:val="21"/>
          <w:shd w:val="clear" w:color="auto" w:fill="FFFFFF"/>
        </w:rPr>
        <w:t>Intangible cultural heritage</w:t>
      </w:r>
    </w:p>
    <w:p>
      <w:pPr>
        <w:ind w:firstLine="420" w:firstLineChars="200"/>
        <w:rPr>
          <w:rFonts w:ascii="黑体" w:hAnsi="黑体" w:eastAsia="黑体" w:cs="黑体"/>
          <w:color w:val="333333"/>
          <w:szCs w:val="21"/>
          <w:shd w:val="clear" w:color="auto" w:fill="FFFFFF"/>
        </w:rPr>
      </w:pPr>
    </w:p>
    <w:p>
      <w:pPr>
        <w:ind w:firstLine="420" w:firstLineChars="200"/>
        <w:rPr>
          <w:rFonts w:ascii="宋体" w:hAnsi="宋体" w:eastAsia="宋体" w:cs="宋体"/>
          <w:color w:val="333333"/>
          <w:szCs w:val="21"/>
          <w:shd w:val="clear" w:color="auto" w:fill="FFFFFF"/>
        </w:rPr>
      </w:pPr>
      <w:r>
        <w:rPr>
          <w:rFonts w:hint="eastAsia" w:ascii="宋体" w:hAnsi="宋体" w:eastAsia="宋体" w:cs="宋体"/>
          <w:color w:val="333333"/>
          <w:szCs w:val="21"/>
          <w:shd w:val="clear" w:color="auto" w:fill="FFFFFF"/>
        </w:rPr>
        <w:t>非物质文化遗产是指各族人民世代相传并视为其文化遗产组成部分的各种传统文化表现形式，以及与传统文化表现</w:t>
      </w:r>
      <w:r>
        <w:fldChar w:fldCharType="begin"/>
      </w:r>
      <w:r>
        <w:instrText xml:space="preserve"> HYPERLINK "https://baike.baidu.com/item/%E5%BD%A2%E5%BC%8F/2090323" \t "https://baike.baidu.com/item/%E9%9D%9E%E7%89%A9%E8%B4%A8%E6%96%87%E5%8C%96%E9%81%97%E4%BA%A7/_blank" </w:instrText>
      </w:r>
      <w:r>
        <w:fldChar w:fldCharType="separate"/>
      </w:r>
      <w:r>
        <w:rPr>
          <w:rStyle w:val="16"/>
          <w:rFonts w:hint="eastAsia" w:ascii="宋体" w:hAnsi="宋体" w:eastAsia="宋体" w:cs="宋体"/>
          <w:color w:val="000000" w:themeColor="text1"/>
          <w:szCs w:val="21"/>
          <w:u w:val="none"/>
          <w:shd w:val="clear" w:color="auto" w:fill="FFFFFF"/>
          <w14:textFill>
            <w14:solidFill>
              <w14:schemeClr w14:val="tx1"/>
            </w14:solidFill>
          </w14:textFill>
        </w:rPr>
        <w:t>形式</w:t>
      </w:r>
      <w:r>
        <w:rPr>
          <w:rStyle w:val="16"/>
          <w:rFonts w:hint="eastAsia" w:ascii="宋体" w:hAnsi="宋体" w:eastAsia="宋体" w:cs="宋体"/>
          <w:color w:val="000000" w:themeColor="text1"/>
          <w:szCs w:val="21"/>
          <w:u w:val="none"/>
          <w:shd w:val="clear" w:color="auto" w:fill="FFFFFF"/>
          <w14:textFill>
            <w14:solidFill>
              <w14:schemeClr w14:val="tx1"/>
            </w14:solidFill>
          </w14:textFill>
        </w:rPr>
        <w:fldChar w:fldCharType="end"/>
      </w:r>
      <w:r>
        <w:rPr>
          <w:rFonts w:hint="eastAsia" w:ascii="宋体" w:hAnsi="宋体" w:eastAsia="宋体" w:cs="宋体"/>
          <w:color w:val="333333"/>
          <w:szCs w:val="21"/>
          <w:shd w:val="clear" w:color="auto" w:fill="FFFFFF"/>
        </w:rPr>
        <w:t>相关的实物和场所。简称“非遗”。</w:t>
      </w:r>
    </w:p>
    <w:p>
      <w:pPr>
        <w:ind w:firstLine="420" w:firstLineChars="200"/>
        <w:rPr>
          <w:rFonts w:ascii="宋体" w:hAnsi="宋体" w:eastAsia="宋体" w:cs="宋体"/>
          <w:color w:val="333333"/>
          <w:szCs w:val="21"/>
          <w:shd w:val="clear" w:color="auto" w:fill="FFFFFF"/>
        </w:rPr>
      </w:pPr>
    </w:p>
    <w:p>
      <w:pPr>
        <w:pStyle w:val="22"/>
        <w:rPr>
          <w:rFonts w:ascii="宋体" w:hAnsi="宋体" w:eastAsia="宋体" w:cs="宋体"/>
          <w:color w:val="000000" w:themeColor="text1"/>
          <w:shd w:val="clear" w:color="auto" w:fill="FFFFFF"/>
          <w14:textFill>
            <w14:solidFill>
              <w14:schemeClr w14:val="tx1"/>
            </w14:solidFill>
          </w14:textFill>
        </w:rPr>
      </w:pPr>
    </w:p>
    <w:p>
      <w:pPr>
        <w:pStyle w:val="22"/>
        <w:numPr>
          <w:ilvl w:val="0"/>
          <w:numId w:val="0"/>
        </w:numPr>
        <w:ind w:firstLine="424" w:firstLineChars="202"/>
        <w:rPr>
          <w:rFonts w:hAnsi="黑体" w:cs="黑体"/>
          <w:color w:val="333333"/>
          <w:shd w:val="clear" w:color="auto" w:fill="FFFFFF"/>
        </w:rPr>
      </w:pPr>
      <w:r>
        <w:rPr>
          <w:rFonts w:hint="eastAsia"/>
          <w:color w:val="000000" w:themeColor="text1"/>
          <w14:textFill>
            <w14:solidFill>
              <w14:schemeClr w14:val="tx1"/>
            </w14:solidFill>
          </w14:textFill>
        </w:rPr>
        <w:t>非物质文化遗产项目代表性传承人</w:t>
      </w:r>
      <w:r>
        <w:rPr>
          <w:rFonts w:hint="eastAsia" w:hAnsi="黑体" w:cs="黑体"/>
          <w:b/>
          <w:bCs/>
          <w:color w:val="000000" w:themeColor="text1"/>
          <w:shd w:val="clear" w:color="auto" w:fill="FFFFFF"/>
          <w14:textFill>
            <w14:solidFill>
              <w14:schemeClr w14:val="tx1"/>
            </w14:solidFill>
          </w14:textFill>
        </w:rPr>
        <w:t xml:space="preserve"> </w:t>
      </w:r>
      <w:r>
        <w:rPr>
          <w:rFonts w:hint="eastAsia" w:hAnsi="黑体" w:cs="黑体"/>
          <w:color w:val="333333"/>
          <w:shd w:val="clear" w:color="auto" w:fill="FFFFFF"/>
        </w:rPr>
        <w:t>Representative inheritors of intangible cultural heritage</w:t>
      </w:r>
    </w:p>
    <w:p>
      <w:pPr>
        <w:pStyle w:val="21"/>
      </w:pPr>
    </w:p>
    <w:p>
      <w:pPr>
        <w:pStyle w:val="21"/>
        <w:rPr>
          <w:rFonts w:hAnsi="宋体" w:cs="宋体"/>
          <w:color w:val="000000" w:themeColor="text1"/>
          <w:szCs w:val="21"/>
          <w:shd w:val="clear" w:color="auto" w:fill="FFFFFF"/>
          <w14:textFill>
            <w14:solidFill>
              <w14:schemeClr w14:val="tx1"/>
            </w14:solidFill>
          </w14:textFill>
        </w:rPr>
      </w:pPr>
      <w:r>
        <w:rPr>
          <w:rFonts w:hint="eastAsia" w:hAnsi="宋体" w:cs="宋体"/>
          <w:color w:val="000000" w:themeColor="text1"/>
          <w:szCs w:val="21"/>
          <w:shd w:val="clear" w:color="auto" w:fill="FFFFFF"/>
          <w14:textFill>
            <w14:solidFill>
              <w14:schemeClr w14:val="tx1"/>
            </w14:solidFill>
          </w14:textFill>
        </w:rPr>
        <w:t>国务院文化主管部门和各级人民政府文化主管部门对本级人民政府批准公布的非物质文化遗产代表性项目认定的各级代表性传承人。非物质文化遗产代表性项目的代表性传承人应当符合下列条件：（一）熟练掌握其传承的非物质文化遗产；（二）在特定领域内具有代表性，并在一定区域内具有较大影响；（三）积极开展传承活动。</w:t>
      </w:r>
    </w:p>
    <w:p>
      <w:pPr>
        <w:pStyle w:val="21"/>
        <w:rPr>
          <w:rFonts w:hAnsi="宋体" w:cs="宋体"/>
          <w:color w:val="333333"/>
          <w:szCs w:val="21"/>
          <w:shd w:val="clear" w:color="auto" w:fill="FFFFFF"/>
        </w:rPr>
      </w:pPr>
    </w:p>
    <w:p>
      <w:pPr>
        <w:pStyle w:val="22"/>
      </w:pPr>
      <w:r>
        <w:rPr>
          <w:rFonts w:hint="eastAsia"/>
        </w:rPr>
        <w:t xml:space="preserve"> </w:t>
      </w:r>
    </w:p>
    <w:p>
      <w:pPr>
        <w:ind w:firstLine="420" w:firstLineChars="200"/>
        <w:rPr>
          <w:rFonts w:ascii="黑体" w:hAnsi="黑体" w:eastAsia="黑体" w:cs="黑体"/>
          <w:szCs w:val="21"/>
        </w:rPr>
      </w:pPr>
      <w:bookmarkStart w:id="7" w:name="_Toc15818"/>
      <w:r>
        <w:rPr>
          <w:rFonts w:hint="eastAsia" w:ascii="黑体" w:hAnsi="黑体" w:eastAsia="黑体" w:cs="黑体"/>
          <w:szCs w:val="21"/>
        </w:rPr>
        <w:t xml:space="preserve">非遗研学游 </w:t>
      </w:r>
      <w:r>
        <w:rPr>
          <w:rFonts w:hint="eastAsia" w:ascii="黑体" w:hAnsi="黑体" w:eastAsia="黑体" w:cs="黑体"/>
          <w:b/>
          <w:bCs/>
          <w:color w:val="000000"/>
          <w:szCs w:val="21"/>
          <w:shd w:val="clear" w:color="auto" w:fill="FFFFFF"/>
        </w:rPr>
        <w:t xml:space="preserve"> </w:t>
      </w:r>
      <w:r>
        <w:rPr>
          <w:rFonts w:hint="eastAsia" w:ascii="黑体" w:hAnsi="黑体" w:eastAsia="黑体" w:cs="黑体"/>
          <w:color w:val="000000"/>
          <w:szCs w:val="21"/>
          <w:shd w:val="clear" w:color="auto" w:fill="FFFFFF"/>
        </w:rPr>
        <w:t xml:space="preserve">Intangible cultural heritage </w:t>
      </w:r>
      <w:r>
        <w:rPr>
          <w:rFonts w:hint="eastAsia" w:ascii="黑体" w:hAnsi="黑体" w:eastAsia="黑体" w:cs="黑体"/>
          <w:szCs w:val="21"/>
        </w:rPr>
        <w:t>study travel</w:t>
      </w:r>
      <w:bookmarkEnd w:id="7"/>
    </w:p>
    <w:p>
      <w:pPr>
        <w:pStyle w:val="8"/>
        <w:topLinePunct/>
        <w:autoSpaceDE w:val="0"/>
        <w:autoSpaceDN w:val="0"/>
        <w:ind w:firstLine="420" w:firstLineChars="200"/>
        <w:jc w:val="left"/>
        <w:rPr>
          <w:rFonts w:cs="Times New Roman"/>
          <w:szCs w:val="24"/>
          <w:lang w:val="en-US" w:bidi="ar-SA"/>
        </w:rPr>
      </w:pPr>
    </w:p>
    <w:p>
      <w:pPr>
        <w:pStyle w:val="8"/>
        <w:topLinePunct/>
        <w:autoSpaceDE w:val="0"/>
        <w:autoSpaceDN w:val="0"/>
        <w:ind w:firstLine="420" w:firstLineChars="200"/>
        <w:jc w:val="left"/>
        <w:rPr>
          <w:rFonts w:cs="Times New Roman"/>
          <w:szCs w:val="24"/>
          <w:lang w:val="en-US" w:bidi="ar-SA"/>
        </w:rPr>
      </w:pPr>
      <w:r>
        <w:rPr>
          <w:rFonts w:hint="eastAsia" w:cs="Times New Roman"/>
          <w:szCs w:val="24"/>
          <w:lang w:val="en-US" w:bidi="ar-SA"/>
        </w:rPr>
        <w:t>以学生、家庭亲子、企事业团体、国际交流团体等研学旅行者为主体对象，以体验非遗实践、拓展非遗知识、提升文化素养、获得文化体悟为目的，依托特定非遗代表性项目及相关历史人文、传统文化等资源，进行体验式、探究性的一种旅游活动。</w:t>
      </w:r>
    </w:p>
    <w:p>
      <w:pPr>
        <w:pStyle w:val="20"/>
        <w:numPr>
          <w:ilvl w:val="0"/>
          <w:numId w:val="0"/>
        </w:numPr>
      </w:pPr>
    </w:p>
    <w:p>
      <w:pPr>
        <w:pStyle w:val="22"/>
      </w:pPr>
      <w:r>
        <w:rPr>
          <w:rFonts w:hint="eastAsia"/>
        </w:rPr>
        <w:t xml:space="preserve"> </w:t>
      </w:r>
    </w:p>
    <w:p>
      <w:pPr>
        <w:ind w:firstLine="420" w:firstLineChars="200"/>
        <w:rPr>
          <w:rFonts w:ascii="黑体" w:hAnsi="黑体" w:eastAsia="黑体" w:cs="黑体"/>
          <w:szCs w:val="21"/>
        </w:rPr>
      </w:pPr>
      <w:bookmarkStart w:id="8" w:name="_Toc18748"/>
      <w:r>
        <w:rPr>
          <w:rFonts w:hint="eastAsia" w:ascii="黑体" w:hAnsi="黑体" w:eastAsia="黑体" w:cs="黑体"/>
          <w:szCs w:val="21"/>
        </w:rPr>
        <w:t xml:space="preserve">非遗研学游基地  </w:t>
      </w:r>
      <w:r>
        <w:rPr>
          <w:rFonts w:hint="eastAsia" w:ascii="黑体" w:hAnsi="黑体" w:eastAsia="黑体" w:cs="黑体"/>
          <w:b/>
          <w:bCs/>
          <w:color w:val="000000"/>
          <w:szCs w:val="21"/>
          <w:shd w:val="clear" w:color="auto" w:fill="FFFFFF"/>
        </w:rPr>
        <w:t xml:space="preserve"> </w:t>
      </w:r>
      <w:r>
        <w:rPr>
          <w:rFonts w:hint="eastAsia" w:ascii="黑体" w:hAnsi="黑体" w:eastAsia="黑体" w:cs="黑体"/>
          <w:color w:val="000000"/>
          <w:szCs w:val="21"/>
          <w:shd w:val="clear" w:color="auto" w:fill="FFFFFF"/>
        </w:rPr>
        <w:t xml:space="preserve">Intangible cultural heritage </w:t>
      </w:r>
      <w:r>
        <w:rPr>
          <w:rFonts w:hint="eastAsia" w:ascii="黑体" w:hAnsi="黑体" w:eastAsia="黑体" w:cs="黑体"/>
          <w:szCs w:val="21"/>
        </w:rPr>
        <w:t>study travel base</w:t>
      </w:r>
      <w:bookmarkEnd w:id="8"/>
    </w:p>
    <w:p>
      <w:pPr>
        <w:pStyle w:val="8"/>
        <w:topLinePunct/>
        <w:autoSpaceDE w:val="0"/>
        <w:autoSpaceDN w:val="0"/>
        <w:ind w:firstLine="420" w:firstLineChars="200"/>
        <w:jc w:val="left"/>
        <w:rPr>
          <w:rFonts w:cs="Times New Roman"/>
          <w:color w:val="000000"/>
          <w:szCs w:val="24"/>
          <w:lang w:val="en-US" w:bidi="ar-SA"/>
        </w:rPr>
      </w:pPr>
    </w:p>
    <w:p>
      <w:pPr>
        <w:pStyle w:val="8"/>
        <w:topLinePunct/>
        <w:autoSpaceDE w:val="0"/>
        <w:autoSpaceDN w:val="0"/>
        <w:ind w:firstLine="420" w:firstLineChars="200"/>
        <w:jc w:val="left"/>
        <w:rPr>
          <w:lang w:val="en-US"/>
        </w:rPr>
      </w:pPr>
      <w:r>
        <w:rPr>
          <w:rFonts w:hint="eastAsia" w:cs="Times New Roman"/>
          <w:color w:val="000000"/>
          <w:szCs w:val="24"/>
          <w:lang w:val="en-US" w:bidi="ar-SA"/>
        </w:rPr>
        <w:t>为研学旅行者提供非遗代表性项目参观活动、学习活动、实践活动、体验活动的场所，且具有固定的经营管理机构和明确的独立管理区域。</w:t>
      </w:r>
    </w:p>
    <w:p>
      <w:pPr>
        <w:pStyle w:val="20"/>
        <w:numPr>
          <w:ilvl w:val="0"/>
          <w:numId w:val="0"/>
        </w:numPr>
      </w:pPr>
    </w:p>
    <w:p>
      <w:pPr>
        <w:pStyle w:val="22"/>
      </w:pPr>
      <w:r>
        <w:rPr>
          <w:rFonts w:hint="eastAsia"/>
        </w:rPr>
        <w:t xml:space="preserve"> </w:t>
      </w:r>
    </w:p>
    <w:p>
      <w:pPr>
        <w:ind w:firstLine="420" w:firstLineChars="200"/>
        <w:rPr>
          <w:rFonts w:ascii="黑体" w:hAnsi="黑体" w:eastAsia="黑体" w:cs="黑体"/>
          <w:szCs w:val="21"/>
        </w:rPr>
      </w:pPr>
      <w:bookmarkStart w:id="9" w:name="_Toc28224"/>
      <w:r>
        <w:rPr>
          <w:rFonts w:hint="eastAsia" w:ascii="黑体" w:hAnsi="黑体" w:eastAsia="黑体" w:cs="黑体"/>
          <w:szCs w:val="21"/>
        </w:rPr>
        <w:t>研学游指导师  study travel tutor</w:t>
      </w:r>
      <w:bookmarkEnd w:id="9"/>
    </w:p>
    <w:p>
      <w:pPr>
        <w:ind w:firstLine="420" w:firstLineChars="200"/>
        <w:rPr>
          <w:rFonts w:ascii="黑体" w:hAnsi="黑体" w:eastAsia="黑体" w:cs="黑体"/>
          <w:szCs w:val="21"/>
        </w:rPr>
      </w:pPr>
    </w:p>
    <w:p>
      <w:pPr>
        <w:pStyle w:val="8"/>
        <w:topLinePunct/>
        <w:autoSpaceDE w:val="0"/>
        <w:autoSpaceDN w:val="0"/>
        <w:ind w:firstLine="420" w:firstLineChars="200"/>
        <w:jc w:val="left"/>
        <w:rPr>
          <w:rFonts w:cs="Times New Roman"/>
          <w:szCs w:val="24"/>
          <w:lang w:val="en-US" w:bidi="ar-SA"/>
        </w:rPr>
      </w:pPr>
      <w:r>
        <w:rPr>
          <w:rFonts w:hint="eastAsia" w:cs="Times New Roman"/>
          <w:szCs w:val="24"/>
          <w:lang w:val="en-US" w:bidi="ar-SA"/>
        </w:rPr>
        <w:t>在研学游过程中，具体制定或实施研学游方案，指导研学旅行者开展相关活动的专业人员。</w:t>
      </w:r>
    </w:p>
    <w:p>
      <w:pPr>
        <w:pStyle w:val="20"/>
        <w:numPr>
          <w:ilvl w:val="0"/>
          <w:numId w:val="0"/>
        </w:numPr>
      </w:pPr>
    </w:p>
    <w:p>
      <w:pPr>
        <w:pStyle w:val="22"/>
      </w:pPr>
      <w:r>
        <w:rPr>
          <w:rFonts w:hint="eastAsia"/>
        </w:rPr>
        <w:t xml:space="preserve"> </w:t>
      </w:r>
    </w:p>
    <w:p>
      <w:pPr>
        <w:ind w:firstLine="420" w:firstLineChars="200"/>
        <w:rPr>
          <w:rFonts w:ascii="黑体" w:hAnsi="黑体" w:eastAsia="黑体" w:cs="黑体"/>
          <w:szCs w:val="21"/>
        </w:rPr>
      </w:pPr>
      <w:bookmarkStart w:id="10" w:name="_Toc23916"/>
      <w:r>
        <w:rPr>
          <w:rFonts w:hint="eastAsia" w:ascii="黑体" w:hAnsi="黑体" w:eastAsia="黑体" w:cs="黑体"/>
          <w:szCs w:val="21"/>
        </w:rPr>
        <w:t>非遗研学游活动</w:t>
      </w:r>
      <w:r>
        <w:rPr>
          <w:rFonts w:hint="eastAsia" w:ascii="黑体" w:hAnsi="黑体" w:eastAsia="黑体" w:cs="黑体"/>
          <w:b/>
          <w:bCs/>
          <w:color w:val="000000"/>
          <w:szCs w:val="21"/>
          <w:shd w:val="clear" w:color="auto" w:fill="FFFFFF"/>
        </w:rPr>
        <w:t xml:space="preserve"> </w:t>
      </w:r>
      <w:r>
        <w:rPr>
          <w:rFonts w:hint="eastAsia" w:ascii="黑体" w:hAnsi="黑体" w:eastAsia="黑体" w:cs="黑体"/>
          <w:color w:val="000000"/>
          <w:szCs w:val="21"/>
          <w:shd w:val="clear" w:color="auto" w:fill="FFFFFF"/>
        </w:rPr>
        <w:t xml:space="preserve">Intangible cultural heritage </w:t>
      </w:r>
      <w:r>
        <w:rPr>
          <w:rFonts w:hint="eastAsia" w:ascii="黑体" w:hAnsi="黑体" w:eastAsia="黑体" w:cs="黑体"/>
          <w:szCs w:val="21"/>
        </w:rPr>
        <w:t xml:space="preserve"> study</w:t>
      </w:r>
      <w:r>
        <w:rPr>
          <w:rFonts w:ascii="黑体" w:hAnsi="黑体" w:eastAsia="黑体" w:cs="黑体"/>
          <w:szCs w:val="21"/>
        </w:rPr>
        <w:t xml:space="preserve"> travel</w:t>
      </w:r>
      <w:r>
        <w:rPr>
          <w:rFonts w:hint="eastAsia" w:ascii="黑体" w:hAnsi="黑体" w:eastAsia="黑体" w:cs="黑体"/>
          <w:szCs w:val="21"/>
        </w:rPr>
        <w:t xml:space="preserve"> activity</w:t>
      </w:r>
      <w:bookmarkEnd w:id="10"/>
    </w:p>
    <w:p>
      <w:pPr>
        <w:ind w:firstLine="420" w:firstLineChars="200"/>
        <w:rPr>
          <w:rFonts w:ascii="黑体" w:hAnsi="黑体" w:eastAsia="黑体" w:cs="黑体"/>
          <w:szCs w:val="21"/>
        </w:rPr>
      </w:pPr>
    </w:p>
    <w:p>
      <w:pPr>
        <w:pStyle w:val="8"/>
        <w:topLinePunct/>
        <w:autoSpaceDE w:val="0"/>
        <w:autoSpaceDN w:val="0"/>
        <w:ind w:firstLine="420" w:firstLineChars="200"/>
        <w:jc w:val="left"/>
        <w:rPr>
          <w:rFonts w:cs="Times New Roman"/>
          <w:szCs w:val="24"/>
          <w:lang w:val="en-US" w:bidi="ar-SA"/>
        </w:rPr>
      </w:pPr>
      <w:r>
        <w:rPr>
          <w:rFonts w:hint="eastAsia" w:cs="Times New Roman"/>
          <w:szCs w:val="24"/>
          <w:lang w:val="en-US" w:bidi="ar-SA"/>
        </w:rPr>
        <w:t>以非遗代表性项目为核心内容，专门为研学游设计并包含活动目标、活动内容、活动安排、活动评价四大要素在内的体验性活动。</w:t>
      </w:r>
    </w:p>
    <w:p>
      <w:pPr>
        <w:pStyle w:val="21"/>
        <w:ind w:firstLine="0" w:firstLineChars="0"/>
      </w:pPr>
    </w:p>
    <w:p>
      <w:pPr>
        <w:pStyle w:val="20"/>
        <w:outlineLvl w:val="0"/>
      </w:pPr>
      <w:bookmarkStart w:id="11" w:name="_Toc50012198"/>
      <w:r>
        <w:rPr>
          <w:rFonts w:hint="eastAsia"/>
        </w:rPr>
        <w:t>总则</w:t>
      </w:r>
      <w:bookmarkEnd w:id="11"/>
    </w:p>
    <w:p>
      <w:pPr>
        <w:pStyle w:val="20"/>
        <w:numPr>
          <w:ilvl w:val="0"/>
          <w:numId w:val="0"/>
        </w:numPr>
      </w:pPr>
    </w:p>
    <w:p>
      <w:pPr>
        <w:pStyle w:val="22"/>
        <w:outlineLvl w:val="1"/>
      </w:pPr>
      <w:bookmarkStart w:id="12" w:name="_Toc31425"/>
      <w:bookmarkStart w:id="13" w:name="_Toc1408"/>
      <w:r>
        <w:rPr>
          <w:rFonts w:hint="eastAsia"/>
        </w:rPr>
        <w:t>社会价值</w:t>
      </w:r>
      <w:bookmarkEnd w:id="12"/>
      <w:bookmarkEnd w:id="13"/>
    </w:p>
    <w:p>
      <w:pPr>
        <w:pStyle w:val="21"/>
      </w:pPr>
    </w:p>
    <w:p>
      <w:pPr>
        <w:pStyle w:val="8"/>
        <w:topLinePunct/>
        <w:autoSpaceDE w:val="0"/>
        <w:autoSpaceDN w:val="0"/>
        <w:ind w:firstLine="420" w:firstLineChars="200"/>
        <w:jc w:val="left"/>
        <w:rPr>
          <w:rFonts w:cs="Times New Roman"/>
          <w:szCs w:val="24"/>
          <w:lang w:val="en-US" w:bidi="ar-SA"/>
        </w:rPr>
      </w:pPr>
      <w:r>
        <w:rPr>
          <w:rFonts w:cs="Times New Roman"/>
          <w:szCs w:val="24"/>
          <w:lang w:val="en-US" w:bidi="ar-SA"/>
        </w:rPr>
        <w:t>应</w:t>
      </w:r>
      <w:r>
        <w:rPr>
          <w:rFonts w:hint="eastAsia" w:cs="Times New Roman"/>
          <w:szCs w:val="24"/>
          <w:lang w:val="en-US" w:bidi="ar-SA"/>
        </w:rPr>
        <w:t>向研学旅行者传播社会主义核心价值观、中华</w:t>
      </w:r>
      <w:r>
        <w:rPr>
          <w:rFonts w:cs="Times New Roman"/>
          <w:szCs w:val="24"/>
          <w:lang w:val="en-US" w:bidi="ar-SA"/>
        </w:rPr>
        <w:t>优秀</w:t>
      </w:r>
      <w:r>
        <w:rPr>
          <w:rFonts w:hint="eastAsia" w:cs="Times New Roman"/>
          <w:szCs w:val="24"/>
          <w:lang w:val="en-US" w:bidi="ar-SA"/>
        </w:rPr>
        <w:t>传统</w:t>
      </w:r>
      <w:r>
        <w:rPr>
          <w:rFonts w:cs="Times New Roman"/>
          <w:szCs w:val="24"/>
          <w:lang w:val="en-US" w:bidi="ar-SA"/>
        </w:rPr>
        <w:t>文化</w:t>
      </w:r>
      <w:r>
        <w:rPr>
          <w:rFonts w:hint="eastAsia" w:cs="Times New Roman"/>
          <w:szCs w:val="24"/>
          <w:lang w:val="en-US" w:bidi="ar-SA"/>
        </w:rPr>
        <w:t>，展现文化和城市精神</w:t>
      </w:r>
      <w:r>
        <w:rPr>
          <w:rFonts w:cs="Times New Roman"/>
          <w:szCs w:val="24"/>
          <w:lang w:val="en-US" w:bidi="ar-SA"/>
        </w:rPr>
        <w:t>。</w:t>
      </w:r>
    </w:p>
    <w:p>
      <w:pPr>
        <w:pStyle w:val="20"/>
        <w:numPr>
          <w:ilvl w:val="0"/>
          <w:numId w:val="0"/>
        </w:numPr>
      </w:pPr>
    </w:p>
    <w:p>
      <w:pPr>
        <w:pStyle w:val="22"/>
        <w:outlineLvl w:val="1"/>
      </w:pPr>
      <w:bookmarkStart w:id="14" w:name="_Toc32398"/>
      <w:bookmarkStart w:id="15" w:name="_Toc15991"/>
      <w:r>
        <w:rPr>
          <w:rFonts w:hint="eastAsia"/>
        </w:rPr>
        <w:t>探究价值</w:t>
      </w:r>
      <w:bookmarkEnd w:id="14"/>
      <w:bookmarkEnd w:id="15"/>
    </w:p>
    <w:p>
      <w:pPr>
        <w:pStyle w:val="21"/>
      </w:pPr>
    </w:p>
    <w:p>
      <w:pPr>
        <w:pStyle w:val="8"/>
        <w:topLinePunct/>
        <w:autoSpaceDE w:val="0"/>
        <w:autoSpaceDN w:val="0"/>
        <w:ind w:firstLine="420" w:firstLineChars="200"/>
        <w:jc w:val="left"/>
        <w:rPr>
          <w:rFonts w:cs="Times New Roman"/>
          <w:szCs w:val="24"/>
          <w:lang w:val="en-US" w:bidi="ar-SA"/>
        </w:rPr>
      </w:pPr>
      <w:r>
        <w:rPr>
          <w:rFonts w:hint="eastAsia" w:cs="Times New Roman"/>
          <w:szCs w:val="24"/>
          <w:lang w:val="en-US" w:bidi="ar-SA"/>
        </w:rPr>
        <w:t>应结合自身的人文、历史、艺术等特点，提供具有探索性和研究性的研学游活动。</w:t>
      </w:r>
    </w:p>
    <w:p>
      <w:pPr>
        <w:pStyle w:val="22"/>
        <w:numPr>
          <w:ilvl w:val="1"/>
          <w:numId w:val="0"/>
        </w:numPr>
      </w:pPr>
    </w:p>
    <w:p>
      <w:pPr>
        <w:pStyle w:val="22"/>
        <w:outlineLvl w:val="1"/>
      </w:pPr>
      <w:bookmarkStart w:id="16" w:name="_Toc12502"/>
      <w:bookmarkStart w:id="17" w:name="_Toc24080"/>
      <w:r>
        <w:rPr>
          <w:rFonts w:hint="eastAsia"/>
        </w:rPr>
        <w:t>体悟价值</w:t>
      </w:r>
      <w:bookmarkEnd w:id="16"/>
      <w:bookmarkEnd w:id="17"/>
    </w:p>
    <w:p>
      <w:pPr>
        <w:pStyle w:val="21"/>
      </w:pPr>
    </w:p>
    <w:p>
      <w:pPr>
        <w:pStyle w:val="8"/>
        <w:topLinePunct/>
        <w:autoSpaceDE w:val="0"/>
        <w:autoSpaceDN w:val="0"/>
        <w:ind w:firstLine="420" w:firstLineChars="200"/>
        <w:jc w:val="left"/>
        <w:rPr>
          <w:rFonts w:cs="Times New Roman"/>
          <w:szCs w:val="24"/>
          <w:lang w:val="en-US" w:bidi="ar-SA"/>
        </w:rPr>
      </w:pPr>
      <w:r>
        <w:rPr>
          <w:rFonts w:hint="eastAsia" w:cs="Times New Roman"/>
          <w:szCs w:val="24"/>
          <w:lang w:val="en-US" w:bidi="ar-SA"/>
        </w:rPr>
        <w:t>应引导研学旅行者在研学游过程中拓展视野、丰富知识、参与实践，在体验中感受中华文化魅力。</w:t>
      </w:r>
    </w:p>
    <w:p>
      <w:pPr>
        <w:pStyle w:val="22"/>
        <w:numPr>
          <w:ilvl w:val="1"/>
          <w:numId w:val="0"/>
        </w:numPr>
      </w:pPr>
    </w:p>
    <w:p>
      <w:pPr>
        <w:pStyle w:val="22"/>
        <w:outlineLvl w:val="1"/>
      </w:pPr>
      <w:bookmarkStart w:id="18" w:name="_Toc11450"/>
      <w:bookmarkStart w:id="19" w:name="_Toc9060"/>
      <w:r>
        <w:rPr>
          <w:rFonts w:hint="eastAsia"/>
        </w:rPr>
        <w:t>安全原则</w:t>
      </w:r>
      <w:bookmarkEnd w:id="18"/>
      <w:bookmarkEnd w:id="19"/>
    </w:p>
    <w:p>
      <w:pPr>
        <w:pStyle w:val="21"/>
      </w:pPr>
    </w:p>
    <w:p>
      <w:pPr>
        <w:pStyle w:val="8"/>
        <w:topLinePunct/>
        <w:autoSpaceDE w:val="0"/>
        <w:autoSpaceDN w:val="0"/>
        <w:spacing w:before="156" w:beforeLines="50" w:after="156" w:afterLines="50"/>
        <w:ind w:firstLine="420" w:firstLineChars="200"/>
        <w:jc w:val="left"/>
        <w:rPr>
          <w:szCs w:val="24"/>
          <w:lang w:val="en-US" w:bidi="ar-SA"/>
        </w:rPr>
      </w:pPr>
      <w:r>
        <w:rPr>
          <w:rFonts w:hint="eastAsia"/>
          <w:szCs w:val="24"/>
          <w:lang w:val="en-US" w:bidi="ar-SA"/>
        </w:rPr>
        <w:t>应始终坚持安全第一，配备安全保障设施，建立安全保障机制，明确安全保障责任，落实安全保障措施，确保</w:t>
      </w:r>
      <w:r>
        <w:rPr>
          <w:rFonts w:hint="eastAsia" w:cs="Times New Roman"/>
          <w:szCs w:val="24"/>
          <w:lang w:val="en-US" w:bidi="ar-SA"/>
        </w:rPr>
        <w:t>研学旅行者的人身与财产</w:t>
      </w:r>
      <w:r>
        <w:rPr>
          <w:rFonts w:hint="eastAsia"/>
          <w:szCs w:val="24"/>
          <w:lang w:val="en-US" w:bidi="ar-SA"/>
        </w:rPr>
        <w:t>安全。</w:t>
      </w:r>
    </w:p>
    <w:p>
      <w:pPr>
        <w:pStyle w:val="8"/>
        <w:topLinePunct/>
        <w:autoSpaceDE w:val="0"/>
        <w:autoSpaceDN w:val="0"/>
        <w:spacing w:before="156" w:beforeLines="50" w:after="156" w:afterLines="50"/>
        <w:ind w:firstLine="420" w:firstLineChars="200"/>
        <w:jc w:val="left"/>
        <w:rPr>
          <w:szCs w:val="24"/>
          <w:lang w:val="en-US" w:bidi="ar-SA"/>
        </w:rPr>
      </w:pPr>
    </w:p>
    <w:p>
      <w:pPr>
        <w:pStyle w:val="22"/>
        <w:outlineLvl w:val="1"/>
      </w:pPr>
      <w:r>
        <w:rPr>
          <w:rFonts w:hint="eastAsia"/>
        </w:rPr>
        <w:t xml:space="preserve"> 非遗保护原则</w:t>
      </w:r>
    </w:p>
    <w:p>
      <w:pPr>
        <w:pStyle w:val="22"/>
        <w:numPr>
          <w:ilvl w:val="1"/>
          <w:numId w:val="0"/>
        </w:numPr>
      </w:pPr>
    </w:p>
    <w:p>
      <w:pPr>
        <w:pStyle w:val="27"/>
        <w:numPr>
          <w:ilvl w:val="0"/>
          <w:numId w:val="0"/>
        </w:numPr>
        <w:ind w:firstLine="424" w:firstLineChars="202"/>
      </w:pPr>
      <w:r>
        <w:rPr>
          <w:rFonts w:hint="eastAsia"/>
        </w:rPr>
        <w:t>应向本地居民和外来游客传播非遗保护知识，培养保护意识，促进人们对非遗的认知与价值认同；应与国家和地方非遗保护相关法律制度相符，有利于当地各项保护措施的实施，促进非遗的传承与振兴；应保护与非遗存续相关的自然和人文生态环境。</w:t>
      </w:r>
    </w:p>
    <w:p>
      <w:pPr>
        <w:pStyle w:val="27"/>
        <w:numPr>
          <w:ilvl w:val="0"/>
          <w:numId w:val="0"/>
        </w:numPr>
        <w:outlineLvl w:val="9"/>
      </w:pPr>
    </w:p>
    <w:p>
      <w:pPr>
        <w:pStyle w:val="20"/>
        <w:outlineLvl w:val="0"/>
      </w:pPr>
      <w:bookmarkStart w:id="20" w:name="_Toc50012199"/>
      <w:r>
        <w:rPr>
          <w:rFonts w:hint="eastAsia"/>
        </w:rPr>
        <w:t>基地类型</w:t>
      </w:r>
      <w:bookmarkEnd w:id="20"/>
    </w:p>
    <w:p>
      <w:pPr>
        <w:pStyle w:val="28"/>
        <w:numPr>
          <w:ilvl w:val="2"/>
          <w:numId w:val="0"/>
        </w:numPr>
        <w:outlineLvl w:val="9"/>
        <w:rPr>
          <w:color w:val="FF0000"/>
        </w:rPr>
      </w:pPr>
    </w:p>
    <w:p>
      <w:pPr>
        <w:pStyle w:val="27"/>
        <w:widowControl/>
        <w:numPr>
          <w:ilvl w:val="2"/>
          <w:numId w:val="0"/>
        </w:numPr>
        <w:ind w:firstLine="420" w:firstLineChars="200"/>
        <w:rPr>
          <w:rFonts w:cs="Times New Roman"/>
          <w:color w:val="000000" w:themeColor="text1"/>
          <w:kern w:val="0"/>
          <w14:textFill>
            <w14:solidFill>
              <w14:schemeClr w14:val="tx1"/>
            </w14:solidFill>
          </w14:textFill>
        </w:rPr>
      </w:pPr>
      <w:r>
        <w:rPr>
          <w:rFonts w:hint="eastAsia" w:cs="Times New Roman"/>
          <w:color w:val="000000" w:themeColor="text1"/>
          <w:kern w:val="0"/>
          <w14:textFill>
            <w14:solidFill>
              <w14:schemeClr w14:val="tx1"/>
            </w14:solidFill>
          </w14:textFill>
        </w:rPr>
        <w:t>非遗研学游基地类型主要包括六类：</w:t>
      </w:r>
    </w:p>
    <w:p>
      <w:pPr>
        <w:pStyle w:val="27"/>
        <w:widowControl/>
        <w:numPr>
          <w:ilvl w:val="2"/>
          <w:numId w:val="0"/>
        </w:numPr>
        <w:ind w:firstLine="420" w:firstLineChars="200"/>
        <w:outlineLvl w:val="9"/>
        <w:rPr>
          <w:rFonts w:cs="Times New Roman"/>
          <w:color w:val="000000" w:themeColor="text1"/>
          <w:kern w:val="0"/>
          <w14:textFill>
            <w14:solidFill>
              <w14:schemeClr w14:val="tx1"/>
            </w14:solidFill>
          </w14:textFill>
        </w:rPr>
      </w:pPr>
    </w:p>
    <w:p>
      <w:pPr>
        <w:pStyle w:val="22"/>
        <w:outlineLvl w:val="1"/>
        <w:rPr>
          <w:color w:val="000000" w:themeColor="text1"/>
          <w14:textFill>
            <w14:solidFill>
              <w14:schemeClr w14:val="tx1"/>
            </w14:solidFill>
          </w14:textFill>
        </w:rPr>
      </w:pPr>
      <w:r>
        <w:rPr>
          <w:rFonts w:hint="eastAsia"/>
          <w:color w:val="000000" w:themeColor="text1"/>
          <w14:textFill>
            <w14:solidFill>
              <w14:schemeClr w14:val="tx1"/>
            </w14:solidFill>
          </w14:textFill>
        </w:rPr>
        <w:t>观光工厂型</w:t>
      </w:r>
    </w:p>
    <w:p>
      <w:pPr>
        <w:pStyle w:val="22"/>
        <w:numPr>
          <w:ilvl w:val="1"/>
          <w:numId w:val="0"/>
        </w:numPr>
        <w:ind w:firstLine="420" w:firstLineChars="200"/>
        <w:rPr>
          <w:rFonts w:ascii="宋体" w:hAnsi="宋体" w:eastAsia="宋体" w:cs="宋体"/>
          <w:color w:val="000000" w:themeColor="text1"/>
          <w14:textFill>
            <w14:solidFill>
              <w14:schemeClr w14:val="tx1"/>
            </w14:solidFill>
          </w14:textFill>
        </w:rPr>
      </w:pPr>
    </w:p>
    <w:p>
      <w:pPr>
        <w:pStyle w:val="22"/>
        <w:numPr>
          <w:ilvl w:val="1"/>
          <w:numId w:val="0"/>
        </w:numPr>
        <w:ind w:firstLine="420" w:firstLineChars="20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研学游基地为工厂形态，使研学旅行者通过在厂房中观览、学习非遗生产制作工艺的过程，实现研学游的目的。</w:t>
      </w:r>
    </w:p>
    <w:p>
      <w:pPr>
        <w:pStyle w:val="21"/>
      </w:pPr>
    </w:p>
    <w:p>
      <w:pPr>
        <w:pStyle w:val="22"/>
        <w:outlineLvl w:val="1"/>
      </w:pPr>
      <w:r>
        <w:rPr>
          <w:rFonts w:hint="eastAsia"/>
        </w:rPr>
        <w:t>景区内设型</w:t>
      </w:r>
    </w:p>
    <w:p>
      <w:pPr>
        <w:pStyle w:val="29"/>
        <w:numPr>
          <w:ilvl w:val="0"/>
          <w:numId w:val="0"/>
        </w:numPr>
        <w:ind w:firstLine="420" w:firstLineChars="200"/>
        <w:rPr>
          <w:color w:val="000000" w:themeColor="text1"/>
          <w14:textFill>
            <w14:solidFill>
              <w14:schemeClr w14:val="tx1"/>
            </w14:solidFill>
          </w14:textFill>
        </w:rPr>
      </w:pPr>
    </w:p>
    <w:p>
      <w:pPr>
        <w:pStyle w:val="29"/>
        <w:numPr>
          <w:ilvl w:val="0"/>
          <w:numId w:val="0"/>
        </w:num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研学游基地设立在景区内部，基地与景区的自然、人文环境有机融合，使研学旅行者在基地开展非遗代表性项目学习和体验，并可游览景区相关的自然人文生态，实现研学游的目的。</w:t>
      </w:r>
    </w:p>
    <w:p>
      <w:pPr>
        <w:pStyle w:val="29"/>
        <w:numPr>
          <w:ilvl w:val="0"/>
          <w:numId w:val="0"/>
        </w:numPr>
        <w:ind w:firstLine="420" w:firstLineChars="200"/>
        <w:rPr>
          <w:color w:val="000000" w:themeColor="text1"/>
          <w14:textFill>
            <w14:solidFill>
              <w14:schemeClr w14:val="tx1"/>
            </w14:solidFill>
          </w14:textFill>
        </w:rPr>
      </w:pPr>
    </w:p>
    <w:p>
      <w:pPr>
        <w:pStyle w:val="22"/>
        <w:outlineLvl w:val="1"/>
      </w:pPr>
      <w:r>
        <w:rPr>
          <w:rFonts w:hint="eastAsia"/>
        </w:rPr>
        <w:t>村镇内设型</w:t>
      </w:r>
    </w:p>
    <w:p>
      <w:pPr>
        <w:pStyle w:val="29"/>
        <w:numPr>
          <w:ilvl w:val="0"/>
          <w:numId w:val="0"/>
        </w:numPr>
        <w:ind w:firstLine="420" w:firstLineChars="200"/>
        <w:rPr>
          <w:color w:val="000000" w:themeColor="text1"/>
          <w14:textFill>
            <w14:solidFill>
              <w14:schemeClr w14:val="tx1"/>
            </w14:solidFill>
          </w14:textFill>
        </w:rPr>
      </w:pPr>
    </w:p>
    <w:p>
      <w:pPr>
        <w:pStyle w:val="29"/>
        <w:numPr>
          <w:ilvl w:val="0"/>
          <w:numId w:val="0"/>
        </w:num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研学游基地和乡村环境有机融合，与所在村镇联动提供研学接待服务，村镇内的非遗及相关资源按照一定主题进行组合，实现研学游的目的。</w:t>
      </w:r>
    </w:p>
    <w:p>
      <w:pPr>
        <w:pStyle w:val="29"/>
        <w:numPr>
          <w:ilvl w:val="0"/>
          <w:numId w:val="0"/>
        </w:numPr>
        <w:ind w:firstLine="420" w:firstLineChars="200"/>
        <w:rPr>
          <w:color w:val="000000" w:themeColor="text1"/>
          <w14:textFill>
            <w14:solidFill>
              <w14:schemeClr w14:val="tx1"/>
            </w14:solidFill>
          </w14:textFill>
        </w:rPr>
      </w:pPr>
    </w:p>
    <w:p>
      <w:pPr>
        <w:pStyle w:val="22"/>
        <w:outlineLvl w:val="1"/>
        <w:rPr>
          <w:color w:val="000000" w:themeColor="text1"/>
          <w14:textFill>
            <w14:solidFill>
              <w14:schemeClr w14:val="tx1"/>
            </w14:solidFill>
          </w14:textFill>
        </w:rPr>
      </w:pPr>
      <w:r>
        <w:rPr>
          <w:rFonts w:hint="eastAsia"/>
          <w:color w:val="000000" w:themeColor="text1"/>
          <w14:textFill>
            <w14:solidFill>
              <w14:schemeClr w14:val="tx1"/>
            </w14:solidFill>
          </w14:textFill>
        </w:rPr>
        <w:t>博物展馆型</w:t>
      </w:r>
    </w:p>
    <w:p>
      <w:pPr>
        <w:pStyle w:val="29"/>
        <w:numPr>
          <w:ilvl w:val="0"/>
          <w:numId w:val="0"/>
        </w:numPr>
        <w:ind w:firstLine="420" w:firstLineChars="200"/>
        <w:rPr>
          <w:color w:val="000000" w:themeColor="text1"/>
          <w14:textFill>
            <w14:solidFill>
              <w14:schemeClr w14:val="tx1"/>
            </w14:solidFill>
          </w14:textFill>
        </w:rPr>
      </w:pPr>
    </w:p>
    <w:p>
      <w:pPr>
        <w:pStyle w:val="29"/>
        <w:numPr>
          <w:ilvl w:val="0"/>
          <w:numId w:val="0"/>
        </w:num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在非遗相关博物馆、展示馆内开展研学游，使研学旅行者通过学习非遗相关知识、体验非遗实践过程，实现研学游的目的。</w:t>
      </w:r>
    </w:p>
    <w:p>
      <w:pPr>
        <w:pStyle w:val="29"/>
        <w:numPr>
          <w:ilvl w:val="0"/>
          <w:numId w:val="0"/>
        </w:numPr>
        <w:ind w:firstLine="420" w:firstLineChars="200"/>
        <w:rPr>
          <w:color w:val="000000" w:themeColor="text1"/>
          <w14:textFill>
            <w14:solidFill>
              <w14:schemeClr w14:val="tx1"/>
            </w14:solidFill>
          </w14:textFill>
        </w:rPr>
      </w:pPr>
    </w:p>
    <w:p>
      <w:pPr>
        <w:pStyle w:val="22"/>
        <w:outlineLvl w:val="1"/>
        <w:rPr>
          <w:color w:val="000000" w:themeColor="text1"/>
          <w14:textFill>
            <w14:solidFill>
              <w14:schemeClr w14:val="tx1"/>
            </w14:solidFill>
          </w14:textFill>
        </w:rPr>
      </w:pPr>
      <w:r>
        <w:rPr>
          <w:rFonts w:hint="eastAsia"/>
          <w:color w:val="000000" w:themeColor="text1"/>
          <w14:textFill>
            <w14:solidFill>
              <w14:schemeClr w14:val="tx1"/>
            </w14:solidFill>
          </w14:textFill>
        </w:rPr>
        <w:t>表演场所型</w:t>
      </w:r>
    </w:p>
    <w:p>
      <w:pPr>
        <w:pStyle w:val="29"/>
        <w:numPr>
          <w:ilvl w:val="0"/>
          <w:numId w:val="0"/>
        </w:numPr>
        <w:ind w:firstLine="420" w:firstLineChars="200"/>
        <w:rPr>
          <w:color w:val="000000" w:themeColor="text1"/>
          <w14:textFill>
            <w14:solidFill>
              <w14:schemeClr w14:val="tx1"/>
            </w14:solidFill>
          </w14:textFill>
        </w:rPr>
      </w:pPr>
    </w:p>
    <w:p>
      <w:pPr>
        <w:pStyle w:val="29"/>
        <w:numPr>
          <w:ilvl w:val="0"/>
          <w:numId w:val="0"/>
        </w:num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在传统音乐、传统戏剧、曲艺等门类非遗的表演场所中开展研学游，使研学旅行者通过观看现场表演、进行表演体验等方式实现研学游的目的。</w:t>
      </w:r>
    </w:p>
    <w:p>
      <w:pPr>
        <w:pStyle w:val="29"/>
        <w:numPr>
          <w:ilvl w:val="0"/>
          <w:numId w:val="0"/>
        </w:numPr>
        <w:ind w:firstLine="420" w:firstLineChars="200"/>
        <w:rPr>
          <w:color w:val="000000" w:themeColor="text1"/>
          <w14:textFill>
            <w14:solidFill>
              <w14:schemeClr w14:val="tx1"/>
            </w14:solidFill>
          </w14:textFill>
        </w:rPr>
      </w:pPr>
    </w:p>
    <w:p>
      <w:pPr>
        <w:pStyle w:val="22"/>
        <w:outlineLvl w:val="1"/>
        <w:rPr>
          <w:color w:val="000000" w:themeColor="text1"/>
          <w14:textFill>
            <w14:solidFill>
              <w14:schemeClr w14:val="tx1"/>
            </w14:solidFill>
          </w14:textFill>
        </w:rPr>
      </w:pPr>
      <w:r>
        <w:rPr>
          <w:rFonts w:hint="eastAsia"/>
          <w:color w:val="000000" w:themeColor="text1"/>
          <w14:textFill>
            <w14:solidFill>
              <w14:schemeClr w14:val="tx1"/>
            </w14:solidFill>
          </w14:textFill>
        </w:rPr>
        <w:t>传习作坊型</w:t>
      </w:r>
    </w:p>
    <w:p>
      <w:pPr>
        <w:pStyle w:val="29"/>
        <w:numPr>
          <w:ilvl w:val="0"/>
          <w:numId w:val="0"/>
        </w:numPr>
        <w:ind w:firstLine="420" w:firstLineChars="200"/>
        <w:rPr>
          <w:color w:val="000000" w:themeColor="text1"/>
          <w14:textFill>
            <w14:solidFill>
              <w14:schemeClr w14:val="tx1"/>
            </w14:solidFill>
          </w14:textFill>
        </w:rPr>
      </w:pPr>
    </w:p>
    <w:p>
      <w:pPr>
        <w:pStyle w:val="29"/>
        <w:numPr>
          <w:ilvl w:val="0"/>
          <w:numId w:val="0"/>
        </w:num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在非遗传习作坊、传承人工作室内开展研学游，使研学旅行者通过观看现场展示、体验制作过程等实现研学游的目的。</w:t>
      </w:r>
    </w:p>
    <w:p>
      <w:pPr>
        <w:pStyle w:val="20"/>
        <w:numPr>
          <w:ilvl w:val="0"/>
          <w:numId w:val="0"/>
        </w:numPr>
      </w:pPr>
    </w:p>
    <w:p>
      <w:pPr>
        <w:pStyle w:val="20"/>
        <w:outlineLvl w:val="0"/>
      </w:pPr>
      <w:bookmarkStart w:id="21" w:name="_Toc50012200"/>
      <w:r>
        <w:rPr>
          <w:rFonts w:hint="eastAsia"/>
        </w:rPr>
        <w:t>基本要求</w:t>
      </w:r>
      <w:bookmarkEnd w:id="21"/>
    </w:p>
    <w:p>
      <w:pPr>
        <w:pStyle w:val="20"/>
        <w:numPr>
          <w:ilvl w:val="0"/>
          <w:numId w:val="0"/>
        </w:numPr>
      </w:pPr>
    </w:p>
    <w:p>
      <w:pPr>
        <w:pStyle w:val="22"/>
        <w:spacing w:before="156" w:beforeLines="50" w:after="156" w:afterLines="50"/>
        <w:outlineLvl w:val="1"/>
        <w:rPr>
          <w:rFonts w:hAnsi="黑体" w:cs="黑体"/>
          <w:kern w:val="0"/>
        </w:rPr>
      </w:pPr>
      <w:bookmarkStart w:id="22" w:name="_Toc9482"/>
      <w:bookmarkStart w:id="23" w:name="_Toc23091"/>
      <w:r>
        <w:rPr>
          <w:rFonts w:hint="eastAsia" w:hAnsi="黑体" w:cs="黑体"/>
          <w:kern w:val="0"/>
        </w:rPr>
        <w:t>基本条件</w:t>
      </w:r>
      <w:bookmarkEnd w:id="22"/>
      <w:bookmarkEnd w:id="23"/>
    </w:p>
    <w:p>
      <w:pPr>
        <w:pStyle w:val="21"/>
      </w:pPr>
    </w:p>
    <w:p>
      <w:pPr>
        <w:pStyle w:val="27"/>
        <w:numPr>
          <w:ilvl w:val="2"/>
          <w:numId w:val="1"/>
        </w:numPr>
        <w:ind w:left="0"/>
      </w:pPr>
      <w:r>
        <w:rPr>
          <w:rFonts w:hint="eastAsia"/>
        </w:rPr>
        <w:t>应具备法人资质。</w:t>
      </w:r>
    </w:p>
    <w:p>
      <w:pPr>
        <w:pStyle w:val="27"/>
        <w:numPr>
          <w:ilvl w:val="2"/>
          <w:numId w:val="1"/>
        </w:numPr>
        <w:ind w:left="0"/>
        <w:outlineLvl w:val="9"/>
        <w:rPr>
          <w:rFonts w:cs="Times New Roman"/>
          <w:kern w:val="0"/>
          <w:shd w:val="clear" w:color="auto" w:fill="FFFFFF" w:themeFill="background1"/>
        </w:rPr>
      </w:pPr>
      <w:r>
        <w:rPr>
          <w:rFonts w:hint="eastAsia" w:cs="Times New Roman"/>
          <w:kern w:val="0"/>
        </w:rPr>
        <w:t>应具备</w:t>
      </w:r>
      <w:r>
        <w:rPr>
          <w:rFonts w:cs="Times New Roman"/>
          <w:kern w:val="0"/>
        </w:rPr>
        <w:t>与所提供研学</w:t>
      </w:r>
      <w:r>
        <w:rPr>
          <w:rFonts w:hint="eastAsia" w:cs="Times New Roman"/>
          <w:szCs w:val="24"/>
        </w:rPr>
        <w:t>游</w:t>
      </w:r>
      <w:r>
        <w:rPr>
          <w:rFonts w:cs="Times New Roman"/>
          <w:kern w:val="0"/>
        </w:rPr>
        <w:t>服务相应的</w:t>
      </w:r>
      <w:r>
        <w:rPr>
          <w:rFonts w:hint="eastAsia" w:cs="Times New Roman"/>
          <w:kern w:val="0"/>
        </w:rPr>
        <w:t>许可证照、</w:t>
      </w:r>
      <w:r>
        <w:rPr>
          <w:rFonts w:cs="Times New Roman"/>
          <w:kern w:val="0"/>
        </w:rPr>
        <w:t>经营资质和服务能力</w:t>
      </w:r>
      <w:r>
        <w:rPr>
          <w:rFonts w:hint="eastAsia" w:cs="Times New Roman"/>
          <w:kern w:val="0"/>
        </w:rPr>
        <w:t>，</w:t>
      </w:r>
      <w:r>
        <w:rPr>
          <w:rFonts w:hint="eastAsia" w:cs="Times New Roman"/>
          <w:kern w:val="0"/>
          <w:shd w:val="clear" w:color="auto" w:fill="FFFFFF" w:themeFill="background1"/>
        </w:rPr>
        <w:t>符合国家法律、法规和强制性标准的规定。</w:t>
      </w:r>
    </w:p>
    <w:p>
      <w:pPr>
        <w:pStyle w:val="27"/>
        <w:numPr>
          <w:ilvl w:val="2"/>
          <w:numId w:val="1"/>
        </w:numPr>
        <w:ind w:left="0"/>
        <w:rPr>
          <w:rFonts w:cs="Times New Roman"/>
          <w:kern w:val="0"/>
        </w:rPr>
      </w:pPr>
      <w:r>
        <w:rPr>
          <w:rFonts w:cs="Times New Roman"/>
          <w:kern w:val="0"/>
        </w:rPr>
        <w:t>应正式对社会公众开放满1年，且1年以内无负主要责任的安全事故。</w:t>
      </w:r>
    </w:p>
    <w:p>
      <w:pPr>
        <w:pStyle w:val="20"/>
        <w:numPr>
          <w:ilvl w:val="0"/>
          <w:numId w:val="0"/>
        </w:numPr>
      </w:pPr>
    </w:p>
    <w:p>
      <w:pPr>
        <w:pStyle w:val="22"/>
        <w:spacing w:before="156" w:beforeLines="50" w:after="156" w:afterLines="50"/>
        <w:outlineLvl w:val="1"/>
        <w:rPr>
          <w:rFonts w:hAnsi="黑体" w:cs="黑体"/>
          <w:szCs w:val="24"/>
        </w:rPr>
      </w:pPr>
      <w:bookmarkStart w:id="24" w:name="_Toc18268"/>
      <w:bookmarkStart w:id="25" w:name="_Toc16648"/>
      <w:r>
        <w:rPr>
          <w:rFonts w:hint="eastAsia" w:hAnsi="黑体" w:cs="黑体"/>
          <w:szCs w:val="24"/>
        </w:rPr>
        <w:t>环境条件</w:t>
      </w:r>
      <w:bookmarkEnd w:id="24"/>
      <w:bookmarkEnd w:id="25"/>
    </w:p>
    <w:p>
      <w:pPr>
        <w:pStyle w:val="21"/>
        <w:ind w:firstLine="0" w:firstLineChars="0"/>
      </w:pPr>
    </w:p>
    <w:p>
      <w:pPr>
        <w:pStyle w:val="27"/>
        <w:widowControl/>
        <w:numPr>
          <w:ilvl w:val="2"/>
          <w:numId w:val="1"/>
        </w:numPr>
        <w:ind w:left="0"/>
        <w:rPr>
          <w:rFonts w:hAnsi="宋体" w:cs="宋体"/>
          <w:kern w:val="0"/>
        </w:rPr>
      </w:pPr>
      <w:r>
        <w:rPr>
          <w:rFonts w:hint="eastAsia" w:hAnsi="宋体" w:cs="宋体"/>
          <w:kern w:val="0"/>
        </w:rPr>
        <w:t>区域内生态环境良好，区域周围500米范围内无污染源，环境空气质量应符合GB 3095的要求，声环境质量应符合GB 3096的要求。</w:t>
      </w:r>
    </w:p>
    <w:p>
      <w:pPr>
        <w:pStyle w:val="27"/>
        <w:widowControl/>
        <w:numPr>
          <w:ilvl w:val="2"/>
          <w:numId w:val="1"/>
        </w:numPr>
        <w:ind w:left="0"/>
        <w:rPr>
          <w:rFonts w:hAnsi="宋体" w:cs="宋体"/>
          <w:kern w:val="0"/>
        </w:rPr>
      </w:pPr>
      <w:r>
        <w:rPr>
          <w:rFonts w:hint="eastAsia" w:hAnsi="宋体" w:cs="宋体"/>
          <w:kern w:val="0"/>
        </w:rPr>
        <w:t>污水排放应符合GB 8978的要求。</w:t>
      </w:r>
    </w:p>
    <w:p>
      <w:pPr>
        <w:pStyle w:val="27"/>
        <w:widowControl/>
        <w:numPr>
          <w:ilvl w:val="2"/>
          <w:numId w:val="1"/>
        </w:numPr>
        <w:ind w:left="0"/>
        <w:rPr>
          <w:rFonts w:hAnsi="宋体" w:cs="宋体"/>
          <w:kern w:val="0"/>
        </w:rPr>
      </w:pPr>
      <w:r>
        <w:rPr>
          <w:rFonts w:hint="eastAsia" w:hAnsi="宋体" w:cs="宋体"/>
          <w:kern w:val="0"/>
        </w:rPr>
        <w:t>宜通过电视、电子屏等方式及时向研学旅行者提供雨雪、雷电、紫外线指数及灾害性天气等气象信息服务。</w:t>
      </w:r>
    </w:p>
    <w:p>
      <w:pPr>
        <w:pStyle w:val="20"/>
        <w:numPr>
          <w:ilvl w:val="0"/>
          <w:numId w:val="0"/>
        </w:numPr>
      </w:pPr>
    </w:p>
    <w:p>
      <w:pPr>
        <w:pStyle w:val="22"/>
        <w:spacing w:before="156" w:beforeLines="50" w:after="156" w:afterLines="50"/>
        <w:outlineLvl w:val="1"/>
        <w:rPr>
          <w:rFonts w:hAnsi="黑体" w:cs="黑体"/>
          <w:szCs w:val="24"/>
        </w:rPr>
      </w:pPr>
      <w:bookmarkStart w:id="26" w:name="_Toc7088"/>
      <w:bookmarkStart w:id="27" w:name="_Toc8709"/>
      <w:r>
        <w:rPr>
          <w:rFonts w:hint="eastAsia" w:hAnsi="黑体" w:cs="黑体"/>
          <w:szCs w:val="24"/>
        </w:rPr>
        <w:t>卫生医疗条件</w:t>
      </w:r>
      <w:bookmarkEnd w:id="26"/>
      <w:bookmarkEnd w:id="27"/>
    </w:p>
    <w:p>
      <w:pPr>
        <w:pStyle w:val="21"/>
      </w:pPr>
    </w:p>
    <w:p>
      <w:pPr>
        <w:pStyle w:val="27"/>
        <w:widowControl/>
        <w:numPr>
          <w:ilvl w:val="2"/>
          <w:numId w:val="1"/>
        </w:numPr>
        <w:ind w:left="0"/>
        <w:rPr>
          <w:rFonts w:hAnsi="宋体" w:cs="宋体"/>
          <w:kern w:val="0"/>
        </w:rPr>
      </w:pPr>
      <w:r>
        <w:rPr>
          <w:rFonts w:hint="eastAsia" w:hAnsi="宋体" w:cs="宋体"/>
          <w:kern w:val="0"/>
        </w:rPr>
        <w:t>应具备基本的卫生医疗设备和措施，并定期检查。</w:t>
      </w:r>
    </w:p>
    <w:p>
      <w:pPr>
        <w:pStyle w:val="27"/>
        <w:widowControl/>
        <w:numPr>
          <w:ilvl w:val="2"/>
          <w:numId w:val="1"/>
        </w:numPr>
        <w:ind w:left="0"/>
        <w:rPr>
          <w:rFonts w:hAnsi="宋体" w:cs="宋体"/>
          <w:kern w:val="0"/>
        </w:rPr>
      </w:pPr>
      <w:r>
        <w:rPr>
          <w:rFonts w:hint="eastAsia" w:hAnsi="宋体" w:cs="宋体"/>
          <w:kern w:val="0"/>
        </w:rPr>
        <w:t>区域30公里范围内，应配备应急医疗机构及医疗救助资源。</w:t>
      </w:r>
    </w:p>
    <w:p>
      <w:pPr>
        <w:pStyle w:val="27"/>
        <w:widowControl/>
        <w:numPr>
          <w:ilvl w:val="2"/>
          <w:numId w:val="1"/>
        </w:numPr>
        <w:ind w:left="0"/>
        <w:rPr>
          <w:rFonts w:hAnsi="宋体" w:cs="宋体"/>
          <w:kern w:val="0"/>
        </w:rPr>
      </w:pPr>
      <w:r>
        <w:rPr>
          <w:rFonts w:hint="eastAsia" w:hAnsi="宋体" w:cs="宋体"/>
          <w:kern w:val="0"/>
        </w:rPr>
        <w:t>从业人员应按规定进行体检，个人卫生符合行业有关规定。</w:t>
      </w:r>
    </w:p>
    <w:p>
      <w:pPr>
        <w:pStyle w:val="27"/>
        <w:widowControl/>
        <w:numPr>
          <w:ilvl w:val="2"/>
          <w:numId w:val="1"/>
        </w:numPr>
        <w:ind w:left="0"/>
        <w:rPr>
          <w:rFonts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厕所应至少符合GB/T 18973-2016中规定的A级要求。</w:t>
      </w:r>
    </w:p>
    <w:p>
      <w:pPr>
        <w:pStyle w:val="27"/>
        <w:widowControl/>
        <w:numPr>
          <w:ilvl w:val="2"/>
          <w:numId w:val="1"/>
        </w:numPr>
        <w:ind w:left="0"/>
        <w:rPr>
          <w:rFonts w:hAnsi="宋体" w:cs="宋体"/>
          <w:kern w:val="0"/>
        </w:rPr>
      </w:pPr>
      <w:r>
        <w:rPr>
          <w:rFonts w:hint="eastAsia" w:hAnsi="宋体" w:cs="宋体"/>
          <w:kern w:val="0"/>
        </w:rPr>
        <w:t>垃圾桶数量与布局合理，标识明显，分类设置，其分类标志应符合GB/T 19095的要求；垃圾及时清扫，应与环境相协调，无堆积、无污染。</w:t>
      </w:r>
    </w:p>
    <w:p>
      <w:pPr>
        <w:pStyle w:val="27"/>
        <w:widowControl/>
        <w:numPr>
          <w:ilvl w:val="2"/>
          <w:numId w:val="1"/>
        </w:numPr>
        <w:ind w:left="0"/>
        <w:rPr>
          <w:rFonts w:hAnsi="宋体" w:cs="宋体"/>
          <w:kern w:val="0"/>
        </w:rPr>
      </w:pPr>
      <w:r>
        <w:rPr>
          <w:rFonts w:hint="eastAsia" w:hAnsi="宋体" w:cs="宋体"/>
          <w:kern w:val="0"/>
        </w:rPr>
        <w:t>生活饮用水应符合GB 5749的要求，保证用水便利，饮水管理规范、安全。</w:t>
      </w:r>
    </w:p>
    <w:p>
      <w:pPr>
        <w:pStyle w:val="20"/>
        <w:numPr>
          <w:ilvl w:val="0"/>
          <w:numId w:val="0"/>
        </w:numPr>
      </w:pPr>
    </w:p>
    <w:p>
      <w:pPr>
        <w:pStyle w:val="22"/>
        <w:outlineLvl w:val="1"/>
      </w:pPr>
      <w:bookmarkStart w:id="28" w:name="_Toc24953"/>
      <w:bookmarkStart w:id="29" w:name="_Toc6367"/>
      <w:r>
        <w:rPr>
          <w:rFonts w:hint="eastAsia"/>
        </w:rPr>
        <w:t>基本构成要素</w:t>
      </w:r>
      <w:bookmarkEnd w:id="28"/>
      <w:bookmarkEnd w:id="29"/>
    </w:p>
    <w:p>
      <w:pPr>
        <w:pStyle w:val="20"/>
        <w:numPr>
          <w:ilvl w:val="0"/>
          <w:numId w:val="0"/>
        </w:numPr>
      </w:pPr>
    </w:p>
    <w:p>
      <w:pPr>
        <w:pStyle w:val="27"/>
        <w:numPr>
          <w:ilvl w:val="2"/>
          <w:numId w:val="1"/>
        </w:numPr>
        <w:ind w:left="0"/>
      </w:pPr>
      <w:r>
        <w:rPr>
          <w:rFonts w:hint="eastAsia"/>
        </w:rPr>
        <w:t>应有较为丰富的非遗研学游产品，提供知识性、趣味性的学习体验项目。</w:t>
      </w:r>
    </w:p>
    <w:p>
      <w:pPr>
        <w:pStyle w:val="27"/>
        <w:numPr>
          <w:ilvl w:val="2"/>
          <w:numId w:val="1"/>
        </w:numPr>
        <w:ind w:left="0"/>
      </w:pPr>
      <w:r>
        <w:rPr>
          <w:rFonts w:hint="eastAsia"/>
        </w:rPr>
        <w:t>配有开展非遗研学游活动相关的专用设施和场地，有与非遗代表性项目传习展示相符合的环境景观。</w:t>
      </w:r>
    </w:p>
    <w:p>
      <w:pPr>
        <w:pStyle w:val="27"/>
        <w:numPr>
          <w:ilvl w:val="2"/>
          <w:numId w:val="0"/>
        </w:numPr>
        <w:outlineLvl w:val="9"/>
        <w:rPr>
          <w:highlight w:val="yellow"/>
        </w:rPr>
      </w:pPr>
    </w:p>
    <w:p>
      <w:pPr>
        <w:pStyle w:val="22"/>
        <w:outlineLvl w:val="1"/>
      </w:pPr>
      <w:r>
        <w:rPr>
          <w:rFonts w:hint="eastAsia"/>
        </w:rPr>
        <w:t>专业条件</w:t>
      </w:r>
    </w:p>
    <w:p>
      <w:pPr>
        <w:pStyle w:val="20"/>
        <w:numPr>
          <w:ilvl w:val="0"/>
          <w:numId w:val="0"/>
        </w:numPr>
        <w:rPr>
          <w:rFonts w:ascii="宋体" w:hAnsi="宋体" w:eastAsia="宋体" w:cs="宋体"/>
        </w:rPr>
      </w:pPr>
    </w:p>
    <w:p>
      <w:pPr>
        <w:pStyle w:val="27"/>
        <w:numPr>
          <w:ilvl w:val="2"/>
          <w:numId w:val="1"/>
        </w:numPr>
        <w:ind w:left="0"/>
        <w:rPr>
          <w:rFonts w:hAnsi="宋体" w:cs="宋体"/>
          <w:color w:val="000000"/>
          <w:shd w:val="clear" w:color="auto" w:fill="FFFFFF"/>
        </w:rPr>
      </w:pPr>
      <w:r>
        <w:rPr>
          <w:rFonts w:hint="eastAsia"/>
        </w:rPr>
        <w:t>研学游活动应以已经评定的县级及以上非遗代表性项目为核心内容</w:t>
      </w:r>
      <w:r>
        <w:rPr>
          <w:rFonts w:hint="eastAsia" w:hAnsi="宋体" w:cs="宋体"/>
          <w:color w:val="000000"/>
          <w:shd w:val="clear" w:color="auto" w:fill="FFFFFF"/>
        </w:rPr>
        <w:t>。</w:t>
      </w:r>
    </w:p>
    <w:p>
      <w:pPr>
        <w:pStyle w:val="27"/>
        <w:widowControl/>
        <w:numPr>
          <w:ilvl w:val="2"/>
          <w:numId w:val="1"/>
        </w:numPr>
        <w:ind w:left="0"/>
      </w:pPr>
      <w:r>
        <w:rPr>
          <w:rFonts w:hint="eastAsia"/>
        </w:rPr>
        <w:t>研学游基地应建立</w:t>
      </w:r>
      <w:r>
        <w:rPr>
          <w:rFonts w:hint="eastAsia" w:hAnsi="宋体" w:cs="宋体"/>
          <w:color w:val="000000" w:themeColor="text1"/>
          <w14:textFill>
            <w14:solidFill>
              <w14:schemeClr w14:val="tx1"/>
            </w14:solidFill>
          </w14:textFill>
        </w:rPr>
        <w:t>相对稳定、具备与非遗研学</w:t>
      </w:r>
      <w:r>
        <w:rPr>
          <w:rFonts w:hint="eastAsia" w:cs="Times New Roman"/>
          <w:color w:val="000000" w:themeColor="text1"/>
          <w:szCs w:val="24"/>
          <w14:textFill>
            <w14:solidFill>
              <w14:schemeClr w14:val="tx1"/>
            </w14:solidFill>
          </w14:textFill>
        </w:rPr>
        <w:t>游</w:t>
      </w:r>
      <w:r>
        <w:rPr>
          <w:rFonts w:hint="eastAsia" w:hAnsi="宋体" w:cs="宋体"/>
          <w:color w:val="000000" w:themeColor="text1"/>
          <w14:textFill>
            <w14:solidFill>
              <w14:schemeClr w14:val="tx1"/>
            </w14:solidFill>
          </w14:textFill>
        </w:rPr>
        <w:t>活动相匹配的研学</w:t>
      </w:r>
      <w:r>
        <w:rPr>
          <w:rFonts w:hint="eastAsia" w:cs="Times New Roman"/>
          <w:color w:val="000000" w:themeColor="text1"/>
          <w:szCs w:val="24"/>
          <w14:textFill>
            <w14:solidFill>
              <w14:schemeClr w14:val="tx1"/>
            </w14:solidFill>
          </w14:textFill>
        </w:rPr>
        <w:t>游</w:t>
      </w:r>
      <w:r>
        <w:rPr>
          <w:rFonts w:hint="eastAsia" w:hAnsi="宋体" w:cs="宋体"/>
          <w:color w:val="000000" w:themeColor="text1"/>
          <w14:textFill>
            <w14:solidFill>
              <w14:schemeClr w14:val="tx1"/>
            </w14:solidFill>
          </w14:textFill>
        </w:rPr>
        <w:t>指导师队伍；指导师</w:t>
      </w:r>
      <w:r>
        <w:rPr>
          <w:rFonts w:hAnsi="宋体" w:cs="宋体"/>
          <w:color w:val="000000" w:themeColor="text1"/>
          <w14:textFill>
            <w14:solidFill>
              <w14:schemeClr w14:val="tx1"/>
            </w14:solidFill>
          </w14:textFill>
        </w:rPr>
        <w:t>数量适宜，研学旅行者与研学</w:t>
      </w:r>
      <w:r>
        <w:rPr>
          <w:rFonts w:hint="eastAsia" w:cs="Times New Roman"/>
          <w:color w:val="000000" w:themeColor="text1"/>
          <w:szCs w:val="24"/>
          <w14:textFill>
            <w14:solidFill>
              <w14:schemeClr w14:val="tx1"/>
            </w14:solidFill>
          </w14:textFill>
        </w:rPr>
        <w:t>游</w:t>
      </w:r>
      <w:r>
        <w:rPr>
          <w:rFonts w:hAnsi="宋体" w:cs="宋体"/>
          <w:color w:val="000000" w:themeColor="text1"/>
          <w14:textFill>
            <w14:solidFill>
              <w14:schemeClr w14:val="tx1"/>
            </w14:solidFill>
          </w14:textFill>
        </w:rPr>
        <w:t>指导师的比例</w:t>
      </w:r>
      <w:r>
        <w:rPr>
          <w:rFonts w:hint="eastAsia" w:hAnsi="宋体" w:cs="宋体"/>
          <w:color w:val="000000" w:themeColor="text1"/>
          <w14:textFill>
            <w14:solidFill>
              <w14:schemeClr w14:val="tx1"/>
            </w14:solidFill>
          </w14:textFill>
        </w:rPr>
        <w:t>应</w:t>
      </w:r>
      <w:r>
        <w:rPr>
          <w:rFonts w:hAnsi="宋体" w:cs="宋体"/>
          <w:color w:val="000000" w:themeColor="text1"/>
          <w14:textFill>
            <w14:solidFill>
              <w14:schemeClr w14:val="tx1"/>
            </w14:solidFill>
          </w14:textFill>
        </w:rPr>
        <w:t>不</w:t>
      </w:r>
      <w:r>
        <w:rPr>
          <w:rFonts w:hint="eastAsia" w:hAnsi="宋体" w:cs="宋体"/>
          <w:color w:val="000000" w:themeColor="text1"/>
          <w14:textFill>
            <w14:solidFill>
              <w14:schemeClr w14:val="tx1"/>
            </w14:solidFill>
          </w14:textFill>
        </w:rPr>
        <w:t>高于45</w:t>
      </w:r>
      <w:r>
        <w:rPr>
          <w:rFonts w:hAnsi="宋体" w:cs="宋体"/>
          <w:color w:val="000000" w:themeColor="text1"/>
          <w14:textFill>
            <w14:solidFill>
              <w14:schemeClr w14:val="tx1"/>
            </w14:solidFill>
          </w14:textFill>
        </w:rPr>
        <w:t>:1。</w:t>
      </w:r>
      <w:r>
        <w:rPr>
          <w:rFonts w:hint="eastAsia" w:hAnsi="宋体" w:cs="宋体"/>
          <w:color w:val="000000" w:themeColor="text1"/>
          <w14:textFill>
            <w14:solidFill>
              <w14:schemeClr w14:val="tx1"/>
            </w14:solidFill>
          </w14:textFill>
        </w:rPr>
        <w:t>研学游指导师</w:t>
      </w:r>
      <w:r>
        <w:rPr>
          <w:rFonts w:hint="eastAsia"/>
        </w:rPr>
        <w:t>应具备以下条件：</w:t>
      </w:r>
    </w:p>
    <w:p>
      <w:pPr>
        <w:pStyle w:val="20"/>
        <w:numPr>
          <w:ilvl w:val="0"/>
          <w:numId w:val="0"/>
        </w:numPr>
        <w:rPr>
          <w:rFonts w:ascii="宋体" w:hAnsi="宋体" w:eastAsia="宋体" w:cs="宋体"/>
          <w:color w:val="000000" w:themeColor="text1"/>
          <w:szCs w:val="21"/>
          <w14:textFill>
            <w14:solidFill>
              <w14:schemeClr w14:val="tx1"/>
            </w14:solidFill>
          </w14:textFill>
        </w:rPr>
      </w:pPr>
      <w:r>
        <w:rPr>
          <w:rFonts w:hint="eastAsia" w:hAnsi="黑体" w:cs="黑体"/>
          <w:color w:val="000000" w:themeColor="text1"/>
          <w:szCs w:val="21"/>
          <w14:textFill>
            <w14:solidFill>
              <w14:schemeClr w14:val="tx1"/>
            </w14:solidFill>
          </w14:textFill>
        </w:rPr>
        <w:t>6.5.2.1</w:t>
      </w:r>
      <w:r>
        <w:rPr>
          <w:rFonts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研学游指导师可分为两类：一为已认定的各级非遗代表性传承人；二为经由各级非遗代表性传承人培训合格的相关从业人员。</w:t>
      </w:r>
    </w:p>
    <w:p>
      <w:pPr>
        <w:pStyle w:val="27"/>
        <w:widowControl/>
        <w:numPr>
          <w:ilvl w:val="0"/>
          <w:numId w:val="0"/>
        </w:numPr>
        <w:rPr>
          <w:rFonts w:hAnsi="宋体" w:cs="宋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6.5.2.2  </w:t>
      </w:r>
      <w:r>
        <w:rPr>
          <w:rFonts w:hint="eastAsia"/>
          <w:color w:val="000000" w:themeColor="text1"/>
          <w14:textFill>
            <w14:solidFill>
              <w14:schemeClr w14:val="tx1"/>
            </w14:solidFill>
          </w14:textFill>
        </w:rPr>
        <w:t>应对所指导的非遗代表性项目有全面的了解，掌握该项非遗的相关知识和技能，具备开展活动的组织能力和较好的语言表达能力。</w:t>
      </w:r>
    </w:p>
    <w:p>
      <w:pPr>
        <w:pStyle w:val="27"/>
        <w:widowControl/>
        <w:numPr>
          <w:ilvl w:val="0"/>
          <w:numId w:val="0"/>
        </w:numPr>
      </w:pPr>
      <w:r>
        <w:rPr>
          <w:rFonts w:hint="eastAsia" w:ascii="黑体" w:hAnsi="黑体" w:eastAsia="黑体" w:cs="黑体"/>
          <w:color w:val="000000" w:themeColor="text1"/>
          <w14:textFill>
            <w14:solidFill>
              <w14:schemeClr w14:val="tx1"/>
            </w14:solidFill>
          </w14:textFill>
        </w:rPr>
        <w:t xml:space="preserve">6.5.2.3  </w:t>
      </w:r>
      <w:r>
        <w:rPr>
          <w:rFonts w:hint="eastAsia" w:hAnsi="宋体" w:cs="宋体"/>
          <w:color w:val="000000" w:themeColor="text1"/>
          <w14:textFill>
            <w14:solidFill>
              <w14:schemeClr w14:val="tx1"/>
            </w14:solidFill>
          </w14:textFill>
        </w:rPr>
        <w:t>应参加相关主管部门组织的培训活动，取得培训合格证书。</w:t>
      </w:r>
    </w:p>
    <w:p>
      <w:pPr>
        <w:pStyle w:val="20"/>
        <w:numPr>
          <w:ilvl w:val="0"/>
          <w:numId w:val="0"/>
        </w:numPr>
      </w:pPr>
    </w:p>
    <w:p>
      <w:pPr>
        <w:pStyle w:val="20"/>
        <w:outlineLvl w:val="0"/>
      </w:pPr>
      <w:bookmarkStart w:id="30" w:name="_Toc50012201"/>
      <w:r>
        <w:rPr>
          <w:rFonts w:hint="eastAsia"/>
        </w:rPr>
        <w:t>活动及安排</w:t>
      </w:r>
      <w:bookmarkEnd w:id="30"/>
    </w:p>
    <w:p>
      <w:pPr>
        <w:pStyle w:val="20"/>
        <w:numPr>
          <w:ilvl w:val="0"/>
          <w:numId w:val="0"/>
        </w:numPr>
      </w:pPr>
    </w:p>
    <w:p>
      <w:pPr>
        <w:pStyle w:val="22"/>
        <w:spacing w:before="156" w:beforeLines="50" w:after="156" w:afterLines="50"/>
        <w:outlineLvl w:val="1"/>
      </w:pPr>
      <w:bookmarkStart w:id="31" w:name="_Toc12676"/>
      <w:bookmarkStart w:id="32" w:name="_Toc8189"/>
      <w:r>
        <w:rPr>
          <w:rFonts w:hint="eastAsia" w:hAnsi="黑体" w:cs="黑体"/>
        </w:rPr>
        <w:t>研学游</w:t>
      </w:r>
      <w:bookmarkEnd w:id="31"/>
      <w:bookmarkEnd w:id="32"/>
      <w:r>
        <w:rPr>
          <w:rFonts w:hint="eastAsia" w:hAnsi="黑体" w:cs="黑体"/>
        </w:rPr>
        <w:t>活动</w:t>
      </w:r>
    </w:p>
    <w:p>
      <w:pPr>
        <w:pStyle w:val="21"/>
      </w:pPr>
    </w:p>
    <w:p>
      <w:pPr>
        <w:pStyle w:val="27"/>
        <w:widowControl/>
        <w:numPr>
          <w:ilvl w:val="2"/>
          <w:numId w:val="1"/>
        </w:numPr>
        <w:ind w:left="0"/>
        <w:rPr>
          <w:rFonts w:cs="Times New Roman"/>
          <w:kern w:val="0"/>
        </w:rPr>
      </w:pPr>
      <w:r>
        <w:rPr>
          <w:rFonts w:cs="Times New Roman"/>
          <w:kern w:val="0"/>
        </w:rPr>
        <w:t>研学</w:t>
      </w:r>
      <w:r>
        <w:rPr>
          <w:rFonts w:hint="eastAsia" w:cs="Times New Roman"/>
          <w:kern w:val="0"/>
        </w:rPr>
        <w:t>游活动内容较为科学、完整、丰富，主要包括以下三类</w:t>
      </w:r>
      <w:r>
        <w:rPr>
          <w:rFonts w:cs="Times New Roman"/>
          <w:kern w:val="0"/>
        </w:rPr>
        <w:t>:</w:t>
      </w:r>
    </w:p>
    <w:p>
      <w:pPr>
        <w:pStyle w:val="29"/>
      </w:pPr>
      <w:r>
        <w:t>知识科普型</w:t>
      </w:r>
      <w:r>
        <w:rPr>
          <w:rFonts w:hint="eastAsia"/>
        </w:rPr>
        <w:t>活动：传播非遗知识、增长见识能力，激发研学旅行者对非遗的兴趣。</w:t>
      </w:r>
    </w:p>
    <w:p>
      <w:pPr>
        <w:pStyle w:val="29"/>
      </w:pPr>
      <w:r>
        <w:rPr>
          <w:rFonts w:hint="eastAsia"/>
        </w:rPr>
        <w:t>手工实践</w:t>
      </w:r>
      <w:r>
        <w:t>型</w:t>
      </w:r>
      <w:r>
        <w:rPr>
          <w:rFonts w:hint="eastAsia"/>
        </w:rPr>
        <w:t>活动：通过非遗相关动手实践与互动，提升研学旅行者对非遗的审美与实践能力。</w:t>
      </w:r>
    </w:p>
    <w:p>
      <w:pPr>
        <w:pStyle w:val="29"/>
      </w:pPr>
      <w:r>
        <w:rPr>
          <w:rFonts w:hint="eastAsia"/>
        </w:rPr>
        <w:t>表演互动</w:t>
      </w:r>
      <w:r>
        <w:t>型</w:t>
      </w:r>
      <w:r>
        <w:rPr>
          <w:rFonts w:hint="eastAsia"/>
        </w:rPr>
        <w:t>活动：依托非遗相关表演与互动，使研学旅行者获得身心愉悦和文化体悟。</w:t>
      </w:r>
    </w:p>
    <w:p>
      <w:pPr>
        <w:pStyle w:val="27"/>
        <w:widowControl/>
        <w:numPr>
          <w:ilvl w:val="2"/>
          <w:numId w:val="1"/>
        </w:numPr>
        <w:ind w:left="0"/>
        <w:rPr>
          <w:rFonts w:cs="Times New Roman"/>
          <w:kern w:val="0"/>
        </w:rPr>
      </w:pPr>
      <w:r>
        <w:rPr>
          <w:rFonts w:hint="eastAsia" w:cs="Times New Roman"/>
          <w:kern w:val="0"/>
        </w:rPr>
        <w:t>研学游活动应结合基地特色和所在地域特点，设定1个及以上研学游主题；根据不同学龄段的研学旅行者设计活动内容，宜提供相应的研学读本或资料。</w:t>
      </w:r>
    </w:p>
    <w:p>
      <w:pPr>
        <w:pStyle w:val="27"/>
        <w:widowControl/>
        <w:numPr>
          <w:ilvl w:val="2"/>
          <w:numId w:val="1"/>
        </w:numPr>
        <w:ind w:left="0"/>
        <w:rPr>
          <w:rFonts w:cs="Times New Roman"/>
          <w:kern w:val="0"/>
        </w:rPr>
      </w:pPr>
      <w:r>
        <w:rPr>
          <w:rFonts w:hint="eastAsia" w:cs="Times New Roman"/>
          <w:kern w:val="0"/>
        </w:rPr>
        <w:t>应根据研学游基地特色和研学旅行者需求制作研学游手册，包含基地简介、活动内容和注意事项等，便于研学游指导师和研学旅行者使用。</w:t>
      </w:r>
    </w:p>
    <w:p>
      <w:pPr>
        <w:pStyle w:val="27"/>
        <w:widowControl/>
        <w:numPr>
          <w:ilvl w:val="0"/>
          <w:numId w:val="0"/>
        </w:numPr>
        <w:ind w:left="142"/>
        <w:outlineLvl w:val="9"/>
        <w:rPr>
          <w:rFonts w:cs="Times New Roman"/>
          <w:kern w:val="0"/>
        </w:rPr>
      </w:pPr>
    </w:p>
    <w:p>
      <w:pPr>
        <w:pStyle w:val="22"/>
        <w:spacing w:before="156" w:beforeLines="50" w:after="156" w:afterLines="50"/>
        <w:outlineLvl w:val="1"/>
      </w:pPr>
      <w:bookmarkStart w:id="33" w:name="_Toc1674"/>
      <w:bookmarkStart w:id="34" w:name="_Toc23889"/>
      <w:r>
        <w:rPr>
          <w:rFonts w:hint="eastAsia" w:hAnsi="黑体" w:cs="黑体"/>
        </w:rPr>
        <w:t>研学游场地</w:t>
      </w:r>
      <w:bookmarkEnd w:id="33"/>
      <w:bookmarkEnd w:id="34"/>
    </w:p>
    <w:p>
      <w:pPr>
        <w:pStyle w:val="21"/>
      </w:pPr>
    </w:p>
    <w:p>
      <w:pPr>
        <w:pStyle w:val="27"/>
        <w:widowControl/>
        <w:numPr>
          <w:ilvl w:val="2"/>
          <w:numId w:val="1"/>
        </w:numPr>
        <w:ind w:left="0"/>
        <w:rPr>
          <w:rFonts w:hAnsi="宋体" w:cs="宋体"/>
        </w:rPr>
      </w:pPr>
      <w:r>
        <w:rPr>
          <w:rFonts w:hint="eastAsia" w:hAnsi="宋体" w:cs="宋体"/>
        </w:rPr>
        <w:t>应具备专门的研学游场地，</w:t>
      </w:r>
      <w:r>
        <w:rPr>
          <w:rFonts w:hint="eastAsia" w:hAnsi="宋体" w:cs="宋体"/>
          <w:kern w:val="0"/>
        </w:rPr>
        <w:t>配备相应的设施。场地应确保研学旅行者活动的安全性，特殊设备或特殊场地应明示主管部门的检测验收报告。</w:t>
      </w:r>
    </w:p>
    <w:p>
      <w:pPr>
        <w:pStyle w:val="27"/>
        <w:widowControl/>
        <w:numPr>
          <w:ilvl w:val="2"/>
          <w:numId w:val="1"/>
        </w:numPr>
        <w:ind w:left="0"/>
        <w:rPr>
          <w:rFonts w:hAnsi="宋体" w:cs="宋体"/>
        </w:rPr>
      </w:pPr>
      <w:r>
        <w:rPr>
          <w:rFonts w:hint="eastAsia" w:hAnsi="宋体" w:cs="宋体"/>
        </w:rPr>
        <w:t>根据研学游活动需要，可分为室内和室外场地。</w:t>
      </w:r>
    </w:p>
    <w:p>
      <w:pPr>
        <w:pStyle w:val="27"/>
        <w:widowControl/>
        <w:numPr>
          <w:ilvl w:val="2"/>
          <w:numId w:val="1"/>
        </w:numPr>
        <w:ind w:left="0"/>
        <w:rPr>
          <w:rFonts w:hAnsi="宋体" w:cs="宋体"/>
        </w:rPr>
      </w:pPr>
      <w:r>
        <w:rPr>
          <w:rFonts w:hint="eastAsia" w:hAnsi="宋体" w:cs="宋体"/>
        </w:rPr>
        <w:t>室内场地规模适当，</w:t>
      </w:r>
      <w:r>
        <w:rPr>
          <w:rFonts w:hint="eastAsia" w:hAnsi="宋体" w:cs="宋体"/>
          <w:kern w:val="0"/>
        </w:rPr>
        <w:t>按能同时接待研学旅行者的上限人数计，应配置不少于3 m</w:t>
      </w:r>
      <w:r>
        <w:rPr>
          <w:rFonts w:hint="eastAsia" w:hAnsi="宋体" w:cs="宋体"/>
          <w:kern w:val="0"/>
          <w:vertAlign w:val="superscript"/>
        </w:rPr>
        <w:t>2</w:t>
      </w:r>
      <w:r>
        <w:rPr>
          <w:rFonts w:hint="eastAsia" w:hAnsi="宋体" w:cs="宋体"/>
          <w:kern w:val="0"/>
        </w:rPr>
        <w:t>/人的活动场地，</w:t>
      </w:r>
      <w:r>
        <w:rPr>
          <w:rFonts w:hint="eastAsia" w:hAnsi="宋体" w:cs="宋体"/>
        </w:rPr>
        <w:t>陈设和布置应与研学游主题相关。</w:t>
      </w:r>
    </w:p>
    <w:p>
      <w:pPr>
        <w:pStyle w:val="27"/>
        <w:widowControl/>
        <w:numPr>
          <w:ilvl w:val="2"/>
          <w:numId w:val="1"/>
        </w:numPr>
        <w:ind w:left="0"/>
        <w:rPr>
          <w:rFonts w:hAnsi="宋体" w:cs="宋体"/>
        </w:rPr>
      </w:pPr>
      <w:r>
        <w:rPr>
          <w:rFonts w:hint="eastAsia" w:hAnsi="宋体" w:cs="宋体"/>
        </w:rPr>
        <w:t>室外场地应有布局合理的游览路线与完善的交通设施，保证通行顺畅，方便游览与集散。</w:t>
      </w:r>
    </w:p>
    <w:p>
      <w:pPr>
        <w:pStyle w:val="20"/>
        <w:numPr>
          <w:ilvl w:val="0"/>
          <w:numId w:val="0"/>
        </w:numPr>
      </w:pPr>
    </w:p>
    <w:p>
      <w:pPr>
        <w:pStyle w:val="22"/>
        <w:spacing w:before="156" w:beforeLines="50" w:after="156" w:afterLines="50"/>
        <w:outlineLvl w:val="1"/>
      </w:pPr>
      <w:bookmarkStart w:id="35" w:name="_Toc4962"/>
      <w:bookmarkStart w:id="36" w:name="_Toc20259"/>
      <w:r>
        <w:rPr>
          <w:rFonts w:hint="eastAsia" w:hAnsi="黑体" w:cs="黑体"/>
        </w:rPr>
        <w:t>研学</w:t>
      </w:r>
      <w:r>
        <w:rPr>
          <w:rFonts w:hint="eastAsia" w:cs="Times New Roman"/>
          <w:szCs w:val="24"/>
        </w:rPr>
        <w:t>游</w:t>
      </w:r>
      <w:r>
        <w:rPr>
          <w:rFonts w:hint="eastAsia" w:hAnsi="黑体" w:cs="黑体"/>
        </w:rPr>
        <w:t>安排</w:t>
      </w:r>
      <w:bookmarkEnd w:id="35"/>
      <w:bookmarkEnd w:id="36"/>
    </w:p>
    <w:p>
      <w:pPr>
        <w:pStyle w:val="21"/>
      </w:pPr>
    </w:p>
    <w:p>
      <w:pPr>
        <w:pStyle w:val="28"/>
        <w:numPr>
          <w:ilvl w:val="2"/>
          <w:numId w:val="1"/>
        </w:numPr>
        <w:spacing w:before="156" w:beforeLines="50" w:after="156" w:afterLines="50"/>
        <w:ind w:left="0"/>
        <w:outlineLvl w:val="2"/>
        <w:rPr>
          <w:rFonts w:hAnsi="黑体" w:cs="黑体"/>
          <w:szCs w:val="24"/>
        </w:rPr>
      </w:pPr>
      <w:bookmarkStart w:id="37" w:name="_Toc30192"/>
      <w:bookmarkStart w:id="38" w:name="_Toc15922"/>
      <w:r>
        <w:rPr>
          <w:rFonts w:hint="eastAsia" w:hAnsi="黑体" w:cs="黑体"/>
          <w:szCs w:val="24"/>
        </w:rPr>
        <w:t>行前安排</w:t>
      </w:r>
      <w:bookmarkEnd w:id="37"/>
      <w:bookmarkEnd w:id="38"/>
    </w:p>
    <w:p>
      <w:pPr>
        <w:pStyle w:val="21"/>
      </w:pPr>
    </w:p>
    <w:p>
      <w:pPr>
        <w:pStyle w:val="27"/>
        <w:widowControl/>
        <w:numPr>
          <w:ilvl w:val="2"/>
          <w:numId w:val="0"/>
        </w:numPr>
        <w:rPr>
          <w:rFonts w:hAnsi="Times New Roman" w:cs="Times New Roman"/>
          <w:kern w:val="0"/>
        </w:rPr>
      </w:pPr>
      <w:r>
        <w:rPr>
          <w:rFonts w:hint="eastAsia" w:ascii="黑体" w:hAnsi="黑体" w:eastAsia="黑体" w:cs="黑体"/>
          <w:kern w:val="0"/>
        </w:rPr>
        <w:t xml:space="preserve">7.3.1.1 </w:t>
      </w:r>
      <w:r>
        <w:rPr>
          <w:rFonts w:hint="eastAsia" w:hAnsi="Times New Roman" w:cs="Times New Roman"/>
          <w:kern w:val="0"/>
        </w:rPr>
        <w:t xml:space="preserve"> 根据研学旅行者的需求安排研学</w:t>
      </w:r>
      <w:r>
        <w:rPr>
          <w:rFonts w:hint="eastAsia" w:cs="Times New Roman"/>
          <w:szCs w:val="24"/>
        </w:rPr>
        <w:t>游</w:t>
      </w:r>
      <w:r>
        <w:rPr>
          <w:rFonts w:hint="eastAsia" w:hAnsi="Times New Roman" w:cs="Times New Roman"/>
          <w:kern w:val="0"/>
        </w:rPr>
        <w:t>活动的时间和内容。</w:t>
      </w:r>
    </w:p>
    <w:p>
      <w:pPr>
        <w:pStyle w:val="27"/>
        <w:widowControl/>
        <w:numPr>
          <w:ilvl w:val="2"/>
          <w:numId w:val="0"/>
        </w:numPr>
        <w:rPr>
          <w:rFonts w:hAnsi="Times New Roman" w:cs="Times New Roman"/>
          <w:kern w:val="0"/>
        </w:rPr>
      </w:pPr>
      <w:r>
        <w:rPr>
          <w:rFonts w:hint="eastAsia" w:ascii="黑体" w:hAnsi="黑体" w:eastAsia="黑体" w:cs="黑体"/>
          <w:kern w:val="0"/>
        </w:rPr>
        <w:t xml:space="preserve">7.3.1.2  </w:t>
      </w:r>
      <w:r>
        <w:rPr>
          <w:rFonts w:hAnsi="Times New Roman" w:cs="Times New Roman"/>
          <w:kern w:val="0"/>
        </w:rPr>
        <w:t>指导研学旅行者做好准备工作</w:t>
      </w:r>
      <w:r>
        <w:rPr>
          <w:rFonts w:hint="eastAsia" w:hAnsi="Times New Roman" w:cs="Times New Roman"/>
          <w:kern w:val="0"/>
        </w:rPr>
        <w:t>，</w:t>
      </w:r>
      <w:r>
        <w:rPr>
          <w:rFonts w:hAnsi="Times New Roman" w:cs="Times New Roman"/>
          <w:kern w:val="0"/>
        </w:rPr>
        <w:t>并提前告知此次研学</w:t>
      </w:r>
      <w:r>
        <w:rPr>
          <w:rFonts w:hint="eastAsia" w:cs="Times New Roman"/>
          <w:szCs w:val="24"/>
        </w:rPr>
        <w:t>游</w:t>
      </w:r>
      <w:r>
        <w:rPr>
          <w:rFonts w:hAnsi="Times New Roman" w:cs="Times New Roman"/>
          <w:kern w:val="0"/>
        </w:rPr>
        <w:t>内容和注意事项。</w:t>
      </w:r>
    </w:p>
    <w:p>
      <w:pPr>
        <w:pStyle w:val="27"/>
        <w:widowControl/>
        <w:numPr>
          <w:ilvl w:val="0"/>
          <w:numId w:val="0"/>
        </w:numPr>
        <w:outlineLvl w:val="9"/>
        <w:rPr>
          <w:rFonts w:hAnsi="Times New Roman" w:cs="Times New Roman"/>
          <w:kern w:val="0"/>
        </w:rPr>
      </w:pPr>
    </w:p>
    <w:p>
      <w:pPr>
        <w:pStyle w:val="28"/>
        <w:numPr>
          <w:ilvl w:val="2"/>
          <w:numId w:val="1"/>
        </w:numPr>
        <w:spacing w:before="156" w:beforeLines="50" w:after="156" w:afterLines="50"/>
        <w:ind w:left="0"/>
        <w:outlineLvl w:val="2"/>
        <w:rPr>
          <w:rFonts w:hAnsi="黑体" w:cs="黑体"/>
          <w:szCs w:val="24"/>
        </w:rPr>
      </w:pPr>
      <w:bookmarkStart w:id="39" w:name="_Toc1231"/>
      <w:bookmarkStart w:id="40" w:name="_Toc813"/>
      <w:r>
        <w:rPr>
          <w:rFonts w:hint="eastAsia" w:hAnsi="黑体" w:cs="黑体"/>
          <w:szCs w:val="24"/>
        </w:rPr>
        <w:t>行中安排</w:t>
      </w:r>
      <w:bookmarkEnd w:id="39"/>
      <w:bookmarkEnd w:id="40"/>
    </w:p>
    <w:p>
      <w:pPr>
        <w:pStyle w:val="21"/>
        <w:ind w:firstLine="0" w:firstLineChars="0"/>
      </w:pPr>
    </w:p>
    <w:p>
      <w:pPr>
        <w:pStyle w:val="27"/>
        <w:widowControl/>
        <w:numPr>
          <w:ilvl w:val="2"/>
          <w:numId w:val="0"/>
        </w:numPr>
        <w:jc w:val="left"/>
        <w:rPr>
          <w:rFonts w:hAnsi="Times New Roman" w:cs="Times New Roman"/>
          <w:kern w:val="0"/>
        </w:rPr>
      </w:pPr>
      <w:r>
        <w:rPr>
          <w:rFonts w:hint="eastAsia" w:ascii="黑体" w:hAnsi="黑体" w:eastAsia="黑体" w:cs="黑体"/>
          <w:kern w:val="0"/>
        </w:rPr>
        <w:t xml:space="preserve">7.3.2.1 </w:t>
      </w:r>
      <w:r>
        <w:rPr>
          <w:rFonts w:hint="eastAsia" w:hAnsi="Times New Roman" w:cs="Times New Roman"/>
          <w:kern w:val="0"/>
        </w:rPr>
        <w:t xml:space="preserve"> 发放研学</w:t>
      </w:r>
      <w:r>
        <w:rPr>
          <w:rFonts w:hint="eastAsia" w:cs="Times New Roman"/>
          <w:szCs w:val="24"/>
        </w:rPr>
        <w:t>游</w:t>
      </w:r>
      <w:r>
        <w:rPr>
          <w:rFonts w:hint="eastAsia" w:hAnsi="Times New Roman" w:cs="Times New Roman"/>
          <w:kern w:val="0"/>
        </w:rPr>
        <w:t>手册及相关材料，便于研学旅行者查看研学</w:t>
      </w:r>
      <w:r>
        <w:rPr>
          <w:rFonts w:hint="eastAsia" w:cs="Times New Roman"/>
          <w:szCs w:val="24"/>
        </w:rPr>
        <w:t>游</w:t>
      </w:r>
      <w:r>
        <w:rPr>
          <w:rFonts w:hint="eastAsia" w:hAnsi="Times New Roman" w:cs="Times New Roman"/>
          <w:kern w:val="0"/>
        </w:rPr>
        <w:t>主题内容、计划安排等。</w:t>
      </w:r>
    </w:p>
    <w:p>
      <w:pPr>
        <w:pStyle w:val="27"/>
        <w:widowControl/>
        <w:numPr>
          <w:ilvl w:val="2"/>
          <w:numId w:val="0"/>
        </w:numPr>
        <w:rPr>
          <w:rFonts w:hAnsi="Times New Roman" w:cs="Times New Roman"/>
          <w:kern w:val="0"/>
        </w:rPr>
      </w:pPr>
      <w:r>
        <w:rPr>
          <w:rFonts w:hint="eastAsia" w:ascii="黑体" w:hAnsi="黑体" w:eastAsia="黑体" w:cs="黑体"/>
          <w:kern w:val="0"/>
        </w:rPr>
        <w:t xml:space="preserve">7.3.2.2 </w:t>
      </w:r>
      <w:r>
        <w:rPr>
          <w:rFonts w:hint="eastAsia" w:hAnsi="Times New Roman" w:cs="Times New Roman"/>
          <w:kern w:val="0"/>
        </w:rPr>
        <w:t xml:space="preserve"> 应保证中小学生团队在基地内的研学</w:t>
      </w:r>
      <w:r>
        <w:rPr>
          <w:rFonts w:hint="eastAsia" w:cs="Times New Roman"/>
          <w:szCs w:val="24"/>
        </w:rPr>
        <w:t>游</w:t>
      </w:r>
      <w:r>
        <w:rPr>
          <w:rFonts w:hint="eastAsia" w:hAnsi="Times New Roman" w:cs="Times New Roman"/>
          <w:kern w:val="0"/>
        </w:rPr>
        <w:t>时间，其中：</w:t>
      </w:r>
    </w:p>
    <w:p>
      <w:pPr>
        <w:pStyle w:val="29"/>
        <w:numPr>
          <w:ilvl w:val="0"/>
          <w:numId w:val="4"/>
        </w:numPr>
        <w:ind w:hanging="420"/>
      </w:pPr>
      <w:r>
        <w:t>小学生团队</w:t>
      </w:r>
      <w:r>
        <w:rPr>
          <w:rFonts w:hint="eastAsia"/>
        </w:rPr>
        <w:t>时间</w:t>
      </w:r>
      <w:r>
        <w:t>宜不少于</w:t>
      </w:r>
      <w:r>
        <w:rPr>
          <w:rFonts w:hint="eastAsia"/>
        </w:rPr>
        <w:t>60</w:t>
      </w:r>
      <w:r>
        <w:t>分钟</w:t>
      </w:r>
      <w:r>
        <w:rPr>
          <w:rFonts w:hint="eastAsia"/>
        </w:rPr>
        <w:t>；</w:t>
      </w:r>
    </w:p>
    <w:p>
      <w:pPr>
        <w:pStyle w:val="29"/>
        <w:numPr>
          <w:ilvl w:val="0"/>
          <w:numId w:val="4"/>
        </w:numPr>
        <w:ind w:hanging="420"/>
      </w:pPr>
      <w:r>
        <w:t>初中生团队时间宜不少于90分钟</w:t>
      </w:r>
      <w:r>
        <w:rPr>
          <w:rFonts w:hint="eastAsia"/>
        </w:rPr>
        <w:t>；</w:t>
      </w:r>
    </w:p>
    <w:p>
      <w:pPr>
        <w:pStyle w:val="29"/>
        <w:numPr>
          <w:ilvl w:val="0"/>
          <w:numId w:val="4"/>
        </w:numPr>
        <w:ind w:hanging="420"/>
      </w:pPr>
      <w:r>
        <w:t>高中生团队</w:t>
      </w:r>
      <w:r>
        <w:rPr>
          <w:rFonts w:hint="eastAsia"/>
        </w:rPr>
        <w:t>时间</w:t>
      </w:r>
      <w:r>
        <w:t>宜不少于120分钟。</w:t>
      </w:r>
    </w:p>
    <w:p>
      <w:pPr>
        <w:pStyle w:val="27"/>
        <w:widowControl/>
        <w:numPr>
          <w:ilvl w:val="2"/>
          <w:numId w:val="0"/>
        </w:numPr>
        <w:rPr>
          <w:rFonts w:hAnsi="Times New Roman" w:cs="Times New Roman"/>
          <w:kern w:val="0"/>
        </w:rPr>
      </w:pPr>
      <w:r>
        <w:rPr>
          <w:rFonts w:hint="eastAsia" w:ascii="黑体" w:hAnsi="黑体" w:eastAsia="黑体" w:cs="黑体"/>
          <w:kern w:val="0"/>
        </w:rPr>
        <w:t xml:space="preserve">7.3.2.3 </w:t>
      </w:r>
      <w:r>
        <w:rPr>
          <w:rFonts w:hint="eastAsia" w:hAnsi="Times New Roman" w:cs="Times New Roman"/>
          <w:kern w:val="0"/>
        </w:rPr>
        <w:t xml:space="preserve"> 研学</w:t>
      </w:r>
      <w:r>
        <w:rPr>
          <w:rFonts w:hint="eastAsia" w:cs="Times New Roman"/>
          <w:szCs w:val="24"/>
        </w:rPr>
        <w:t>游</w:t>
      </w:r>
      <w:r>
        <w:rPr>
          <w:rFonts w:hint="eastAsia" w:hAnsi="Times New Roman" w:cs="Times New Roman"/>
          <w:kern w:val="0"/>
        </w:rPr>
        <w:t>指导师或相关指导人员应引导研学旅行者积极参与各项活动。各项活动应当体现研学旅行者与研学服务团队间交流互动、研学旅行者之间的交流互动、融合室内场地与室外场地、兼顾探索研究价值与体验感悟价值。</w:t>
      </w:r>
    </w:p>
    <w:p>
      <w:pPr>
        <w:pStyle w:val="27"/>
        <w:widowControl/>
        <w:numPr>
          <w:ilvl w:val="0"/>
          <w:numId w:val="0"/>
        </w:numPr>
        <w:outlineLvl w:val="9"/>
        <w:rPr>
          <w:rFonts w:hAnsi="Times New Roman" w:cs="Times New Roman"/>
          <w:kern w:val="0"/>
        </w:rPr>
      </w:pPr>
    </w:p>
    <w:p>
      <w:pPr>
        <w:pStyle w:val="28"/>
        <w:numPr>
          <w:ilvl w:val="2"/>
          <w:numId w:val="1"/>
        </w:numPr>
        <w:spacing w:before="156" w:beforeLines="50" w:after="156" w:afterLines="50"/>
        <w:ind w:left="0"/>
        <w:outlineLvl w:val="2"/>
        <w:rPr>
          <w:rFonts w:hAnsi="黑体" w:cs="黑体"/>
          <w:szCs w:val="24"/>
        </w:rPr>
      </w:pPr>
      <w:bookmarkStart w:id="41" w:name="_Toc17532"/>
      <w:bookmarkStart w:id="42" w:name="_Toc10268"/>
      <w:r>
        <w:rPr>
          <w:rFonts w:hint="eastAsia" w:hAnsi="黑体" w:cs="黑体"/>
          <w:szCs w:val="24"/>
        </w:rPr>
        <w:t>行后安排</w:t>
      </w:r>
      <w:bookmarkEnd w:id="41"/>
      <w:bookmarkEnd w:id="42"/>
    </w:p>
    <w:p>
      <w:pPr>
        <w:pStyle w:val="21"/>
      </w:pPr>
    </w:p>
    <w:p>
      <w:pPr>
        <w:pStyle w:val="27"/>
        <w:numPr>
          <w:ilvl w:val="2"/>
          <w:numId w:val="0"/>
        </w:numPr>
        <w:rPr>
          <w:rFonts w:hAnsi="Times New Roman" w:cs="Times New Roman"/>
          <w:kern w:val="0"/>
        </w:rPr>
      </w:pPr>
      <w:r>
        <w:rPr>
          <w:rFonts w:hint="eastAsia" w:ascii="黑体" w:hAnsi="黑体" w:eastAsia="黑体" w:cs="黑体"/>
          <w:kern w:val="0"/>
        </w:rPr>
        <w:t xml:space="preserve">7.3.3.1 </w:t>
      </w:r>
      <w:r>
        <w:rPr>
          <w:rFonts w:hint="eastAsia" w:hAnsi="Times New Roman" w:cs="Times New Roman"/>
          <w:kern w:val="0"/>
        </w:rPr>
        <w:t xml:space="preserve"> 宜组织研学旅行者分享研学</w:t>
      </w:r>
      <w:r>
        <w:rPr>
          <w:rFonts w:hint="eastAsia" w:cs="Times New Roman"/>
          <w:szCs w:val="24"/>
        </w:rPr>
        <w:t>游</w:t>
      </w:r>
      <w:r>
        <w:rPr>
          <w:rFonts w:hint="eastAsia" w:hAnsi="Times New Roman" w:cs="Times New Roman"/>
          <w:kern w:val="0"/>
        </w:rPr>
        <w:t>收获，如征文展示、分享交流会、社交媒体互动等形式。</w:t>
      </w:r>
    </w:p>
    <w:p>
      <w:pPr>
        <w:pStyle w:val="27"/>
        <w:widowControl/>
        <w:numPr>
          <w:ilvl w:val="2"/>
          <w:numId w:val="0"/>
        </w:numPr>
        <w:rPr>
          <w:rFonts w:hAnsi="Times New Roman" w:cs="Times New Roman"/>
          <w:kern w:val="0"/>
        </w:rPr>
      </w:pPr>
      <w:r>
        <w:rPr>
          <w:rFonts w:hint="eastAsia" w:ascii="黑体" w:hAnsi="黑体" w:eastAsia="黑体" w:cs="黑体"/>
          <w:kern w:val="0"/>
        </w:rPr>
        <w:t xml:space="preserve">7.3.3.2 </w:t>
      </w:r>
      <w:r>
        <w:rPr>
          <w:rFonts w:hint="eastAsia" w:hAnsi="Times New Roman" w:cs="Times New Roman"/>
          <w:kern w:val="0"/>
        </w:rPr>
        <w:t xml:space="preserve"> 宜向研学旅行者颁发研学</w:t>
      </w:r>
      <w:r>
        <w:rPr>
          <w:rFonts w:hint="eastAsia" w:cs="Times New Roman"/>
          <w:szCs w:val="24"/>
        </w:rPr>
        <w:t>游</w:t>
      </w:r>
      <w:r>
        <w:rPr>
          <w:rFonts w:hint="eastAsia" w:hAnsi="Times New Roman" w:cs="Times New Roman"/>
          <w:kern w:val="0"/>
        </w:rPr>
        <w:t>（纪念）证书，可作为研学</w:t>
      </w:r>
      <w:r>
        <w:rPr>
          <w:rFonts w:hint="eastAsia" w:cs="Times New Roman"/>
          <w:szCs w:val="24"/>
        </w:rPr>
        <w:t>游</w:t>
      </w:r>
      <w:r>
        <w:rPr>
          <w:rFonts w:hint="eastAsia" w:hAnsi="Times New Roman" w:cs="Times New Roman"/>
          <w:kern w:val="0"/>
        </w:rPr>
        <w:t>手册的重要组成部分。</w:t>
      </w:r>
    </w:p>
    <w:p/>
    <w:p>
      <w:pPr>
        <w:pStyle w:val="22"/>
        <w:spacing w:before="156" w:beforeLines="50" w:after="156" w:afterLines="50"/>
        <w:outlineLvl w:val="1"/>
        <w:rPr>
          <w:rFonts w:hAnsi="黑体" w:cs="黑体"/>
        </w:rPr>
      </w:pPr>
      <w:bookmarkStart w:id="43" w:name="_Toc6397"/>
      <w:bookmarkStart w:id="44" w:name="_Toc2862"/>
      <w:r>
        <w:rPr>
          <w:rFonts w:hint="eastAsia" w:hAnsi="黑体" w:cs="黑体"/>
        </w:rPr>
        <w:t>研学</w:t>
      </w:r>
      <w:r>
        <w:rPr>
          <w:rFonts w:hint="eastAsia" w:cs="Times New Roman"/>
          <w:szCs w:val="24"/>
        </w:rPr>
        <w:t>游</w:t>
      </w:r>
      <w:r>
        <w:rPr>
          <w:rFonts w:hint="eastAsia" w:hAnsi="黑体" w:cs="黑体"/>
        </w:rPr>
        <w:t>线路</w:t>
      </w:r>
      <w:bookmarkEnd w:id="43"/>
      <w:bookmarkEnd w:id="44"/>
    </w:p>
    <w:p>
      <w:pPr>
        <w:pStyle w:val="21"/>
      </w:pPr>
    </w:p>
    <w:p>
      <w:pPr>
        <w:pStyle w:val="27"/>
        <w:widowControl/>
        <w:numPr>
          <w:ilvl w:val="2"/>
          <w:numId w:val="1"/>
        </w:numPr>
        <w:ind w:left="0"/>
        <w:rPr>
          <w:rFonts w:hAnsi="宋体" w:cs="宋体"/>
          <w:kern w:val="0"/>
        </w:rPr>
      </w:pPr>
      <w:r>
        <w:rPr>
          <w:rFonts w:hint="eastAsia" w:hAnsi="宋体" w:cs="宋体"/>
          <w:kern w:val="0"/>
        </w:rPr>
        <w:t xml:space="preserve">区域内景点类的游览路线设计应与研学主题或相应景点景观相关，保证通行顺畅，方便游览与集散。 </w:t>
      </w:r>
    </w:p>
    <w:p>
      <w:pPr>
        <w:pStyle w:val="27"/>
        <w:widowControl/>
        <w:numPr>
          <w:ilvl w:val="2"/>
          <w:numId w:val="1"/>
        </w:numPr>
        <w:ind w:left="0"/>
        <w:rPr>
          <w:rFonts w:hAnsi="宋体" w:cs="宋体"/>
          <w:kern w:val="0"/>
        </w:rPr>
      </w:pPr>
      <w:r>
        <w:rPr>
          <w:rFonts w:hint="eastAsia" w:hAnsi="宋体" w:cs="宋体"/>
          <w:color w:val="000000" w:themeColor="text1"/>
          <w:kern w:val="0"/>
          <w14:textFill>
            <w14:solidFill>
              <w14:schemeClr w14:val="tx1"/>
            </w14:solidFill>
          </w14:textFill>
        </w:rPr>
        <w:t>应至少提供1条研学</w:t>
      </w:r>
      <w:r>
        <w:rPr>
          <w:rFonts w:hint="eastAsia" w:cs="Times New Roman"/>
          <w:color w:val="000000" w:themeColor="text1"/>
          <w:szCs w:val="24"/>
          <w14:textFill>
            <w14:solidFill>
              <w14:schemeClr w14:val="tx1"/>
            </w14:solidFill>
          </w14:textFill>
        </w:rPr>
        <w:t>游</w:t>
      </w:r>
      <w:r>
        <w:rPr>
          <w:rFonts w:hint="eastAsia" w:hAnsi="宋体" w:cs="宋体"/>
          <w:color w:val="000000" w:themeColor="text1"/>
          <w:kern w:val="0"/>
          <w14:textFill>
            <w14:solidFill>
              <w14:schemeClr w14:val="tx1"/>
            </w14:solidFill>
          </w14:textFill>
        </w:rPr>
        <w:t>线路，</w:t>
      </w:r>
      <w:r>
        <w:rPr>
          <w:rFonts w:hint="eastAsia" w:hAnsi="宋体" w:cs="宋体"/>
          <w:kern w:val="0"/>
        </w:rPr>
        <w:t>保证路线设置便捷、合理，与研学主题协调一致。</w:t>
      </w:r>
    </w:p>
    <w:p>
      <w:pPr>
        <w:pStyle w:val="27"/>
        <w:widowControl/>
        <w:numPr>
          <w:ilvl w:val="2"/>
          <w:numId w:val="1"/>
        </w:numPr>
        <w:ind w:left="0"/>
        <w:rPr>
          <w:rFonts w:hAnsi="宋体" w:cs="宋体"/>
          <w:kern w:val="0"/>
        </w:rPr>
      </w:pPr>
      <w:r>
        <w:rPr>
          <w:rFonts w:hint="eastAsia" w:hAnsi="宋体" w:cs="宋体"/>
          <w:kern w:val="0"/>
        </w:rPr>
        <w:t>应保证研学</w:t>
      </w:r>
      <w:r>
        <w:rPr>
          <w:rFonts w:hint="eastAsia" w:cs="Times New Roman"/>
          <w:szCs w:val="24"/>
        </w:rPr>
        <w:t>游</w:t>
      </w:r>
      <w:r>
        <w:rPr>
          <w:rFonts w:hint="eastAsia" w:hAnsi="宋体" w:cs="宋体"/>
          <w:kern w:val="0"/>
        </w:rPr>
        <w:t>线路有较强的针对性、可操作性、安全性。</w:t>
      </w:r>
    </w:p>
    <w:p/>
    <w:p>
      <w:pPr>
        <w:pStyle w:val="22"/>
        <w:spacing w:before="156" w:beforeLines="50" w:after="156" w:afterLines="50"/>
        <w:outlineLvl w:val="1"/>
        <w:rPr>
          <w:rFonts w:hAnsi="黑体" w:cs="黑体"/>
        </w:rPr>
      </w:pPr>
      <w:bookmarkStart w:id="45" w:name="_Toc13983"/>
      <w:bookmarkStart w:id="46" w:name="_Toc1274"/>
      <w:r>
        <w:rPr>
          <w:rFonts w:hint="eastAsia" w:hAnsi="黑体" w:cs="黑体"/>
        </w:rPr>
        <w:t>质量评估</w:t>
      </w:r>
      <w:bookmarkEnd w:id="45"/>
      <w:bookmarkEnd w:id="46"/>
    </w:p>
    <w:p>
      <w:pPr>
        <w:pStyle w:val="21"/>
      </w:pPr>
    </w:p>
    <w:p>
      <w:pPr>
        <w:pStyle w:val="27"/>
        <w:widowControl/>
        <w:numPr>
          <w:ilvl w:val="2"/>
          <w:numId w:val="1"/>
        </w:numPr>
        <w:ind w:left="0"/>
        <w:rPr>
          <w:rFonts w:hAnsi="宋体" w:cs="宋体"/>
          <w:color w:val="000000"/>
          <w:kern w:val="0"/>
        </w:rPr>
      </w:pPr>
      <w:r>
        <w:rPr>
          <w:rFonts w:hint="eastAsia" w:hAnsi="宋体" w:cs="宋体"/>
          <w:color w:val="000000"/>
          <w:kern w:val="0"/>
        </w:rPr>
        <w:t>应建立研学</w:t>
      </w:r>
      <w:r>
        <w:rPr>
          <w:rFonts w:hint="eastAsia" w:cs="Times New Roman"/>
          <w:szCs w:val="24"/>
        </w:rPr>
        <w:t>游</w:t>
      </w:r>
      <w:r>
        <w:rPr>
          <w:rFonts w:hint="eastAsia" w:hAnsi="宋体" w:cs="宋体"/>
          <w:color w:val="000000"/>
          <w:kern w:val="0"/>
        </w:rPr>
        <w:t>的质量评估机制，反映研学</w:t>
      </w:r>
      <w:r>
        <w:rPr>
          <w:rFonts w:hint="eastAsia" w:cs="Times New Roman"/>
          <w:szCs w:val="24"/>
        </w:rPr>
        <w:t>游</w:t>
      </w:r>
      <w:r>
        <w:rPr>
          <w:rFonts w:hint="eastAsia" w:hAnsi="宋体" w:cs="宋体"/>
          <w:color w:val="000000"/>
          <w:kern w:val="0"/>
        </w:rPr>
        <w:t>实际情况，持续改进研学</w:t>
      </w:r>
      <w:r>
        <w:rPr>
          <w:rFonts w:hint="eastAsia" w:cs="Times New Roman"/>
          <w:szCs w:val="24"/>
        </w:rPr>
        <w:t>游</w:t>
      </w:r>
      <w:r>
        <w:rPr>
          <w:rFonts w:hint="eastAsia" w:hAnsi="宋体" w:cs="宋体"/>
          <w:color w:val="000000"/>
          <w:kern w:val="0"/>
        </w:rPr>
        <w:t>服务。</w:t>
      </w:r>
    </w:p>
    <w:p>
      <w:pPr>
        <w:pStyle w:val="27"/>
        <w:widowControl/>
        <w:numPr>
          <w:ilvl w:val="2"/>
          <w:numId w:val="1"/>
        </w:numPr>
        <w:ind w:left="0"/>
        <w:rPr>
          <w:rFonts w:hAnsi="宋体" w:cs="宋体"/>
          <w:kern w:val="0"/>
        </w:rPr>
      </w:pPr>
      <w:r>
        <w:rPr>
          <w:rFonts w:hint="eastAsia" w:hAnsi="宋体" w:cs="宋体"/>
          <w:color w:val="000000"/>
          <w:kern w:val="0"/>
        </w:rPr>
        <w:t>应</w:t>
      </w:r>
      <w:r>
        <w:rPr>
          <w:rFonts w:hint="eastAsia" w:hAnsi="宋体" w:cs="宋体"/>
          <w:kern w:val="0"/>
        </w:rPr>
        <w:t>做好记录和归档工作，为质量评估与提升体验提供必要支撑。</w:t>
      </w:r>
    </w:p>
    <w:p>
      <w:pPr>
        <w:pStyle w:val="21"/>
      </w:pPr>
    </w:p>
    <w:p>
      <w:pPr>
        <w:pStyle w:val="20"/>
        <w:outlineLvl w:val="0"/>
      </w:pPr>
      <w:bookmarkStart w:id="47" w:name="_Toc24693"/>
      <w:r>
        <w:rPr>
          <w:rFonts w:hint="eastAsia"/>
        </w:rPr>
        <w:t xml:space="preserve"> </w:t>
      </w:r>
      <w:bookmarkStart w:id="48" w:name="_Toc50012202"/>
      <w:r>
        <w:rPr>
          <w:rFonts w:hint="eastAsia"/>
        </w:rPr>
        <w:t>运行管理</w:t>
      </w:r>
      <w:bookmarkEnd w:id="47"/>
      <w:bookmarkEnd w:id="48"/>
    </w:p>
    <w:p>
      <w:pPr>
        <w:pStyle w:val="20"/>
        <w:numPr>
          <w:ilvl w:val="0"/>
          <w:numId w:val="0"/>
        </w:numPr>
      </w:pPr>
      <w:bookmarkStart w:id="49" w:name="_Hlk48125216"/>
    </w:p>
    <w:bookmarkEnd w:id="49"/>
    <w:p>
      <w:pPr>
        <w:pStyle w:val="22"/>
        <w:outlineLvl w:val="1"/>
      </w:pPr>
      <w:bookmarkStart w:id="50" w:name="_Toc777"/>
      <w:bookmarkStart w:id="51" w:name="_Toc10113"/>
      <w:r>
        <w:rPr>
          <w:rFonts w:hint="eastAsia"/>
        </w:rPr>
        <w:t>基础管理</w:t>
      </w:r>
      <w:bookmarkEnd w:id="50"/>
      <w:bookmarkEnd w:id="51"/>
    </w:p>
    <w:p>
      <w:pPr>
        <w:pStyle w:val="21"/>
      </w:pPr>
    </w:p>
    <w:p>
      <w:pPr>
        <w:pStyle w:val="8"/>
        <w:topLinePunct/>
        <w:autoSpaceDE w:val="0"/>
        <w:autoSpaceDN w:val="0"/>
        <w:ind w:left="10" w:hanging="10"/>
        <w:jc w:val="left"/>
        <w:rPr>
          <w:lang w:val="en-US" w:bidi="ar-SA"/>
        </w:rPr>
      </w:pPr>
      <w:r>
        <w:rPr>
          <w:rFonts w:hint="eastAsia" w:ascii="黑体" w:hAnsi="黑体" w:eastAsia="黑体" w:cs="黑体"/>
          <w:lang w:val="en-US" w:bidi="ar-SA"/>
        </w:rPr>
        <w:t xml:space="preserve">8.1.1 </w:t>
      </w:r>
      <w:r>
        <w:rPr>
          <w:rFonts w:hint="eastAsia"/>
          <w:lang w:val="en-US" w:bidi="ar-SA"/>
        </w:rPr>
        <w:t xml:space="preserve"> 研学游基地的水、电、通讯网络等应配套齐全、运行正常并定期检查，防止使用时出现故障。</w:t>
      </w:r>
    </w:p>
    <w:p>
      <w:pPr>
        <w:pStyle w:val="8"/>
        <w:topLinePunct/>
        <w:autoSpaceDE w:val="0"/>
        <w:autoSpaceDN w:val="0"/>
        <w:ind w:left="10" w:hanging="10"/>
        <w:jc w:val="left"/>
        <w:rPr>
          <w:szCs w:val="24"/>
          <w:lang w:val="en-US" w:bidi="ar-SA"/>
        </w:rPr>
      </w:pPr>
      <w:r>
        <w:rPr>
          <w:rFonts w:hint="eastAsia" w:ascii="黑体" w:hAnsi="黑体" w:eastAsia="黑体" w:cs="黑体"/>
          <w:szCs w:val="24"/>
          <w:lang w:val="en-US" w:bidi="ar-SA"/>
        </w:rPr>
        <w:t>8.1.2</w:t>
      </w:r>
      <w:r>
        <w:rPr>
          <w:szCs w:val="24"/>
          <w:lang w:val="en-US" w:bidi="ar-SA"/>
        </w:rPr>
        <w:t xml:space="preserve"> </w:t>
      </w:r>
      <w:r>
        <w:rPr>
          <w:rFonts w:hint="eastAsia"/>
          <w:szCs w:val="24"/>
          <w:lang w:val="en-US" w:bidi="ar-SA"/>
        </w:rPr>
        <w:t xml:space="preserve"> 应配置专职或兼职的研学游团队安全员，研学旅行者与安全员的比例应不高于45:1，安全员在研学游过程中随团开展安全教育和防控工作。</w:t>
      </w:r>
    </w:p>
    <w:p>
      <w:pPr>
        <w:pStyle w:val="27"/>
        <w:widowControl/>
        <w:numPr>
          <w:ilvl w:val="0"/>
          <w:numId w:val="0"/>
        </w:numPr>
        <w:ind w:left="10" w:hanging="10"/>
        <w:rPr>
          <w:rFonts w:hAnsi="宋体" w:cs="宋体"/>
        </w:rPr>
      </w:pPr>
      <w:r>
        <w:rPr>
          <w:rFonts w:hint="eastAsia" w:ascii="黑体" w:hAnsi="黑体" w:eastAsia="黑体" w:cs="黑体"/>
        </w:rPr>
        <w:t xml:space="preserve">8.1.3  </w:t>
      </w:r>
      <w:r>
        <w:rPr>
          <w:rFonts w:hint="eastAsia" w:hAnsi="宋体" w:cs="宋体"/>
        </w:rPr>
        <w:t>应配置专职或兼职的为研学</w:t>
      </w:r>
      <w:r>
        <w:rPr>
          <w:rFonts w:hint="eastAsia" w:cs="Times New Roman"/>
          <w:szCs w:val="24"/>
        </w:rPr>
        <w:t>游</w:t>
      </w:r>
      <w:r>
        <w:rPr>
          <w:rFonts w:hint="eastAsia" w:hAnsi="宋体" w:cs="宋体"/>
        </w:rPr>
        <w:t>活动协调员，负责统筹协调研学</w:t>
      </w:r>
      <w:r>
        <w:rPr>
          <w:rFonts w:hint="eastAsia" w:cs="Times New Roman"/>
          <w:szCs w:val="24"/>
        </w:rPr>
        <w:t>游</w:t>
      </w:r>
      <w:r>
        <w:rPr>
          <w:rFonts w:hint="eastAsia" w:hAnsi="宋体" w:cs="宋体"/>
        </w:rPr>
        <w:t>各项工作。</w:t>
      </w:r>
    </w:p>
    <w:p>
      <w:pPr>
        <w:pStyle w:val="20"/>
        <w:numPr>
          <w:ilvl w:val="0"/>
          <w:numId w:val="0"/>
        </w:numPr>
        <w:rPr>
          <w:color w:val="000000" w:themeColor="text1"/>
          <w14:textFill>
            <w14:solidFill>
              <w14:schemeClr w14:val="tx1"/>
            </w14:solidFill>
          </w14:textFill>
        </w:rPr>
      </w:pPr>
    </w:p>
    <w:p>
      <w:pPr>
        <w:pStyle w:val="22"/>
        <w:spacing w:before="156" w:beforeLines="50" w:after="156" w:afterLines="50"/>
        <w:outlineLvl w:val="1"/>
        <w:rPr>
          <w:rFonts w:hAnsi="黑体" w:cs="黑体"/>
        </w:rPr>
      </w:pPr>
      <w:r>
        <w:rPr>
          <w:rFonts w:hAnsi="黑体" w:cs="黑体"/>
        </w:rPr>
        <w:t xml:space="preserve"> </w:t>
      </w:r>
      <w:bookmarkStart w:id="52" w:name="_Toc13062"/>
      <w:bookmarkStart w:id="53" w:name="_Toc16930"/>
      <w:r>
        <w:rPr>
          <w:rFonts w:hAnsi="黑体" w:cs="黑体"/>
        </w:rPr>
        <w:t>宣传推广</w:t>
      </w:r>
      <w:bookmarkEnd w:id="52"/>
      <w:bookmarkEnd w:id="53"/>
    </w:p>
    <w:p>
      <w:pPr>
        <w:pStyle w:val="21"/>
      </w:pPr>
    </w:p>
    <w:p>
      <w:pPr>
        <w:pStyle w:val="27"/>
        <w:widowControl/>
        <w:numPr>
          <w:ilvl w:val="2"/>
          <w:numId w:val="1"/>
        </w:numPr>
        <w:ind w:left="0"/>
        <w:rPr>
          <w:rFonts w:hAnsi="宋体" w:cs="宋体"/>
        </w:rPr>
      </w:pPr>
      <w:r>
        <w:rPr>
          <w:rFonts w:hAnsi="宋体" w:cs="宋体"/>
        </w:rPr>
        <w:t>应结合研学</w:t>
      </w:r>
      <w:r>
        <w:rPr>
          <w:rFonts w:hint="eastAsia" w:hAnsi="宋体" w:cs="宋体"/>
        </w:rPr>
        <w:t>游基地特色</w:t>
      </w:r>
      <w:r>
        <w:rPr>
          <w:rFonts w:hAnsi="宋体" w:cs="宋体"/>
        </w:rPr>
        <w:t>设定</w:t>
      </w:r>
      <w:r>
        <w:rPr>
          <w:rFonts w:hint="eastAsia" w:hAnsi="宋体" w:cs="宋体"/>
        </w:rPr>
        <w:t>活动主题、开发系列</w:t>
      </w:r>
      <w:r>
        <w:rPr>
          <w:rFonts w:hAnsi="宋体" w:cs="宋体"/>
        </w:rPr>
        <w:t>产品</w:t>
      </w:r>
      <w:r>
        <w:rPr>
          <w:rFonts w:hint="eastAsia" w:hAnsi="宋体" w:cs="宋体"/>
        </w:rPr>
        <w:t>、打造基地</w:t>
      </w:r>
      <w:r>
        <w:rPr>
          <w:rFonts w:hAnsi="宋体" w:cs="宋体"/>
        </w:rPr>
        <w:t>品牌。</w:t>
      </w:r>
    </w:p>
    <w:p>
      <w:pPr>
        <w:pStyle w:val="27"/>
        <w:widowControl/>
        <w:numPr>
          <w:ilvl w:val="2"/>
          <w:numId w:val="1"/>
        </w:numPr>
        <w:ind w:left="0"/>
        <w:rPr>
          <w:rFonts w:hAnsi="宋体" w:cs="宋体"/>
        </w:rPr>
      </w:pPr>
      <w:r>
        <w:rPr>
          <w:rFonts w:hint="eastAsia" w:hAnsi="宋体" w:cs="宋体"/>
        </w:rPr>
        <w:t>宜</w:t>
      </w:r>
      <w:r>
        <w:rPr>
          <w:rFonts w:hAnsi="宋体" w:cs="宋体"/>
        </w:rPr>
        <w:t>结合</w:t>
      </w:r>
      <w:r>
        <w:rPr>
          <w:rFonts w:hint="eastAsia" w:hAnsi="宋体" w:cs="宋体"/>
        </w:rPr>
        <w:t>研学游基地特色</w:t>
      </w:r>
      <w:r>
        <w:rPr>
          <w:rFonts w:hAnsi="宋体" w:cs="宋体"/>
        </w:rPr>
        <w:t>设定</w:t>
      </w:r>
      <w:r>
        <w:rPr>
          <w:rFonts w:hint="eastAsia" w:hAnsi="宋体" w:cs="宋体"/>
        </w:rPr>
        <w:t>主题</w:t>
      </w:r>
      <w:r>
        <w:rPr>
          <w:rFonts w:hAnsi="宋体" w:cs="宋体"/>
        </w:rPr>
        <w:t>打卡点，便于研学旅行者拍照留念。</w:t>
      </w:r>
    </w:p>
    <w:p>
      <w:pPr>
        <w:pStyle w:val="27"/>
        <w:widowControl/>
        <w:numPr>
          <w:ilvl w:val="2"/>
          <w:numId w:val="1"/>
        </w:numPr>
        <w:ind w:left="0"/>
        <w:rPr>
          <w:rFonts w:hAnsi="宋体" w:cs="宋体"/>
        </w:rPr>
      </w:pPr>
      <w:r>
        <w:rPr>
          <w:rFonts w:hAnsi="宋体" w:cs="宋体"/>
        </w:rPr>
        <w:t>应运用</w:t>
      </w:r>
      <w:r>
        <w:rPr>
          <w:rFonts w:hint="eastAsia" w:hAnsi="宋体" w:cs="宋体"/>
        </w:rPr>
        <w:t>各类</w:t>
      </w:r>
      <w:r>
        <w:rPr>
          <w:rFonts w:hAnsi="宋体" w:cs="宋体"/>
        </w:rPr>
        <w:t>媒体平台宣传推广研学</w:t>
      </w:r>
      <w:r>
        <w:rPr>
          <w:rFonts w:hint="eastAsia" w:hAnsi="宋体" w:cs="宋体"/>
        </w:rPr>
        <w:t>游基地的活动及</w:t>
      </w:r>
      <w:r>
        <w:rPr>
          <w:rFonts w:hAnsi="宋体" w:cs="宋体"/>
        </w:rPr>
        <w:t>成果，信息发布频次</w:t>
      </w:r>
      <w:r>
        <w:rPr>
          <w:rFonts w:hint="eastAsia" w:hAnsi="宋体" w:cs="宋体"/>
        </w:rPr>
        <w:t>宜</w:t>
      </w:r>
      <w:r>
        <w:rPr>
          <w:rFonts w:hAnsi="宋体" w:cs="宋体"/>
        </w:rPr>
        <w:t>不低于1次/月。</w:t>
      </w:r>
    </w:p>
    <w:p>
      <w:pPr>
        <w:pStyle w:val="20"/>
        <w:numPr>
          <w:ilvl w:val="0"/>
          <w:numId w:val="0"/>
        </w:numPr>
      </w:pPr>
    </w:p>
    <w:p>
      <w:pPr>
        <w:pStyle w:val="20"/>
        <w:outlineLvl w:val="0"/>
      </w:pPr>
      <w:bookmarkStart w:id="54" w:name="_Toc28283"/>
      <w:bookmarkStart w:id="55" w:name="_Toc15727"/>
      <w:bookmarkStart w:id="56" w:name="_Toc23771"/>
      <w:bookmarkStart w:id="57" w:name="_Toc50012203"/>
      <w:r>
        <w:rPr>
          <w:rFonts w:hint="eastAsia"/>
        </w:rPr>
        <w:t xml:space="preserve"> 配套设施</w:t>
      </w:r>
      <w:bookmarkEnd w:id="54"/>
      <w:bookmarkEnd w:id="55"/>
      <w:r>
        <w:rPr>
          <w:rFonts w:hint="eastAsia"/>
        </w:rPr>
        <w:t>要求</w:t>
      </w:r>
      <w:bookmarkEnd w:id="56"/>
      <w:bookmarkEnd w:id="57"/>
    </w:p>
    <w:p>
      <w:pPr>
        <w:pStyle w:val="21"/>
        <w:rPr>
          <w:color w:val="000000" w:themeColor="text1"/>
          <w14:textFill>
            <w14:solidFill>
              <w14:schemeClr w14:val="tx1"/>
            </w14:solidFill>
          </w14:textFill>
        </w:rPr>
      </w:pPr>
    </w:p>
    <w:p>
      <w:pPr>
        <w:pStyle w:val="22"/>
        <w:outlineLvl w:val="1"/>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餐饮要求</w:t>
      </w:r>
    </w:p>
    <w:p>
      <w:pPr>
        <w:pStyle w:val="21"/>
      </w:pPr>
    </w:p>
    <w:p>
      <w:pPr>
        <w:pStyle w:val="27"/>
        <w:numPr>
          <w:ilvl w:val="2"/>
          <w:numId w:val="1"/>
        </w:numPr>
        <w:ind w:left="0"/>
        <w:rPr>
          <w:rFonts w:hAnsi="宋体" w:cs="宋体"/>
          <w:color w:val="000000" w:themeColor="text1"/>
          <w:sz w:val="18"/>
          <w:szCs w:val="18"/>
          <w14:textFill>
            <w14:solidFill>
              <w14:schemeClr w14:val="tx1"/>
            </w14:solidFill>
          </w14:textFill>
        </w:rPr>
      </w:pPr>
      <w:r>
        <w:rPr>
          <w:rFonts w:hint="eastAsia"/>
          <w:color w:val="000000" w:themeColor="text1"/>
          <w14:textFill>
            <w14:solidFill>
              <w14:schemeClr w14:val="tx1"/>
            </w14:solidFill>
          </w14:textFill>
        </w:rPr>
        <w:t>如配有餐厅，应选址科学，布局合理，其面积、就餐设施满足接待要求，</w:t>
      </w:r>
      <w:r>
        <w:rPr>
          <w:rFonts w:hint="eastAsia" w:hAnsi="宋体" w:cs="宋体"/>
          <w:kern w:val="0"/>
        </w:rPr>
        <w:t>餐厅卫生应符合GB 37487的要求，餐饮、餐具的消毒卫生应符合GB 14934的要求</w:t>
      </w:r>
      <w:r>
        <w:rPr>
          <w:rFonts w:hint="eastAsia"/>
          <w:color w:val="000000" w:themeColor="text1"/>
          <w14:textFill>
            <w14:solidFill>
              <w14:schemeClr w14:val="tx1"/>
            </w14:solidFill>
          </w14:textFill>
        </w:rPr>
        <w:t>，</w:t>
      </w:r>
      <w:r>
        <w:rPr>
          <w:rFonts w:hint="eastAsia" w:hAnsi="宋体" w:cs="宋体"/>
          <w:color w:val="000000" w:themeColor="text1"/>
          <w:shd w:val="clear" w:color="auto" w:fill="FFFFFF"/>
          <w14:textFill>
            <w14:solidFill>
              <w14:schemeClr w14:val="tx1"/>
            </w14:solidFill>
          </w14:textFill>
        </w:rPr>
        <w:t>餐饮服务人员应定期体检，持健康证上岗。</w:t>
      </w:r>
    </w:p>
    <w:p>
      <w:pPr>
        <w:pStyle w:val="27"/>
        <w:numPr>
          <w:ilvl w:val="2"/>
          <w:numId w:val="1"/>
        </w:numPr>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如从第三方平台订购餐饮，订餐应当符合</w:t>
      </w:r>
      <w:r>
        <w:fldChar w:fldCharType="begin"/>
      </w:r>
      <w:r>
        <w:instrText xml:space="preserve"> HYPERLINK "https://baike.baidu.com/item/%E4%B8%AD%E5%8D%8E%E4%BA%BA%E6%B0%91%E5%85%B1%E5%92%8C%E5%9B%BD%E6%95%99%E8%82%B2%E9%83%A8/3507526" \t "https://baike.baidu.com/item/%E5%AD%A6%E6%A0%A1%E9%A3%9F%E5%A0%82%E4%B8%8E%E5%AD%A6%E7%94%9F%E9%9B%86%E4%BD%93%E7%94%A8%E9%A4%90%E5%8D%AB%E7%94%9F%E7%AE%A1%E7%90%86%E8%A7%84%E5%AE%9A/_blank" </w:instrText>
      </w:r>
      <w:r>
        <w:fldChar w:fldCharType="separate"/>
      </w:r>
      <w:r>
        <w:rPr>
          <w:rStyle w:val="16"/>
          <w:rFonts w:hint="eastAsia" w:hAnsi="宋体" w:cs="宋体"/>
          <w:color w:val="000000" w:themeColor="text1"/>
          <w:u w:val="none"/>
          <w:shd w:val="clear" w:color="auto" w:fill="FFFFFF"/>
          <w14:textFill>
            <w14:solidFill>
              <w14:schemeClr w14:val="tx1"/>
            </w14:solidFill>
          </w14:textFill>
        </w:rPr>
        <w:t>中华人民共和国教育部</w:t>
      </w:r>
      <w:r>
        <w:rPr>
          <w:rStyle w:val="16"/>
          <w:rFonts w:hint="eastAsia" w:hAnsi="宋体" w:cs="宋体"/>
          <w:color w:val="000000" w:themeColor="text1"/>
          <w:u w:val="none"/>
          <w:shd w:val="clear" w:color="auto" w:fill="FFFFFF"/>
          <w14:textFill>
            <w14:solidFill>
              <w14:schemeClr w14:val="tx1"/>
            </w14:solidFill>
          </w14:textFill>
        </w:rPr>
        <w:fldChar w:fldCharType="end"/>
      </w:r>
      <w:r>
        <w:rPr>
          <w:rFonts w:hint="eastAsia" w:hAnsi="宋体" w:cs="宋体"/>
          <w:color w:val="000000" w:themeColor="text1"/>
          <w:shd w:val="clear" w:color="auto" w:fill="FFFFFF"/>
          <w14:textFill>
            <w14:solidFill>
              <w14:schemeClr w14:val="tx1"/>
            </w14:solidFill>
          </w14:textFill>
        </w:rPr>
        <w:t>、</w:t>
      </w:r>
      <w:r>
        <w:fldChar w:fldCharType="begin"/>
      </w:r>
      <w:r>
        <w:instrText xml:space="preserve"> HYPERLINK "https://baike.baidu.com/item/%E4%B8%AD%E5%8D%8E%E4%BA%BA%E6%B0%91%E5%85%B1%E5%92%8C%E5%9B%BD%E5%8D%AB%E7%94%9F%E9%83%A8" \t "https://baike.baidu.com/item/%E5%AD%A6%E6%A0%A1%E9%A3%9F%E5%A0%82%E4%B8%8E%E5%AD%A6%E7%94%9F%E9%9B%86%E4%BD%93%E7%94%A8%E9%A4%90%E5%8D%AB%E7%94%9F%E7%AE%A1%E7%90%86%E8%A7%84%E5%AE%9A/_blank" </w:instrText>
      </w:r>
      <w:r>
        <w:fldChar w:fldCharType="separate"/>
      </w:r>
      <w:r>
        <w:rPr>
          <w:rStyle w:val="16"/>
          <w:rFonts w:hint="eastAsia" w:hAnsi="宋体" w:cs="宋体"/>
          <w:color w:val="000000" w:themeColor="text1"/>
          <w:u w:val="none"/>
          <w:shd w:val="clear" w:color="auto" w:fill="FFFFFF"/>
          <w14:textFill>
            <w14:solidFill>
              <w14:schemeClr w14:val="tx1"/>
            </w14:solidFill>
          </w14:textFill>
        </w:rPr>
        <w:t>中华人民共和国卫生部</w:t>
      </w:r>
      <w:r>
        <w:rPr>
          <w:rStyle w:val="16"/>
          <w:rFonts w:hint="eastAsia" w:hAnsi="宋体" w:cs="宋体"/>
          <w:color w:val="000000" w:themeColor="text1"/>
          <w:u w:val="none"/>
          <w:shd w:val="clear" w:color="auto" w:fill="FFFFFF"/>
          <w14:textFill>
            <w14:solidFill>
              <w14:schemeClr w14:val="tx1"/>
            </w14:solidFill>
          </w14:textFill>
        </w:rPr>
        <w:fldChar w:fldCharType="end"/>
      </w:r>
      <w:r>
        <w:rPr>
          <w:rFonts w:hint="eastAsia" w:hAnsi="宋体" w:cs="宋体"/>
          <w:color w:val="000000" w:themeColor="text1"/>
          <w:shd w:val="clear" w:color="auto" w:fill="FFFFFF"/>
          <w14:textFill>
            <w14:solidFill>
              <w14:schemeClr w14:val="tx1"/>
            </w14:solidFill>
          </w14:textFill>
        </w:rPr>
        <w:t>令</w:t>
      </w:r>
      <w:r>
        <w:rPr>
          <w:rFonts w:ascii="Arial" w:hAnsi="Arial" w:cs="Arial"/>
          <w:color w:val="000000" w:themeColor="text1"/>
          <w:shd w:val="clear" w:color="auto" w:fill="FFFFFF"/>
          <w14:textFill>
            <w14:solidFill>
              <w14:schemeClr w14:val="tx1"/>
            </w14:solidFill>
          </w14:textFill>
        </w:rPr>
        <w:t>第 14 号</w:t>
      </w:r>
      <w:r>
        <w:rPr>
          <w:rFonts w:hint="eastAsia"/>
          <w:color w:val="000000" w:themeColor="text1"/>
          <w14:textFill>
            <w14:solidFill>
              <w14:schemeClr w14:val="tx1"/>
            </w14:solidFill>
          </w14:textFill>
        </w:rPr>
        <w:t>“学校食堂与学生集体用餐卫生管理规定”中第十二条规定。</w:t>
      </w:r>
    </w:p>
    <w:p>
      <w:pPr>
        <w:pStyle w:val="27"/>
        <w:numPr>
          <w:ilvl w:val="2"/>
          <w:numId w:val="0"/>
        </w:numPr>
        <w:outlineLvl w:val="9"/>
        <w:rPr>
          <w:rFonts w:hAnsi="宋体" w:cs="宋体"/>
          <w:color w:val="000000" w:themeColor="text1"/>
          <w:sz w:val="18"/>
          <w:szCs w:val="18"/>
          <w14:textFill>
            <w14:solidFill>
              <w14:schemeClr w14:val="tx1"/>
            </w14:solidFill>
          </w14:textFill>
        </w:rPr>
      </w:pPr>
    </w:p>
    <w:p>
      <w:pPr>
        <w:pStyle w:val="22"/>
        <w:outlineLvl w:val="1"/>
      </w:pPr>
      <w:r>
        <w:rPr>
          <w:rFonts w:hint="eastAsia"/>
        </w:rPr>
        <w:t xml:space="preserve"> 住宿要求</w:t>
      </w:r>
    </w:p>
    <w:p>
      <w:pPr>
        <w:pStyle w:val="22"/>
        <w:numPr>
          <w:ilvl w:val="1"/>
          <w:numId w:val="0"/>
        </w:numPr>
      </w:pPr>
    </w:p>
    <w:p>
      <w:pPr>
        <w:pStyle w:val="27"/>
        <w:numPr>
          <w:ilvl w:val="2"/>
          <w:numId w:val="1"/>
        </w:numPr>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如配有住宿设施，应选址科学，布局合理，</w:t>
      </w:r>
      <w:r>
        <w:rPr>
          <w:rFonts w:hint="eastAsia" w:ascii="Arial" w:hAnsi="Arial" w:eastAsia="Arial" w:cs="Arial"/>
          <w:color w:val="000000" w:themeColor="text1"/>
          <w:shd w:val="clear" w:color="auto" w:fill="FFFFFF"/>
          <w14:textFill>
            <w14:solidFill>
              <w14:schemeClr w14:val="tx1"/>
            </w14:solidFill>
          </w14:textFill>
        </w:rPr>
        <w:t>便于集中管理</w:t>
      </w:r>
      <w:r>
        <w:rPr>
          <w:rFonts w:hint="eastAsia" w:ascii="Arial" w:hAnsi="Arial" w:cs="Arial"/>
          <w:color w:val="000000" w:themeColor="text1"/>
          <w:shd w:val="clear" w:color="auto" w:fill="FFFFFF"/>
          <w14:textFill>
            <w14:solidFill>
              <w14:schemeClr w14:val="tx1"/>
            </w14:solidFill>
          </w14:textFill>
        </w:rPr>
        <w:t>。</w:t>
      </w:r>
      <w:r>
        <w:rPr>
          <w:rFonts w:hint="eastAsia"/>
          <w:color w:val="000000" w:themeColor="text1"/>
          <w14:textFill>
            <w14:solidFill>
              <w14:schemeClr w14:val="tx1"/>
            </w14:solidFill>
          </w14:textFill>
        </w:rPr>
        <w:t>集体住宿应男女分室，保证设施安全，卫生洁净。</w:t>
      </w:r>
    </w:p>
    <w:p>
      <w:pPr>
        <w:pStyle w:val="27"/>
        <w:numPr>
          <w:ilvl w:val="2"/>
          <w:numId w:val="1"/>
        </w:numPr>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酒店类住宿的总体服务质量和安全管理应符合GB/T 14308-2010的要求。</w:t>
      </w:r>
    </w:p>
    <w:p>
      <w:pPr>
        <w:pStyle w:val="27"/>
        <w:numPr>
          <w:ilvl w:val="2"/>
          <w:numId w:val="1"/>
        </w:numPr>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如与第三方平台合作住宿，住宿条件应满足以上要求。</w:t>
      </w:r>
    </w:p>
    <w:p>
      <w:pPr>
        <w:pStyle w:val="21"/>
      </w:pPr>
    </w:p>
    <w:p>
      <w:pPr>
        <w:pStyle w:val="22"/>
        <w:spacing w:before="156" w:beforeLines="50" w:after="156" w:afterLines="50"/>
        <w:outlineLvl w:val="1"/>
        <w:rPr>
          <w:rFonts w:hAnsi="黑体" w:cs="黑体"/>
          <w:szCs w:val="24"/>
        </w:rPr>
      </w:pPr>
      <w:bookmarkStart w:id="58" w:name="_Toc25701"/>
      <w:bookmarkStart w:id="59" w:name="_Toc12160"/>
      <w:r>
        <w:rPr>
          <w:rFonts w:hint="eastAsia" w:hAnsi="黑体" w:cs="黑体"/>
          <w:szCs w:val="24"/>
        </w:rPr>
        <w:t xml:space="preserve"> 购物要求</w:t>
      </w:r>
      <w:bookmarkEnd w:id="58"/>
      <w:bookmarkEnd w:id="59"/>
    </w:p>
    <w:p>
      <w:pPr>
        <w:pStyle w:val="21"/>
      </w:pPr>
    </w:p>
    <w:p>
      <w:pPr>
        <w:pStyle w:val="27"/>
        <w:widowControl/>
        <w:numPr>
          <w:ilvl w:val="2"/>
          <w:numId w:val="1"/>
        </w:numPr>
        <w:ind w:left="0"/>
        <w:rPr>
          <w:rFonts w:hAnsi="宋体" w:cs="宋体"/>
          <w:kern w:val="0"/>
        </w:rPr>
      </w:pPr>
      <w:r>
        <w:rPr>
          <w:rFonts w:hint="eastAsia" w:hAnsi="宋体" w:cs="宋体"/>
          <w:kern w:val="0"/>
        </w:rPr>
        <w:t>配有休闲购物场所的研学游基地应诚信经营，商品货真价实、明码标价，不强买强卖，提供售后服务。</w:t>
      </w:r>
    </w:p>
    <w:p>
      <w:pPr>
        <w:pStyle w:val="27"/>
        <w:widowControl/>
        <w:numPr>
          <w:ilvl w:val="2"/>
          <w:numId w:val="1"/>
        </w:numPr>
        <w:ind w:left="0"/>
        <w:rPr>
          <w:rFonts w:hAnsi="宋体" w:cs="宋体"/>
          <w:kern w:val="0"/>
        </w:rPr>
      </w:pPr>
      <w:r>
        <w:rPr>
          <w:rFonts w:hint="eastAsia" w:hAnsi="宋体" w:cs="宋体"/>
          <w:kern w:val="0"/>
        </w:rPr>
        <w:t>宜提供研学</w:t>
      </w:r>
      <w:r>
        <w:rPr>
          <w:rFonts w:hint="eastAsia" w:cs="Times New Roman"/>
          <w:szCs w:val="24"/>
        </w:rPr>
        <w:t>游</w:t>
      </w:r>
      <w:r>
        <w:rPr>
          <w:rFonts w:hint="eastAsia" w:hAnsi="宋体" w:cs="宋体"/>
          <w:kern w:val="0"/>
        </w:rPr>
        <w:t>主题配套纪念品、文创衍生品、研学</w:t>
      </w:r>
      <w:r>
        <w:rPr>
          <w:rFonts w:hint="eastAsia" w:cs="Times New Roman"/>
          <w:szCs w:val="24"/>
        </w:rPr>
        <w:t>材料包</w:t>
      </w:r>
      <w:r>
        <w:rPr>
          <w:rFonts w:hint="eastAsia" w:hAnsi="宋体" w:cs="宋体"/>
          <w:kern w:val="0"/>
        </w:rPr>
        <w:t>等产品。</w:t>
      </w:r>
    </w:p>
    <w:p>
      <w:pPr>
        <w:pStyle w:val="27"/>
        <w:widowControl/>
        <w:numPr>
          <w:ilvl w:val="2"/>
          <w:numId w:val="1"/>
        </w:numPr>
        <w:ind w:left="0"/>
        <w:rPr>
          <w:rFonts w:hAnsi="宋体" w:cs="宋体"/>
          <w:kern w:val="0"/>
        </w:rPr>
      </w:pPr>
      <w:r>
        <w:rPr>
          <w:rFonts w:hint="eastAsia" w:hAnsi="宋体" w:cs="宋体"/>
          <w:kern w:val="0"/>
        </w:rPr>
        <w:t>应提供移动支付等消费服务方式。</w:t>
      </w:r>
    </w:p>
    <w:p/>
    <w:p>
      <w:pPr>
        <w:pStyle w:val="22"/>
        <w:spacing w:before="156" w:beforeLines="50" w:after="156" w:afterLines="50"/>
        <w:outlineLvl w:val="1"/>
        <w:rPr>
          <w:rFonts w:hAnsi="黑体" w:cs="黑体"/>
        </w:rPr>
      </w:pPr>
      <w:bookmarkStart w:id="60" w:name="_Toc10963"/>
      <w:bookmarkStart w:id="61" w:name="_Toc27117"/>
      <w:r>
        <w:rPr>
          <w:rFonts w:hint="eastAsia" w:hAnsi="黑体" w:cs="黑体"/>
        </w:rPr>
        <w:t>交通要求</w:t>
      </w:r>
      <w:bookmarkEnd w:id="60"/>
      <w:bookmarkEnd w:id="61"/>
    </w:p>
    <w:p>
      <w:pPr>
        <w:pStyle w:val="21"/>
      </w:pPr>
    </w:p>
    <w:p>
      <w:pPr>
        <w:pStyle w:val="27"/>
        <w:widowControl/>
        <w:numPr>
          <w:ilvl w:val="2"/>
          <w:numId w:val="1"/>
        </w:numPr>
        <w:ind w:left="0"/>
        <w:rPr>
          <w:rFonts w:hAnsi="宋体" w:cs="宋体"/>
          <w:kern w:val="0"/>
        </w:rPr>
      </w:pPr>
      <w:r>
        <w:rPr>
          <w:rFonts w:hint="eastAsia" w:hAnsi="宋体" w:cs="宋体"/>
          <w:kern w:val="0"/>
        </w:rPr>
        <w:t>应配置县级以上的直达公路，站牌指示醒目，大巴车辆能直达内部或周边停车场。</w:t>
      </w:r>
    </w:p>
    <w:p>
      <w:pPr>
        <w:pStyle w:val="27"/>
        <w:widowControl/>
        <w:numPr>
          <w:ilvl w:val="2"/>
          <w:numId w:val="1"/>
        </w:numPr>
        <w:ind w:left="0"/>
        <w:rPr>
          <w:rFonts w:hAnsi="宋体" w:cs="宋体"/>
          <w:kern w:val="0"/>
        </w:rPr>
      </w:pPr>
      <w:r>
        <w:rPr>
          <w:rFonts w:hint="eastAsia" w:hAnsi="宋体" w:cs="宋体"/>
          <w:kern w:val="0"/>
        </w:rPr>
        <w:t>内部交通应安全、通畅。</w:t>
      </w:r>
    </w:p>
    <w:p>
      <w:pPr>
        <w:pStyle w:val="27"/>
        <w:widowControl/>
        <w:numPr>
          <w:ilvl w:val="2"/>
          <w:numId w:val="1"/>
        </w:numPr>
        <w:ind w:left="0"/>
        <w:rPr>
          <w:rFonts w:hAnsi="宋体" w:cs="宋体"/>
          <w:kern w:val="0"/>
        </w:rPr>
      </w:pPr>
      <w:r>
        <w:rPr>
          <w:rFonts w:hint="eastAsia" w:hAnsi="宋体" w:cs="宋体"/>
          <w:kern w:val="0"/>
        </w:rPr>
        <w:t>交通工具设施完好、整洁，宜使用绿色清洁能源。</w:t>
      </w:r>
    </w:p>
    <w:p>
      <w:pPr>
        <w:pStyle w:val="27"/>
        <w:widowControl/>
        <w:numPr>
          <w:ilvl w:val="2"/>
          <w:numId w:val="1"/>
        </w:numPr>
        <w:ind w:left="0"/>
        <w:rPr>
          <w:rFonts w:hAnsi="宋体" w:cs="宋体"/>
          <w:kern w:val="0"/>
        </w:rPr>
      </w:pPr>
      <w:r>
        <w:rPr>
          <w:rFonts w:hint="eastAsia" w:hAnsi="宋体" w:cs="宋体"/>
          <w:kern w:val="0"/>
        </w:rPr>
        <w:t>停车场、游步道等旅游交通应符合LB/T 025的要求。</w:t>
      </w:r>
    </w:p>
    <w:p/>
    <w:p>
      <w:pPr>
        <w:pStyle w:val="22"/>
        <w:spacing w:before="156" w:beforeLines="50" w:after="156" w:afterLines="50"/>
        <w:outlineLvl w:val="1"/>
        <w:rPr>
          <w:rFonts w:hAnsi="黑体" w:cs="黑体"/>
          <w:szCs w:val="24"/>
        </w:rPr>
      </w:pPr>
      <w:bookmarkStart w:id="62" w:name="_Toc9658"/>
      <w:bookmarkStart w:id="63" w:name="_Toc30322"/>
      <w:r>
        <w:rPr>
          <w:rFonts w:hint="eastAsia" w:hAnsi="黑体" w:cs="黑体"/>
          <w:szCs w:val="24"/>
        </w:rPr>
        <w:t>安全设施</w:t>
      </w:r>
      <w:bookmarkEnd w:id="62"/>
      <w:bookmarkEnd w:id="63"/>
    </w:p>
    <w:p>
      <w:pPr>
        <w:pStyle w:val="21"/>
      </w:pPr>
    </w:p>
    <w:p>
      <w:pPr>
        <w:pStyle w:val="19"/>
        <w:topLinePunct/>
        <w:autoSpaceDE w:val="0"/>
        <w:autoSpaceDN w:val="0"/>
        <w:ind w:firstLine="840" w:firstLineChars="400"/>
        <w:jc w:val="left"/>
        <w:rPr>
          <w:rFonts w:ascii="宋体" w:hAnsi="宋体" w:eastAsia="宋体" w:cs="宋体"/>
        </w:rPr>
      </w:pPr>
      <w:r>
        <w:rPr>
          <w:rFonts w:hint="eastAsia" w:ascii="宋体" w:hAnsi="宋体" w:eastAsia="宋体" w:cs="宋体"/>
        </w:rPr>
        <w:t>研学游基地、食宿合作单位的安全设施均应符合以下条件：</w:t>
      </w:r>
    </w:p>
    <w:p>
      <w:pPr>
        <w:pStyle w:val="29"/>
        <w:numPr>
          <w:ilvl w:val="0"/>
          <w:numId w:val="5"/>
        </w:numPr>
        <w:ind w:hanging="420"/>
      </w:pPr>
      <w:r>
        <w:t>配置齐全，包括：流量监控、应急照明灯、公共广播系统、应急工具、应急设备和处置设施</w:t>
      </w:r>
      <w:r>
        <w:rPr>
          <w:rFonts w:hint="eastAsia"/>
        </w:rPr>
        <w:t>；</w:t>
      </w:r>
    </w:p>
    <w:p>
      <w:pPr>
        <w:pStyle w:val="29"/>
        <w:numPr>
          <w:ilvl w:val="0"/>
          <w:numId w:val="5"/>
        </w:numPr>
        <w:ind w:hanging="420"/>
      </w:pPr>
      <w:r>
        <w:t>标识醒目，包括：疏散通道、安全提示和指引标识等</w:t>
      </w:r>
      <w:r>
        <w:rPr>
          <w:rFonts w:hint="eastAsia"/>
        </w:rPr>
        <w:t>；</w:t>
      </w:r>
    </w:p>
    <w:p>
      <w:pPr>
        <w:pStyle w:val="29"/>
        <w:numPr>
          <w:ilvl w:val="0"/>
          <w:numId w:val="5"/>
        </w:numPr>
        <w:ind w:hanging="420"/>
      </w:pPr>
      <w:r>
        <w:t>危险地带（如临水、交通沿线）应设置安全护栏和警示标志，并保证其醒目、健全</w:t>
      </w:r>
      <w:r>
        <w:rPr>
          <w:rFonts w:hint="eastAsia"/>
        </w:rPr>
        <w:t>；</w:t>
      </w:r>
    </w:p>
    <w:p>
      <w:pPr>
        <w:pStyle w:val="29"/>
        <w:numPr>
          <w:ilvl w:val="0"/>
          <w:numId w:val="5"/>
        </w:numPr>
        <w:ind w:hanging="420"/>
      </w:pPr>
      <w:r>
        <w:t>保证消防通道畅通，消防安全标识完整、清晰，位置醒目</w:t>
      </w:r>
      <w:r>
        <w:rPr>
          <w:rFonts w:hint="eastAsia"/>
        </w:rPr>
        <w:t>；</w:t>
      </w:r>
    </w:p>
    <w:p>
      <w:pPr>
        <w:pStyle w:val="29"/>
        <w:numPr>
          <w:ilvl w:val="0"/>
          <w:numId w:val="5"/>
        </w:numPr>
        <w:ind w:hanging="420"/>
      </w:pPr>
      <w:r>
        <w:t>设有安全和紧急避险通道，配置警戒设施</w:t>
      </w:r>
      <w:r>
        <w:rPr>
          <w:rFonts w:hint="eastAsia"/>
        </w:rPr>
        <w:t>；</w:t>
      </w:r>
    </w:p>
    <w:p>
      <w:pPr>
        <w:pStyle w:val="29"/>
        <w:numPr>
          <w:ilvl w:val="0"/>
          <w:numId w:val="5"/>
        </w:numPr>
        <w:ind w:hanging="420"/>
      </w:pPr>
      <w:r>
        <w:t>配备消防栓、灭火器、逃生锤等消防设备，保证防火设备齐备、有效</w:t>
      </w:r>
      <w:r>
        <w:rPr>
          <w:rFonts w:hint="eastAsia"/>
        </w:rPr>
        <w:t>；</w:t>
      </w:r>
    </w:p>
    <w:p>
      <w:pPr>
        <w:pStyle w:val="29"/>
        <w:numPr>
          <w:ilvl w:val="0"/>
          <w:numId w:val="5"/>
        </w:numPr>
        <w:ind w:hanging="420"/>
      </w:pPr>
      <w:r>
        <w:t>大型活动场所的安全通道和消防设备应有专人负责，确保设施完好有效</w:t>
      </w:r>
      <w:r>
        <w:rPr>
          <w:rFonts w:hint="eastAsia"/>
        </w:rPr>
        <w:t>；</w:t>
      </w:r>
    </w:p>
    <w:p>
      <w:pPr>
        <w:pStyle w:val="29"/>
        <w:numPr>
          <w:ilvl w:val="0"/>
          <w:numId w:val="5"/>
        </w:numPr>
        <w:ind w:hanging="420"/>
      </w:pPr>
      <w:r>
        <w:t>出入口应方便游客集散，紧急出口标志明显、畅通无阻</w:t>
      </w:r>
      <w:r>
        <w:rPr>
          <w:rFonts w:hint="eastAsia"/>
        </w:rPr>
        <w:t>；</w:t>
      </w:r>
    </w:p>
    <w:p>
      <w:pPr>
        <w:pStyle w:val="29"/>
        <w:numPr>
          <w:ilvl w:val="0"/>
          <w:numId w:val="5"/>
        </w:numPr>
        <w:ind w:hanging="420"/>
      </w:pPr>
      <w:r>
        <w:t>住宿场所应配有宿舍管理人员负责研学旅行者安全，安排保安人员昼夜值班巡逻，保障研学旅行者的财产和人身安全</w:t>
      </w:r>
      <w:r>
        <w:rPr>
          <w:rFonts w:hint="eastAsia"/>
        </w:rPr>
        <w:t>；</w:t>
      </w:r>
    </w:p>
    <w:p>
      <w:pPr>
        <w:pStyle w:val="29"/>
        <w:numPr>
          <w:ilvl w:val="0"/>
          <w:numId w:val="5"/>
        </w:numPr>
        <w:ind w:hanging="420"/>
      </w:pPr>
      <w:r>
        <w:t>在出入口等主要通道和场所安装闭路电视监控设备，实行全天候、全方位录像监控，保证电子监控系统健全、有效，影像资料保存30天以上</w:t>
      </w:r>
      <w:r>
        <w:rPr>
          <w:rFonts w:hint="eastAsia"/>
        </w:rPr>
        <w:t>；</w:t>
      </w:r>
    </w:p>
    <w:p>
      <w:pPr>
        <w:pStyle w:val="29"/>
        <w:numPr>
          <w:ilvl w:val="0"/>
          <w:numId w:val="5"/>
        </w:numPr>
        <w:ind w:hanging="420"/>
      </w:pPr>
      <w:r>
        <w:t>基础救护设备应齐备完好，设有隔离点及隔离措施，与周边医院有联动救治机制</w:t>
      </w:r>
      <w:r>
        <w:rPr>
          <w:rFonts w:hint="eastAsia"/>
        </w:rPr>
        <w:t>；</w:t>
      </w:r>
    </w:p>
    <w:p>
      <w:pPr>
        <w:pStyle w:val="29"/>
        <w:numPr>
          <w:ilvl w:val="0"/>
          <w:numId w:val="5"/>
        </w:numPr>
        <w:ind w:hanging="420"/>
      </w:pPr>
      <w:r>
        <w:t>设有治安机构或治安联防点，与周边公安、消防等机构有应急联动机制</w:t>
      </w:r>
      <w:r>
        <w:rPr>
          <w:rFonts w:hint="eastAsia"/>
        </w:rPr>
        <w:t>；</w:t>
      </w:r>
    </w:p>
    <w:p>
      <w:pPr>
        <w:pStyle w:val="29"/>
        <w:numPr>
          <w:ilvl w:val="0"/>
          <w:numId w:val="5"/>
        </w:numPr>
        <w:ind w:hanging="420"/>
      </w:pPr>
      <w:r>
        <w:t>区域内禁止存放易燃、易爆、腐蚀性及有碍安全的物品</w:t>
      </w:r>
      <w:r>
        <w:rPr>
          <w:rFonts w:hint="eastAsia"/>
        </w:rPr>
        <w:t>；</w:t>
      </w:r>
    </w:p>
    <w:p>
      <w:pPr>
        <w:pStyle w:val="29"/>
        <w:numPr>
          <w:ilvl w:val="0"/>
          <w:numId w:val="5"/>
        </w:numPr>
        <w:ind w:hanging="420"/>
      </w:pPr>
      <w:r>
        <w:t>消防应急照明和疏散指示系统应符合GB 17945的要求</w:t>
      </w:r>
      <w:r>
        <w:rPr>
          <w:rFonts w:hint="eastAsia"/>
        </w:rPr>
        <w:t>；</w:t>
      </w:r>
    </w:p>
    <w:p/>
    <w:p>
      <w:pPr>
        <w:pStyle w:val="22"/>
        <w:spacing w:before="156" w:beforeLines="50" w:after="156" w:afterLines="50"/>
        <w:outlineLvl w:val="1"/>
        <w:rPr>
          <w:rFonts w:hAnsi="黑体" w:cs="黑体"/>
        </w:rPr>
      </w:pPr>
      <w:bookmarkStart w:id="64" w:name="_Toc4118"/>
      <w:bookmarkStart w:id="65" w:name="_Toc13697"/>
      <w:r>
        <w:rPr>
          <w:rFonts w:hint="eastAsia" w:hAnsi="黑体" w:cs="黑体"/>
        </w:rPr>
        <w:t>导览设施</w:t>
      </w:r>
      <w:bookmarkEnd w:id="64"/>
      <w:bookmarkEnd w:id="65"/>
    </w:p>
    <w:p>
      <w:pPr>
        <w:pStyle w:val="21"/>
      </w:pPr>
    </w:p>
    <w:p>
      <w:pPr>
        <w:pStyle w:val="27"/>
        <w:widowControl/>
        <w:numPr>
          <w:ilvl w:val="2"/>
          <w:numId w:val="1"/>
        </w:numPr>
        <w:ind w:left="0"/>
        <w:rPr>
          <w:rFonts w:hAnsi="宋体" w:cs="宋体"/>
          <w:kern w:val="0"/>
        </w:rPr>
      </w:pPr>
      <w:r>
        <w:rPr>
          <w:rFonts w:hint="eastAsia" w:hAnsi="宋体" w:cs="宋体"/>
          <w:kern w:val="0"/>
        </w:rPr>
        <w:t>应提供线路、位置等相关标识标牌。</w:t>
      </w:r>
    </w:p>
    <w:p>
      <w:pPr>
        <w:pStyle w:val="27"/>
        <w:widowControl/>
        <w:numPr>
          <w:ilvl w:val="2"/>
          <w:numId w:val="1"/>
        </w:numPr>
        <w:ind w:left="0"/>
        <w:rPr>
          <w:rFonts w:hAnsi="宋体" w:cs="宋体"/>
          <w:kern w:val="0"/>
        </w:rPr>
      </w:pPr>
      <w:r>
        <w:rPr>
          <w:rFonts w:hint="eastAsia" w:hAnsi="宋体" w:cs="宋体"/>
          <w:kern w:val="0"/>
        </w:rPr>
        <w:t>应在厕所、购物、食宿、吸烟点等场所设置服务指示设施。</w:t>
      </w:r>
    </w:p>
    <w:p>
      <w:pPr>
        <w:pStyle w:val="27"/>
        <w:widowControl/>
        <w:numPr>
          <w:ilvl w:val="2"/>
          <w:numId w:val="1"/>
        </w:numPr>
        <w:ind w:left="0"/>
        <w:rPr>
          <w:rFonts w:hAnsi="宋体" w:cs="宋体"/>
          <w:kern w:val="0"/>
        </w:rPr>
      </w:pPr>
      <w:r>
        <w:rPr>
          <w:rFonts w:hint="eastAsia" w:hAnsi="宋体" w:cs="宋体"/>
          <w:kern w:val="0"/>
        </w:rPr>
        <w:t>应在外部交通、景区内道路、停车场等设置交通导览设施。</w:t>
      </w:r>
    </w:p>
    <w:p>
      <w:pPr>
        <w:pStyle w:val="27"/>
        <w:widowControl/>
        <w:numPr>
          <w:ilvl w:val="2"/>
          <w:numId w:val="1"/>
        </w:numPr>
        <w:ind w:left="0"/>
        <w:rPr>
          <w:rFonts w:hAnsi="宋体" w:cs="宋体"/>
          <w:kern w:val="0"/>
        </w:rPr>
      </w:pPr>
      <w:r>
        <w:rPr>
          <w:rFonts w:hint="eastAsia" w:hAnsi="宋体" w:cs="宋体"/>
          <w:kern w:val="0"/>
        </w:rPr>
        <w:t>应在安全疏散通道、参观线路等设置导览设施。</w:t>
      </w:r>
    </w:p>
    <w:p>
      <w:pPr>
        <w:pStyle w:val="27"/>
        <w:widowControl/>
        <w:numPr>
          <w:ilvl w:val="2"/>
          <w:numId w:val="1"/>
        </w:numPr>
        <w:ind w:left="0"/>
        <w:rPr>
          <w:rFonts w:hAnsi="宋体" w:cs="宋体"/>
          <w:kern w:val="0"/>
        </w:rPr>
      </w:pPr>
      <w:r>
        <w:rPr>
          <w:rFonts w:hint="eastAsia" w:hAnsi="宋体" w:cs="宋体"/>
          <w:kern w:val="0"/>
        </w:rPr>
        <w:t>导览设施标志应符合GB/T 10001.1、GB/T 10001.2和GB/T 10001.9的相关要求。</w:t>
      </w:r>
    </w:p>
    <w:p/>
    <w:p>
      <w:pPr>
        <w:pStyle w:val="22"/>
        <w:spacing w:before="156" w:beforeLines="50" w:after="156" w:afterLines="50"/>
        <w:outlineLvl w:val="1"/>
        <w:rPr>
          <w:rFonts w:hAnsi="黑体" w:cs="黑体"/>
        </w:rPr>
      </w:pPr>
      <w:bookmarkStart w:id="66" w:name="_Toc17026"/>
      <w:bookmarkStart w:id="67" w:name="_Toc12008"/>
      <w:r>
        <w:rPr>
          <w:rFonts w:hint="eastAsia" w:hAnsi="黑体" w:cs="黑体"/>
        </w:rPr>
        <w:t>信息化设施</w:t>
      </w:r>
      <w:bookmarkEnd w:id="66"/>
      <w:bookmarkEnd w:id="67"/>
    </w:p>
    <w:p>
      <w:pPr>
        <w:pStyle w:val="21"/>
      </w:pPr>
    </w:p>
    <w:p>
      <w:pPr>
        <w:pStyle w:val="27"/>
        <w:widowControl/>
        <w:numPr>
          <w:ilvl w:val="2"/>
          <w:numId w:val="1"/>
        </w:numPr>
        <w:ind w:left="0"/>
        <w:rPr>
          <w:rFonts w:hAnsi="宋体" w:cs="宋体"/>
        </w:rPr>
      </w:pPr>
      <w:r>
        <w:rPr>
          <w:rFonts w:hint="eastAsia" w:hAnsi="宋体" w:cs="宋体"/>
        </w:rPr>
        <w:t>宜通过公众号等各类媒体平台开展信息化服务。</w:t>
      </w:r>
    </w:p>
    <w:p>
      <w:pPr>
        <w:pStyle w:val="27"/>
        <w:widowControl/>
        <w:numPr>
          <w:ilvl w:val="2"/>
          <w:numId w:val="1"/>
        </w:numPr>
        <w:ind w:left="0"/>
        <w:rPr>
          <w:rFonts w:hAnsi="宋体" w:cs="宋体"/>
        </w:rPr>
      </w:pPr>
      <w:r>
        <w:rPr>
          <w:rFonts w:hint="eastAsia" w:hAnsi="宋体" w:cs="宋体"/>
        </w:rPr>
        <w:t>应通过信息化服务平台公开基地的接待时间和联系方式，积极建立并完善预约登记、信息提供、活动呈现、活动记录、评价反馈、投诉建议等研学</w:t>
      </w:r>
      <w:r>
        <w:rPr>
          <w:rFonts w:hint="eastAsia" w:cs="Times New Roman"/>
          <w:szCs w:val="24"/>
        </w:rPr>
        <w:t>游</w:t>
      </w:r>
      <w:r>
        <w:rPr>
          <w:rFonts w:hint="eastAsia" w:hAnsi="宋体" w:cs="宋体"/>
        </w:rPr>
        <w:t>活动和评价。</w:t>
      </w:r>
    </w:p>
    <w:p/>
    <w:p>
      <w:pPr>
        <w:pStyle w:val="20"/>
        <w:spacing w:before="156" w:beforeLines="50" w:after="156" w:afterLines="50"/>
        <w:outlineLvl w:val="0"/>
        <w:rPr>
          <w:rFonts w:hAnsi="黑体" w:cs="黑体"/>
        </w:rPr>
      </w:pPr>
      <w:bookmarkStart w:id="68" w:name="_Toc21826"/>
      <w:bookmarkStart w:id="69" w:name="_Toc2491"/>
      <w:bookmarkStart w:id="70" w:name="_Toc50012204"/>
      <w:bookmarkStart w:id="71" w:name="_Toc18928"/>
      <w:r>
        <w:rPr>
          <w:rFonts w:hint="eastAsia" w:hAnsi="黑体" w:cs="黑体"/>
        </w:rPr>
        <w:t>安全与应急管理</w:t>
      </w:r>
      <w:bookmarkEnd w:id="68"/>
      <w:bookmarkEnd w:id="69"/>
      <w:bookmarkEnd w:id="70"/>
      <w:bookmarkEnd w:id="71"/>
    </w:p>
    <w:p>
      <w:pPr>
        <w:pStyle w:val="21"/>
      </w:pPr>
    </w:p>
    <w:p>
      <w:pPr>
        <w:pStyle w:val="30"/>
        <w:rPr>
          <w:rFonts w:hAnsi="宋体" w:cs="宋体"/>
        </w:rPr>
      </w:pPr>
      <w:r>
        <w:rPr>
          <w:rFonts w:hint="eastAsia" w:hAnsi="宋体" w:cs="宋体"/>
        </w:rPr>
        <w:t>应建立科学有效的安全保障体系</w:t>
      </w:r>
      <w:r>
        <w:rPr>
          <w:rFonts w:hint="eastAsia"/>
        </w:rPr>
        <w:t>，</w:t>
      </w:r>
      <w:r>
        <w:rPr>
          <w:rFonts w:hint="eastAsia" w:hAnsi="宋体" w:cs="宋体"/>
        </w:rPr>
        <w:t>常态化开展安全检查机制和安全知识辅导培训。</w:t>
      </w:r>
    </w:p>
    <w:p>
      <w:pPr>
        <w:pStyle w:val="30"/>
        <w:rPr>
          <w:rFonts w:hAnsi="宋体" w:cs="宋体"/>
        </w:rPr>
      </w:pPr>
      <w:r>
        <w:rPr>
          <w:rFonts w:hint="eastAsia" w:hAnsi="宋体" w:cs="宋体"/>
        </w:rPr>
        <w:t>应建立安全责任机制，与</w:t>
      </w:r>
      <w:r>
        <w:rPr>
          <w:rFonts w:hint="eastAsia" w:hAnsi="宋体" w:cs="宋体"/>
          <w:szCs w:val="24"/>
        </w:rPr>
        <w:t>研学旅行者、</w:t>
      </w:r>
      <w:r>
        <w:rPr>
          <w:rFonts w:hint="eastAsia" w:hAnsi="宋体" w:cs="宋体"/>
        </w:rPr>
        <w:t>相关企业或机构签订安全责任书，明确各方安全责任。</w:t>
      </w:r>
    </w:p>
    <w:p>
      <w:pPr>
        <w:pStyle w:val="30"/>
        <w:rPr>
          <w:rFonts w:hAnsi="宋体" w:cs="宋体"/>
        </w:rPr>
      </w:pPr>
      <w:r>
        <w:rPr>
          <w:rFonts w:hint="eastAsia" w:hAnsi="宋体" w:cs="宋体"/>
        </w:rPr>
        <w:t>应建立检查、维护、保养、修缮、更换等制度，对基础设施进行定期管理。</w:t>
      </w:r>
    </w:p>
    <w:p>
      <w:pPr>
        <w:pStyle w:val="30"/>
        <w:rPr>
          <w:rFonts w:hAnsi="宋体" w:cs="宋体"/>
        </w:rPr>
      </w:pPr>
      <w:r>
        <w:rPr>
          <w:rFonts w:hint="eastAsia" w:hAnsi="宋体" w:cs="宋体"/>
        </w:rPr>
        <w:t>应建立健全服务质量监督保证体系，明确服务质量标准和岗位责任制度。</w:t>
      </w:r>
    </w:p>
    <w:p/>
    <w:p>
      <w:pPr>
        <w:pStyle w:val="20"/>
        <w:spacing w:before="156" w:beforeLines="50" w:after="156" w:afterLines="50"/>
        <w:outlineLvl w:val="0"/>
        <w:rPr>
          <w:rFonts w:hAnsi="黑体" w:cs="黑体"/>
          <w:szCs w:val="21"/>
        </w:rPr>
      </w:pPr>
      <w:bookmarkStart w:id="72" w:name="_Toc50012205"/>
      <w:r>
        <w:rPr>
          <w:rFonts w:hint="eastAsia" w:hAnsi="黑体" w:cs="黑体"/>
          <w:szCs w:val="21"/>
        </w:rPr>
        <w:t>公开和反馈机制</w:t>
      </w:r>
      <w:bookmarkEnd w:id="72"/>
    </w:p>
    <w:p>
      <w:pPr>
        <w:pStyle w:val="21"/>
      </w:pPr>
    </w:p>
    <w:p>
      <w:pPr>
        <w:pStyle w:val="30"/>
      </w:pPr>
      <w:r>
        <w:rPr>
          <w:rFonts w:hint="eastAsia" w:hAnsi="宋体" w:cs="宋体"/>
        </w:rPr>
        <w:t>应选择至少1个媒体平台定期公开研学游基地的工作动态、游客数量、反馈建议及改进措施。</w:t>
      </w:r>
    </w:p>
    <w:p>
      <w:pPr>
        <w:pStyle w:val="30"/>
        <w:rPr>
          <w:rFonts w:hAnsi="宋体" w:cs="宋体"/>
        </w:rPr>
      </w:pPr>
      <w:r>
        <w:rPr>
          <w:rFonts w:hint="eastAsia" w:hAnsi="宋体" w:cs="宋体"/>
        </w:rPr>
        <w:t>定期开展问卷调查，总结反馈数据并拟定措施。</w:t>
      </w:r>
    </w:p>
    <w:p>
      <w:pPr>
        <w:pStyle w:val="30"/>
        <w:rPr>
          <w:rFonts w:hAnsi="宋体" w:cs="宋体"/>
        </w:rPr>
      </w:pPr>
      <w:r>
        <w:rPr>
          <w:rFonts w:hint="eastAsia" w:hAnsi="宋体" w:cs="宋体"/>
        </w:rPr>
        <w:t>应建立质量信息反馈汇总分析机制，持续改进研学</w:t>
      </w:r>
      <w:r>
        <w:rPr>
          <w:rFonts w:hint="eastAsia" w:cs="Times New Roman"/>
          <w:szCs w:val="24"/>
        </w:rPr>
        <w:t>游</w:t>
      </w:r>
      <w:r>
        <w:rPr>
          <w:rFonts w:hint="eastAsia" w:hAnsi="宋体" w:cs="宋体"/>
        </w:rPr>
        <w:t>服务质量。</w:t>
      </w:r>
    </w:p>
    <w:p/>
    <w:p>
      <w:pPr>
        <w:pStyle w:val="20"/>
        <w:spacing w:before="156" w:beforeLines="50" w:after="156" w:afterLines="50"/>
        <w:outlineLvl w:val="0"/>
        <w:rPr>
          <w:rFonts w:hAnsi="黑体" w:cs="黑体"/>
          <w:szCs w:val="21"/>
        </w:rPr>
      </w:pPr>
      <w:bookmarkStart w:id="73" w:name="_Toc50012206"/>
      <w:bookmarkStart w:id="74" w:name="_Toc25700"/>
      <w:bookmarkStart w:id="75" w:name="_Toc2813"/>
      <w:r>
        <w:rPr>
          <w:rFonts w:hint="eastAsia" w:hAnsi="黑体" w:cs="黑体"/>
          <w:szCs w:val="21"/>
        </w:rPr>
        <w:t>评定与复核</w:t>
      </w:r>
      <w:bookmarkEnd w:id="73"/>
      <w:bookmarkEnd w:id="74"/>
      <w:bookmarkEnd w:id="75"/>
    </w:p>
    <w:p>
      <w:pPr>
        <w:pStyle w:val="21"/>
      </w:pPr>
    </w:p>
    <w:p>
      <w:pPr>
        <w:pStyle w:val="30"/>
        <w:rPr>
          <w:rFonts w:hAnsi="宋体" w:cs="宋体"/>
        </w:rPr>
      </w:pPr>
      <w:r>
        <w:rPr>
          <w:rFonts w:hint="eastAsia" w:hAnsi="宋体" w:cs="宋体"/>
        </w:rPr>
        <w:t>研学</w:t>
      </w:r>
      <w:r>
        <w:rPr>
          <w:rFonts w:hint="eastAsia" w:cs="Times New Roman"/>
          <w:szCs w:val="24"/>
        </w:rPr>
        <w:t>游</w:t>
      </w:r>
      <w:r>
        <w:rPr>
          <w:rFonts w:hint="eastAsia" w:hAnsi="宋体" w:cs="宋体"/>
        </w:rPr>
        <w:t xml:space="preserve">基地资格评定与复核工作由相应主管部门负责。 </w:t>
      </w:r>
    </w:p>
    <w:p>
      <w:pPr>
        <w:pStyle w:val="30"/>
        <w:rPr>
          <w:rFonts w:hAnsi="宋体" w:cs="宋体"/>
        </w:rPr>
      </w:pPr>
      <w:r>
        <w:rPr>
          <w:rFonts w:hint="eastAsia" w:hAnsi="宋体" w:cs="宋体"/>
        </w:rPr>
        <w:t>对研学</w:t>
      </w:r>
      <w:r>
        <w:rPr>
          <w:rFonts w:hint="eastAsia" w:cs="Times New Roman"/>
          <w:szCs w:val="24"/>
        </w:rPr>
        <w:t>游</w:t>
      </w:r>
      <w:r>
        <w:rPr>
          <w:rFonts w:hint="eastAsia" w:hAnsi="宋体" w:cs="宋体"/>
        </w:rPr>
        <w:t>基地实施动态管理，定期复核。</w:t>
      </w:r>
    </w:p>
    <w:sectPr>
      <w:footerReference r:id="rId6" w:type="default"/>
      <w:pgSz w:w="11906" w:h="16838"/>
      <w:pgMar w:top="1440" w:right="1080" w:bottom="1440" w:left="108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OYf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3o0UxhR5evXy7ffly+fybwgaDW+gXydhaZoXttOiSPfg9nnLur&#10;nIpfTEQQB9b5Sq/oAuHx0nw2n+cIccTGH+BnT9et8+GNMIpEo6AO+0u0stPWhz51TInVtNk0UqYd&#10;Sk3agt68fJWnC9cIwKVGjThE32y0Qrfvhsn2pjxjMGd6bXjLNw2Kb5kPj8xBDGgYAg8POCppUMQM&#10;FiW1cZ/+5o/52BGilLQQV0E11E+JfKuxOwCG0XCjsR8NfVR3Bmqd4uFYn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ss5h/A4CAAAJBAAADgAAAAAAAAABACAAAAAf&#10;AQAAZHJzL2Uyb0RvYy54bWxQSwUGAAAAAAYABgBZAQAAnwU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mSwMQAgAABwQAAA4AAABkcnMvZTJvRG9jLnhtbK1TzY7TMBC+I/EO&#10;lu80aRGrbt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8JksDEAIAAAcEAAAOAAAAAAAAAAEAIAAA&#10;AB8BAABkcnMvZTJvRG9jLnhtbFBLBQYAAAAABgAGAFkBAAChBQ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II</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II</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III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DMr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UEs0UdnT5+uXy7cfl+2cCHwhqrV8gb2eRGbrXpkPy6Pdwxrm7&#10;yqn4xUQEcVB9vtIrukB4vDSfzec5Qhyx8Qf42dN163x4I4wi0Siow/4Srey09aFPHVNiNW02jZRp&#10;h1KTtqA3L1/l6cI1AnCpUSMO0TcbrdDtu2GyvSnPGMyZXhve8k2D4lvmwyNzEAMahsDDA45KGhQx&#10;g0VJbdynv/ljPnaEKCUtxFVQDfVTIt9q7C7qcDTcaOxHQx/VnYFasQ70k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GoMyvA4CAAAJBAAADgAAAAAAAAABACAAAAAf&#10;AQAAZHJzL2Uyb0RvYy54bWxQSwUGAAAAAAYABgBZAQAAnwU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III</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B71344"/>
    <w:multiLevelType w:val="multilevel"/>
    <w:tmpl w:val="B3B71344"/>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8"/>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0" w:firstLine="0"/>
      </w:pPr>
      <w:rPr>
        <w:rFonts w:hint="eastAsia"/>
      </w:rPr>
    </w:lvl>
    <w:lvl w:ilvl="8" w:tentative="0">
      <w:start w:val="1"/>
      <w:numFmt w:val="decimal"/>
      <w:lvlText w:val="%1.%2.%3.%4.%5.%6.%7.%8.%9"/>
      <w:lvlJc w:val="left"/>
      <w:pPr>
        <w:tabs>
          <w:tab w:val="left" w:pos="4777"/>
        </w:tabs>
        <w:ind w:left="0" w:firstLine="0"/>
      </w:pPr>
      <w:rPr>
        <w:rFonts w:hint="eastAsia"/>
      </w:rPr>
    </w:lvl>
  </w:abstractNum>
  <w:abstractNum w:abstractNumId="2">
    <w:nsid w:val="435C5AD1"/>
    <w:multiLevelType w:val="multilevel"/>
    <w:tmpl w:val="435C5AD1"/>
    <w:lvl w:ilvl="0" w:tentative="0">
      <w:start w:val="1"/>
      <w:numFmt w:val="decimal"/>
      <w:pStyle w:val="2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142"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0" w:firstLine="0"/>
      </w:pPr>
      <w:rPr>
        <w:rFonts w:hint="eastAsia"/>
      </w:rPr>
    </w:lvl>
    <w:lvl w:ilvl="8" w:tentative="0">
      <w:start w:val="1"/>
      <w:numFmt w:val="decimal"/>
      <w:lvlText w:val="%1.%2.%3.%4.%5.%6.%7.%8.%9"/>
      <w:lvlJc w:val="left"/>
      <w:pPr>
        <w:tabs>
          <w:tab w:val="left" w:pos="4777"/>
        </w:tabs>
        <w:ind w:left="0" w:firstLine="0"/>
      </w:pPr>
      <w:rPr>
        <w:rFonts w:hint="eastAsia"/>
      </w:rPr>
    </w:lvl>
  </w:abstractNum>
  <w:abstractNum w:abstractNumId="3">
    <w:nsid w:val="6A617D8C"/>
    <w:multiLevelType w:val="multilevel"/>
    <w:tmpl w:val="6A617D8C"/>
    <w:lvl w:ilvl="0" w:tentative="0">
      <w:start w:val="1"/>
      <w:numFmt w:val="lowerLetter"/>
      <w:pStyle w:val="29"/>
      <w:lvlText w:val="%1)"/>
      <w:lvlJc w:val="left"/>
      <w:pPr>
        <w:tabs>
          <w:tab w:val="left" w:pos="840"/>
        </w:tabs>
        <w:ind w:left="839" w:hanging="419"/>
      </w:pPr>
      <w:rPr>
        <w:rFonts w:hint="default" w:ascii="宋体" w:eastAsia="宋体"/>
        <w:b w:val="0"/>
        <w:i w:val="0"/>
        <w:sz w:val="21"/>
        <w:szCs w:val="21"/>
      </w:rPr>
    </w:lvl>
    <w:lvl w:ilvl="1" w:tentative="0">
      <w:start w:val="1"/>
      <w:numFmt w:val="decimal"/>
      <w:lvlText w:val="%2)"/>
      <w:lvlJc w:val="left"/>
      <w:pPr>
        <w:tabs>
          <w:tab w:val="left" w:pos="1260"/>
        </w:tabs>
        <w:ind w:left="1259" w:hanging="419"/>
      </w:pPr>
      <w:rPr>
        <w:rFonts w:hint="default" w:ascii="宋体" w:hAnsi="宋体" w:eastAsia="宋体" w:cs="宋体"/>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6B07A905"/>
    <w:multiLevelType w:val="multilevel"/>
    <w:tmpl w:val="6B07A905"/>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2"/>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5C2284"/>
    <w:rsid w:val="0000101A"/>
    <w:rsid w:val="00030897"/>
    <w:rsid w:val="000354BB"/>
    <w:rsid w:val="00054E8A"/>
    <w:rsid w:val="000673FE"/>
    <w:rsid w:val="000A082F"/>
    <w:rsid w:val="000B0947"/>
    <w:rsid w:val="00102E39"/>
    <w:rsid w:val="00194FF0"/>
    <w:rsid w:val="0021398D"/>
    <w:rsid w:val="002415EC"/>
    <w:rsid w:val="00245FC3"/>
    <w:rsid w:val="002F227B"/>
    <w:rsid w:val="002F4C0B"/>
    <w:rsid w:val="003030DD"/>
    <w:rsid w:val="0035111D"/>
    <w:rsid w:val="00363BD9"/>
    <w:rsid w:val="003704CE"/>
    <w:rsid w:val="003A525F"/>
    <w:rsid w:val="003B0E93"/>
    <w:rsid w:val="003B35C9"/>
    <w:rsid w:val="004008BA"/>
    <w:rsid w:val="00437190"/>
    <w:rsid w:val="00443D56"/>
    <w:rsid w:val="00456622"/>
    <w:rsid w:val="005B6D69"/>
    <w:rsid w:val="006153E7"/>
    <w:rsid w:val="0062630F"/>
    <w:rsid w:val="0063564F"/>
    <w:rsid w:val="0065322E"/>
    <w:rsid w:val="0066704A"/>
    <w:rsid w:val="00704F74"/>
    <w:rsid w:val="00720CF9"/>
    <w:rsid w:val="0078353B"/>
    <w:rsid w:val="007D7DCF"/>
    <w:rsid w:val="007F0F3E"/>
    <w:rsid w:val="00856E04"/>
    <w:rsid w:val="008621EF"/>
    <w:rsid w:val="00877F1D"/>
    <w:rsid w:val="00882DEE"/>
    <w:rsid w:val="008B277A"/>
    <w:rsid w:val="009204BF"/>
    <w:rsid w:val="00995851"/>
    <w:rsid w:val="009A1DF7"/>
    <w:rsid w:val="009A23A3"/>
    <w:rsid w:val="009C0FED"/>
    <w:rsid w:val="009C7AAE"/>
    <w:rsid w:val="00A73C39"/>
    <w:rsid w:val="00B0697A"/>
    <w:rsid w:val="00B161C2"/>
    <w:rsid w:val="00B23A34"/>
    <w:rsid w:val="00B32986"/>
    <w:rsid w:val="00B378B6"/>
    <w:rsid w:val="00B56B32"/>
    <w:rsid w:val="00B66B3D"/>
    <w:rsid w:val="00BA30A0"/>
    <w:rsid w:val="00BA3741"/>
    <w:rsid w:val="00C07120"/>
    <w:rsid w:val="00C577EA"/>
    <w:rsid w:val="00C878D8"/>
    <w:rsid w:val="00CD7081"/>
    <w:rsid w:val="00D25A52"/>
    <w:rsid w:val="00D25B10"/>
    <w:rsid w:val="00D43E16"/>
    <w:rsid w:val="00D648DB"/>
    <w:rsid w:val="00DC79B9"/>
    <w:rsid w:val="00DE7E81"/>
    <w:rsid w:val="00E36073"/>
    <w:rsid w:val="00E64906"/>
    <w:rsid w:val="00E71164"/>
    <w:rsid w:val="00EA17FF"/>
    <w:rsid w:val="00EA54BF"/>
    <w:rsid w:val="00EF4E9F"/>
    <w:rsid w:val="00F01DCA"/>
    <w:rsid w:val="00F056E0"/>
    <w:rsid w:val="00F34209"/>
    <w:rsid w:val="00F41ECC"/>
    <w:rsid w:val="00F468F6"/>
    <w:rsid w:val="00FA0896"/>
    <w:rsid w:val="00FB7E24"/>
    <w:rsid w:val="00FD7074"/>
    <w:rsid w:val="00FF084E"/>
    <w:rsid w:val="00FF79B1"/>
    <w:rsid w:val="0182771E"/>
    <w:rsid w:val="031354A8"/>
    <w:rsid w:val="032069EF"/>
    <w:rsid w:val="05BF32D7"/>
    <w:rsid w:val="05FA19E7"/>
    <w:rsid w:val="06714FD1"/>
    <w:rsid w:val="07D5494D"/>
    <w:rsid w:val="09390BA6"/>
    <w:rsid w:val="09EA7DC8"/>
    <w:rsid w:val="0A5658EC"/>
    <w:rsid w:val="0BF43541"/>
    <w:rsid w:val="0C315C57"/>
    <w:rsid w:val="0D5B4B35"/>
    <w:rsid w:val="0F20078B"/>
    <w:rsid w:val="10353260"/>
    <w:rsid w:val="127857E6"/>
    <w:rsid w:val="12A518A3"/>
    <w:rsid w:val="12DD5199"/>
    <w:rsid w:val="12FB55AE"/>
    <w:rsid w:val="148D0FD8"/>
    <w:rsid w:val="166A73FF"/>
    <w:rsid w:val="178B77E0"/>
    <w:rsid w:val="18584E6D"/>
    <w:rsid w:val="1928174F"/>
    <w:rsid w:val="1A762060"/>
    <w:rsid w:val="1A9C3227"/>
    <w:rsid w:val="1A9E30FA"/>
    <w:rsid w:val="1B273C0B"/>
    <w:rsid w:val="1B9C1267"/>
    <w:rsid w:val="1CD80978"/>
    <w:rsid w:val="1CEF770F"/>
    <w:rsid w:val="1CF8560F"/>
    <w:rsid w:val="1D717ACC"/>
    <w:rsid w:val="1D8B67C7"/>
    <w:rsid w:val="1F6F6EA9"/>
    <w:rsid w:val="230627A4"/>
    <w:rsid w:val="25723094"/>
    <w:rsid w:val="264D24CE"/>
    <w:rsid w:val="27AB04CD"/>
    <w:rsid w:val="28923CD2"/>
    <w:rsid w:val="2A033A26"/>
    <w:rsid w:val="2A370C3E"/>
    <w:rsid w:val="2A421CFC"/>
    <w:rsid w:val="2CFB05C2"/>
    <w:rsid w:val="30C20DE7"/>
    <w:rsid w:val="312C06D7"/>
    <w:rsid w:val="315854D1"/>
    <w:rsid w:val="33722E06"/>
    <w:rsid w:val="33CA37FB"/>
    <w:rsid w:val="34C63F5E"/>
    <w:rsid w:val="36386D32"/>
    <w:rsid w:val="36ED77F7"/>
    <w:rsid w:val="38C72BB0"/>
    <w:rsid w:val="397A1929"/>
    <w:rsid w:val="3C865713"/>
    <w:rsid w:val="3CDE273F"/>
    <w:rsid w:val="3D16088A"/>
    <w:rsid w:val="3D98772D"/>
    <w:rsid w:val="3DBA44EC"/>
    <w:rsid w:val="3DEC49D5"/>
    <w:rsid w:val="40DC3B67"/>
    <w:rsid w:val="414D6B97"/>
    <w:rsid w:val="41F04E0C"/>
    <w:rsid w:val="41F13119"/>
    <w:rsid w:val="432A1E36"/>
    <w:rsid w:val="446A4188"/>
    <w:rsid w:val="46985B07"/>
    <w:rsid w:val="46A30702"/>
    <w:rsid w:val="47B043B2"/>
    <w:rsid w:val="47E066D2"/>
    <w:rsid w:val="49832101"/>
    <w:rsid w:val="49B56F0C"/>
    <w:rsid w:val="4A6807BE"/>
    <w:rsid w:val="4B20013C"/>
    <w:rsid w:val="4CA35085"/>
    <w:rsid w:val="4E8E3078"/>
    <w:rsid w:val="4F89242B"/>
    <w:rsid w:val="50B226A0"/>
    <w:rsid w:val="52A6294F"/>
    <w:rsid w:val="53BA3B31"/>
    <w:rsid w:val="53BF15DF"/>
    <w:rsid w:val="54C81091"/>
    <w:rsid w:val="555C2284"/>
    <w:rsid w:val="5800451A"/>
    <w:rsid w:val="58FA000A"/>
    <w:rsid w:val="59332C2E"/>
    <w:rsid w:val="5A2F09E3"/>
    <w:rsid w:val="5BB146AE"/>
    <w:rsid w:val="5C1B759B"/>
    <w:rsid w:val="5C4765C3"/>
    <w:rsid w:val="5D1F1A0B"/>
    <w:rsid w:val="5DC82E3B"/>
    <w:rsid w:val="5EA162AC"/>
    <w:rsid w:val="5F643F80"/>
    <w:rsid w:val="6480746D"/>
    <w:rsid w:val="66307901"/>
    <w:rsid w:val="66390EE0"/>
    <w:rsid w:val="664B781F"/>
    <w:rsid w:val="67973DFA"/>
    <w:rsid w:val="68FF5DA7"/>
    <w:rsid w:val="6A3F10F8"/>
    <w:rsid w:val="6BE050FD"/>
    <w:rsid w:val="6BF72F7D"/>
    <w:rsid w:val="6C733770"/>
    <w:rsid w:val="6D161FC2"/>
    <w:rsid w:val="73276039"/>
    <w:rsid w:val="749D121B"/>
    <w:rsid w:val="74D101AA"/>
    <w:rsid w:val="75687512"/>
    <w:rsid w:val="763E4F33"/>
    <w:rsid w:val="775F37CB"/>
    <w:rsid w:val="7794452C"/>
    <w:rsid w:val="779C7217"/>
    <w:rsid w:val="78A71440"/>
    <w:rsid w:val="794966ED"/>
    <w:rsid w:val="794F7C2C"/>
    <w:rsid w:val="79936CAC"/>
    <w:rsid w:val="7B126A83"/>
    <w:rsid w:val="7B8A4843"/>
    <w:rsid w:val="7BAC1070"/>
    <w:rsid w:val="7CE17478"/>
    <w:rsid w:val="7D0A2274"/>
    <w:rsid w:val="7EE81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paragraph" w:styleId="4">
    <w:name w:val="heading 5"/>
    <w:basedOn w:val="1"/>
    <w:next w:val="1"/>
    <w:unhideWhenUsed/>
    <w:qFormat/>
    <w:uiPriority w:val="0"/>
    <w:pPr>
      <w:keepNext/>
      <w:keepLines/>
      <w:spacing w:before="280" w:after="290" w:line="372" w:lineRule="auto"/>
      <w:outlineLvl w:val="4"/>
    </w:pPr>
    <w:rPr>
      <w:b/>
      <w:sz w:val="28"/>
    </w:rPr>
  </w:style>
  <w:style w:type="paragraph" w:styleId="5">
    <w:name w:val="heading 6"/>
    <w:basedOn w:val="1"/>
    <w:next w:val="1"/>
    <w:link w:val="32"/>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15">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53"/>
    <w:qFormat/>
    <w:uiPriority w:val="0"/>
    <w:rPr>
      <w:b/>
      <w:bCs/>
    </w:rPr>
  </w:style>
  <w:style w:type="paragraph" w:styleId="7">
    <w:name w:val="annotation text"/>
    <w:basedOn w:val="1"/>
    <w:link w:val="52"/>
    <w:qFormat/>
    <w:uiPriority w:val="0"/>
    <w:pPr>
      <w:jc w:val="left"/>
    </w:pPr>
  </w:style>
  <w:style w:type="paragraph" w:styleId="8">
    <w:name w:val="Body Text"/>
    <w:basedOn w:val="1"/>
    <w:qFormat/>
    <w:uiPriority w:val="1"/>
    <w:rPr>
      <w:rFonts w:ascii="宋体" w:hAnsi="宋体" w:eastAsia="宋体" w:cs="宋体"/>
      <w:szCs w:val="21"/>
      <w:lang w:val="zh-CN" w:bidi="zh-CN"/>
    </w:rPr>
  </w:style>
  <w:style w:type="paragraph" w:styleId="9">
    <w:name w:val="toc 3"/>
    <w:basedOn w:val="1"/>
    <w:next w:val="1"/>
    <w:qFormat/>
    <w:uiPriority w:val="0"/>
    <w:pPr>
      <w:ind w:left="840" w:leftChars="400"/>
    </w:pPr>
  </w:style>
  <w:style w:type="paragraph" w:styleId="10">
    <w:name w:val="Balloon Text"/>
    <w:basedOn w:val="1"/>
    <w:link w:val="54"/>
    <w:qFormat/>
    <w:uiPriority w:val="0"/>
    <w:rPr>
      <w:sz w:val="18"/>
      <w:szCs w:val="18"/>
    </w:rPr>
  </w:style>
  <w:style w:type="paragraph" w:styleId="11">
    <w:name w:val="footer"/>
    <w:basedOn w:val="1"/>
    <w:qFormat/>
    <w:uiPriority w:val="0"/>
    <w:pPr>
      <w:snapToGrid w:val="0"/>
      <w:ind w:right="210" w:rightChars="100"/>
      <w:jc w:val="right"/>
    </w:pPr>
    <w:rPr>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style>
  <w:style w:type="paragraph" w:styleId="14">
    <w:name w:val="toc 2"/>
    <w:basedOn w:val="1"/>
    <w:next w:val="1"/>
    <w:qFormat/>
    <w:uiPriority w:val="0"/>
    <w:pPr>
      <w:ind w:left="420" w:leftChars="200"/>
    </w:pPr>
  </w:style>
  <w:style w:type="character" w:styleId="16">
    <w:name w:val="Hyperlink"/>
    <w:basedOn w:val="15"/>
    <w:qFormat/>
    <w:uiPriority w:val="99"/>
    <w:rPr>
      <w:color w:val="0000FF"/>
      <w:u w:val="single"/>
    </w:rPr>
  </w:style>
  <w:style w:type="character" w:styleId="17">
    <w:name w:val="annotation reference"/>
    <w:basedOn w:val="15"/>
    <w:qFormat/>
    <w:uiPriority w:val="0"/>
    <w:rPr>
      <w:sz w:val="21"/>
      <w:szCs w:val="21"/>
    </w:rPr>
  </w:style>
  <w:style w:type="paragraph" w:customStyle="1" w:styleId="19">
    <w:name w:val="List Paragraph"/>
    <w:basedOn w:val="1"/>
    <w:qFormat/>
    <w:uiPriority w:val="34"/>
    <w:pPr>
      <w:ind w:firstLine="420" w:firstLineChars="200"/>
    </w:pPr>
  </w:style>
  <w:style w:type="paragraph" w:customStyle="1" w:styleId="20">
    <w:name w:val="章标题"/>
    <w:basedOn w:val="1"/>
    <w:next w:val="21"/>
    <w:qFormat/>
    <w:uiPriority w:val="0"/>
    <w:pPr>
      <w:numPr>
        <w:ilvl w:val="0"/>
        <w:numId w:val="1"/>
      </w:numPr>
    </w:pPr>
    <w:rPr>
      <w:rFonts w:ascii="黑体" w:eastAsia="黑体"/>
    </w:rPr>
  </w:style>
  <w:style w:type="paragraph" w:customStyle="1" w:styleId="2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2">
    <w:name w:val="一级条标题"/>
    <w:basedOn w:val="1"/>
    <w:next w:val="21"/>
    <w:qFormat/>
    <w:uiPriority w:val="0"/>
    <w:pPr>
      <w:numPr>
        <w:ilvl w:val="1"/>
        <w:numId w:val="1"/>
      </w:numPr>
    </w:pPr>
    <w:rPr>
      <w:rFonts w:ascii="黑体" w:eastAsia="黑体"/>
      <w:szCs w:val="21"/>
    </w:rPr>
  </w:style>
  <w:style w:type="paragraph" w:customStyle="1" w:styleId="2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4">
    <w:name w:val="标准书眉_偶数页"/>
    <w:basedOn w:val="23"/>
    <w:next w:val="1"/>
    <w:qFormat/>
    <w:uiPriority w:val="0"/>
    <w:pPr>
      <w:jc w:val="left"/>
    </w:pPr>
  </w:style>
  <w:style w:type="paragraph" w:customStyle="1" w:styleId="2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6">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27">
    <w:name w:val="二级无"/>
    <w:basedOn w:val="28"/>
    <w:qFormat/>
    <w:uiPriority w:val="0"/>
    <w:pPr>
      <w:spacing w:before="0" w:after="0"/>
    </w:pPr>
    <w:rPr>
      <w:rFonts w:ascii="宋体" w:eastAsia="宋体"/>
    </w:rPr>
  </w:style>
  <w:style w:type="paragraph" w:customStyle="1" w:styleId="28">
    <w:name w:val="二级条标题"/>
    <w:basedOn w:val="22"/>
    <w:next w:val="21"/>
    <w:qFormat/>
    <w:uiPriority w:val="0"/>
    <w:pPr>
      <w:numPr>
        <w:ilvl w:val="2"/>
        <w:numId w:val="2"/>
      </w:numPr>
      <w:spacing w:before="50" w:after="50"/>
      <w:outlineLvl w:val="3"/>
    </w:pPr>
  </w:style>
  <w:style w:type="paragraph" w:customStyle="1" w:styleId="29">
    <w:name w:val="字母编号列项（一级）"/>
    <w:qFormat/>
    <w:uiPriority w:val="0"/>
    <w:pPr>
      <w:numPr>
        <w:ilvl w:val="0"/>
        <w:numId w:val="3"/>
      </w:numPr>
      <w:jc w:val="both"/>
    </w:pPr>
    <w:rPr>
      <w:rFonts w:ascii="宋体" w:hAnsi="Times New Roman" w:eastAsia="宋体" w:cs="Times New Roman"/>
      <w:sz w:val="21"/>
      <w:lang w:val="en-US" w:eastAsia="zh-CN" w:bidi="ar-SA"/>
    </w:rPr>
  </w:style>
  <w:style w:type="paragraph" w:customStyle="1" w:styleId="30">
    <w:name w:val="一级无"/>
    <w:basedOn w:val="22"/>
    <w:qFormat/>
    <w:uiPriority w:val="0"/>
    <w:rPr>
      <w:rFonts w:ascii="宋体" w:eastAsia="宋体"/>
    </w:rPr>
  </w:style>
  <w:style w:type="paragraph" w:customStyle="1" w:styleId="31">
    <w:name w:val="样式1"/>
    <w:basedOn w:val="27"/>
    <w:next w:val="29"/>
    <w:qFormat/>
    <w:uiPriority w:val="0"/>
    <w:rPr>
      <w:rFonts w:hAnsi="宋体"/>
    </w:rPr>
  </w:style>
  <w:style w:type="character" w:customStyle="1" w:styleId="32">
    <w:name w:val="标题 6 字符"/>
    <w:basedOn w:val="15"/>
    <w:link w:val="5"/>
    <w:qFormat/>
    <w:uiPriority w:val="0"/>
    <w:rPr>
      <w:rFonts w:asciiTheme="majorHAnsi" w:hAnsiTheme="majorHAnsi" w:eastAsiaTheme="majorEastAsia" w:cstheme="majorBidi"/>
      <w:b/>
      <w:bCs/>
      <w:kern w:val="2"/>
      <w:sz w:val="24"/>
      <w:szCs w:val="24"/>
    </w:rPr>
  </w:style>
  <w:style w:type="paragraph" w:customStyle="1" w:styleId="33">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34">
    <w:name w:val="其他标准标志"/>
    <w:basedOn w:val="35"/>
    <w:qFormat/>
    <w:uiPriority w:val="0"/>
    <w:pPr>
      <w:framePr w:w="6101" w:vAnchor="page" w:hAnchor="page" w:x="4673" w:y="942"/>
    </w:pPr>
    <w:rPr>
      <w:w w:val="130"/>
    </w:rPr>
  </w:style>
  <w:style w:type="paragraph" w:customStyle="1" w:styleId="3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3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37">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3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3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0">
    <w:name w:val="封面标准英文名称"/>
    <w:basedOn w:val="39"/>
    <w:qFormat/>
    <w:uiPriority w:val="0"/>
    <w:pPr>
      <w:spacing w:before="370" w:line="400" w:lineRule="exact"/>
    </w:pPr>
    <w:rPr>
      <w:rFonts w:ascii="Times New Roman"/>
      <w:sz w:val="28"/>
      <w:szCs w:val="28"/>
    </w:rPr>
  </w:style>
  <w:style w:type="paragraph" w:customStyle="1" w:styleId="41">
    <w:name w:val="封面一致性程度标识"/>
    <w:basedOn w:val="40"/>
    <w:qFormat/>
    <w:uiPriority w:val="0"/>
    <w:pPr>
      <w:spacing w:before="440"/>
    </w:pPr>
    <w:rPr>
      <w:rFonts w:ascii="宋体" w:eastAsia="宋体"/>
    </w:rPr>
  </w:style>
  <w:style w:type="paragraph" w:customStyle="1" w:styleId="42">
    <w:name w:val="封面标准文稿类别"/>
    <w:basedOn w:val="41"/>
    <w:qFormat/>
    <w:uiPriority w:val="0"/>
    <w:pPr>
      <w:spacing w:after="160" w:line="240" w:lineRule="auto"/>
    </w:pPr>
    <w:rPr>
      <w:sz w:val="24"/>
    </w:rPr>
  </w:style>
  <w:style w:type="paragraph" w:customStyle="1" w:styleId="43">
    <w:name w:val="封面标准文稿编辑信息"/>
    <w:basedOn w:val="42"/>
    <w:qFormat/>
    <w:uiPriority w:val="0"/>
    <w:pPr>
      <w:spacing w:before="180" w:line="180" w:lineRule="exact"/>
    </w:pPr>
    <w:rPr>
      <w:sz w:val="21"/>
    </w:rPr>
  </w:style>
  <w:style w:type="paragraph" w:customStyle="1" w:styleId="44">
    <w:name w:val="其他发布日期"/>
    <w:basedOn w:val="45"/>
    <w:qFormat/>
    <w:uiPriority w:val="0"/>
    <w:pPr>
      <w:framePr w:vAnchor="page" w:hAnchor="text" w:x="1419"/>
    </w:pPr>
  </w:style>
  <w:style w:type="paragraph" w:customStyle="1" w:styleId="45">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46">
    <w:name w:val="其他实施日期"/>
    <w:basedOn w:val="47"/>
    <w:qFormat/>
    <w:uiPriority w:val="0"/>
  </w:style>
  <w:style w:type="paragraph" w:customStyle="1" w:styleId="47">
    <w:name w:val="实施日期"/>
    <w:basedOn w:val="45"/>
    <w:qFormat/>
    <w:uiPriority w:val="0"/>
    <w:pPr>
      <w:framePr w:vAnchor="page" w:hAnchor="text"/>
      <w:jc w:val="right"/>
    </w:pPr>
  </w:style>
  <w:style w:type="paragraph" w:customStyle="1" w:styleId="48">
    <w:name w:val="其他发布部门"/>
    <w:basedOn w:val="49"/>
    <w:qFormat/>
    <w:uiPriority w:val="0"/>
    <w:pPr>
      <w:framePr w:y="15310"/>
      <w:spacing w:line="0" w:lineRule="atLeast"/>
    </w:pPr>
    <w:rPr>
      <w:rFonts w:ascii="黑体" w:eastAsia="黑体"/>
      <w:b w:val="0"/>
    </w:rPr>
  </w:style>
  <w:style w:type="paragraph" w:customStyle="1" w:styleId="49">
    <w:name w:val="发布部门"/>
    <w:next w:val="2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character" w:customStyle="1" w:styleId="50">
    <w:name w:val="发布"/>
    <w:qFormat/>
    <w:uiPriority w:val="0"/>
    <w:rPr>
      <w:rFonts w:ascii="黑体" w:eastAsia="黑体"/>
      <w:spacing w:val="85"/>
      <w:w w:val="100"/>
      <w:position w:val="3"/>
      <w:sz w:val="28"/>
      <w:szCs w:val="28"/>
    </w:rPr>
  </w:style>
  <w:style w:type="paragraph" w:customStyle="1" w:styleId="51">
    <w:name w:val="WPSOffice手动目录 1"/>
    <w:qFormat/>
    <w:uiPriority w:val="0"/>
    <w:rPr>
      <w:rFonts w:ascii="Times New Roman" w:hAnsi="Times New Roman" w:eastAsia="宋体" w:cs="Times New Roman"/>
      <w:lang w:val="en-US" w:eastAsia="zh-CN" w:bidi="ar-SA"/>
    </w:rPr>
  </w:style>
  <w:style w:type="character" w:customStyle="1" w:styleId="52">
    <w:name w:val="批注文字 字符"/>
    <w:basedOn w:val="15"/>
    <w:link w:val="7"/>
    <w:qFormat/>
    <w:uiPriority w:val="0"/>
    <w:rPr>
      <w:rFonts w:asciiTheme="minorHAnsi" w:hAnsiTheme="minorHAnsi" w:eastAsiaTheme="minorEastAsia"/>
      <w:kern w:val="2"/>
      <w:sz w:val="21"/>
      <w:szCs w:val="24"/>
    </w:rPr>
  </w:style>
  <w:style w:type="character" w:customStyle="1" w:styleId="53">
    <w:name w:val="批注主题 字符"/>
    <w:basedOn w:val="52"/>
    <w:link w:val="6"/>
    <w:qFormat/>
    <w:uiPriority w:val="0"/>
    <w:rPr>
      <w:rFonts w:asciiTheme="minorHAnsi" w:hAnsiTheme="minorHAnsi" w:eastAsiaTheme="minorEastAsia"/>
      <w:b/>
      <w:bCs/>
      <w:kern w:val="2"/>
      <w:sz w:val="21"/>
      <w:szCs w:val="24"/>
    </w:rPr>
  </w:style>
  <w:style w:type="character" w:customStyle="1" w:styleId="54">
    <w:name w:val="批注框文本 字符"/>
    <w:basedOn w:val="15"/>
    <w:link w:val="10"/>
    <w:qFormat/>
    <w:uiPriority w:val="0"/>
    <w:rPr>
      <w:rFonts w:asciiTheme="minorHAnsi" w:hAnsiTheme="minorHAnsi" w:eastAsiaTheme="minorEastAsia"/>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A03986-597F-466C-8A29-4AC772857737}">
  <ds:schemaRefs/>
</ds:datastoreItem>
</file>

<file path=docProps/app.xml><?xml version="1.0" encoding="utf-8"?>
<Properties xmlns="http://schemas.openxmlformats.org/officeDocument/2006/extended-properties" xmlns:vt="http://schemas.openxmlformats.org/officeDocument/2006/docPropsVTypes">
  <Template>Normal</Template>
  <Pages>1</Pages>
  <Words>1224</Words>
  <Characters>6981</Characters>
  <Lines>58</Lines>
  <Paragraphs>16</Paragraphs>
  <ScaleCrop>false</ScaleCrop>
  <LinksUpToDate>false</LinksUpToDate>
  <CharactersWithSpaces>8189</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2020-08-04T02:54:00Z</dcterms:created>
  <dc:creator>Joshua</dc:creator>
  <cp:lastModifiedBy>zhoumingyao</cp:lastModifiedBy>
  <dcterms:modified xsi:type="dcterms:W3CDTF">2020-10-12T08:07:56Z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