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hint="eastAsia" w:ascii="方正大标宋简体" w:hAnsi="方正大标宋简体" w:eastAsia="方正大标宋简体" w:cs="方正大标宋简体"/>
          <w:color w:val="auto"/>
          <w:kern w:val="0"/>
          <w:sz w:val="44"/>
          <w:szCs w:val="44"/>
          <w:lang w:val="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hint="eastAsia" w:ascii="方正大标宋简体" w:hAnsi="方正大标宋简体" w:eastAsia="方正大标宋简体" w:cs="方正大标宋简体"/>
          <w:color w:val="auto"/>
          <w:kern w:val="0"/>
          <w:sz w:val="44"/>
          <w:szCs w:val="44"/>
          <w:lang w:val="zh-CN"/>
        </w:rPr>
      </w:pPr>
      <w:r>
        <w:rPr>
          <w:rFonts w:hint="eastAsia" w:ascii="方正大标宋简体" w:hAnsi="方正大标宋简体" w:eastAsia="方正大标宋简体" w:cs="方正大标宋简体"/>
          <w:color w:val="auto"/>
          <w:kern w:val="0"/>
          <w:sz w:val="44"/>
          <w:szCs w:val="44"/>
          <w:lang w:val="zh-CN"/>
        </w:rPr>
        <w:t>关于加快推动预制菜产业高质量发展</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hint="eastAsia" w:ascii="方正大标宋简体" w:hAnsi="方正大标宋简体" w:eastAsia="方正大标宋简体" w:cs="方正大标宋简体"/>
          <w:color w:val="auto"/>
          <w:kern w:val="0"/>
          <w:sz w:val="44"/>
          <w:szCs w:val="44"/>
          <w:lang w:val="zh-CN"/>
        </w:rPr>
      </w:pPr>
      <w:r>
        <w:rPr>
          <w:rFonts w:hint="eastAsia" w:ascii="方正大标宋简体" w:hAnsi="方正大标宋简体" w:eastAsia="方正大标宋简体" w:cs="方正大标宋简体"/>
          <w:color w:val="auto"/>
          <w:kern w:val="0"/>
          <w:sz w:val="44"/>
          <w:szCs w:val="44"/>
          <w:lang w:val="zh-CN"/>
        </w:rPr>
        <w:t>的若干政策意见</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楷体_GB2312" w:hAnsi="楷体_GB2312" w:eastAsia="楷体_GB2312" w:cs="楷体_GB2312"/>
          <w:color w:val="auto"/>
          <w:kern w:val="0"/>
          <w:sz w:val="32"/>
          <w:szCs w:val="32"/>
          <w:lang w:val="zh-CN"/>
        </w:rPr>
      </w:pPr>
      <w:r>
        <w:rPr>
          <w:rFonts w:hint="eastAsia" w:ascii="楷体_GB2312" w:hAnsi="楷体_GB2312" w:eastAsia="楷体_GB2312" w:cs="楷体_GB2312"/>
          <w:color w:val="auto"/>
          <w:kern w:val="0"/>
          <w:sz w:val="32"/>
          <w:szCs w:val="32"/>
          <w:lang w:val="zh-CN"/>
        </w:rPr>
        <w:t>（</w:t>
      </w:r>
      <w:r>
        <w:rPr>
          <w:rFonts w:hint="eastAsia" w:ascii="楷体_GB2312" w:hAnsi="楷体_GB2312" w:eastAsia="楷体_GB2312" w:cs="楷体_GB2312"/>
          <w:color w:val="auto"/>
          <w:kern w:val="0"/>
          <w:sz w:val="32"/>
          <w:szCs w:val="32"/>
          <w:lang w:val="en-US" w:eastAsia="zh-CN"/>
        </w:rPr>
        <w:t>送审稿</w:t>
      </w:r>
      <w:r>
        <w:rPr>
          <w:rFonts w:hint="eastAsia" w:ascii="楷体_GB2312" w:hAnsi="楷体_GB2312" w:eastAsia="楷体_GB2312" w:cs="楷体_GB2312"/>
          <w:color w:val="auto"/>
          <w:kern w:val="0"/>
          <w:sz w:val="32"/>
          <w:szCs w:val="32"/>
          <w:lang w:val="zh-CN"/>
        </w:rPr>
        <w:t>）</w:t>
      </w:r>
    </w:p>
    <w:p>
      <w:pPr>
        <w:pStyle w:val="2"/>
        <w:rPr>
          <w:rFonts w:hint="eastAsia"/>
          <w:lang w:val="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0"/>
          <w:sz w:val="32"/>
          <w:szCs w:val="32"/>
          <w:lang w:val="zh-CN" w:eastAsia="zh-CN"/>
        </w:rPr>
      </w:pPr>
      <w:r>
        <w:rPr>
          <w:rFonts w:hint="eastAsia" w:ascii="仿宋_GB2312" w:eastAsia="仿宋_GB2312" w:cs="Times New Roman"/>
          <w:color w:val="auto"/>
          <w:sz w:val="32"/>
          <w:szCs w:val="32"/>
          <w:lang w:val="en-US" w:eastAsia="zh-CN"/>
        </w:rPr>
        <w:t>预制菜一般是指将各种食材配以辅料，加工制作为成品或半成品，经简易处理即可食用的便捷风味菜品。目前，市场常见的预制菜品种有水产类、畜禽类、蔬菜类等。</w:t>
      </w:r>
      <w:r>
        <w:rPr>
          <w:rFonts w:hint="eastAsia" w:ascii="仿宋_GB2312" w:eastAsia="仿宋_GB2312" w:cs="Times New Roman"/>
          <w:color w:val="auto"/>
          <w:sz w:val="32"/>
          <w:szCs w:val="32"/>
          <w:lang w:val="zh-CN" w:eastAsia="zh-CN"/>
        </w:rPr>
        <w:t>为有效推进乡村产业振兴，大力发展现代农业与农产品精深加工，推动农产品食品化，</w:t>
      </w:r>
      <w:r>
        <w:rPr>
          <w:rFonts w:hint="eastAsia" w:ascii="仿宋_GB2312" w:eastAsia="仿宋_GB2312" w:cs="Times New Roman"/>
          <w:color w:val="auto"/>
          <w:sz w:val="32"/>
          <w:szCs w:val="32"/>
          <w:lang w:val="en-US" w:eastAsia="zh-CN"/>
        </w:rPr>
        <w:t>延长农业产业链、提升价值链、优化供应链，</w:t>
      </w:r>
      <w:r>
        <w:rPr>
          <w:rFonts w:hint="eastAsia" w:ascii="仿宋_GB2312" w:eastAsia="仿宋_GB2312" w:cs="Times New Roman"/>
          <w:color w:val="auto"/>
          <w:sz w:val="32"/>
          <w:szCs w:val="32"/>
          <w:lang w:val="zh-CN" w:eastAsia="zh-CN"/>
        </w:rPr>
        <w:t>现就加快推动预</w:t>
      </w:r>
      <w:r>
        <w:rPr>
          <w:rFonts w:hint="eastAsia" w:ascii="仿宋_GB2312" w:hAnsi="仿宋_GB2312" w:eastAsia="仿宋_GB2312" w:cs="仿宋_GB2312"/>
          <w:color w:val="auto"/>
          <w:kern w:val="0"/>
          <w:sz w:val="32"/>
          <w:szCs w:val="32"/>
          <w:lang w:val="zh-CN" w:eastAsia="zh-CN"/>
        </w:rPr>
        <w:t>制菜产业高质量发展提出若干政策意见。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方正黑体_GBK" w:hAnsi="方正黑体_GBK" w:eastAsia="方正黑体_GBK" w:cs="方正黑体_GBK"/>
          <w:color w:val="auto"/>
          <w:kern w:val="0"/>
          <w:sz w:val="32"/>
          <w:szCs w:val="32"/>
          <w:lang w:val="zh-CN"/>
        </w:rPr>
        <w:t>一、支持开拓市场赛道。</w:t>
      </w:r>
      <w:r>
        <w:rPr>
          <w:rFonts w:hint="eastAsia" w:ascii="仿宋_GB2312" w:eastAsia="仿宋_GB2312" w:cs="Times New Roman"/>
          <w:color w:val="auto"/>
          <w:sz w:val="32"/>
          <w:szCs w:val="32"/>
          <w:lang w:val="zh-CN" w:eastAsia="zh-CN"/>
        </w:rPr>
        <w:t>市级每年安排专项经费</w:t>
      </w:r>
      <w:r>
        <w:rPr>
          <w:rFonts w:hint="eastAsia" w:ascii="仿宋_GB2312" w:eastAsia="仿宋_GB2312" w:cs="Times New Roman"/>
          <w:color w:val="auto"/>
          <w:sz w:val="32"/>
          <w:szCs w:val="32"/>
          <w:lang w:val="en-US" w:eastAsia="zh-CN"/>
        </w:rPr>
        <w:t>用于预制菜“十强百品”评优遴选、宣传推介、展示展销活动。支持部门牵头、企业组团开展品牌推广、电商直播、广告宣传等活动，</w:t>
      </w:r>
      <w:r>
        <w:rPr>
          <w:rFonts w:hint="eastAsia" w:ascii="仿宋_GB2312" w:eastAsia="仿宋_GB2312" w:cs="Times New Roman"/>
          <w:color w:val="auto"/>
          <w:sz w:val="32"/>
          <w:szCs w:val="32"/>
          <w:rtl w:val="0"/>
          <w:lang w:val="en-US" w:eastAsia="zh-CN"/>
        </w:rPr>
        <w:t>市财政</w:t>
      </w:r>
      <w:r>
        <w:rPr>
          <w:rFonts w:hint="eastAsia" w:ascii="仿宋_GB2312" w:eastAsia="仿宋_GB2312"/>
          <w:color w:val="auto"/>
          <w:sz w:val="32"/>
          <w:szCs w:val="32"/>
          <w:lang w:val="zh-CN" w:eastAsia="zh-CN"/>
        </w:rPr>
        <w:t>给予企业承担经费的</w:t>
      </w:r>
      <w:r>
        <w:rPr>
          <w:rFonts w:hint="eastAsia" w:ascii="仿宋_GB2312" w:eastAsia="仿宋_GB2312"/>
          <w:color w:val="auto"/>
          <w:sz w:val="32"/>
          <w:szCs w:val="32"/>
          <w:lang w:val="en-US" w:eastAsia="zh-CN"/>
        </w:rPr>
        <w:t>50%、</w:t>
      </w:r>
      <w:r>
        <w:rPr>
          <w:rFonts w:hint="eastAsia" w:ascii="仿宋_GB2312" w:eastAsia="仿宋_GB2312"/>
          <w:color w:val="auto"/>
          <w:sz w:val="32"/>
          <w:szCs w:val="32"/>
          <w:lang w:val="zh-CN" w:eastAsia="zh-CN"/>
        </w:rPr>
        <w:t>当年不高于100万元的资金奖补。</w:t>
      </w:r>
      <w:r>
        <w:rPr>
          <w:rFonts w:hint="eastAsia" w:ascii="仿宋_GB2312" w:eastAsia="仿宋_GB2312" w:cs="Times New Roman"/>
          <w:color w:val="auto"/>
          <w:sz w:val="32"/>
          <w:szCs w:val="32"/>
          <w:lang w:val="zh-CN" w:eastAsia="zh-CN"/>
        </w:rPr>
        <w:t>结合“瓯越鲜风”农产品公用品牌推广，打造网上农博温州馆、温州农特产馆等预制菜线上展销专区（馆），市财政对专区（馆）运营给予资金奖补。</w:t>
      </w:r>
      <w:r>
        <w:rPr>
          <w:rFonts w:hint="eastAsia" w:ascii="仿宋_GB2312" w:hAnsi="仿宋_GB2312" w:eastAsia="仿宋_GB2312" w:cs="仿宋_GB2312"/>
          <w:color w:val="auto"/>
          <w:kern w:val="0"/>
          <w:sz w:val="32"/>
          <w:szCs w:val="32"/>
          <w:lang w:val="en-US" w:eastAsia="zh-CN"/>
        </w:rPr>
        <w:t>（市农业农村局、市供销社）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lang w:val="zh-CN" w:eastAsia="zh-CN"/>
        </w:rPr>
      </w:pPr>
      <w:r>
        <w:rPr>
          <w:rFonts w:hint="eastAsia" w:ascii="方正黑体_GBK" w:hAnsi="方正黑体_GBK" w:eastAsia="方正黑体_GBK" w:cs="方正黑体_GBK"/>
          <w:color w:val="auto"/>
          <w:kern w:val="0"/>
          <w:sz w:val="32"/>
          <w:szCs w:val="32"/>
          <w:lang w:val="zh-CN"/>
        </w:rPr>
        <w:t>二、支持企业转型升级。</w:t>
      </w:r>
      <w:r>
        <w:rPr>
          <w:rFonts w:hint="eastAsia" w:ascii="仿宋_GB2312" w:hAnsi="仿宋_GB2312" w:eastAsia="仿宋_GB2312" w:cs="仿宋_GB2312"/>
          <w:color w:val="auto"/>
          <w:kern w:val="0"/>
          <w:sz w:val="32"/>
          <w:szCs w:val="32"/>
          <w:lang w:val="zh-CN" w:eastAsia="zh-CN"/>
        </w:rPr>
        <w:t>预制菜生产加工企业实施智能化改造的，一年内生产性设备与信息化投入500万元以上的技改项目，按投资额的20%给予不超过400万元的补助；企业一年内生产性设备与信息化投入200万元至500万元的技改项目，按投资额的15%给予补助。</w:t>
      </w:r>
      <w:r>
        <w:rPr>
          <w:rFonts w:hint="eastAsia" w:ascii="仿宋_GB2312" w:hAnsi="仿宋_GB2312" w:eastAsia="仿宋_GB2312" w:cs="仿宋_GB2312"/>
          <w:color w:val="auto"/>
          <w:kern w:val="0"/>
          <w:sz w:val="32"/>
          <w:szCs w:val="32"/>
          <w:lang w:val="en-US" w:eastAsia="zh-CN"/>
        </w:rPr>
        <w:t>（市经信局）开展“中央厨房”示范建设,支持标准化、智能化、数字化改造,市财政给予每个“中央厨房”示范企业20万元的一次性奖励。</w:t>
      </w:r>
      <w:r>
        <w:rPr>
          <w:rFonts w:hint="eastAsia" w:ascii="仿宋_GB2312" w:hAnsi="仿宋_GB2312" w:eastAsia="仿宋_GB2312" w:cs="仿宋_GB2312"/>
          <w:color w:val="auto"/>
          <w:kern w:val="0"/>
          <w:sz w:val="32"/>
          <w:szCs w:val="32"/>
          <w:lang w:val="zh-CN" w:eastAsia="zh-CN"/>
        </w:rPr>
        <w:t>（市农业农村局、市市场监管局）</w:t>
      </w:r>
      <w:r>
        <w:rPr>
          <w:rFonts w:hint="eastAsia" w:ascii="仿宋_GB2312" w:hAnsi="仿宋_GB2312" w:eastAsia="仿宋_GB2312" w:cs="仿宋_GB2312"/>
          <w:color w:val="000000"/>
          <w:kern w:val="0"/>
          <w:sz w:val="32"/>
          <w:szCs w:val="32"/>
          <w:lang w:val="en-US" w:eastAsia="zh-CN"/>
        </w:rPr>
        <w:t>对首次上规的预制菜加工企业,一次性给予20万元奖励。</w:t>
      </w:r>
      <w:r>
        <w:rPr>
          <w:rFonts w:hint="eastAsia" w:ascii="仿宋_GB2312" w:hAnsi="仿宋_GB2312" w:eastAsia="仿宋_GB2312" w:cs="仿宋_GB2312"/>
          <w:color w:val="auto"/>
          <w:kern w:val="0"/>
          <w:sz w:val="32"/>
          <w:szCs w:val="32"/>
          <w:lang w:val="zh-CN" w:eastAsia="zh-CN"/>
        </w:rPr>
        <w:t>（市农业农村局、市经信局）</w:t>
      </w:r>
      <w:r>
        <w:rPr>
          <w:rFonts w:hint="eastAsia" w:ascii="仿宋_GB2312" w:hAnsi="仿宋_GB2312" w:eastAsia="仿宋_GB2312" w:cs="仿宋_GB2312"/>
          <w:color w:val="000000"/>
          <w:kern w:val="0"/>
          <w:sz w:val="32"/>
          <w:szCs w:val="32"/>
          <w:lang w:val="en-US" w:eastAsia="zh-CN"/>
        </w:rPr>
        <w:t>对纳入上市培育的企业，制定“一企一策”专项跟踪服务。</w:t>
      </w:r>
      <w:r>
        <w:rPr>
          <w:rFonts w:hint="eastAsia" w:ascii="仿宋_GB2312" w:hAnsi="仿宋_GB2312" w:eastAsia="仿宋_GB2312" w:cs="仿宋_GB2312"/>
          <w:color w:val="auto"/>
          <w:kern w:val="0"/>
          <w:sz w:val="32"/>
          <w:szCs w:val="32"/>
          <w:lang w:val="zh-CN" w:eastAsia="zh-CN"/>
        </w:rPr>
        <w:t>（市金融办、市农业农村局）</w:t>
      </w:r>
    </w:p>
    <w:p>
      <w:pPr>
        <w:keepNext w:val="0"/>
        <w:keepLines w:val="0"/>
        <w:pageBreakBefore w:val="0"/>
        <w:widowControl w:val="0"/>
        <w:kinsoku/>
        <w:wordWrap/>
        <w:overflowPunct/>
        <w:topLinePunct w:val="0"/>
        <w:autoSpaceDE/>
        <w:autoSpaceDN/>
        <w:bidi w:val="0"/>
        <w:spacing w:line="560" w:lineRule="exact"/>
        <w:ind w:firstLine="645"/>
        <w:textAlignment w:val="auto"/>
        <w:rPr>
          <w:rFonts w:hint="default" w:ascii="仿宋_GB2312" w:eastAsia="仿宋_GB2312" w:cs="Times New Roman"/>
          <w:color w:val="auto"/>
          <w:sz w:val="32"/>
          <w:szCs w:val="32"/>
          <w:lang w:val="en-US" w:eastAsia="zh-CN"/>
        </w:rPr>
      </w:pPr>
      <w:r>
        <w:rPr>
          <w:rFonts w:hint="eastAsia" w:ascii="方正黑体_GBK" w:hAnsi="方正黑体_GBK" w:eastAsia="方正黑体_GBK" w:cs="方正黑体_GBK"/>
          <w:color w:val="auto"/>
          <w:sz w:val="32"/>
          <w:szCs w:val="32"/>
          <w:lang w:val="zh-CN" w:eastAsia="zh-CN"/>
        </w:rPr>
        <w:t>三、支持科研技术攻关。</w:t>
      </w:r>
      <w:r>
        <w:rPr>
          <w:rFonts w:hint="eastAsia" w:ascii="仿宋_GB2312" w:eastAsia="仿宋_GB2312" w:cs="Times New Roman"/>
          <w:color w:val="auto"/>
          <w:sz w:val="32"/>
          <w:szCs w:val="32"/>
          <w:lang w:val="zh-CN" w:eastAsia="zh-CN"/>
        </w:rPr>
        <w:t>建立温州预制菜产业研究院，重点开展农产品食品化、加工机械化、功能性预制菜研发、包装设计、人才培养等重点课题攻关。对研究院接受政府委托的公益性科研项目，市财政予以全额经费补助；对接受企业委托、政府确认的科研项目，市财政给予科研经费的</w:t>
      </w:r>
      <w:r>
        <w:rPr>
          <w:rFonts w:hint="eastAsia" w:ascii="仿宋_GB2312" w:eastAsia="仿宋_GB2312" w:cs="Times New Roman"/>
          <w:color w:val="auto"/>
          <w:sz w:val="32"/>
          <w:szCs w:val="32"/>
          <w:lang w:val="en-US" w:eastAsia="zh-CN"/>
        </w:rPr>
        <w:t>50%、单项不高于100万元的补助。</w:t>
      </w:r>
      <w:r>
        <w:rPr>
          <w:rFonts w:hint="eastAsia" w:ascii="仿宋_GB2312" w:eastAsia="仿宋_GB2312" w:cs="Times New Roman"/>
          <w:color w:val="auto"/>
          <w:sz w:val="32"/>
          <w:szCs w:val="32"/>
          <w:lang w:val="zh-CN" w:eastAsia="zh-CN"/>
        </w:rPr>
        <w:t>重大课题研究实行“一事一议”。（市农业农村局）鼓励建设企业研究院，</w:t>
      </w:r>
      <w:r>
        <w:rPr>
          <w:rFonts w:hint="eastAsia" w:ascii="仿宋_GB2312" w:eastAsia="仿宋_GB2312" w:cs="Times New Roman"/>
          <w:color w:val="auto"/>
          <w:sz w:val="32"/>
          <w:szCs w:val="32"/>
          <w:lang w:val="en-US" w:eastAsia="zh-CN"/>
        </w:rPr>
        <w:t>新认定的省级重点农业企业研究院按省财政补助资金金额给予同比例配套。</w:t>
      </w:r>
      <w:r>
        <w:rPr>
          <w:rFonts w:hint="eastAsia" w:ascii="仿宋_GB2312" w:eastAsia="仿宋_GB2312" w:cs="Times New Roman"/>
          <w:color w:val="auto"/>
          <w:sz w:val="32"/>
          <w:szCs w:val="32"/>
          <w:lang w:val="zh-CN" w:eastAsia="zh-CN"/>
        </w:rPr>
        <w:t>（市科技局）</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cs="Times New Roman"/>
          <w:color w:val="auto"/>
          <w:sz w:val="32"/>
          <w:szCs w:val="32"/>
          <w:lang w:val="en-US" w:eastAsia="zh-CN"/>
        </w:rPr>
      </w:pPr>
      <w:r>
        <w:rPr>
          <w:rFonts w:hint="eastAsia" w:ascii="方正黑体_GBK" w:hAnsi="方正黑体_GBK" w:eastAsia="方正黑体_GBK" w:cs="方正黑体_GBK"/>
          <w:color w:val="auto"/>
          <w:kern w:val="0"/>
          <w:sz w:val="32"/>
          <w:szCs w:val="32"/>
          <w:lang w:val="zh-CN"/>
        </w:rPr>
        <w:t>四、支持产业平台集聚。</w:t>
      </w:r>
      <w:r>
        <w:rPr>
          <w:rFonts w:hint="eastAsia" w:ascii="仿宋_GB2312" w:hAnsi="仿宋_GB2312" w:eastAsia="仿宋_GB2312" w:cs="仿宋_GB2312"/>
          <w:color w:val="auto"/>
          <w:kern w:val="2"/>
          <w:sz w:val="32"/>
          <w:szCs w:val="32"/>
          <w:lang w:val="zh-CN" w:eastAsia="zh-CN"/>
        </w:rPr>
        <w:t>开展预制菜产业平台示范建设，重点</w:t>
      </w:r>
      <w:r>
        <w:rPr>
          <w:rFonts w:hint="eastAsia" w:ascii="仿宋_GB2312" w:hAnsi="仿宋_GB2312" w:eastAsia="仿宋_GB2312" w:cs="仿宋_GB2312"/>
          <w:color w:val="auto"/>
          <w:kern w:val="2"/>
          <w:sz w:val="32"/>
          <w:szCs w:val="32"/>
          <w:lang w:val="en-US" w:eastAsia="zh-CN"/>
        </w:rPr>
        <w:t>打造5个左右的预制菜示范基地</w:t>
      </w:r>
      <w:r>
        <w:rPr>
          <w:rFonts w:hint="eastAsia" w:ascii="仿宋_GB2312" w:eastAsia="仿宋_GB2312" w:cs="Times New Roman"/>
          <w:color w:val="auto"/>
          <w:sz w:val="32"/>
          <w:szCs w:val="32"/>
          <w:lang w:val="en-US" w:eastAsia="zh-CN"/>
        </w:rPr>
        <w:t>，建设共享冷库、共享实验室</w:t>
      </w:r>
      <w:r>
        <w:rPr>
          <w:rFonts w:hint="eastAsia" w:ascii="仿宋_GB2312" w:hAnsi="仿宋_GB2312" w:eastAsia="仿宋_GB2312" w:cs="仿宋_GB2312"/>
          <w:color w:val="auto"/>
          <w:kern w:val="2"/>
          <w:sz w:val="32"/>
          <w:szCs w:val="32"/>
          <w:lang w:val="en-US" w:eastAsia="zh-CN"/>
        </w:rPr>
        <w:t>。引导</w:t>
      </w:r>
      <w:r>
        <w:rPr>
          <w:rFonts w:hint="eastAsia" w:eastAsia="仿宋_GB2312" w:cs="Times New Roman"/>
          <w:color w:val="auto"/>
          <w:kern w:val="2"/>
          <w:sz w:val="32"/>
          <w:szCs w:val="32"/>
          <w:lang w:val="en-US" w:eastAsia="zh-CN"/>
        </w:rPr>
        <w:t>新增产能和</w:t>
      </w:r>
      <w:r>
        <w:rPr>
          <w:rFonts w:hint="eastAsia" w:ascii="仿宋_GB2312" w:hAnsi="仿宋_GB2312" w:eastAsia="仿宋_GB2312" w:cs="仿宋_GB2312"/>
          <w:color w:val="auto"/>
          <w:kern w:val="2"/>
          <w:sz w:val="32"/>
          <w:szCs w:val="32"/>
          <w:lang w:val="en-US" w:eastAsia="zh-CN"/>
        </w:rPr>
        <w:t>投资项目向产业园区集中，新入园的农产品加工企业，固定资产投资强度、亩均税收等控制性指标的修正系数不高于0.7。农产品保供稳价类企业，原则上不评价为D类。（市经信局、市农业农村局）优先保障农产品精深加工、冷链仓储、电商物流等建设用地需求。农产品初加工用地的出让起始价，可在不低于对应等别工业用地最低出让价标准70%的基础上综合确定</w:t>
      </w:r>
      <w:r>
        <w:rPr>
          <w:rFonts w:hint="eastAsia" w:ascii="仿宋_GB2312" w:eastAsia="仿宋_GB2312" w:cs="Times New Roman"/>
          <w:color w:val="auto"/>
          <w:sz w:val="32"/>
          <w:szCs w:val="32"/>
          <w:lang w:val="en-US" w:eastAsia="zh-CN"/>
        </w:rPr>
        <w:t>。（市自然资源和规划局）</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cs="Times New Roman"/>
          <w:color w:val="auto"/>
          <w:sz w:val="32"/>
          <w:szCs w:val="32"/>
          <w:lang w:val="en-US" w:eastAsia="zh-CN"/>
        </w:rPr>
      </w:pPr>
      <w:r>
        <w:rPr>
          <w:rFonts w:hint="eastAsia" w:ascii="方正黑体_GBK" w:hAnsi="方正黑体_GBK" w:eastAsia="方正黑体_GBK" w:cs="方正黑体_GBK"/>
          <w:color w:val="auto"/>
          <w:sz w:val="32"/>
          <w:szCs w:val="32"/>
          <w:lang w:val="zh-CN" w:eastAsia="zh-CN"/>
        </w:rPr>
        <w:t>五、支持物流效率提升。</w:t>
      </w:r>
      <w:r>
        <w:rPr>
          <w:rFonts w:hint="eastAsia" w:ascii="仿宋_GB2312" w:eastAsia="仿宋_GB2312" w:cs="Times New Roman"/>
          <w:color w:val="auto"/>
          <w:sz w:val="32"/>
          <w:szCs w:val="32"/>
          <w:lang w:val="zh-CN" w:eastAsia="zh-CN"/>
        </w:rPr>
        <w:t>以农产品加工园区为依托</w:t>
      </w:r>
      <w:r>
        <w:rPr>
          <w:rFonts w:hint="eastAsia" w:ascii="仿宋_GB2312" w:eastAsia="仿宋_GB2312" w:cs="Times New Roman"/>
          <w:color w:val="auto"/>
          <w:sz w:val="32"/>
          <w:szCs w:val="32"/>
          <w:lang w:val="en-US" w:eastAsia="zh-CN"/>
        </w:rPr>
        <w:t>，积极发展产地预冷、冷冻运输、冷库仓储、定制配送等。</w:t>
      </w:r>
      <w:r>
        <w:rPr>
          <w:rFonts w:hint="eastAsia" w:ascii="仿宋_GB2312" w:eastAsia="仿宋_GB2312" w:cs="Times New Roman"/>
          <w:color w:val="auto"/>
          <w:sz w:val="32"/>
          <w:szCs w:val="32"/>
          <w:lang w:val="zh-CN" w:eastAsia="zh-CN"/>
        </w:rPr>
        <w:t>农产品冷链物流纳入乡村振兴相关资金扶持范围，争取省级以上重大项目支持大型冷链仓储建设。（市财政局、市农业农村局）支持企业抱团建立温州预制菜产业联盟，组织与物流企业</w:t>
      </w:r>
      <w:r>
        <w:rPr>
          <w:rFonts w:hint="eastAsia" w:ascii="仿宋_GB2312" w:eastAsia="仿宋_GB2312" w:cs="Times New Roman"/>
          <w:color w:val="auto"/>
          <w:sz w:val="32"/>
          <w:szCs w:val="32"/>
          <w:lang w:val="en-US" w:eastAsia="zh-CN"/>
        </w:rPr>
        <w:t>开展合作，设置营销总额、同比上一年度增量、流通效率、服务质量等指标对物流企业进行综合评价，排名前3位的每年分别给予150万元、100万元、50万元的奖励。</w:t>
      </w:r>
      <w:r>
        <w:rPr>
          <w:rFonts w:hint="eastAsia" w:ascii="仿宋_GB2312" w:eastAsia="仿宋_GB2312" w:cs="Times New Roman"/>
          <w:color w:val="auto"/>
          <w:sz w:val="32"/>
          <w:szCs w:val="32"/>
          <w:lang w:val="zh-CN" w:eastAsia="zh-CN"/>
        </w:rPr>
        <w:t>（市交通运输局、市邮政管理局、市农业农村局）</w:t>
      </w:r>
    </w:p>
    <w:p>
      <w:pPr>
        <w:pStyle w:val="2"/>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auto"/>
          <w:kern w:val="0"/>
          <w:sz w:val="32"/>
          <w:szCs w:val="32"/>
          <w:lang w:val="en-US" w:eastAsia="zh-CN"/>
        </w:rPr>
      </w:pPr>
      <w:r>
        <w:rPr>
          <w:rFonts w:hint="eastAsia" w:ascii="方正黑体_GBK" w:hAnsi="方正黑体_GBK" w:eastAsia="方正黑体_GBK" w:cs="方正黑体_GBK"/>
          <w:color w:val="auto"/>
          <w:kern w:val="0"/>
          <w:sz w:val="32"/>
          <w:szCs w:val="32"/>
          <w:lang w:val="en-US" w:eastAsia="zh-CN"/>
        </w:rPr>
        <w:t>六、</w:t>
      </w:r>
      <w:r>
        <w:rPr>
          <w:rFonts w:hint="eastAsia" w:ascii="方正黑体_GBK" w:hAnsi="方正黑体_GBK" w:eastAsia="方正黑体_GBK" w:cs="方正黑体_GBK"/>
          <w:color w:val="auto"/>
          <w:kern w:val="0"/>
          <w:sz w:val="32"/>
          <w:szCs w:val="32"/>
          <w:lang w:val="zh-CN"/>
        </w:rPr>
        <w:t>强化多元投融服务。</w:t>
      </w:r>
      <w:r>
        <w:rPr>
          <w:rFonts w:hint="eastAsia" w:ascii="仿宋_GB2312" w:hAnsi="仿宋_GB2312" w:eastAsia="仿宋_GB2312" w:cs="仿宋_GB2312"/>
          <w:color w:val="auto"/>
          <w:kern w:val="0"/>
          <w:sz w:val="32"/>
          <w:szCs w:val="32"/>
          <w:lang w:val="en-US" w:eastAsia="zh-CN"/>
        </w:rPr>
        <w:t>设立共富基金优先</w:t>
      </w:r>
      <w:r>
        <w:rPr>
          <w:rFonts w:hint="eastAsia" w:ascii="仿宋_GB2312" w:hAnsi="仿宋_GB2312" w:eastAsia="仿宋_GB2312" w:cs="仿宋_GB2312"/>
          <w:color w:val="auto"/>
          <w:kern w:val="0"/>
          <w:sz w:val="32"/>
          <w:szCs w:val="32"/>
          <w:lang w:val="zh-CN" w:eastAsia="zh-CN"/>
        </w:rPr>
        <w:t>投向农产品精深加工等共同富裕相关领域。鼓励温州企业参与设立或投资子基金，市级产业基金给予倾斜支持</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eastAsia="zh-CN"/>
        </w:rPr>
        <w:t>引导金融机构提供差别化专项政策支持，地方银行贷款利率不高于</w:t>
      </w:r>
      <w:r>
        <w:rPr>
          <w:rFonts w:hint="eastAsia" w:ascii="仿宋_GB2312" w:hAnsi="仿宋_GB2312" w:eastAsia="仿宋_GB2312" w:cs="仿宋_GB2312"/>
          <w:color w:val="auto"/>
          <w:kern w:val="0"/>
          <w:sz w:val="32"/>
          <w:szCs w:val="32"/>
          <w:lang w:val="en-US" w:eastAsia="zh-CN"/>
        </w:rPr>
        <w:t>LPR（市场报价利率）。</w:t>
      </w:r>
      <w:r>
        <w:rPr>
          <w:rFonts w:hint="eastAsia" w:ascii="仿宋_GB2312" w:eastAsia="仿宋_GB2312"/>
          <w:color w:val="auto"/>
          <w:sz w:val="32"/>
          <w:szCs w:val="32"/>
          <w:lang w:val="zh-CN" w:eastAsia="zh-CN"/>
        </w:rPr>
        <w:t>市财政给予企业</w:t>
      </w:r>
      <w:r>
        <w:rPr>
          <w:rFonts w:hint="eastAsia" w:ascii="仿宋_GB2312" w:hAnsi="仿宋_GB2312" w:eastAsia="仿宋_GB2312" w:cs="仿宋_GB2312"/>
          <w:color w:val="auto"/>
          <w:kern w:val="0"/>
          <w:sz w:val="32"/>
          <w:szCs w:val="32"/>
          <w:lang w:val="en-US" w:eastAsia="zh-CN"/>
        </w:rPr>
        <w:t>不高于一年期LPR的贷款利率60%的贴息，年度总额不超过20万元。符合条件的给予融资担保支持。支持推行</w:t>
      </w:r>
      <w:r>
        <w:rPr>
          <w:rFonts w:hint="eastAsia" w:ascii="仿宋_GB2312" w:eastAsia="仿宋_GB2312"/>
          <w:color w:val="auto"/>
          <w:sz w:val="32"/>
          <w:szCs w:val="32"/>
          <w:lang w:val="zh-CN" w:eastAsia="zh-CN"/>
        </w:rPr>
        <w:t>含农产品质量安全意外险、冷链物流险、财产险、第三责任险的综合性农业保险，市财政给予企业保费</w:t>
      </w:r>
      <w:r>
        <w:rPr>
          <w:rFonts w:hint="eastAsia" w:ascii="仿宋_GB2312" w:eastAsia="仿宋_GB2312"/>
          <w:color w:val="auto"/>
          <w:sz w:val="32"/>
          <w:szCs w:val="32"/>
          <w:lang w:val="en-US" w:eastAsia="zh-CN"/>
        </w:rPr>
        <w:t>8</w:t>
      </w:r>
      <w:r>
        <w:rPr>
          <w:rFonts w:hint="eastAsia" w:ascii="仿宋_GB2312" w:eastAsia="仿宋_GB2312"/>
          <w:color w:val="auto"/>
          <w:sz w:val="32"/>
          <w:szCs w:val="32"/>
          <w:lang w:val="zh-CN" w:eastAsia="zh-CN"/>
        </w:rPr>
        <w:t>0%的补助。</w:t>
      </w:r>
      <w:r>
        <w:rPr>
          <w:rFonts w:hint="eastAsia" w:ascii="仿宋_GB2312" w:hAnsi="仿宋_GB2312" w:eastAsia="仿宋_GB2312" w:cs="仿宋_GB2312"/>
          <w:color w:val="auto"/>
          <w:kern w:val="0"/>
          <w:sz w:val="32"/>
          <w:szCs w:val="32"/>
          <w:lang w:val="en-US" w:eastAsia="zh-CN"/>
        </w:rPr>
        <w:t>（市农业农村局、市财政局）</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eastAsia="仿宋_GB2312" w:cs="Times New Roman"/>
          <w:color w:val="auto"/>
          <w:sz w:val="32"/>
          <w:szCs w:val="32"/>
          <w:lang w:val="en-US" w:eastAsia="zh-CN"/>
        </w:rPr>
      </w:pPr>
      <w:r>
        <w:rPr>
          <w:rFonts w:hint="eastAsia" w:ascii="方正黑体_GBK" w:hAnsi="方正黑体_GBK" w:eastAsia="方正黑体_GBK" w:cs="方正黑体_GBK"/>
          <w:color w:val="auto"/>
          <w:sz w:val="32"/>
          <w:szCs w:val="32"/>
          <w:lang w:val="zh-CN" w:eastAsia="zh-CN"/>
        </w:rPr>
        <w:t>七、支持产业人才引育。</w:t>
      </w:r>
      <w:r>
        <w:rPr>
          <w:rFonts w:hint="default" w:ascii="仿宋_GB2312" w:eastAsia="仿宋_GB2312" w:cs="Times New Roman"/>
          <w:color w:val="auto"/>
          <w:sz w:val="32"/>
          <w:szCs w:val="32"/>
          <w:lang w:val="en-US" w:eastAsia="zh-CN"/>
        </w:rPr>
        <w:t>大力引进</w:t>
      </w:r>
      <w:r>
        <w:rPr>
          <w:rFonts w:hint="eastAsia" w:ascii="仿宋_GB2312" w:eastAsia="仿宋_GB2312" w:cs="Times New Roman"/>
          <w:color w:val="auto"/>
          <w:sz w:val="32"/>
          <w:szCs w:val="32"/>
          <w:lang w:val="en-US" w:eastAsia="zh-CN"/>
        </w:rPr>
        <w:t>现代农业与食品</w:t>
      </w:r>
      <w:r>
        <w:rPr>
          <w:rFonts w:hint="default" w:ascii="仿宋_GB2312" w:eastAsia="仿宋_GB2312" w:cs="Times New Roman"/>
          <w:color w:val="auto"/>
          <w:sz w:val="32"/>
          <w:szCs w:val="32"/>
          <w:lang w:val="en-US" w:eastAsia="zh-CN"/>
        </w:rPr>
        <w:t>技术开发领域高端人才，优先推荐申报国家、省、市重大人才工程。</w:t>
      </w:r>
      <w:r>
        <w:rPr>
          <w:rFonts w:hint="eastAsia" w:ascii="仿宋_GB2312" w:eastAsia="仿宋_GB2312" w:cs="Times New Roman"/>
          <w:color w:val="auto"/>
          <w:sz w:val="32"/>
          <w:szCs w:val="32"/>
          <w:lang w:val="en-US" w:eastAsia="zh-CN"/>
        </w:rPr>
        <w:t>（市委组织部）</w:t>
      </w:r>
      <w:r>
        <w:rPr>
          <w:rFonts w:hint="default" w:ascii="仿宋_GB2312" w:eastAsia="仿宋_GB2312" w:cs="Times New Roman"/>
          <w:color w:val="auto"/>
          <w:sz w:val="32"/>
          <w:szCs w:val="32"/>
          <w:lang w:val="en-US" w:eastAsia="zh-CN"/>
        </w:rPr>
        <w:t>发挥</w:t>
      </w:r>
      <w:r>
        <w:rPr>
          <w:rFonts w:hint="eastAsia" w:ascii="仿宋_GB2312" w:eastAsia="仿宋_GB2312" w:cs="Times New Roman"/>
          <w:color w:val="auto"/>
          <w:sz w:val="32"/>
          <w:szCs w:val="32"/>
          <w:lang w:val="en-US" w:eastAsia="zh-CN"/>
        </w:rPr>
        <w:t>瓯菜</w:t>
      </w:r>
      <w:r>
        <w:rPr>
          <w:rFonts w:hint="default" w:ascii="仿宋_GB2312" w:eastAsia="仿宋_GB2312" w:cs="Times New Roman"/>
          <w:color w:val="auto"/>
          <w:sz w:val="32"/>
          <w:szCs w:val="32"/>
          <w:lang w:val="en-US" w:eastAsia="zh-CN"/>
        </w:rPr>
        <w:t>行业协会</w:t>
      </w:r>
      <w:r>
        <w:rPr>
          <w:rFonts w:hint="eastAsia" w:ascii="仿宋_GB2312" w:eastAsia="仿宋_GB2312" w:cs="Times New Roman"/>
          <w:color w:val="auto"/>
          <w:sz w:val="32"/>
          <w:szCs w:val="32"/>
          <w:lang w:val="en-US" w:eastAsia="zh-CN"/>
        </w:rPr>
        <w:t>、职业学校、</w:t>
      </w:r>
      <w:r>
        <w:rPr>
          <w:rFonts w:hint="default" w:ascii="仿宋_GB2312" w:eastAsia="仿宋_GB2312" w:cs="Times New Roman"/>
          <w:color w:val="auto"/>
          <w:sz w:val="32"/>
          <w:szCs w:val="32"/>
          <w:lang w:val="en-US" w:eastAsia="zh-CN"/>
        </w:rPr>
        <w:t>餐饮企业等力量，</w:t>
      </w:r>
      <w:r>
        <w:rPr>
          <w:rFonts w:hint="eastAsia" w:ascii="仿宋_GB2312" w:eastAsia="仿宋_GB2312" w:cs="Times New Roman"/>
          <w:color w:val="auto"/>
          <w:sz w:val="32"/>
          <w:szCs w:val="32"/>
          <w:lang w:val="en-US" w:eastAsia="zh-CN"/>
        </w:rPr>
        <w:t>支持</w:t>
      </w:r>
      <w:r>
        <w:rPr>
          <w:rFonts w:hint="default" w:ascii="仿宋_GB2312" w:eastAsia="仿宋_GB2312" w:cs="Times New Roman"/>
          <w:color w:val="auto"/>
          <w:sz w:val="32"/>
          <w:szCs w:val="32"/>
          <w:lang w:val="en-US" w:eastAsia="zh-CN"/>
        </w:rPr>
        <w:t>开展预制菜生产、电商直播、市场营销、物流配送等产业发展相关职业（工种）技能人才培训和职业技能评价。</w:t>
      </w:r>
      <w:r>
        <w:rPr>
          <w:rFonts w:hint="eastAsia" w:ascii="仿宋_GB2312" w:eastAsia="仿宋_GB2312" w:cs="Times New Roman"/>
          <w:color w:val="auto"/>
          <w:sz w:val="32"/>
          <w:szCs w:val="32"/>
          <w:lang w:val="en-US" w:eastAsia="zh-CN"/>
        </w:rPr>
        <w:t>（市人力社保局、市商务局、市农业农村局）</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hAnsi="仿宋_GB2312" w:eastAsia="仿宋_GB2312" w:cs="仿宋_GB2312"/>
          <w:color w:val="auto"/>
          <w:sz w:val="32"/>
          <w:szCs w:val="32"/>
          <w:u w:val="none" w:color="000000"/>
          <w:shd w:val="clear" w:color="auto" w:fill="FFFFFF"/>
          <w:rtl w:val="0"/>
          <w:lang w:val="en-US" w:eastAsia="zh-CN"/>
        </w:rPr>
      </w:pPr>
      <w:r>
        <w:rPr>
          <w:rFonts w:hint="eastAsia" w:ascii="方正黑体_GBK" w:hAnsi="方正黑体_GBK" w:eastAsia="方正黑体_GBK" w:cs="方正黑体_GBK"/>
          <w:color w:val="auto"/>
          <w:sz w:val="32"/>
          <w:szCs w:val="32"/>
          <w:rtl w:val="0"/>
          <w:lang w:val="en-US" w:eastAsia="zh-CN"/>
        </w:rPr>
        <w:t>八、支持农业产业链延伸。</w:t>
      </w:r>
      <w:r>
        <w:rPr>
          <w:rFonts w:hint="eastAsia" w:ascii="仿宋_GB2312" w:hAnsi="仿宋_GB2312" w:eastAsia="仿宋_GB2312" w:cs="仿宋_GB2312"/>
          <w:color w:val="auto"/>
          <w:sz w:val="32"/>
          <w:szCs w:val="32"/>
          <w:u w:val="none" w:color="000000"/>
          <w:shd w:val="clear" w:color="auto" w:fill="FFFFFF"/>
          <w:rtl w:val="0"/>
          <w:lang w:val="en-US" w:eastAsia="zh-CN"/>
        </w:rPr>
        <w:t>立足温州特色农业与瓯菜品牌优势，推动预制菜产业链上下游配套延伸，建设农产品原料标准化基地。鼓励企业通过直接投资、参股经营、签订长期合同等方式，牵引上游农产品生产销售，推动下游餐饮以及配套制造业发展，投资项目纳入农业“双强”行动扶持政策，</w:t>
      </w:r>
      <w:r>
        <w:rPr>
          <w:rFonts w:hint="eastAsia" w:ascii="仿宋_GB2312" w:hAnsi="仿宋_GB2312" w:eastAsia="仿宋_GB2312" w:cs="仿宋_GB2312"/>
          <w:color w:val="auto"/>
          <w:sz w:val="32"/>
          <w:szCs w:val="32"/>
          <w:u w:val="none" w:color="000000"/>
          <w:shd w:val="clear" w:color="auto" w:fill="FFFFFF"/>
          <w:rtl w:val="0"/>
          <w:lang w:val="zh-CN" w:eastAsia="zh-CN"/>
        </w:rPr>
        <w:t>市财政按当年完成投资额的</w:t>
      </w:r>
      <w:r>
        <w:rPr>
          <w:rFonts w:hint="eastAsia" w:ascii="仿宋_GB2312" w:hAnsi="仿宋_GB2312" w:eastAsia="仿宋_GB2312" w:cs="仿宋_GB2312"/>
          <w:color w:val="auto"/>
          <w:sz w:val="32"/>
          <w:szCs w:val="32"/>
          <w:u w:val="none" w:color="000000"/>
          <w:shd w:val="clear" w:color="auto" w:fill="FFFFFF"/>
          <w:rtl w:val="0"/>
          <w:lang w:val="en-US" w:eastAsia="zh-CN"/>
        </w:rPr>
        <w:t>3</w:t>
      </w:r>
      <w:r>
        <w:rPr>
          <w:rFonts w:hint="eastAsia" w:ascii="仿宋_GB2312" w:hAnsi="仿宋_GB2312" w:eastAsia="仿宋_GB2312" w:cs="仿宋_GB2312"/>
          <w:color w:val="auto"/>
          <w:sz w:val="32"/>
          <w:szCs w:val="32"/>
          <w:u w:val="none" w:color="000000"/>
          <w:shd w:val="clear" w:color="auto" w:fill="FFFFFF"/>
          <w:rtl w:val="0"/>
          <w:lang w:val="zh-CN" w:eastAsia="zh-CN"/>
        </w:rPr>
        <w:t>0%给予不超过</w:t>
      </w:r>
      <w:r>
        <w:rPr>
          <w:rFonts w:hint="eastAsia" w:ascii="仿宋_GB2312" w:hAnsi="仿宋_GB2312" w:eastAsia="仿宋_GB2312" w:cs="仿宋_GB2312"/>
          <w:color w:val="auto"/>
          <w:sz w:val="32"/>
          <w:szCs w:val="32"/>
          <w:u w:val="none" w:color="000000"/>
          <w:shd w:val="clear" w:color="auto" w:fill="FFFFFF"/>
          <w:rtl w:val="0"/>
          <w:lang w:val="en-US" w:eastAsia="zh-CN"/>
        </w:rPr>
        <w:t>5</w:t>
      </w:r>
      <w:r>
        <w:rPr>
          <w:rFonts w:hint="eastAsia" w:ascii="仿宋_GB2312" w:hAnsi="仿宋_GB2312" w:eastAsia="仿宋_GB2312" w:cs="仿宋_GB2312"/>
          <w:color w:val="auto"/>
          <w:sz w:val="32"/>
          <w:szCs w:val="32"/>
          <w:u w:val="none" w:color="000000"/>
          <w:shd w:val="clear" w:color="auto" w:fill="FFFFFF"/>
          <w:rtl w:val="0"/>
          <w:lang w:val="zh-CN" w:eastAsia="zh-CN"/>
        </w:rPr>
        <w:t>00万元的补助，连续补助不超过</w:t>
      </w:r>
      <w:r>
        <w:rPr>
          <w:rFonts w:hint="eastAsia" w:ascii="仿宋_GB2312" w:hAnsi="仿宋_GB2312" w:eastAsia="仿宋_GB2312" w:cs="仿宋_GB2312"/>
          <w:color w:val="auto"/>
          <w:sz w:val="32"/>
          <w:szCs w:val="32"/>
          <w:u w:val="none" w:color="000000"/>
          <w:shd w:val="clear" w:color="auto" w:fill="FFFFFF"/>
          <w:rtl w:val="0"/>
          <w:lang w:val="en-US" w:eastAsia="zh-CN"/>
        </w:rPr>
        <w:t>3年。（市农业农村局）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auto"/>
          <w:sz w:val="32"/>
          <w:szCs w:val="32"/>
          <w:u w:val="none" w:color="000000"/>
          <w:shd w:val="clear" w:color="auto" w:fill="FFFFFF"/>
          <w:rtl w:val="0"/>
          <w:lang w:val="en-US" w:eastAsia="zh-CN"/>
        </w:rPr>
      </w:pPr>
      <w:r>
        <w:rPr>
          <w:rFonts w:hint="eastAsia" w:ascii="方正黑体_GBK" w:hAnsi="方正黑体_GBK" w:eastAsia="方正黑体_GBK" w:cs="方正黑体_GBK"/>
          <w:color w:val="auto"/>
          <w:sz w:val="32"/>
          <w:szCs w:val="32"/>
          <w:u w:val="none" w:color="000000"/>
          <w:shd w:val="clear" w:color="auto" w:fill="FFFFFF"/>
          <w:rtl w:val="0"/>
          <w:lang w:val="en-US" w:eastAsia="zh-CN"/>
        </w:rPr>
        <w:t>九、扩大产品出口贸易。</w:t>
      </w:r>
      <w:r>
        <w:rPr>
          <w:rFonts w:hint="eastAsia" w:ascii="仿宋_GB2312" w:hAnsi="仿宋_GB2312" w:eastAsia="仿宋_GB2312" w:cs="仿宋_GB2312"/>
          <w:color w:val="auto"/>
          <w:sz w:val="32"/>
          <w:szCs w:val="32"/>
          <w:u w:val="none" w:color="000000"/>
          <w:shd w:val="clear" w:color="auto" w:fill="FFFFFF"/>
          <w:rtl w:val="0"/>
          <w:lang w:val="en-US" w:eastAsia="zh-CN"/>
        </w:rPr>
        <w:t>对预制菜出口企业参加“一带一路”国家的一般性国际性展会的,每个展位费给予 60%、最高 2.5 万元的补助,其他地区的每个展位费给予 50%、最高 2 万元的补助,同一展会每家参展企业最多补助 4 个标准展位。支持预制菜出口企业打造自主品牌，对新获浙江出口名牌、温州出口名牌称号的企业分别给予15 万元、5 万元的奖励。支持预制菜服务平台建设，对新获国家级、省级和市级外贸转型升级基地(试点),分别给予 100 万元、50 万元和30 万元的补助。（市商务局）</w:t>
      </w:r>
    </w:p>
    <w:p>
      <w:pPr>
        <w:keepNext w:val="0"/>
        <w:keepLines w:val="0"/>
        <w:pageBreakBefore w:val="0"/>
        <w:widowControl w:val="0"/>
        <w:kinsoku/>
        <w:wordWrap/>
        <w:overflowPunct/>
        <w:topLinePunct w:val="0"/>
        <w:autoSpaceDE/>
        <w:autoSpaceDN/>
        <w:bidi w:val="0"/>
        <w:spacing w:line="560" w:lineRule="exact"/>
        <w:ind w:firstLine="645"/>
        <w:jc w:val="left"/>
        <w:textAlignment w:val="auto"/>
        <w:rPr>
          <w:rFonts w:hint="eastAsia" w:ascii="仿宋_GB2312" w:hAnsi="仿宋_GB2312" w:eastAsia="仿宋_GB2312" w:cs="仿宋_GB2312"/>
          <w:color w:val="auto"/>
          <w:sz w:val="32"/>
          <w:szCs w:val="32"/>
          <w:u w:val="none" w:color="000000"/>
          <w:shd w:val="clear" w:color="auto" w:fill="FFFFFF"/>
          <w:rtl w:val="0"/>
          <w:lang w:val="en-US" w:eastAsia="zh-CN"/>
        </w:rPr>
      </w:pPr>
      <w:r>
        <w:rPr>
          <w:rFonts w:hint="eastAsia" w:ascii="方正黑体_GBK" w:hAnsi="方正黑体_GBK" w:eastAsia="方正黑体_GBK" w:cs="方正黑体_GBK"/>
          <w:color w:val="auto"/>
          <w:sz w:val="32"/>
          <w:szCs w:val="32"/>
          <w:lang w:val="zh-CN" w:eastAsia="zh-CN"/>
        </w:rPr>
        <w:t>十、创新共富激励机制。</w:t>
      </w:r>
      <w:r>
        <w:rPr>
          <w:rFonts w:hint="eastAsia" w:ascii="仿宋_GB2312" w:eastAsia="仿宋_GB2312"/>
          <w:color w:val="auto"/>
          <w:sz w:val="32"/>
          <w:szCs w:val="32"/>
          <w:lang w:val="zh-CN" w:eastAsia="zh-CN"/>
        </w:rPr>
        <w:t>试行农业产业“共富效益评价指标”，按照</w:t>
      </w:r>
      <w:r>
        <w:rPr>
          <w:rFonts w:hint="eastAsia" w:ascii="仿宋_GB2312" w:eastAsia="仿宋_GB2312" w:cs="Times New Roman"/>
          <w:color w:val="auto"/>
          <w:sz w:val="32"/>
          <w:szCs w:val="32"/>
          <w:lang w:val="en-US" w:eastAsia="zh-CN"/>
        </w:rPr>
        <w:t>一产带动等指标，</w:t>
      </w:r>
      <w:r>
        <w:rPr>
          <w:rFonts w:hint="eastAsia" w:ascii="仿宋_GB2312" w:hAnsi="仿宋_GB2312" w:eastAsia="仿宋_GB2312" w:cs="仿宋_GB2312"/>
          <w:color w:val="auto"/>
          <w:sz w:val="32"/>
          <w:szCs w:val="32"/>
          <w:u w:val="none" w:color="000000"/>
          <w:shd w:val="clear" w:color="auto" w:fill="FFFFFF"/>
          <w:rtl w:val="0"/>
          <w:lang w:val="en-US" w:eastAsia="zh-CN"/>
        </w:rPr>
        <w:t>对企业的地方贡献度进行综合评价</w:t>
      </w:r>
      <w:r>
        <w:rPr>
          <w:rFonts w:hint="eastAsia" w:ascii="仿宋_GB2312" w:eastAsia="仿宋_GB2312"/>
          <w:color w:val="auto"/>
          <w:sz w:val="32"/>
          <w:szCs w:val="32"/>
          <w:lang w:val="zh-CN" w:eastAsia="zh-CN"/>
        </w:rPr>
        <w:t>，分A、B两类予以兑现资金奖补。</w:t>
      </w:r>
      <w:r>
        <w:rPr>
          <w:rFonts w:hint="eastAsia" w:ascii="仿宋_GB2312" w:eastAsia="仿宋_GB2312"/>
          <w:color w:val="auto"/>
          <w:sz w:val="32"/>
          <w:szCs w:val="32"/>
          <w:lang w:val="en-US" w:eastAsia="zh-CN"/>
        </w:rPr>
        <w:t>2022年，对本《意见》第一条的宣传推介补助、第八条的贷款贴息补助、第八条的保费补助率先开展试点，</w:t>
      </w:r>
      <w:r>
        <w:rPr>
          <w:rFonts w:hint="eastAsia" w:ascii="仿宋_GB2312" w:eastAsia="仿宋_GB2312"/>
          <w:color w:val="auto"/>
          <w:sz w:val="32"/>
          <w:szCs w:val="32"/>
          <w:lang w:val="zh-CN" w:eastAsia="zh-CN"/>
        </w:rPr>
        <w:t>A类、B类</w:t>
      </w:r>
      <w:r>
        <w:rPr>
          <w:rFonts w:hint="eastAsia" w:ascii="仿宋_GB2312" w:hAnsi="仿宋_GB2312" w:eastAsia="仿宋_GB2312" w:cs="仿宋_GB2312"/>
          <w:color w:val="auto"/>
          <w:sz w:val="32"/>
          <w:szCs w:val="32"/>
          <w:u w:val="none" w:color="000000"/>
          <w:shd w:val="clear" w:color="auto" w:fill="FFFFFF"/>
          <w:rtl w:val="0"/>
          <w:lang w:val="en-US" w:eastAsia="zh-CN"/>
        </w:rPr>
        <w:t>企业分别按补助额的100%、80%执行。视试点情况再全面实施。（市财政局、市农业农村局）</w:t>
      </w:r>
    </w:p>
    <w:p>
      <w:pPr>
        <w:keepNext w:val="0"/>
        <w:keepLines w:val="0"/>
        <w:pageBreakBefore w:val="0"/>
        <w:widowControl w:val="0"/>
        <w:kinsoku/>
        <w:wordWrap/>
        <w:overflowPunct/>
        <w:topLinePunct w:val="0"/>
        <w:autoSpaceDE/>
        <w:autoSpaceDN/>
        <w:bidi w:val="0"/>
        <w:spacing w:line="560" w:lineRule="exact"/>
        <w:ind w:firstLine="645"/>
        <w:jc w:val="both"/>
        <w:textAlignment w:val="auto"/>
        <w:rPr>
          <w:rFonts w:hint="eastAsia" w:ascii="方正大标宋简体" w:hAnsi="方正大标宋简体" w:eastAsia="方正大标宋简体" w:cs="方正大标宋简体"/>
          <w:color w:val="auto"/>
          <w:sz w:val="44"/>
          <w:szCs w:val="44"/>
          <w:lang w:val="en-US" w:eastAsia="zh-CN"/>
        </w:rPr>
      </w:pPr>
      <w:r>
        <w:rPr>
          <w:rFonts w:hint="eastAsia" w:ascii="仿宋_GB2312" w:eastAsia="仿宋_GB2312" w:cs="Times New Roman"/>
          <w:color w:val="auto"/>
          <w:sz w:val="32"/>
          <w:szCs w:val="32"/>
          <w:lang w:val="en-US" w:eastAsia="zh-CN"/>
        </w:rPr>
        <w:br w:type="page"/>
      </w:r>
      <w:r>
        <w:rPr>
          <w:rFonts w:hint="eastAsia" w:ascii="仿宋_GB2312" w:eastAsia="仿宋_GB2312" w:cs="Times New Roman"/>
          <w:color w:val="auto"/>
          <w:sz w:val="32"/>
          <w:szCs w:val="32"/>
          <w:lang w:val="en-US" w:eastAsia="zh-CN"/>
        </w:rPr>
        <w:t xml:space="preserve">       </w:t>
      </w:r>
      <w:r>
        <w:rPr>
          <w:rFonts w:hint="eastAsia" w:ascii="方正大标宋简体" w:hAnsi="方正大标宋简体" w:eastAsia="方正大标宋简体" w:cs="方正大标宋简体"/>
          <w:color w:val="auto"/>
          <w:sz w:val="44"/>
          <w:szCs w:val="44"/>
          <w:lang w:val="en-US" w:eastAsia="zh-CN"/>
        </w:rPr>
        <w:t>附则</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1.适用对象。本政策适用于 2022 年 1 月 1 日至 2024 年 12月 31 日的奖补对象。文中所指企业、社会组织如正文无明确表述,均为申报时注册地和财政收入在温州市范围内具有独立法人资格的机构，除政策另有规定外。“亩均论英雄”综合评价 C、D类企业、列入严重失信名单企业均不享受资金奖补政策。</w:t>
      </w:r>
      <w:r>
        <w:rPr>
          <w:rFonts w:hint="eastAsia" w:ascii="仿宋_GB2312" w:eastAsia="仿宋_GB2312" w:cs="Times New Roman"/>
          <w:color w:val="auto"/>
          <w:sz w:val="32"/>
          <w:szCs w:val="32"/>
          <w:rtl w:val="0"/>
          <w:lang w:val="en-US" w:eastAsia="zh-CN"/>
        </w:rPr>
        <w:t>农业产业“共富效益评价指标”</w:t>
      </w:r>
      <w:r>
        <w:rPr>
          <w:rFonts w:hint="eastAsia" w:ascii="仿宋_GB2312" w:eastAsia="仿宋_GB2312" w:cs="Times New Roman"/>
          <w:color w:val="auto"/>
          <w:sz w:val="32"/>
          <w:szCs w:val="32"/>
          <w:lang w:val="en-US" w:eastAsia="zh-CN"/>
        </w:rPr>
        <w:t>按照一产带动、品牌辐射效益、农民及弱势群体就业、农业科技创新、地方税收等贡献度进行综合评定，委托第三方机构实行一年一评。</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2.资金安排。本政策奖补资金均由市财政承担。奖补资金按来源所属关系适用各自统一的产业政策奖补资金兑现管理办法。</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3.执行效力。本政策自 2022 年 xx月xx日起施行,有效期至2025 年 12月31日,具体实施细则、申报指南另行制定。其他我市已发布的各相关市级产业政策与本政策不一致的,以本政策为准。本政策由市财政局牵头,实行一年一评价,并根据评价结果修改完善。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MzdiYjBlOWRjNzBlYmY1MzE2ZDg4N2NhYzVhZGEifQ=="/>
  </w:docVars>
  <w:rsids>
    <w:rsidRoot w:val="5AAC7C80"/>
    <w:rsid w:val="00236C16"/>
    <w:rsid w:val="047E0949"/>
    <w:rsid w:val="0ED17146"/>
    <w:rsid w:val="268E5905"/>
    <w:rsid w:val="2B771983"/>
    <w:rsid w:val="2B944827"/>
    <w:rsid w:val="4490144D"/>
    <w:rsid w:val="4ACE2F77"/>
    <w:rsid w:val="5AAC7C80"/>
    <w:rsid w:val="5C867CC5"/>
    <w:rsid w:val="61520882"/>
    <w:rsid w:val="61DB5C32"/>
    <w:rsid w:val="647B0796"/>
    <w:rsid w:val="65223E7D"/>
    <w:rsid w:val="6B244066"/>
    <w:rsid w:val="73A02425"/>
    <w:rsid w:val="78733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w:basedOn w:val="2"/>
    <w:next w:val="1"/>
    <w:qFormat/>
    <w:uiPriority w:val="0"/>
    <w:pPr>
      <w:ind w:firstLine="420" w:firstLineChars="100"/>
    </w:pPr>
  </w:style>
  <w:style w:type="paragraph" w:styleId="6">
    <w:name w:val="Body Text Indent"/>
    <w:basedOn w:val="1"/>
    <w:qFormat/>
    <w:uiPriority w:val="0"/>
    <w:pPr>
      <w:spacing w:line="600" w:lineRule="exact"/>
      <w:ind w:firstLine="640" w:firstLineChars="200"/>
    </w:pPr>
  </w:style>
  <w:style w:type="paragraph" w:styleId="7">
    <w:name w:val="footer"/>
    <w:basedOn w:val="1"/>
    <w:unhideWhenUsed/>
    <w:qFormat/>
    <w:uiPriority w:val="99"/>
    <w:pPr>
      <w:tabs>
        <w:tab w:val="center" w:pos="4153"/>
        <w:tab w:val="right" w:pos="8306"/>
      </w:tabs>
      <w:snapToGrid w:val="0"/>
      <w:jc w:val="left"/>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6"/>
    <w:qFormat/>
    <w:uiPriority w:val="0"/>
    <w:pPr>
      <w:spacing w:after="120"/>
      <w:ind w:left="420" w:leftChars="200" w:firstLine="420"/>
    </w:pPr>
    <w:rPr>
      <w:rFonts w:ascii="Times New Roman" w:hAnsi="Times New Roman" w:eastAsia="宋体" w:cs="Times New Roman"/>
    </w:rPr>
  </w:style>
  <w:style w:type="character" w:styleId="12">
    <w:name w:val="FollowedHyperlink"/>
    <w:basedOn w:val="11"/>
    <w:qFormat/>
    <w:uiPriority w:val="0"/>
    <w:rPr>
      <w:color w:val="333333"/>
      <w:u w:val="none"/>
    </w:rPr>
  </w:style>
  <w:style w:type="character" w:styleId="13">
    <w:name w:val="Hyperlink"/>
    <w:basedOn w:val="11"/>
    <w:qFormat/>
    <w:uiPriority w:val="0"/>
    <w:rPr>
      <w:color w:val="333333"/>
      <w:u w:val="none"/>
    </w:rPr>
  </w:style>
  <w:style w:type="paragraph" w:customStyle="1" w:styleId="14">
    <w:name w:val=" Char Char Char Char Char Char3 Char Char Char Char Char Char Char"/>
    <w:basedOn w:val="1"/>
    <w:next w:val="1"/>
    <w:qFormat/>
    <w:uiPriority w:val="0"/>
    <w:rPr>
      <w:rFonts w:eastAsia="黑体"/>
      <w:sz w:val="28"/>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2831</Words>
  <Characters>2930</Characters>
  <Lines>0</Lines>
  <Paragraphs>0</Paragraphs>
  <TotalTime>0</TotalTime>
  <ScaleCrop>false</ScaleCrop>
  <LinksUpToDate>false</LinksUpToDate>
  <CharactersWithSpaces>2973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2020-07-03T01:09:00Z</dcterms:created>
  <dc:creator>Aempeor瞬间恒久张发浩</dc:creator>
  <cp:lastModifiedBy>夏一</cp:lastModifiedBy>
  <dcterms:modified xsi:type="dcterms:W3CDTF">2022-06-17T11:36:13Z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DB0256C898DB4070808C9ED65AC1E4F7</vt:lpwstr>
  </property>
</Properties>
</file>