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pict>
          <v:shape id="_x0000_s1083" o:spid="_x0000_s1083" o:spt="202" type="#_x0000_t202" style="position:absolute;left:0pt;margin-left:0pt;margin-top:104.9pt;height:22.7pt;width:63pt;mso-position-vertical-relative:page;z-index:251660288;mso-width-relative:page;mso-height-relative:page;" filled="f" stroked="f" coordsize="21600,21600">
            <v:path/>
            <v:fill on="f" focussize="0,0"/>
            <v:stroke on="f" joinstyle="miter"/>
            <v:imagedata o:title=""/>
            <o:lock v:ext="edit"/>
            <v:textbox inset="0mm,0mm,0mm,0mm">
              <w:txbxContent>
                <w:p/>
              </w:txbxContent>
            </v:textbox>
            <w10:anchorlock/>
          </v:shape>
        </w:pict>
      </w:r>
      <w:bookmarkStart w:id="0" w:name="ISSUE_YEAR_START"/>
      <w:bookmarkEnd w:id="0"/>
      <w:bookmarkStart w:id="1" w:name="ISSUE_YEAR_END"/>
      <w:bookmarkEnd w:id="1"/>
      <w:r>
        <w:rPr>
          <w:rFonts w:hint="eastAsia" w:ascii="方正小标宋简体" w:eastAsia="方正小标宋简体"/>
          <w:sz w:val="44"/>
          <w:szCs w:val="44"/>
        </w:rPr>
        <w:t>温州市综合行政执法局</w:t>
      </w:r>
    </w:p>
    <w:p>
      <w:pPr>
        <w:spacing w:line="560" w:lineRule="exact"/>
        <w:jc w:val="center"/>
        <w:rPr>
          <w:rFonts w:hint="eastAsia" w:ascii="方正小标宋简体" w:eastAsia="方正小标宋简体"/>
          <w:sz w:val="44"/>
          <w:szCs w:val="44"/>
        </w:rPr>
      </w:pPr>
      <w:bookmarkStart w:id="2" w:name="TITLE_END"/>
      <w:r>
        <w:rPr>
          <w:rFonts w:hint="eastAsia" w:ascii="方正小标宋简体" w:eastAsia="方正小标宋简体"/>
          <w:sz w:val="44"/>
          <w:szCs w:val="44"/>
        </w:rPr>
        <w:t>行政规范性文件管理办法</w:t>
      </w:r>
    </w:p>
    <w:p>
      <w:pPr>
        <w:jc w:val="center"/>
        <w:rPr>
          <w:rFonts w:hint="eastAsia" w:ascii="方正小标宋简体" w:eastAsia="方正小标宋简体"/>
          <w:sz w:val="44"/>
          <w:szCs w:val="44"/>
        </w:rPr>
      </w:pPr>
      <w:r>
        <w:rPr>
          <w:rFonts w:hint="eastAsia" w:ascii="仿宋_GB2312" w:hAnsi="微软雅黑" w:eastAsia="仿宋_GB2312" w:cs="仿宋_GB2312"/>
          <w:color w:val="000000" w:themeColor="text1"/>
          <w:sz w:val="32"/>
          <w:szCs w:val="32"/>
          <w:shd w:val="clear" w:color="auto" w:fill="FFFFFF"/>
        </w:rPr>
        <w:t>（征求意见稿）</w:t>
      </w:r>
      <w:bookmarkStart w:id="3" w:name="_GoBack"/>
      <w:bookmarkEnd w:id="3"/>
    </w:p>
    <w:bookmarkEnd w:id="2"/>
    <w:p>
      <w:pPr>
        <w:pStyle w:val="36"/>
        <w:numPr>
          <w:ilvl w:val="0"/>
          <w:numId w:val="2"/>
        </w:numPr>
        <w:spacing w:beforeLines="100" w:afterLines="100" w:line="560" w:lineRule="exact"/>
        <w:jc w:val="center"/>
        <w:rPr>
          <w:rFonts w:ascii="黑体" w:eastAsia="黑体"/>
          <w:color w:val="auto"/>
          <w:sz w:val="32"/>
          <w:szCs w:val="32"/>
        </w:rPr>
      </w:pPr>
      <w:r>
        <w:rPr>
          <w:rFonts w:hint="eastAsia" w:ascii="黑体" w:eastAsia="黑体"/>
          <w:color w:val="auto"/>
          <w:sz w:val="32"/>
          <w:szCs w:val="32"/>
        </w:rPr>
        <w:t xml:space="preserve"> 总  则</w:t>
      </w:r>
    </w:p>
    <w:p>
      <w:pPr>
        <w:pStyle w:val="36"/>
        <w:spacing w:line="560" w:lineRule="exact"/>
        <w:ind w:firstLine="640" w:firstLineChars="200"/>
        <w:rPr>
          <w:rFonts w:ascii="仿宋_GB2312" w:eastAsia="仿宋_GB2312"/>
          <w:color w:val="auto"/>
          <w:sz w:val="32"/>
          <w:szCs w:val="32"/>
        </w:rPr>
      </w:pPr>
      <w:r>
        <w:rPr>
          <w:rFonts w:hint="eastAsia" w:ascii="黑体" w:eastAsia="黑体"/>
          <w:color w:val="auto"/>
          <w:sz w:val="32"/>
          <w:szCs w:val="32"/>
        </w:rPr>
        <w:t>第一条</w:t>
      </w:r>
      <w:r>
        <w:rPr>
          <w:rFonts w:hint="eastAsia" w:ascii="仿宋_GB2312" w:eastAsia="仿宋_GB2312"/>
          <w:color w:val="auto"/>
          <w:sz w:val="32"/>
          <w:szCs w:val="32"/>
        </w:rPr>
        <w:t xml:space="preserve"> 为加强</w:t>
      </w:r>
      <w:r>
        <w:rPr>
          <w:rFonts w:hint="eastAsia" w:ascii="仿宋_GB2312" w:hAnsi="仿宋" w:eastAsia="仿宋_GB2312"/>
          <w:color w:val="auto"/>
          <w:sz w:val="32"/>
          <w:szCs w:val="32"/>
        </w:rPr>
        <w:t>行政规范性文件</w:t>
      </w:r>
      <w:r>
        <w:rPr>
          <w:rFonts w:hint="eastAsia" w:ascii="仿宋_GB2312" w:eastAsia="仿宋_GB2312"/>
          <w:color w:val="auto"/>
          <w:sz w:val="32"/>
          <w:szCs w:val="32"/>
        </w:rPr>
        <w:t>（以下简称规范性文件）管理，促进依法行政，根据《浙江省行政规范性文件管理办法》（省政府令第372号）、《温州市政府行政规范性文件管理办法》（</w:t>
      </w:r>
      <w:r>
        <w:rPr>
          <w:rFonts w:hint="eastAsia" w:ascii="仿宋_GB2312" w:hAnsi="Calibri" w:eastAsia="仿宋_GB2312" w:cs="仿宋_GB2312"/>
          <w:color w:val="auto"/>
          <w:sz w:val="32"/>
          <w:szCs w:val="32"/>
        </w:rPr>
        <w:t>温政发〔2019〕7号</w:t>
      </w:r>
      <w:r>
        <w:rPr>
          <w:rFonts w:hint="eastAsia" w:ascii="仿宋_GB2312" w:eastAsia="仿宋_GB2312"/>
          <w:color w:val="auto"/>
          <w:sz w:val="32"/>
          <w:szCs w:val="32"/>
        </w:rPr>
        <w:t>）等规定，结合本单位实际，制定本办法。</w:t>
      </w:r>
    </w:p>
    <w:p>
      <w:pPr>
        <w:pStyle w:val="36"/>
        <w:spacing w:line="560" w:lineRule="exact"/>
        <w:ind w:firstLine="620"/>
        <w:rPr>
          <w:rFonts w:ascii="仿宋_GB2312" w:hAnsi="Calibri" w:eastAsia="仿宋_GB2312" w:cs="仿宋_GB2312"/>
          <w:sz w:val="32"/>
          <w:szCs w:val="32"/>
        </w:rPr>
      </w:pPr>
      <w:r>
        <w:rPr>
          <w:rFonts w:hint="eastAsia" w:ascii="黑体" w:eastAsia="黑体"/>
          <w:color w:val="auto"/>
          <w:sz w:val="32"/>
          <w:szCs w:val="32"/>
        </w:rPr>
        <w:t>第二条</w:t>
      </w:r>
      <w:r>
        <w:rPr>
          <w:rFonts w:hint="eastAsia" w:ascii="仿宋_GB2312" w:eastAsia="仿宋_GB2312"/>
          <w:color w:val="auto"/>
          <w:sz w:val="32"/>
          <w:szCs w:val="32"/>
        </w:rPr>
        <w:t xml:space="preserve"> </w:t>
      </w:r>
      <w:r>
        <w:rPr>
          <w:rFonts w:hint="eastAsia" w:ascii="仿宋_GB2312" w:hAnsi="Calibri" w:eastAsia="仿宋_GB2312" w:cs="仿宋_GB2312"/>
          <w:sz w:val="32"/>
          <w:szCs w:val="32"/>
        </w:rPr>
        <w:t xml:space="preserve">本办法所称规范性文件，是指由本单位依照法定权限、程序制定并公开发布，涉及公民、法人或者其他组织权利义务，在本行政区域内具有普遍约束力，在一定时期内反复适用的公文。                                                                                                                 </w:t>
      </w:r>
    </w:p>
    <w:p>
      <w:pPr>
        <w:pStyle w:val="36"/>
        <w:spacing w:line="560" w:lineRule="exact"/>
        <w:ind w:firstLine="620"/>
        <w:rPr>
          <w:rFonts w:ascii="仿宋_GB2312" w:hAnsi="Calibri" w:eastAsia="仿宋_GB2312" w:cs="仿宋_GB2312"/>
          <w:color w:val="auto"/>
          <w:sz w:val="32"/>
          <w:szCs w:val="32"/>
        </w:rPr>
      </w:pPr>
      <w:r>
        <w:rPr>
          <w:rFonts w:hint="eastAsia" w:ascii="仿宋_GB2312" w:hAnsi="Calibri" w:eastAsia="仿宋_GB2312" w:cs="仿宋_GB2312"/>
          <w:color w:val="auto"/>
          <w:sz w:val="32"/>
          <w:szCs w:val="32"/>
        </w:rPr>
        <w:t>代为起草的市政府规范性文件、与市政府规范性文件配套的相关制度、提请市政府批准以本单位名义发布的规范性文件，按照</w:t>
      </w:r>
      <w:r>
        <w:rPr>
          <w:rFonts w:hint="eastAsia" w:ascii="仿宋_GB2312" w:eastAsia="仿宋_GB2312"/>
          <w:color w:val="auto"/>
          <w:sz w:val="32"/>
          <w:szCs w:val="32"/>
        </w:rPr>
        <w:t>市政府制定的规范性文件</w:t>
      </w:r>
      <w:r>
        <w:rPr>
          <w:rFonts w:hint="eastAsia" w:ascii="仿宋_GB2312" w:hAnsi="Calibri" w:eastAsia="仿宋_GB2312" w:cs="仿宋_GB2312"/>
          <w:color w:val="auto"/>
          <w:sz w:val="32"/>
          <w:szCs w:val="32"/>
        </w:rPr>
        <w:t xml:space="preserve">管理。                                                                                                             </w:t>
      </w:r>
    </w:p>
    <w:p>
      <w:pPr>
        <w:pStyle w:val="36"/>
        <w:spacing w:line="560" w:lineRule="exact"/>
        <w:ind w:firstLine="620"/>
        <w:rPr>
          <w:rFonts w:ascii="仿宋_GB2312" w:eastAsia="仿宋_GB2312"/>
          <w:color w:val="auto"/>
          <w:sz w:val="32"/>
          <w:szCs w:val="32"/>
          <w:shd w:val="clear" w:color="auto" w:fill="FFFFFF"/>
        </w:rPr>
      </w:pPr>
      <w:r>
        <w:rPr>
          <w:rFonts w:hint="eastAsia" w:ascii="黑体" w:eastAsia="黑体"/>
          <w:color w:val="auto"/>
          <w:sz w:val="32"/>
          <w:szCs w:val="32"/>
          <w:shd w:val="clear" w:color="auto" w:fill="FFFFFF"/>
        </w:rPr>
        <w:t xml:space="preserve">第三条 </w:t>
      </w:r>
      <w:r>
        <w:rPr>
          <w:rFonts w:hint="eastAsia" w:ascii="仿宋_GB2312" w:hAnsi="Calibri" w:eastAsia="仿宋_GB2312" w:cs="仿宋_GB2312"/>
          <w:sz w:val="32"/>
          <w:szCs w:val="32"/>
        </w:rPr>
        <w:t>规范性文件应当符合法律、法规、规章的规定，</w:t>
      </w:r>
      <w:r>
        <w:rPr>
          <w:rFonts w:hint="eastAsia" w:ascii="仿宋_GB2312" w:hAnsi="Calibri" w:eastAsia="仿宋_GB2312" w:cs="仿宋_GB2312"/>
          <w:color w:val="auto"/>
          <w:sz w:val="32"/>
          <w:szCs w:val="32"/>
        </w:rPr>
        <w:t>依照法定权限、程序制定。</w:t>
      </w:r>
    </w:p>
    <w:p>
      <w:pPr>
        <w:pStyle w:val="36"/>
        <w:spacing w:line="560" w:lineRule="exact"/>
        <w:ind w:firstLine="640" w:firstLineChars="200"/>
        <w:rPr>
          <w:rFonts w:ascii="仿宋_GB2312" w:eastAsia="仿宋_GB2312"/>
          <w:color w:val="auto"/>
          <w:sz w:val="32"/>
          <w:szCs w:val="32"/>
        </w:rPr>
      </w:pPr>
      <w:r>
        <w:rPr>
          <w:rFonts w:hint="eastAsia" w:ascii="仿宋_GB2312" w:eastAsia="仿宋_GB2312"/>
          <w:sz w:val="32"/>
          <w:szCs w:val="32"/>
        </w:rPr>
        <w:t>临时机构、议事协调机构及其办事机构不得以自己名义对外发布规范性文件。</w:t>
      </w:r>
    </w:p>
    <w:p>
      <w:pPr>
        <w:pStyle w:val="36"/>
        <w:spacing w:line="560" w:lineRule="exact"/>
        <w:ind w:firstLine="620"/>
        <w:rPr>
          <w:rFonts w:ascii="仿宋_GB2312" w:hAnsi="Calibri" w:eastAsia="仿宋_GB2312" w:cs="仿宋_GB2312"/>
          <w:sz w:val="32"/>
          <w:szCs w:val="32"/>
        </w:rPr>
      </w:pPr>
      <w:r>
        <w:rPr>
          <w:rFonts w:hint="eastAsia" w:ascii="黑体" w:eastAsia="黑体"/>
          <w:color w:val="auto"/>
          <w:sz w:val="32"/>
          <w:szCs w:val="32"/>
          <w:shd w:val="clear" w:color="auto" w:fill="FFFFFF"/>
        </w:rPr>
        <w:t xml:space="preserve">第四条 </w:t>
      </w:r>
      <w:r>
        <w:rPr>
          <w:rFonts w:hint="eastAsia" w:ascii="仿宋_GB2312" w:hAnsi="Calibri" w:eastAsia="仿宋_GB2312" w:cs="仿宋_GB2312"/>
          <w:sz w:val="32"/>
          <w:szCs w:val="32"/>
        </w:rPr>
        <w:t>规范性文件的制定，应当按照</w:t>
      </w:r>
      <w:r>
        <w:rPr>
          <w:rFonts w:hint="eastAsia" w:ascii="仿宋_GB2312" w:hAnsi="Calibri" w:eastAsia="仿宋_GB2312" w:cs="仿宋_GB2312"/>
          <w:color w:val="auto"/>
          <w:sz w:val="32"/>
          <w:szCs w:val="32"/>
        </w:rPr>
        <w:t>启动、起草、审核、决定、公布</w:t>
      </w:r>
      <w:r>
        <w:rPr>
          <w:rFonts w:hint="eastAsia" w:ascii="仿宋_GB2312" w:hAnsi="Calibri" w:eastAsia="仿宋_GB2312" w:cs="仿宋_GB2312"/>
          <w:sz w:val="32"/>
          <w:szCs w:val="32"/>
        </w:rPr>
        <w:t>等程序进行。</w:t>
      </w:r>
      <w:r>
        <w:rPr>
          <w:rFonts w:ascii="仿宋_GB2312" w:hAnsi="Calibri" w:eastAsia="仿宋_GB2312" w:cs="仿宋_GB2312"/>
          <w:sz w:val="32"/>
          <w:szCs w:val="32"/>
        </w:rPr>
        <w:t xml:space="preserve"> </w:t>
      </w:r>
    </w:p>
    <w:p>
      <w:pPr>
        <w:pStyle w:val="36"/>
        <w:spacing w:line="560" w:lineRule="exact"/>
        <w:ind w:firstLine="640" w:firstLineChars="200"/>
        <w:rPr>
          <w:rFonts w:ascii="仿宋_GB2312" w:eastAsia="仿宋_GB2312"/>
          <w:color w:val="auto"/>
          <w:sz w:val="32"/>
          <w:szCs w:val="32"/>
        </w:rPr>
      </w:pPr>
      <w:r>
        <w:rPr>
          <w:rFonts w:hint="eastAsia" w:ascii="仿宋_GB2312" w:hAnsi="Calibri" w:eastAsia="仿宋_GB2312" w:cs="仿宋_GB2312"/>
          <w:sz w:val="32"/>
          <w:szCs w:val="32"/>
        </w:rPr>
        <w:t>有下列情形之一，因紧急情况需立即制定规范性文件的，</w:t>
      </w:r>
      <w:r>
        <w:rPr>
          <w:rFonts w:hint="eastAsia" w:ascii="仿宋_GB2312" w:hAnsi="Calibri" w:eastAsia="仿宋_GB2312" w:cs="仿宋_GB2312"/>
          <w:color w:val="auto"/>
          <w:sz w:val="32"/>
          <w:szCs w:val="32"/>
        </w:rPr>
        <w:t>经局主要负责人批准，可</w:t>
      </w:r>
      <w:r>
        <w:rPr>
          <w:rFonts w:hint="eastAsia" w:ascii="仿宋_GB2312" w:hAnsi="Calibri" w:eastAsia="仿宋_GB2312" w:cs="仿宋_GB2312"/>
          <w:sz w:val="32"/>
          <w:szCs w:val="32"/>
        </w:rPr>
        <w:t>以简化制定程序，经合法</w:t>
      </w:r>
      <w:r>
        <w:rPr>
          <w:rFonts w:hint="eastAsia" w:ascii="仿宋_GB2312" w:hAnsi="Calibri" w:eastAsia="仿宋_GB2312" w:cs="仿宋_GB2312"/>
          <w:color w:val="auto"/>
          <w:sz w:val="32"/>
          <w:szCs w:val="32"/>
        </w:rPr>
        <w:t>性审核、局主要负责人签发后公布实施：</w:t>
      </w:r>
    </w:p>
    <w:p>
      <w:pPr>
        <w:autoSpaceDE w:val="0"/>
        <w:autoSpaceDN w:val="0"/>
        <w:adjustRightInd w:val="0"/>
        <w:spacing w:line="560" w:lineRule="exact"/>
        <w:ind w:firstLine="640" w:firstLineChars="20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 xml:space="preserve">（一）为预防、应对和处置自然灾害、事故灾难、公共卫生事件和社会安全事件等突发事件，保障公共利益，需要立即制定规范性文件的； </w:t>
      </w:r>
    </w:p>
    <w:p>
      <w:pPr>
        <w:autoSpaceDE w:val="0"/>
        <w:autoSpaceDN w:val="0"/>
        <w:adjustRightInd w:val="0"/>
        <w:spacing w:line="56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（二）执行上级行政机关、上级行政机关的同级人民代表大会及其常务委员会的命令和决定，需要立即制定规范性文件的；</w:t>
      </w:r>
    </w:p>
    <w:p>
      <w:pPr>
        <w:pStyle w:val="36"/>
        <w:spacing w:line="560" w:lineRule="exact"/>
        <w:ind w:firstLine="640" w:firstLineChars="200"/>
        <w:rPr>
          <w:rFonts w:ascii="仿宋_GB2312" w:hAnsi="Calibri" w:eastAsia="仿宋_GB2312" w:cs="仿宋_GB2312"/>
          <w:color w:val="auto"/>
          <w:sz w:val="32"/>
          <w:szCs w:val="32"/>
        </w:rPr>
      </w:pPr>
      <w:r>
        <w:rPr>
          <w:rFonts w:hint="eastAsia" w:ascii="仿宋_GB2312" w:hAnsi="Calibri" w:eastAsia="仿宋_GB2312" w:cs="仿宋_GB2312"/>
          <w:color w:val="auto"/>
          <w:sz w:val="32"/>
          <w:szCs w:val="32"/>
        </w:rPr>
        <w:t>（三）依法律、法规、规章及上级相关文件规定，需要立即制定规范性文件的。</w:t>
      </w:r>
    </w:p>
    <w:p>
      <w:pPr>
        <w:pStyle w:val="36"/>
        <w:spacing w:line="560" w:lineRule="exact"/>
        <w:ind w:firstLine="620"/>
        <w:rPr>
          <w:rFonts w:ascii="仿宋_GB2312" w:eastAsia="仿宋_GB2312"/>
          <w:sz w:val="32"/>
          <w:szCs w:val="32"/>
          <w:shd w:val="clear" w:color="auto" w:fill="FFFFFF"/>
        </w:rPr>
      </w:pPr>
      <w:r>
        <w:rPr>
          <w:rFonts w:hint="eastAsia" w:ascii="黑体" w:eastAsia="黑体"/>
          <w:color w:val="auto"/>
          <w:sz w:val="32"/>
          <w:szCs w:val="32"/>
          <w:shd w:val="clear" w:color="auto" w:fill="FFFFFF"/>
        </w:rPr>
        <w:t xml:space="preserve">第五条 </w:t>
      </w:r>
      <w:r>
        <w:rPr>
          <w:rFonts w:hint="eastAsia" w:ascii="仿宋_GB2312" w:eastAsia="仿宋_GB2312"/>
          <w:sz w:val="32"/>
          <w:szCs w:val="32"/>
        </w:rPr>
        <w:t>起草单位（各处室）负责组织规范性文件起草工作；政策法规处负责规范性文件合法性审核、备案管理等工作；办公室负责规范性文件提请集体审议、统一发布等工作。</w:t>
      </w:r>
    </w:p>
    <w:p>
      <w:pPr>
        <w:pStyle w:val="36"/>
        <w:spacing w:beforeLines="100" w:afterLines="100" w:line="560" w:lineRule="exact"/>
        <w:jc w:val="center"/>
        <w:rPr>
          <w:rFonts w:ascii="仿宋_GB2312" w:eastAsia="仿宋_GB2312"/>
          <w:color w:val="auto"/>
          <w:sz w:val="32"/>
          <w:szCs w:val="32"/>
          <w:shd w:val="clear" w:color="auto" w:fill="FFFFFF"/>
        </w:rPr>
      </w:pPr>
      <w:r>
        <w:rPr>
          <w:rFonts w:hint="eastAsia" w:ascii="黑体" w:eastAsia="黑体"/>
          <w:sz w:val="32"/>
          <w:szCs w:val="32"/>
        </w:rPr>
        <w:t>第二章 起   草</w:t>
      </w:r>
    </w:p>
    <w:p>
      <w:pPr>
        <w:pStyle w:val="36"/>
        <w:spacing w:line="560" w:lineRule="exact"/>
        <w:ind w:firstLine="640" w:firstLineChars="200"/>
        <w:rPr>
          <w:rFonts w:ascii="仿宋_GB2312" w:eastAsia="仿宋_GB2312"/>
          <w:color w:val="auto"/>
          <w:sz w:val="32"/>
          <w:szCs w:val="32"/>
          <w:shd w:val="clear" w:color="auto" w:fill="FFFFFF"/>
        </w:rPr>
      </w:pPr>
      <w:r>
        <w:rPr>
          <w:rFonts w:hint="eastAsia" w:ascii="黑体" w:eastAsia="黑体"/>
          <w:color w:val="auto"/>
          <w:sz w:val="32"/>
          <w:szCs w:val="32"/>
          <w:shd w:val="clear" w:color="auto" w:fill="FFFFFF"/>
        </w:rPr>
        <w:t>第六条</w:t>
      </w:r>
      <w:r>
        <w:rPr>
          <w:rFonts w:hint="eastAsia" w:ascii="仿宋_GB2312" w:eastAsia="仿宋_GB2312"/>
          <w:color w:val="auto"/>
          <w:sz w:val="32"/>
          <w:szCs w:val="32"/>
          <w:shd w:val="clear" w:color="auto" w:fill="FFFFFF"/>
        </w:rPr>
        <w:t xml:space="preserve"> 起草单位向局领导提出拟制定规范性文件的申请，根据局主要负责人或分管负责人的批示或指示，启动局规范性文件制定程序。</w:t>
      </w:r>
    </w:p>
    <w:p>
      <w:pPr>
        <w:pStyle w:val="36"/>
        <w:spacing w:line="560" w:lineRule="exact"/>
        <w:ind w:firstLine="640" w:firstLineChars="200"/>
        <w:rPr>
          <w:rFonts w:ascii="仿宋_GB2312" w:hAnsi="Calibri" w:eastAsia="仿宋_GB2312" w:cs="仿宋_GB2312"/>
          <w:sz w:val="32"/>
          <w:szCs w:val="32"/>
        </w:rPr>
      </w:pPr>
      <w:r>
        <w:rPr>
          <w:rFonts w:hint="eastAsia" w:ascii="黑体" w:eastAsia="黑体"/>
          <w:color w:val="auto"/>
          <w:sz w:val="32"/>
          <w:szCs w:val="32"/>
          <w:shd w:val="clear" w:color="auto" w:fill="FFFFFF"/>
        </w:rPr>
        <w:t xml:space="preserve">第七条 </w:t>
      </w:r>
      <w:r>
        <w:rPr>
          <w:rFonts w:hint="eastAsia" w:ascii="仿宋_GB2312" w:hAnsi="Calibri" w:eastAsia="仿宋_GB2312" w:cs="仿宋_GB2312"/>
          <w:sz w:val="32"/>
          <w:szCs w:val="32"/>
        </w:rPr>
        <w:t>起草单位成立规范性文件起草小组，可邀请高等学校、研究机构、律师事务所等第三方机构有关专家加入。专业性、技术性较强特殊规范性文件起草，可以委托第三方组织起草</w:t>
      </w:r>
      <w:r>
        <w:rPr>
          <w:rFonts w:hint="eastAsia" w:ascii="仿宋_GB2312" w:eastAsia="仿宋_GB2312"/>
          <w:color w:val="auto"/>
          <w:sz w:val="32"/>
          <w:szCs w:val="32"/>
          <w:shd w:val="clear" w:color="auto" w:fill="FFFFFF"/>
        </w:rPr>
        <w:t>。</w:t>
      </w:r>
    </w:p>
    <w:p>
      <w:pPr>
        <w:pStyle w:val="36"/>
        <w:spacing w:line="560" w:lineRule="exact"/>
        <w:ind w:firstLine="640" w:firstLineChars="20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委托第三方组织规范性文件起草，应当就委托事项内容、要求、期限等签订委托合同，明确双方权利义务。</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hint="eastAsia" w:ascii="黑体" w:eastAsia="黑体"/>
          <w:sz w:val="32"/>
          <w:szCs w:val="32"/>
          <w:shd w:val="clear" w:color="auto" w:fill="FFFFFF"/>
        </w:rPr>
        <w:t xml:space="preserve">第八条 </w:t>
      </w:r>
      <w:r>
        <w:rPr>
          <w:rFonts w:ascii="仿宋_GB2312" w:eastAsia="仿宋_GB2312" w:cs="FZXiaoBiaoSong-B05S"/>
          <w:kern w:val="0"/>
          <w:sz w:val="32"/>
          <w:szCs w:val="32"/>
          <w:shd w:val="clear" w:color="auto" w:fill="FFFFFF"/>
        </w:rPr>
        <w:t>规范性文件应当包括下列主要内容：</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（一）制定目的和依据</w:t>
      </w:r>
      <w:r>
        <w:rPr>
          <w:rFonts w:hint="eastAsia" w:ascii="仿宋_GB2312" w:eastAsia="仿宋_GB2312" w:cs="FZXiaoBiaoSong-B05S"/>
          <w:kern w:val="0"/>
          <w:sz w:val="32"/>
          <w:szCs w:val="32"/>
          <w:shd w:val="clear" w:color="auto" w:fill="FFFFFF"/>
        </w:rPr>
        <w:t>；</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（二）调整对象和适用范围</w:t>
      </w:r>
      <w:r>
        <w:rPr>
          <w:rFonts w:hint="eastAsia" w:ascii="仿宋_GB2312" w:eastAsia="仿宋_GB2312" w:cs="FZXiaoBiaoSong-B05S"/>
          <w:kern w:val="0"/>
          <w:sz w:val="32"/>
          <w:szCs w:val="32"/>
          <w:shd w:val="clear" w:color="auto" w:fill="FFFFFF"/>
        </w:rPr>
        <w:t>；</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（三）主管部门</w:t>
      </w:r>
      <w:r>
        <w:rPr>
          <w:rFonts w:hint="eastAsia" w:ascii="仿宋_GB2312" w:eastAsia="仿宋_GB2312" w:cs="FZXiaoBiaoSong-B05S"/>
          <w:kern w:val="0"/>
          <w:sz w:val="32"/>
          <w:szCs w:val="32"/>
          <w:shd w:val="clear" w:color="auto" w:fill="FFFFFF"/>
        </w:rPr>
        <w:t>；</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（四）具体行为规范</w:t>
      </w:r>
      <w:r>
        <w:rPr>
          <w:rFonts w:hint="eastAsia" w:ascii="仿宋_GB2312" w:eastAsia="仿宋_GB2312" w:cs="FZXiaoBiaoSong-B05S"/>
          <w:kern w:val="0"/>
          <w:sz w:val="32"/>
          <w:szCs w:val="32"/>
          <w:shd w:val="clear" w:color="auto" w:fill="FFFFFF"/>
        </w:rPr>
        <w:t>；</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（五）施行日期及有效期</w:t>
      </w:r>
      <w:r>
        <w:rPr>
          <w:rFonts w:hint="eastAsia" w:ascii="仿宋_GB2312" w:eastAsia="仿宋_GB2312" w:cs="FZXiaoBiaoSong-B05S"/>
          <w:kern w:val="0"/>
          <w:sz w:val="32"/>
          <w:szCs w:val="32"/>
          <w:shd w:val="clear" w:color="auto" w:fill="FFFFFF"/>
        </w:rPr>
        <w:t>；</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（六）其他必要事项。</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除简化程序制定的规范性文件外，施行日期应当自公布之日起不少于30日。</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规范性文件有效期自施行之日起不超过10年；暂行、试行规范性文件，有效期自施行之日起不超过2年；简化程序制定的规范性文件，有效期自施行之日起不超过1年。</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hint="eastAsia" w:ascii="黑体" w:eastAsia="黑体"/>
          <w:sz w:val="32"/>
          <w:szCs w:val="32"/>
          <w:shd w:val="clear" w:color="auto" w:fill="FFFFFF"/>
        </w:rPr>
        <w:t xml:space="preserve">第九条 </w:t>
      </w:r>
      <w:r>
        <w:rPr>
          <w:rFonts w:ascii="仿宋_GB2312" w:eastAsia="仿宋_GB2312" w:cs="FZXiaoBiaoSong-B05S"/>
          <w:kern w:val="0"/>
          <w:sz w:val="32"/>
          <w:szCs w:val="32"/>
          <w:shd w:val="clear" w:color="auto" w:fill="FFFFFF"/>
        </w:rPr>
        <w:t>规范性文件不得设定下列事项：</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（一）增加法定依据之外的行政权力事项或减少法定职责</w:t>
      </w:r>
      <w:r>
        <w:rPr>
          <w:rFonts w:hint="eastAsia" w:ascii="仿宋_GB2312" w:eastAsia="仿宋_GB2312" w:cs="FZXiaoBiaoSong-B05S"/>
          <w:kern w:val="0"/>
          <w:sz w:val="32"/>
          <w:szCs w:val="32"/>
          <w:shd w:val="clear" w:color="auto" w:fill="FFFFFF"/>
        </w:rPr>
        <w:t>；</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（二）行政许可、行政处罚、行政强制、行政事业性收费、行政征收</w:t>
      </w:r>
      <w:r>
        <w:rPr>
          <w:rFonts w:hint="eastAsia" w:ascii="仿宋_GB2312" w:eastAsia="仿宋_GB2312" w:cs="FZXiaoBiaoSong-B05S"/>
          <w:kern w:val="0"/>
          <w:sz w:val="32"/>
          <w:szCs w:val="32"/>
          <w:shd w:val="clear" w:color="auto" w:fill="FFFFFF"/>
        </w:rPr>
        <w:t>；</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（三）含有排除或限制公平竞争内容的措施</w:t>
      </w:r>
      <w:r>
        <w:rPr>
          <w:rFonts w:hint="eastAsia" w:ascii="仿宋_GB2312" w:eastAsia="仿宋_GB2312" w:cs="FZXiaoBiaoSong-B05S"/>
          <w:kern w:val="0"/>
          <w:sz w:val="32"/>
          <w:szCs w:val="32"/>
          <w:shd w:val="clear" w:color="auto" w:fill="FFFFFF"/>
        </w:rPr>
        <w:t>；</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（四）没有法律、法规依据，减损公民、法人和其他组织合法权益或增加其义务的规定</w:t>
      </w:r>
      <w:r>
        <w:rPr>
          <w:rFonts w:hint="eastAsia" w:ascii="仿宋_GB2312" w:eastAsia="仿宋_GB2312" w:cs="FZXiaoBiaoSong-B05S"/>
          <w:kern w:val="0"/>
          <w:sz w:val="32"/>
          <w:szCs w:val="32"/>
          <w:shd w:val="clear" w:color="auto" w:fill="FFFFFF"/>
        </w:rPr>
        <w:t>；</w:t>
      </w:r>
    </w:p>
    <w:p>
      <w:pPr>
        <w:snapToGrid w:val="0"/>
        <w:spacing w:line="560" w:lineRule="exact"/>
        <w:ind w:firstLine="640" w:firstLineChars="200"/>
        <w:rPr>
          <w:rFonts w:ascii="仿宋_GB2312" w:eastAsia="仿宋_GB2312" w:cs="FZXiaoBiaoSong-B05S"/>
          <w:kern w:val="0"/>
          <w:sz w:val="32"/>
          <w:szCs w:val="32"/>
          <w:shd w:val="clear" w:color="auto" w:fill="FFFFFF"/>
        </w:rPr>
      </w:pPr>
      <w:r>
        <w:rPr>
          <w:rFonts w:ascii="仿宋_GB2312" w:eastAsia="仿宋_GB2312" w:cs="FZXiaoBiaoSong-B05S"/>
          <w:kern w:val="0"/>
          <w:sz w:val="32"/>
          <w:szCs w:val="32"/>
          <w:shd w:val="clear" w:color="auto" w:fill="FFFFFF"/>
        </w:rPr>
        <w:t>（五）溯及既往效力的规定，但有利于公民、法人或其他组织的除外</w:t>
      </w:r>
      <w:r>
        <w:rPr>
          <w:rFonts w:hint="eastAsia" w:ascii="仿宋_GB2312" w:eastAsia="仿宋_GB2312" w:cs="FZXiaoBiaoSong-B05S"/>
          <w:kern w:val="0"/>
          <w:sz w:val="32"/>
          <w:szCs w:val="32"/>
          <w:shd w:val="clear" w:color="auto" w:fill="FFFFFF"/>
        </w:rPr>
        <w:t>；</w:t>
      </w:r>
    </w:p>
    <w:p>
      <w:pPr>
        <w:pStyle w:val="36"/>
        <w:spacing w:line="560" w:lineRule="exact"/>
        <w:ind w:firstLine="640" w:firstLineChars="200"/>
        <w:rPr>
          <w:rFonts w:ascii="仿宋_GB2312" w:eastAsia="仿宋_GB2312"/>
          <w:color w:val="auto"/>
          <w:sz w:val="32"/>
          <w:szCs w:val="32"/>
          <w:shd w:val="clear" w:color="auto" w:fill="FFFFFF"/>
        </w:rPr>
      </w:pPr>
      <w:r>
        <w:rPr>
          <w:rFonts w:ascii="仿宋_GB2312" w:eastAsia="仿宋_GB2312"/>
          <w:color w:val="auto"/>
          <w:sz w:val="32"/>
          <w:szCs w:val="32"/>
          <w:shd w:val="clear" w:color="auto" w:fill="FFFFFF"/>
        </w:rPr>
        <w:t>（六）法律、法规、规章规定的其他事项。</w:t>
      </w:r>
    </w:p>
    <w:p>
      <w:pPr>
        <w:pStyle w:val="36"/>
        <w:spacing w:line="560" w:lineRule="exact"/>
        <w:ind w:firstLine="620"/>
        <w:rPr>
          <w:rFonts w:ascii="仿宋_GB2312" w:hAnsi="Calibri" w:eastAsia="仿宋_GB2312" w:cs="仿宋_GB2312"/>
          <w:color w:val="auto"/>
          <w:sz w:val="32"/>
          <w:szCs w:val="32"/>
        </w:rPr>
      </w:pPr>
      <w:r>
        <w:rPr>
          <w:rFonts w:hint="eastAsia" w:ascii="黑体" w:hAnsi="Calibri" w:eastAsia="黑体" w:cs="黑体"/>
          <w:color w:val="auto"/>
          <w:sz w:val="32"/>
          <w:szCs w:val="32"/>
        </w:rPr>
        <w:t>第十条</w:t>
      </w:r>
      <w:r>
        <w:rPr>
          <w:rFonts w:hint="eastAsia" w:ascii="黑体" w:hAnsi="Calibri" w:eastAsia="黑体" w:cs="黑体"/>
          <w:color w:val="auto"/>
          <w:szCs w:val="32"/>
        </w:rPr>
        <w:t xml:space="preserve">  </w:t>
      </w:r>
      <w:r>
        <w:rPr>
          <w:rFonts w:hint="eastAsia" w:ascii="仿宋_GB2312" w:hAnsi="Calibri" w:eastAsia="仿宋_GB2312" w:cs="仿宋_GB2312"/>
          <w:color w:val="auto"/>
          <w:sz w:val="32"/>
          <w:szCs w:val="32"/>
        </w:rPr>
        <w:t>起草单位拟定规范性文件草案后</w:t>
      </w:r>
      <w:r>
        <w:rPr>
          <w:rFonts w:ascii="仿宋_GB2312" w:hAnsi="Calibri" w:eastAsia="仿宋_GB2312" w:cs="仿宋_GB2312"/>
          <w:color w:val="auto"/>
          <w:sz w:val="32"/>
          <w:szCs w:val="32"/>
        </w:rPr>
        <w:t>,</w:t>
      </w:r>
      <w:r>
        <w:rPr>
          <w:rFonts w:hint="eastAsia" w:ascii="仿宋_GB2312" w:hAnsi="Calibri" w:eastAsia="仿宋_GB2312" w:cs="仿宋_GB2312"/>
          <w:color w:val="auto"/>
          <w:sz w:val="32"/>
          <w:szCs w:val="32"/>
        </w:rPr>
        <w:t>应当同时完成起草说明。起草说明包括下列主要内容:</w:t>
      </w:r>
    </w:p>
    <w:p>
      <w:pPr>
        <w:autoSpaceDE w:val="0"/>
        <w:autoSpaceDN w:val="0"/>
        <w:adjustRightInd w:val="0"/>
        <w:spacing w:line="560" w:lineRule="exact"/>
        <w:ind w:firstLine="62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（一）</w:t>
      </w:r>
      <w:r>
        <w:rPr>
          <w:rFonts w:hint="eastAsia" w:ascii="仿宋_GB2312" w:eastAsia="仿宋_GB2312" w:cs="仿宋_GB2312"/>
          <w:sz w:val="32"/>
          <w:szCs w:val="32"/>
        </w:rPr>
        <w:t>制定规范性文件必要性和可行性</w:t>
      </w:r>
      <w:r>
        <w:rPr>
          <w:rFonts w:hint="eastAsia" w:ascii="仿宋_GB2312" w:hAnsi="Calibri" w:eastAsia="仿宋_GB2312" w:cs="仿宋_GB2312"/>
          <w:kern w:val="0"/>
          <w:sz w:val="32"/>
          <w:szCs w:val="32"/>
        </w:rPr>
        <w:t xml:space="preserve">； </w:t>
      </w:r>
    </w:p>
    <w:p>
      <w:pPr>
        <w:autoSpaceDE w:val="0"/>
        <w:autoSpaceDN w:val="0"/>
        <w:adjustRightInd w:val="0"/>
        <w:spacing w:line="560" w:lineRule="exact"/>
        <w:ind w:firstLine="62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（二）起草的过程；</w:t>
      </w:r>
    </w:p>
    <w:p>
      <w:pPr>
        <w:autoSpaceDE w:val="0"/>
        <w:autoSpaceDN w:val="0"/>
        <w:adjustRightInd w:val="0"/>
        <w:spacing w:line="560" w:lineRule="exact"/>
        <w:ind w:firstLine="620"/>
        <w:rPr>
          <w:rFonts w:ascii="仿宋_GB2312" w:hAnsi="Calibri" w:eastAsia="仿宋_GB2312" w:cs="仿宋_GB2312"/>
          <w:kern w:val="0"/>
          <w:sz w:val="32"/>
          <w:szCs w:val="32"/>
        </w:rPr>
      </w:pPr>
      <w:r>
        <w:rPr>
          <w:rFonts w:hint="eastAsia" w:ascii="仿宋_GB2312" w:eastAsia="仿宋_GB2312" w:cs="仿宋_GB2312"/>
          <w:sz w:val="32"/>
          <w:szCs w:val="32"/>
        </w:rPr>
        <w:t>（三）需要解决的主要问题；</w:t>
      </w:r>
    </w:p>
    <w:p>
      <w:pPr>
        <w:autoSpaceDE w:val="0"/>
        <w:autoSpaceDN w:val="0"/>
        <w:adjustRightInd w:val="0"/>
        <w:spacing w:line="560" w:lineRule="exact"/>
        <w:ind w:firstLine="62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（四）</w:t>
      </w:r>
      <w:r>
        <w:rPr>
          <w:rFonts w:hint="eastAsia" w:ascii="仿宋_GB2312" w:eastAsia="仿宋_GB2312" w:cs="仿宋_GB2312"/>
          <w:sz w:val="32"/>
          <w:szCs w:val="32"/>
        </w:rPr>
        <w:t>拟规定主要制度和拟采取主要措施</w:t>
      </w:r>
      <w:r>
        <w:rPr>
          <w:rFonts w:hint="eastAsia" w:ascii="仿宋_GB2312" w:hAnsi="Calibri" w:eastAsia="仿宋_GB2312" w:cs="仿宋_GB2312"/>
          <w:kern w:val="0"/>
          <w:sz w:val="32"/>
          <w:szCs w:val="32"/>
        </w:rPr>
        <w:t xml:space="preserve">； </w:t>
      </w:r>
    </w:p>
    <w:p>
      <w:pPr>
        <w:autoSpaceDE w:val="0"/>
        <w:autoSpaceDN w:val="0"/>
        <w:adjustRightInd w:val="0"/>
        <w:spacing w:line="560" w:lineRule="exact"/>
        <w:ind w:firstLine="62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（五）</w:t>
      </w:r>
      <w:r>
        <w:rPr>
          <w:rFonts w:hint="eastAsia" w:ascii="仿宋_GB2312" w:eastAsia="仿宋_GB2312" w:cs="仿宋_GB2312"/>
          <w:sz w:val="32"/>
          <w:szCs w:val="32"/>
        </w:rPr>
        <w:t>有关方面意见协调处理情况等；</w:t>
      </w:r>
    </w:p>
    <w:p>
      <w:pPr>
        <w:autoSpaceDE w:val="0"/>
        <w:autoSpaceDN w:val="0"/>
        <w:adjustRightInd w:val="0"/>
        <w:spacing w:line="560" w:lineRule="exact"/>
        <w:ind w:firstLine="620"/>
        <w:rPr>
          <w:rFonts w:ascii="仿宋_GB2312" w:hAnsi="Calibri" w:eastAsia="仿宋_GB2312" w:cs="黑体"/>
          <w:kern w:val="0"/>
          <w:sz w:val="32"/>
          <w:szCs w:val="32"/>
        </w:rPr>
      </w:pPr>
      <w:r>
        <w:rPr>
          <w:rFonts w:hint="eastAsia" w:ascii="仿宋_GB2312" w:hAnsi="Calibri" w:eastAsia="仿宋_GB2312" w:cs="仿宋_GB2312"/>
          <w:kern w:val="0"/>
          <w:sz w:val="32"/>
          <w:szCs w:val="32"/>
        </w:rPr>
        <w:t>（六）其他需要说明的事项。</w:t>
      </w:r>
    </w:p>
    <w:p>
      <w:pPr>
        <w:pStyle w:val="36"/>
        <w:spacing w:line="560" w:lineRule="exact"/>
        <w:ind w:firstLine="640" w:firstLineChars="200"/>
        <w:rPr>
          <w:rFonts w:ascii="仿宋_GB2312" w:hAnsi="Calibri" w:eastAsia="仿宋_GB2312" w:cs="仿宋_GB2312"/>
          <w:color w:val="FF0000"/>
          <w:sz w:val="32"/>
          <w:szCs w:val="32"/>
        </w:rPr>
      </w:pPr>
      <w:r>
        <w:rPr>
          <w:rFonts w:hint="eastAsia" w:ascii="黑体" w:eastAsia="黑体"/>
          <w:color w:val="auto"/>
          <w:sz w:val="32"/>
          <w:szCs w:val="32"/>
          <w:shd w:val="clear" w:color="auto" w:fill="FFFFFF"/>
        </w:rPr>
        <w:t xml:space="preserve">第十一条 </w:t>
      </w:r>
      <w:r>
        <w:rPr>
          <w:rFonts w:hint="eastAsia" w:ascii="仿宋_GB2312" w:hAnsi="Calibri" w:eastAsia="仿宋_GB2312" w:cs="仿宋_GB2312"/>
          <w:sz w:val="32"/>
          <w:szCs w:val="32"/>
        </w:rPr>
        <w:t>起草单位拟定规范性文件草案后</w:t>
      </w:r>
      <w:r>
        <w:rPr>
          <w:rFonts w:ascii="仿宋_GB2312" w:hAnsi="Calibri" w:eastAsia="仿宋_GB2312" w:cs="仿宋_GB2312"/>
          <w:sz w:val="32"/>
          <w:szCs w:val="32"/>
        </w:rPr>
        <w:t>,</w:t>
      </w:r>
      <w:r>
        <w:rPr>
          <w:rFonts w:hint="eastAsia" w:ascii="仿宋_GB2312" w:hAnsi="Calibri" w:eastAsia="仿宋_GB2312" w:cs="仿宋_GB2312"/>
          <w:sz w:val="32"/>
          <w:szCs w:val="32"/>
        </w:rPr>
        <w:t>应当同时完成政策解读方案。政策解读要全面、准确阐明文件的出台背景、主要依据、对象范围、重点内容、特色亮点、惠民举措、办事指引、新老政策差异等，对涉及群众切身利益的政策调整要进行重点精细解读，切实提高政策的知晓度和执行力。</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sz w:val="32"/>
          <w:szCs w:val="32"/>
        </w:rPr>
        <w:t>政策解读方案要统筹运用文稿解读、专家解读、政策问答、在线访谈、媒体专访、新闻发布会等解读形式</w:t>
      </w:r>
      <w:r>
        <w:rPr>
          <w:rFonts w:hint="eastAsia" w:ascii="仿宋_GB2312" w:hAnsi="Calibri" w:eastAsia="仿宋_GB2312" w:cs="仿宋_GB2312"/>
          <w:kern w:val="0"/>
          <w:sz w:val="32"/>
          <w:szCs w:val="32"/>
        </w:rPr>
        <w:t>，拓展传播范围，正确引导舆论。</w:t>
      </w:r>
    </w:p>
    <w:p>
      <w:pPr>
        <w:pStyle w:val="36"/>
        <w:spacing w:line="560" w:lineRule="exact"/>
        <w:ind w:firstLine="640" w:firstLineChars="200"/>
        <w:rPr>
          <w:rFonts w:ascii="仿宋_GB2312" w:eastAsia="仿宋_GB2312" w:cs="仿宋_GB2312"/>
          <w:color w:val="FF0000"/>
          <w:sz w:val="32"/>
          <w:szCs w:val="32"/>
        </w:rPr>
      </w:pPr>
      <w:r>
        <w:rPr>
          <w:rFonts w:hint="eastAsia" w:ascii="黑体" w:eastAsia="黑体"/>
          <w:color w:val="auto"/>
          <w:sz w:val="32"/>
          <w:szCs w:val="32"/>
          <w:shd w:val="clear" w:color="auto" w:fill="FFFFFF"/>
        </w:rPr>
        <w:t xml:space="preserve">第十二条 </w:t>
      </w:r>
      <w:r>
        <w:rPr>
          <w:rFonts w:hint="eastAsia" w:ascii="仿宋_GB2312" w:eastAsia="仿宋_GB2312"/>
          <w:color w:val="auto"/>
          <w:sz w:val="32"/>
          <w:szCs w:val="32"/>
          <w:shd w:val="clear" w:color="auto" w:fill="FFFFFF"/>
        </w:rPr>
        <w:t>起草单位应当充分征求其他</w:t>
      </w:r>
      <w:r>
        <w:rPr>
          <w:rFonts w:hint="eastAsia" w:ascii="仿宋_GB2312" w:eastAsia="仿宋_GB2312" w:cs="仿宋_GB2312"/>
          <w:sz w:val="32"/>
          <w:szCs w:val="32"/>
        </w:rPr>
        <w:t>相关单位的意见，</w:t>
      </w:r>
      <w:r>
        <w:rPr>
          <w:rFonts w:hint="eastAsia" w:ascii="仿宋_GB2312" w:eastAsia="仿宋_GB2312" w:cs="仿宋_GB2312"/>
          <w:color w:val="auto"/>
          <w:sz w:val="32"/>
          <w:szCs w:val="32"/>
        </w:rPr>
        <w:t>对相关单位的意见采纳情况，应当在起草说明中载明。</w:t>
      </w:r>
    </w:p>
    <w:p>
      <w:pPr>
        <w:pStyle w:val="36"/>
        <w:spacing w:line="560" w:lineRule="exact"/>
        <w:ind w:firstLine="640" w:firstLineChars="200"/>
        <w:rPr>
          <w:rFonts w:ascii="仿宋_GB2312" w:hAnsi="Calibri" w:eastAsia="仿宋_GB2312" w:cs="仿宋_GB2312"/>
          <w:color w:val="auto"/>
          <w:sz w:val="32"/>
          <w:szCs w:val="32"/>
        </w:rPr>
      </w:pPr>
      <w:r>
        <w:rPr>
          <w:rFonts w:hint="eastAsia" w:ascii="黑体" w:eastAsia="黑体"/>
          <w:color w:val="auto"/>
          <w:sz w:val="32"/>
          <w:szCs w:val="32"/>
          <w:shd w:val="clear" w:color="auto" w:fill="FFFFFF"/>
        </w:rPr>
        <w:t xml:space="preserve">第十三条 </w:t>
      </w:r>
      <w:r>
        <w:rPr>
          <w:rFonts w:hint="eastAsia" w:ascii="仿宋_GB2312" w:hAnsi="Calibri" w:eastAsia="仿宋_GB2312" w:cs="仿宋_GB2312"/>
          <w:sz w:val="32"/>
          <w:szCs w:val="32"/>
        </w:rPr>
        <w:t>起草单位完成征求其他单位意见程序后，除依法不得公开及简化程序制定的规范性文件外，应当公开征求意见。公开征求意见应当通过市政府门户网站、政务新媒体等渠道公布规范性文件文本，期限一般不少</w:t>
      </w:r>
      <w:r>
        <w:rPr>
          <w:rFonts w:hint="eastAsia" w:ascii="仿宋_GB2312" w:hAnsi="Calibri" w:eastAsia="仿宋_GB2312" w:cs="仿宋_GB2312"/>
          <w:color w:val="auto"/>
          <w:sz w:val="32"/>
          <w:szCs w:val="32"/>
        </w:rPr>
        <w:t>于</w:t>
      </w:r>
      <w:r>
        <w:rPr>
          <w:rFonts w:ascii="仿宋_GB2312" w:hAnsi="Calibri" w:eastAsia="仿宋_GB2312" w:cs="仿宋_GB2312"/>
          <w:color w:val="auto"/>
          <w:sz w:val="32"/>
          <w:szCs w:val="32"/>
        </w:rPr>
        <w:t>7</w:t>
      </w:r>
      <w:r>
        <w:rPr>
          <w:rFonts w:hint="eastAsia" w:ascii="仿宋_GB2312" w:hAnsi="Calibri" w:eastAsia="仿宋_GB2312" w:cs="仿宋_GB2312"/>
          <w:color w:val="auto"/>
          <w:sz w:val="32"/>
          <w:szCs w:val="32"/>
        </w:rPr>
        <w:t>个工作日。属于局重大行政决策项目的规范性文件，公开征求意见期限一般不少于30日。</w:t>
      </w:r>
    </w:p>
    <w:p>
      <w:pPr>
        <w:pStyle w:val="36"/>
        <w:spacing w:line="560" w:lineRule="exact"/>
        <w:ind w:firstLine="640" w:firstLineChars="200"/>
        <w:rPr>
          <w:rFonts w:ascii="仿宋_GB2312" w:hAnsi="Calibri" w:eastAsia="仿宋_GB2312" w:cs="仿宋_GB2312"/>
          <w:sz w:val="32"/>
          <w:szCs w:val="32"/>
        </w:rPr>
      </w:pPr>
      <w:r>
        <w:rPr>
          <w:rFonts w:hint="eastAsia" w:ascii="黑体" w:eastAsia="黑体"/>
          <w:color w:val="auto"/>
          <w:sz w:val="32"/>
          <w:szCs w:val="32"/>
          <w:shd w:val="clear" w:color="auto" w:fill="FFFFFF"/>
        </w:rPr>
        <w:t xml:space="preserve">第十四条 </w:t>
      </w:r>
      <w:r>
        <w:rPr>
          <w:rFonts w:hint="eastAsia" w:ascii="仿宋_GB2312" w:hAnsi="Calibri" w:eastAsia="仿宋_GB2312" w:cs="仿宋_GB2312"/>
          <w:sz w:val="32"/>
          <w:szCs w:val="32"/>
        </w:rPr>
        <w:t>涉及专业性、技术性较强的规范性文件，应当组织相关领域专家进行论证。</w:t>
      </w:r>
    </w:p>
    <w:p>
      <w:pPr>
        <w:pStyle w:val="36"/>
        <w:spacing w:line="560" w:lineRule="exact"/>
        <w:ind w:firstLine="640" w:firstLineChars="200"/>
        <w:rPr>
          <w:rFonts w:ascii="仿宋_GB2312" w:hAnsi="Calibri" w:eastAsia="仿宋_GB2312" w:cs="仿宋_GB2312"/>
          <w:sz w:val="32"/>
          <w:szCs w:val="32"/>
        </w:rPr>
      </w:pPr>
      <w:r>
        <w:rPr>
          <w:rFonts w:hint="eastAsia" w:ascii="黑体" w:eastAsia="黑体"/>
          <w:color w:val="auto"/>
          <w:sz w:val="32"/>
          <w:szCs w:val="32"/>
          <w:shd w:val="clear" w:color="auto" w:fill="FFFFFF"/>
        </w:rPr>
        <w:t xml:space="preserve">第十五条 </w:t>
      </w:r>
      <w:r>
        <w:rPr>
          <w:rFonts w:hint="eastAsia" w:ascii="仿宋_GB2312" w:hAnsi="Calibri" w:eastAsia="仿宋_GB2312" w:cs="仿宋_GB2312"/>
          <w:sz w:val="32"/>
          <w:szCs w:val="32"/>
        </w:rPr>
        <w:t>涉及社会稳定、市场主体经济活动或性别平等保护内容的规范性文件，应当按照国家、省和市有关规定进行风险评估、</w:t>
      </w:r>
      <w:r>
        <w:rPr>
          <w:rFonts w:hint="eastAsia" w:ascii="仿宋_GB2312" w:hAnsi="Calibri" w:eastAsia="仿宋_GB2312" w:cs="仿宋_GB2312"/>
          <w:color w:val="auto"/>
          <w:sz w:val="32"/>
          <w:szCs w:val="32"/>
        </w:rPr>
        <w:t>公平竞争审查</w:t>
      </w:r>
      <w:r>
        <w:rPr>
          <w:rFonts w:hint="eastAsia" w:ascii="仿宋_GB2312" w:hAnsi="Calibri" w:eastAsia="仿宋_GB2312" w:cs="仿宋_GB2312"/>
          <w:sz w:val="32"/>
          <w:szCs w:val="32"/>
        </w:rPr>
        <w:t>或性别平等咨询评估。</w:t>
      </w:r>
    </w:p>
    <w:p>
      <w:pPr>
        <w:pStyle w:val="36"/>
        <w:spacing w:line="560" w:lineRule="exact"/>
        <w:ind w:firstLine="640" w:firstLineChars="200"/>
        <w:rPr>
          <w:rFonts w:ascii="仿宋_GB2312" w:hAnsi="Calibri" w:eastAsia="仿宋_GB2312" w:cs="仿宋_GB2312"/>
          <w:sz w:val="32"/>
          <w:szCs w:val="32"/>
        </w:rPr>
      </w:pPr>
      <w:r>
        <w:rPr>
          <w:rFonts w:hint="eastAsia" w:ascii="黑体" w:eastAsia="黑体"/>
          <w:color w:val="auto"/>
          <w:sz w:val="32"/>
          <w:szCs w:val="32"/>
          <w:shd w:val="clear" w:color="auto" w:fill="FFFFFF"/>
        </w:rPr>
        <w:t xml:space="preserve">第十六条 </w:t>
      </w:r>
      <w:r>
        <w:rPr>
          <w:rFonts w:hint="eastAsia" w:ascii="仿宋_GB2312" w:hAnsi="Calibri" w:eastAsia="仿宋_GB2312" w:cs="仿宋_GB2312"/>
          <w:sz w:val="32"/>
          <w:szCs w:val="32"/>
        </w:rPr>
        <w:t>涉及重大利益调整、存在重大意见分歧、公众普遍关注等情形的规范性文件，起草单位应深入调查研究，采取座谈会、论证会、实地走访等多种形式，充分听取各方意见。</w:t>
      </w:r>
    </w:p>
    <w:p>
      <w:pPr>
        <w:pStyle w:val="36"/>
        <w:spacing w:line="560" w:lineRule="exact"/>
        <w:ind w:firstLine="640" w:firstLineChars="200"/>
        <w:rPr>
          <w:rFonts w:ascii="仿宋_GB2312" w:hAnsi="Calibri" w:eastAsia="仿宋_GB2312" w:cs="仿宋_GB2312"/>
          <w:color w:val="FF0000"/>
          <w:sz w:val="32"/>
          <w:szCs w:val="32"/>
        </w:rPr>
      </w:pPr>
      <w:r>
        <w:rPr>
          <w:rFonts w:hint="eastAsia" w:ascii="黑体" w:eastAsia="黑体"/>
          <w:color w:val="auto"/>
          <w:sz w:val="32"/>
          <w:szCs w:val="32"/>
          <w:shd w:val="clear" w:color="auto" w:fill="FFFFFF"/>
        </w:rPr>
        <w:t xml:space="preserve">第十七条 </w:t>
      </w:r>
      <w:r>
        <w:rPr>
          <w:rFonts w:hint="eastAsia" w:ascii="仿宋_GB2312" w:hAnsi="Calibri" w:eastAsia="仿宋_GB2312" w:cs="仿宋_GB2312"/>
          <w:color w:val="auto"/>
          <w:sz w:val="32"/>
          <w:szCs w:val="32"/>
        </w:rPr>
        <w:t>涉及民营企业的规范性文件，起草单位应当按照规定程序听取有代表性企业和行业协会、商会意见。</w:t>
      </w:r>
    </w:p>
    <w:p>
      <w:pPr>
        <w:autoSpaceDE w:val="0"/>
        <w:autoSpaceDN w:val="0"/>
        <w:adjustRightInd w:val="0"/>
        <w:spacing w:line="560" w:lineRule="exact"/>
        <w:ind w:firstLine="640"/>
        <w:rPr>
          <w:rFonts w:ascii="仿宋_GB2312" w:hAnsi="Calibri" w:eastAsia="仿宋_GB2312"/>
          <w:kern w:val="0"/>
          <w:sz w:val="32"/>
          <w:szCs w:val="32"/>
        </w:rPr>
      </w:pPr>
      <w:r>
        <w:rPr>
          <w:rFonts w:hint="eastAsia" w:ascii="黑体" w:eastAsia="黑体"/>
          <w:sz w:val="32"/>
          <w:szCs w:val="32"/>
        </w:rPr>
        <w:t xml:space="preserve">第十八条 </w:t>
      </w:r>
      <w:r>
        <w:rPr>
          <w:rFonts w:hint="eastAsia" w:ascii="仿宋_GB2312" w:hAnsi="Calibri" w:eastAsia="仿宋_GB2312" w:cs="仿宋_GB2312"/>
          <w:color w:val="000000"/>
          <w:kern w:val="0"/>
          <w:sz w:val="32"/>
          <w:szCs w:val="32"/>
        </w:rPr>
        <w:t>起草单位应当认真研究有关单位和个人提出的意见和建议，将反馈意见及采纳情况纳入起草说明。对未采纳的意见和</w:t>
      </w:r>
      <w:r>
        <w:rPr>
          <w:rFonts w:hint="eastAsia" w:ascii="仿宋_GB2312" w:hAnsi="Calibri" w:eastAsia="仿宋_GB2312"/>
          <w:kern w:val="0"/>
          <w:sz w:val="32"/>
          <w:szCs w:val="32"/>
        </w:rPr>
        <w:t>建议，应当向建议人作出说明。</w:t>
      </w:r>
    </w:p>
    <w:p>
      <w:pPr>
        <w:pStyle w:val="36"/>
        <w:spacing w:beforeLines="100" w:afterLines="100" w:line="560" w:lineRule="exact"/>
        <w:jc w:val="center"/>
        <w:rPr>
          <w:rFonts w:ascii="仿宋_GB2312" w:eastAsia="仿宋_GB2312"/>
          <w:color w:val="auto"/>
          <w:sz w:val="32"/>
          <w:szCs w:val="32"/>
          <w:shd w:val="clear" w:color="auto" w:fill="FFFFFF"/>
        </w:rPr>
      </w:pPr>
      <w:r>
        <w:rPr>
          <w:rFonts w:hint="eastAsia" w:ascii="黑体" w:eastAsia="黑体"/>
          <w:sz w:val="32"/>
          <w:szCs w:val="32"/>
        </w:rPr>
        <w:t>第三章 审   核</w:t>
      </w:r>
    </w:p>
    <w:p>
      <w:pPr>
        <w:pStyle w:val="36"/>
        <w:spacing w:line="560" w:lineRule="exact"/>
        <w:ind w:firstLine="640" w:firstLineChars="200"/>
        <w:rPr>
          <w:rFonts w:ascii="仿宋_GB2312" w:eastAsia="仿宋_GB2312" w:cs="仿宋_GB2312"/>
          <w:sz w:val="32"/>
          <w:szCs w:val="32"/>
        </w:rPr>
      </w:pPr>
      <w:r>
        <w:rPr>
          <w:rFonts w:hint="eastAsia" w:ascii="黑体" w:eastAsia="黑体"/>
          <w:sz w:val="32"/>
          <w:szCs w:val="32"/>
        </w:rPr>
        <w:t>第十九条</w:t>
      </w:r>
      <w:r>
        <w:rPr>
          <w:rFonts w:hint="eastAsia"/>
          <w:sz w:val="32"/>
          <w:szCs w:val="32"/>
        </w:rPr>
        <w:t xml:space="preserve"> </w:t>
      </w:r>
      <w:r>
        <w:rPr>
          <w:rFonts w:hint="eastAsia" w:ascii="仿宋_GB2312" w:eastAsia="仿宋_GB2312" w:cs="仿宋_GB2312"/>
          <w:sz w:val="32"/>
          <w:szCs w:val="32"/>
        </w:rPr>
        <w:t>报送政策法规处审核的规范性文件材料包括：</w:t>
      </w:r>
    </w:p>
    <w:p>
      <w:pPr>
        <w:pStyle w:val="36"/>
        <w:spacing w:line="560" w:lineRule="exact"/>
        <w:ind w:firstLine="640" w:firstLineChars="200"/>
        <w:rPr>
          <w:rFonts w:ascii="仿宋_GB2312" w:hAnsi="Calibri" w:eastAsia="仿宋_GB2312" w:cs="仿宋_GB2312"/>
          <w:sz w:val="32"/>
          <w:szCs w:val="32"/>
        </w:rPr>
      </w:pPr>
      <w:r>
        <w:rPr>
          <w:rFonts w:hint="eastAsia" w:ascii="仿宋_GB2312" w:eastAsia="仿宋_GB2312" w:cs="仿宋_GB2312"/>
          <w:sz w:val="32"/>
          <w:szCs w:val="32"/>
        </w:rPr>
        <w:t>（一）规范性文件送审稿、政策解读及起草说明；</w:t>
      </w:r>
    </w:p>
    <w:p>
      <w:pPr>
        <w:pStyle w:val="36"/>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（二）公开征求意见和征求相关单位意见的材料。包括征求意见形式、范围、意见采纳情况说明等；</w:t>
      </w:r>
    </w:p>
    <w:p>
      <w:pPr>
        <w:pStyle w:val="36"/>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（三）专家论证、公平竞争审查、风险评估、性别平等咨询、听证等相关材料；</w:t>
      </w:r>
    </w:p>
    <w:p>
      <w:pPr>
        <w:pStyle w:val="36"/>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（四）有代表性民营企业和行业协会、商会征求意见材料；</w:t>
      </w:r>
    </w:p>
    <w:p>
      <w:pPr>
        <w:pStyle w:val="36"/>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（五）依据法律、法规、规章及上级机关规范性文件文本；</w:t>
      </w:r>
    </w:p>
    <w:p>
      <w:pPr>
        <w:pStyle w:val="36"/>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（六）其他有关材料。</w:t>
      </w:r>
    </w:p>
    <w:p>
      <w:pPr>
        <w:pStyle w:val="36"/>
        <w:spacing w:line="560" w:lineRule="exact"/>
        <w:ind w:firstLine="640" w:firstLineChars="200"/>
        <w:rPr>
          <w:rFonts w:ascii="仿宋_GB2312" w:eastAsia="仿宋_GB2312"/>
          <w:sz w:val="32"/>
          <w:szCs w:val="32"/>
        </w:rPr>
      </w:pPr>
      <w:r>
        <w:rPr>
          <w:rFonts w:hint="eastAsia" w:ascii="黑体" w:eastAsia="黑体"/>
          <w:sz w:val="32"/>
          <w:szCs w:val="32"/>
        </w:rPr>
        <w:t xml:space="preserve">第二十条 </w:t>
      </w:r>
      <w:r>
        <w:rPr>
          <w:rFonts w:hint="eastAsia" w:ascii="仿宋_GB2312" w:eastAsia="仿宋_GB2312"/>
          <w:sz w:val="32"/>
          <w:szCs w:val="32"/>
        </w:rPr>
        <w:t>政策法规处应当自收齐送审材料之日起</w:t>
      </w:r>
      <w:r>
        <w:rPr>
          <w:rFonts w:ascii="仿宋_GB2312" w:eastAsia="仿宋_GB2312"/>
          <w:sz w:val="32"/>
          <w:szCs w:val="32"/>
        </w:rPr>
        <w:t>10</w:t>
      </w:r>
      <w:r>
        <w:rPr>
          <w:rFonts w:hint="eastAsia" w:ascii="仿宋_GB2312" w:eastAsia="仿宋_GB2312"/>
          <w:sz w:val="32"/>
          <w:szCs w:val="32"/>
        </w:rPr>
        <w:t>个工作日内，出具合法性审核意见。内容复杂、争议较大或涉及其他重大问题等原因，经局负责人同意可以适当延期，但不得超过</w:t>
      </w:r>
      <w:r>
        <w:rPr>
          <w:rFonts w:ascii="仿宋_GB2312" w:eastAsia="仿宋_GB2312"/>
          <w:sz w:val="32"/>
          <w:szCs w:val="32"/>
        </w:rPr>
        <w:t>5</w:t>
      </w:r>
      <w:r>
        <w:rPr>
          <w:rFonts w:hint="eastAsia" w:ascii="仿宋_GB2312" w:eastAsia="仿宋_GB2312"/>
          <w:sz w:val="32"/>
          <w:szCs w:val="32"/>
        </w:rPr>
        <w:t>个工作日。</w:t>
      </w:r>
    </w:p>
    <w:p>
      <w:pPr>
        <w:pStyle w:val="36"/>
        <w:spacing w:line="560" w:lineRule="exact"/>
        <w:ind w:firstLine="640" w:firstLineChars="200"/>
        <w:rPr>
          <w:rFonts w:ascii="仿宋_GB2312" w:eastAsia="仿宋_GB2312"/>
          <w:sz w:val="32"/>
          <w:szCs w:val="32"/>
        </w:rPr>
      </w:pPr>
      <w:r>
        <w:rPr>
          <w:rFonts w:hint="eastAsia" w:ascii="黑体" w:eastAsia="黑体"/>
          <w:sz w:val="32"/>
          <w:szCs w:val="32"/>
        </w:rPr>
        <w:t xml:space="preserve">第二十一条 </w:t>
      </w:r>
      <w:r>
        <w:rPr>
          <w:rFonts w:hint="eastAsia" w:ascii="仿宋_GB2312" w:eastAsia="仿宋_GB2312"/>
          <w:sz w:val="32"/>
          <w:szCs w:val="32"/>
        </w:rPr>
        <w:t>合法性审核包括下列内容:</w:t>
      </w:r>
    </w:p>
    <w:p>
      <w:pPr>
        <w:pStyle w:val="36"/>
        <w:spacing w:line="560" w:lineRule="exact"/>
        <w:ind w:firstLine="640" w:firstLineChars="200"/>
        <w:rPr>
          <w:rFonts w:ascii="仿宋_GB2312" w:eastAsia="仿宋_GB2312"/>
          <w:sz w:val="32"/>
          <w:szCs w:val="32"/>
        </w:rPr>
      </w:pPr>
      <w:r>
        <w:rPr>
          <w:rFonts w:hint="eastAsia" w:ascii="仿宋_GB2312" w:eastAsia="仿宋_GB2312"/>
          <w:sz w:val="32"/>
          <w:szCs w:val="32"/>
        </w:rPr>
        <w:t>（一）是否符合制定机关的法定权限；</w:t>
      </w:r>
    </w:p>
    <w:p>
      <w:pPr>
        <w:pStyle w:val="36"/>
        <w:spacing w:line="560" w:lineRule="exact"/>
        <w:ind w:firstLine="640" w:firstLineChars="200"/>
        <w:rPr>
          <w:rFonts w:ascii="仿宋_GB2312" w:eastAsia="仿宋_GB2312"/>
          <w:sz w:val="32"/>
          <w:szCs w:val="32"/>
        </w:rPr>
      </w:pPr>
      <w:r>
        <w:rPr>
          <w:rFonts w:hint="eastAsia" w:ascii="仿宋_GB2312" w:eastAsia="仿宋_GB2312"/>
          <w:sz w:val="32"/>
          <w:szCs w:val="32"/>
        </w:rPr>
        <w:t>（二）是否按照法定程序制定；</w:t>
      </w:r>
    </w:p>
    <w:p>
      <w:pPr>
        <w:pStyle w:val="36"/>
        <w:spacing w:line="560" w:lineRule="exact"/>
        <w:ind w:firstLine="640" w:firstLineChars="200"/>
        <w:rPr>
          <w:rFonts w:ascii="仿宋_GB2312" w:eastAsia="仿宋_GB2312"/>
          <w:sz w:val="32"/>
          <w:szCs w:val="32"/>
        </w:rPr>
      </w:pPr>
      <w:r>
        <w:rPr>
          <w:rFonts w:hint="eastAsia" w:ascii="仿宋_GB2312" w:eastAsia="仿宋_GB2312"/>
          <w:sz w:val="32"/>
          <w:szCs w:val="32"/>
        </w:rPr>
        <w:t>（三）是否符合法律、法规、规章的规定。</w:t>
      </w:r>
    </w:p>
    <w:p>
      <w:pPr>
        <w:pStyle w:val="36"/>
        <w:spacing w:line="560" w:lineRule="exact"/>
        <w:ind w:firstLine="640" w:firstLineChars="200"/>
        <w:rPr>
          <w:rFonts w:ascii="仿宋_GB2312" w:eastAsia="仿宋_GB2312"/>
          <w:sz w:val="32"/>
          <w:szCs w:val="32"/>
        </w:rPr>
      </w:pPr>
      <w:r>
        <w:rPr>
          <w:rFonts w:hint="eastAsia" w:ascii="仿宋_GB2312" w:eastAsia="仿宋_GB2312"/>
          <w:sz w:val="32"/>
          <w:szCs w:val="32"/>
        </w:rPr>
        <w:t>规范性文件在合理性、可行性及文字技术等方面存在问题，政策法规处应当提出修改意见和建议。</w:t>
      </w:r>
    </w:p>
    <w:p>
      <w:pPr>
        <w:pStyle w:val="36"/>
        <w:spacing w:line="560" w:lineRule="exact"/>
        <w:ind w:firstLine="640" w:firstLineChars="200"/>
        <w:rPr>
          <w:rFonts w:ascii="仿宋_GB2312" w:eastAsia="仿宋_GB2312"/>
          <w:sz w:val="32"/>
          <w:szCs w:val="32"/>
        </w:rPr>
      </w:pPr>
      <w:r>
        <w:rPr>
          <w:rFonts w:hint="eastAsia" w:ascii="黑体" w:eastAsia="黑体"/>
          <w:sz w:val="32"/>
          <w:szCs w:val="32"/>
        </w:rPr>
        <w:t xml:space="preserve">第二十二条 </w:t>
      </w:r>
      <w:r>
        <w:rPr>
          <w:rFonts w:hint="eastAsia" w:ascii="仿宋_GB2312" w:eastAsia="仿宋_GB2312"/>
          <w:sz w:val="32"/>
          <w:szCs w:val="32"/>
        </w:rPr>
        <w:t>经审核为不合法的规范性文件，起草单位应当修改完善后重新报送政策法规处组织合法性审核。</w:t>
      </w:r>
    </w:p>
    <w:p>
      <w:pPr>
        <w:pStyle w:val="36"/>
        <w:spacing w:beforeLines="100" w:afterLines="100" w:line="560" w:lineRule="exact"/>
        <w:jc w:val="center"/>
        <w:rPr>
          <w:rFonts w:ascii="仿宋_GB2312" w:eastAsia="仿宋_GB2312"/>
          <w:color w:val="auto"/>
          <w:sz w:val="32"/>
          <w:szCs w:val="32"/>
          <w:shd w:val="clear" w:color="auto" w:fill="FFFFFF"/>
        </w:rPr>
      </w:pPr>
      <w:r>
        <w:rPr>
          <w:rFonts w:hint="eastAsia" w:ascii="黑体" w:eastAsia="黑体"/>
          <w:sz w:val="32"/>
          <w:szCs w:val="32"/>
        </w:rPr>
        <w:t>第四章 决定和公布</w:t>
      </w:r>
    </w:p>
    <w:p>
      <w:pPr>
        <w:pStyle w:val="36"/>
        <w:spacing w:line="560" w:lineRule="exact"/>
        <w:ind w:firstLine="640" w:firstLineChars="200"/>
        <w:rPr>
          <w:rFonts w:ascii="仿宋_GB2312" w:eastAsia="仿宋_GB2312"/>
          <w:sz w:val="32"/>
          <w:szCs w:val="32"/>
        </w:rPr>
      </w:pPr>
      <w:r>
        <w:rPr>
          <w:rFonts w:hint="eastAsia" w:ascii="黑体" w:eastAsia="黑体"/>
          <w:sz w:val="32"/>
          <w:szCs w:val="32"/>
        </w:rPr>
        <w:t xml:space="preserve">第二十三条 </w:t>
      </w:r>
      <w:r>
        <w:rPr>
          <w:rFonts w:hint="eastAsia" w:ascii="仿宋_GB2312" w:eastAsia="仿宋_GB2312"/>
          <w:sz w:val="32"/>
          <w:szCs w:val="32"/>
        </w:rPr>
        <w:t>通过合法性审核的规范性文件，由政策法规处统一编号后报</w:t>
      </w:r>
      <w:r>
        <w:rPr>
          <w:rFonts w:hint="eastAsia" w:ascii="仿宋_GB2312" w:hAnsi="宋体" w:eastAsia="仿宋_GB2312"/>
          <w:color w:val="auto"/>
          <w:sz w:val="32"/>
          <w:szCs w:val="32"/>
        </w:rPr>
        <w:t>办公</w:t>
      </w:r>
      <w:r>
        <w:rPr>
          <w:rFonts w:hint="eastAsia" w:ascii="仿宋_GB2312" w:eastAsia="仿宋_GB2312"/>
          <w:sz w:val="32"/>
          <w:szCs w:val="32"/>
        </w:rPr>
        <w:t>室初步审查，办公室认为可以提交审议的送审稿，应当请示局分管领导和主要领导同意后提交局长办公会议或局工作例会审议</w:t>
      </w:r>
      <w:r>
        <w:rPr>
          <w:rFonts w:hint="eastAsia" w:ascii="仿宋_GB2312" w:hAnsi="宋体" w:eastAsia="仿宋_GB2312"/>
          <w:color w:val="auto"/>
          <w:sz w:val="32"/>
          <w:szCs w:val="32"/>
        </w:rPr>
        <w:t>。</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提请</w:t>
      </w:r>
      <w:r>
        <w:rPr>
          <w:rFonts w:hint="eastAsia" w:ascii="仿宋_GB2312" w:eastAsia="仿宋_GB2312"/>
          <w:color w:val="000000"/>
          <w:sz w:val="32"/>
          <w:szCs w:val="32"/>
        </w:rPr>
        <w:t>局长办公会议或局工作例会</w:t>
      </w:r>
      <w:r>
        <w:rPr>
          <w:rFonts w:hint="eastAsia" w:ascii="仿宋_GB2312" w:hAnsi="Calibri" w:eastAsia="仿宋_GB2312" w:cs="仿宋_GB2312"/>
          <w:color w:val="000000"/>
          <w:kern w:val="0"/>
          <w:sz w:val="32"/>
          <w:szCs w:val="32"/>
        </w:rPr>
        <w:t xml:space="preserve">审议的规范性文件材料包括： </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（一）送审稿及起草说明；</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（二）征求意见的采纳情况报告；</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（三）政策法规处的合法性审核意见；</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（四）其他需要提请的材料。</w:t>
      </w:r>
    </w:p>
    <w:p>
      <w:pPr>
        <w:pStyle w:val="36"/>
        <w:spacing w:line="560" w:lineRule="exact"/>
        <w:ind w:firstLine="620"/>
        <w:rPr>
          <w:rFonts w:ascii="仿宋_GB2312" w:hAnsi="Calibri" w:eastAsia="仿宋_GB2312" w:cs="仿宋_GB2312"/>
          <w:sz w:val="32"/>
          <w:szCs w:val="32"/>
        </w:rPr>
      </w:pPr>
      <w:r>
        <w:rPr>
          <w:rFonts w:hint="eastAsia" w:ascii="黑体" w:hAnsi="Calibri" w:eastAsia="黑体" w:cs="黑体"/>
          <w:sz w:val="32"/>
          <w:szCs w:val="32"/>
        </w:rPr>
        <w:t xml:space="preserve">第二十四条 </w:t>
      </w:r>
      <w:r>
        <w:rPr>
          <w:rFonts w:hint="eastAsia" w:ascii="仿宋_GB2312" w:eastAsia="仿宋_GB2312"/>
          <w:sz w:val="32"/>
          <w:szCs w:val="32"/>
        </w:rPr>
        <w:t>局长办公会议或局工作例会</w:t>
      </w:r>
      <w:r>
        <w:rPr>
          <w:rFonts w:hint="eastAsia" w:ascii="仿宋_GB2312" w:hAnsi="Calibri" w:eastAsia="仿宋_GB2312" w:cs="仿宋_GB2312"/>
          <w:sz w:val="32"/>
          <w:szCs w:val="32"/>
        </w:rPr>
        <w:t>审议规范性文件，按照下列程序进行：</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（一）起草单位作起草说明；</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（二）列席单位发表意见；</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（三）分管领导和其他领导发表意见；</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（四）主要领导作出决定。</w:t>
      </w:r>
    </w:p>
    <w:p>
      <w:pPr>
        <w:autoSpaceDE w:val="0"/>
        <w:autoSpaceDN w:val="0"/>
        <w:adjustRightInd w:val="0"/>
        <w:spacing w:line="560" w:lineRule="exact"/>
        <w:ind w:firstLine="620"/>
        <w:rPr>
          <w:rFonts w:ascii="仿宋_GB2312" w:eastAsia="仿宋_GB2312"/>
          <w:sz w:val="32"/>
          <w:szCs w:val="32"/>
        </w:rPr>
      </w:pPr>
      <w:r>
        <w:rPr>
          <w:rFonts w:hint="eastAsia" w:ascii="仿宋_GB2312" w:eastAsia="仿宋_GB2312"/>
          <w:sz w:val="32"/>
          <w:szCs w:val="32"/>
        </w:rPr>
        <w:t>集体讨论情况和决定应当如实记录，不同意见应当如实载明。</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黑体" w:hAnsi="Calibri" w:eastAsia="黑体" w:cs="黑体"/>
          <w:color w:val="000000"/>
          <w:kern w:val="0"/>
          <w:sz w:val="32"/>
          <w:szCs w:val="32"/>
        </w:rPr>
        <w:t>第二十五条</w:t>
      </w:r>
      <w:r>
        <w:rPr>
          <w:rFonts w:hint="eastAsia" w:ascii="仿宋_GB2312" w:hAnsi="Calibri" w:eastAsia="仿宋_GB2312" w:cs="黑体"/>
          <w:color w:val="000000"/>
          <w:kern w:val="0"/>
          <w:sz w:val="32"/>
          <w:szCs w:val="32"/>
        </w:rPr>
        <w:t xml:space="preserve"> </w:t>
      </w:r>
      <w:r>
        <w:rPr>
          <w:rFonts w:hint="eastAsia" w:ascii="仿宋_GB2312" w:eastAsia="仿宋_GB2312"/>
          <w:color w:val="000000"/>
          <w:sz w:val="32"/>
          <w:szCs w:val="32"/>
        </w:rPr>
        <w:t>局长办公会议或局工作例会</w:t>
      </w:r>
      <w:r>
        <w:rPr>
          <w:rFonts w:hint="eastAsia" w:ascii="仿宋_GB2312" w:hAnsi="Calibri" w:eastAsia="仿宋_GB2312" w:cs="仿宋_GB2312"/>
          <w:color w:val="000000"/>
          <w:kern w:val="0"/>
          <w:sz w:val="32"/>
          <w:szCs w:val="32"/>
        </w:rPr>
        <w:t xml:space="preserve">就规范性文件作出的决定，按照下列规定办理： </w:t>
      </w:r>
    </w:p>
    <w:p>
      <w:pPr>
        <w:autoSpaceDE w:val="0"/>
        <w:autoSpaceDN w:val="0"/>
        <w:adjustRightInd w:val="0"/>
        <w:spacing w:line="560" w:lineRule="exact"/>
        <w:ind w:firstLine="620"/>
        <w:rPr>
          <w:rFonts w:ascii="仿宋_GB2312" w:hAnsi="Calibri" w:eastAsia="仿宋_GB2312"/>
          <w:kern w:val="0"/>
          <w:sz w:val="32"/>
          <w:szCs w:val="32"/>
        </w:rPr>
      </w:pPr>
      <w:r>
        <w:rPr>
          <w:rFonts w:hint="eastAsia" w:ascii="仿宋_GB2312" w:hAnsi="Calibri" w:eastAsia="仿宋_GB2312"/>
          <w:kern w:val="0"/>
          <w:sz w:val="32"/>
          <w:szCs w:val="32"/>
        </w:rPr>
        <w:t xml:space="preserve">（一）作出同意决定的，由办公室按规定行文并提请局领导签发予以公布； </w:t>
      </w:r>
    </w:p>
    <w:p>
      <w:pPr>
        <w:autoSpaceDE w:val="0"/>
        <w:autoSpaceDN w:val="0"/>
        <w:adjustRightInd w:val="0"/>
        <w:spacing w:line="560" w:lineRule="exact"/>
        <w:ind w:firstLine="620"/>
        <w:rPr>
          <w:rFonts w:ascii="仿宋_GB2312" w:hAnsi="Calibri" w:eastAsia="仿宋_GB2312"/>
          <w:kern w:val="0"/>
          <w:sz w:val="32"/>
          <w:szCs w:val="32"/>
        </w:rPr>
      </w:pPr>
      <w:r>
        <w:rPr>
          <w:rFonts w:hint="eastAsia" w:ascii="仿宋_GB2312" w:hAnsi="Calibri" w:eastAsia="仿宋_GB2312"/>
          <w:kern w:val="0"/>
          <w:sz w:val="32"/>
          <w:szCs w:val="32"/>
        </w:rPr>
        <w:t>（二）属文字性修改决定的，修改后由办公室按规定行文并提请局领导签发予以公布；属重大、原则性内容修改决定的，修改后按本办法规定重新进行合法性审核后，再安排重新审议决定；</w:t>
      </w:r>
    </w:p>
    <w:p>
      <w:pPr>
        <w:autoSpaceDE w:val="0"/>
        <w:autoSpaceDN w:val="0"/>
        <w:adjustRightInd w:val="0"/>
        <w:spacing w:line="560" w:lineRule="exact"/>
        <w:ind w:firstLine="620"/>
        <w:rPr>
          <w:rFonts w:ascii="仿宋_GB2312" w:hAnsi="Calibri" w:eastAsia="仿宋_GB2312"/>
          <w:kern w:val="0"/>
          <w:sz w:val="32"/>
          <w:szCs w:val="32"/>
        </w:rPr>
      </w:pPr>
      <w:r>
        <w:rPr>
          <w:rFonts w:hint="eastAsia" w:ascii="仿宋_GB2312" w:hAnsi="Calibri" w:eastAsia="仿宋_GB2312"/>
          <w:kern w:val="0"/>
          <w:sz w:val="32"/>
          <w:szCs w:val="32"/>
        </w:rPr>
        <w:t xml:space="preserve">（三）作出暂缓决定的，起草单位可根据实际情况变化提请再次审议，是否再次审议由局领导决定。暂缓时间超过1年的，不再审议。 </w:t>
      </w:r>
    </w:p>
    <w:p>
      <w:pPr>
        <w:autoSpaceDE w:val="0"/>
        <w:autoSpaceDN w:val="0"/>
        <w:adjustRightInd w:val="0"/>
        <w:spacing w:line="560" w:lineRule="exact"/>
        <w:ind w:firstLine="620"/>
        <w:rPr>
          <w:rFonts w:ascii="仿宋_GB2312" w:hAnsi="Calibri" w:eastAsia="仿宋_GB2312"/>
          <w:kern w:val="0"/>
          <w:sz w:val="32"/>
          <w:szCs w:val="32"/>
        </w:rPr>
      </w:pPr>
      <w:r>
        <w:rPr>
          <w:rFonts w:hint="eastAsia" w:ascii="仿宋_GB2312" w:hAnsi="Calibri" w:eastAsia="仿宋_GB2312"/>
          <w:kern w:val="0"/>
          <w:sz w:val="32"/>
          <w:szCs w:val="32"/>
        </w:rPr>
        <w:t xml:space="preserve">（四）作出不同意决定的，不再审议。 </w:t>
      </w:r>
    </w:p>
    <w:p>
      <w:pPr>
        <w:autoSpaceDE w:val="0"/>
        <w:autoSpaceDN w:val="0"/>
        <w:adjustRightInd w:val="0"/>
        <w:spacing w:line="560" w:lineRule="exact"/>
        <w:ind w:firstLine="620"/>
        <w:rPr>
          <w:rFonts w:ascii="仿宋_GB2312" w:eastAsia="仿宋_GB2312"/>
          <w:sz w:val="32"/>
          <w:szCs w:val="32"/>
        </w:rPr>
      </w:pPr>
      <w:r>
        <w:rPr>
          <w:rFonts w:hint="eastAsia" w:ascii="黑体" w:hAnsi="Calibri" w:eastAsia="黑体" w:cs="黑体"/>
          <w:color w:val="000000"/>
          <w:kern w:val="0"/>
          <w:sz w:val="32"/>
          <w:szCs w:val="32"/>
        </w:rPr>
        <w:t xml:space="preserve">第二十六条 </w:t>
      </w:r>
      <w:r>
        <w:rPr>
          <w:rFonts w:hint="eastAsia" w:ascii="仿宋_GB2312" w:eastAsia="仿宋_GB2312"/>
          <w:sz w:val="32"/>
          <w:szCs w:val="32"/>
        </w:rPr>
        <w:t>规范性文件应当由局主要负责人或其授权的其他负责人签发。</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黑体" w:hAnsi="Calibri" w:eastAsia="黑体" w:cs="黑体"/>
          <w:color w:val="000000"/>
          <w:kern w:val="0"/>
          <w:sz w:val="32"/>
          <w:szCs w:val="32"/>
        </w:rPr>
        <w:t>第二十七条</w:t>
      </w:r>
      <w:r>
        <w:rPr>
          <w:rFonts w:hint="eastAsia" w:ascii="仿宋_GB2312" w:hAnsi="Calibri" w:eastAsia="仿宋_GB2312" w:cs="黑体"/>
          <w:color w:val="000000"/>
          <w:kern w:val="0"/>
          <w:sz w:val="32"/>
          <w:szCs w:val="32"/>
        </w:rPr>
        <w:t xml:space="preserve"> </w:t>
      </w:r>
      <w:r>
        <w:rPr>
          <w:rFonts w:hint="eastAsia" w:ascii="仿宋_GB2312" w:hAnsi="Calibri" w:eastAsia="仿宋_GB2312" w:cs="仿宋_GB2312"/>
          <w:color w:val="000000"/>
          <w:kern w:val="0"/>
          <w:sz w:val="32"/>
          <w:szCs w:val="32"/>
        </w:rPr>
        <w:t>规范性文件印发后，办公室应当按照《中华人民共和国政府信息公开条例》的有关规定，在7个工作日内将正式文件及其电子文本转送市政府公报、市政府门户网站公布，同时在局门户网站公布。</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规范性文件公布时，一般应当同时公布政策解读或者以视频、图表等方式进行解读。</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未经公布的行政规范性文件，不得作为行政管理的依据。</w:t>
      </w:r>
    </w:p>
    <w:p>
      <w:pPr>
        <w:pStyle w:val="36"/>
        <w:spacing w:beforeLines="100" w:afterLines="100" w:line="560" w:lineRule="exact"/>
        <w:jc w:val="center"/>
        <w:rPr>
          <w:rFonts w:ascii="仿宋_GB2312" w:eastAsia="仿宋_GB2312"/>
          <w:color w:val="auto"/>
          <w:sz w:val="32"/>
          <w:szCs w:val="32"/>
          <w:shd w:val="clear" w:color="auto" w:fill="FFFFFF"/>
        </w:rPr>
      </w:pPr>
      <w:r>
        <w:rPr>
          <w:rFonts w:hint="eastAsia" w:ascii="黑体" w:eastAsia="黑体"/>
          <w:sz w:val="32"/>
          <w:szCs w:val="32"/>
        </w:rPr>
        <w:t>第五章 监督管理</w:t>
      </w:r>
    </w:p>
    <w:p>
      <w:pPr>
        <w:autoSpaceDE w:val="0"/>
        <w:autoSpaceDN w:val="0"/>
        <w:adjustRightInd w:val="0"/>
        <w:spacing w:line="560" w:lineRule="exact"/>
        <w:ind w:firstLine="620"/>
        <w:rPr>
          <w:rFonts w:ascii="仿宋_GB2312" w:hAnsi="Calibri" w:eastAsia="仿宋_GB2312" w:cs="仿宋_GB2312"/>
          <w:kern w:val="0"/>
          <w:sz w:val="32"/>
          <w:szCs w:val="32"/>
        </w:rPr>
      </w:pPr>
      <w:r>
        <w:rPr>
          <w:rFonts w:hint="eastAsia" w:ascii="黑体" w:hAnsi="Calibri" w:eastAsia="黑体" w:cs="黑体"/>
          <w:color w:val="000000"/>
          <w:kern w:val="0"/>
          <w:sz w:val="32"/>
          <w:szCs w:val="32"/>
        </w:rPr>
        <w:t xml:space="preserve">第二十八条 </w:t>
      </w:r>
      <w:r>
        <w:rPr>
          <w:rFonts w:hint="eastAsia" w:ascii="仿宋_GB2312" w:hAnsi="Calibri" w:eastAsia="仿宋_GB2312" w:cs="仿宋_GB2312"/>
          <w:kern w:val="0"/>
          <w:sz w:val="32"/>
          <w:szCs w:val="32"/>
        </w:rPr>
        <w:t>政策法规处</w:t>
      </w:r>
      <w:r>
        <w:rPr>
          <w:rFonts w:hint="eastAsia" w:ascii="仿宋_GB2312" w:eastAsia="仿宋_GB2312"/>
          <w:sz w:val="32"/>
          <w:szCs w:val="32"/>
        </w:rPr>
        <w:t>应当自</w:t>
      </w:r>
      <w:r>
        <w:rPr>
          <w:rFonts w:hint="eastAsia" w:ascii="仿宋_GB2312" w:hAnsi="Calibri" w:eastAsia="仿宋_GB2312" w:cs="仿宋_GB2312"/>
          <w:kern w:val="0"/>
          <w:sz w:val="32"/>
          <w:szCs w:val="32"/>
        </w:rPr>
        <w:t>规范性文件</w:t>
      </w:r>
      <w:r>
        <w:rPr>
          <w:rFonts w:hint="eastAsia" w:ascii="仿宋_GB2312" w:eastAsia="仿宋_GB2312"/>
          <w:sz w:val="32"/>
          <w:szCs w:val="32"/>
        </w:rPr>
        <w:t>发布之日起15日内，</w:t>
      </w:r>
      <w:r>
        <w:rPr>
          <w:rFonts w:hint="eastAsia" w:ascii="仿宋_GB2312" w:hAnsi="Calibri" w:eastAsia="仿宋_GB2312" w:cs="仿宋_GB2312"/>
          <w:kern w:val="0"/>
          <w:sz w:val="32"/>
          <w:szCs w:val="32"/>
        </w:rPr>
        <w:t>按规定向市政府</w:t>
      </w:r>
      <w:r>
        <w:rPr>
          <w:rFonts w:hint="eastAsia" w:ascii="仿宋_GB2312" w:hAnsi="Calibri" w:eastAsia="仿宋_GB2312" w:cs="仿宋_GB2312"/>
          <w:color w:val="000000"/>
          <w:kern w:val="0"/>
          <w:sz w:val="32"/>
          <w:szCs w:val="32"/>
        </w:rPr>
        <w:t>备案审查部门</w:t>
      </w:r>
      <w:r>
        <w:rPr>
          <w:rFonts w:hint="eastAsia" w:ascii="仿宋_GB2312" w:hAnsi="Calibri" w:eastAsia="仿宋_GB2312" w:cs="仿宋_GB2312"/>
          <w:kern w:val="0"/>
          <w:sz w:val="32"/>
          <w:szCs w:val="32"/>
        </w:rPr>
        <w:t>报送备案。</w:t>
      </w:r>
    </w:p>
    <w:p>
      <w:pPr>
        <w:autoSpaceDE w:val="0"/>
        <w:autoSpaceDN w:val="0"/>
        <w:adjustRightInd w:val="0"/>
        <w:spacing w:line="560" w:lineRule="exact"/>
        <w:ind w:firstLine="62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根据本市地方性法规授权制定的配套规范性文件，应当自发布之日起30日内报送市人民代表大会常务委员会备案。</w:t>
      </w:r>
    </w:p>
    <w:p>
      <w:pPr>
        <w:autoSpaceDE w:val="0"/>
        <w:autoSpaceDN w:val="0"/>
        <w:adjustRightInd w:val="0"/>
        <w:spacing w:line="560" w:lineRule="exact"/>
        <w:ind w:firstLine="48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备案材料包括规范性文件备案报告、规范性文件正式文本、规范性文件报备说明及合法性审核意见等。</w:t>
      </w:r>
    </w:p>
    <w:p>
      <w:pPr>
        <w:autoSpaceDE w:val="0"/>
        <w:autoSpaceDN w:val="0"/>
        <w:adjustRightInd w:val="0"/>
        <w:spacing w:line="560" w:lineRule="exact"/>
        <w:ind w:firstLine="620"/>
        <w:rPr>
          <w:rFonts w:ascii="仿宋_GB2312" w:hAnsi="Calibri" w:eastAsia="仿宋_GB2312" w:cs="仿宋_GB2312"/>
          <w:color w:val="000000"/>
          <w:kern w:val="0"/>
          <w:sz w:val="32"/>
          <w:szCs w:val="32"/>
        </w:rPr>
      </w:pPr>
      <w:r>
        <w:rPr>
          <w:rFonts w:hint="eastAsia" w:ascii="黑体" w:hAnsi="黑体" w:eastAsia="黑体" w:cs="仿宋_GB2312"/>
          <w:color w:val="000000"/>
          <w:kern w:val="0"/>
          <w:sz w:val="32"/>
          <w:szCs w:val="32"/>
        </w:rPr>
        <w:t xml:space="preserve">第二十九条 </w:t>
      </w:r>
      <w:r>
        <w:rPr>
          <w:rFonts w:hint="eastAsia" w:ascii="仿宋_GB2312" w:hAnsi="Calibri" w:eastAsia="仿宋_GB2312" w:cs="仿宋_GB2312"/>
          <w:kern w:val="0"/>
          <w:sz w:val="32"/>
          <w:szCs w:val="32"/>
        </w:rPr>
        <w:t>备案审查部门具体承担向本级人民政府备案的行政规范性文件的审查工作，提出审查意见。</w:t>
      </w:r>
      <w:r>
        <w:rPr>
          <w:rFonts w:hint="eastAsia" w:ascii="仿宋_GB2312" w:hAnsi="Calibri" w:eastAsia="仿宋_GB2312" w:cs="仿宋_GB2312"/>
          <w:color w:val="000000"/>
          <w:kern w:val="0"/>
          <w:sz w:val="32"/>
          <w:szCs w:val="32"/>
        </w:rPr>
        <w:t>收到备案审查部门的书面审查意见后，政策法规处应当在15日内书面回复处理结果。对审查意见有异议的，可以申请复核。</w:t>
      </w:r>
    </w:p>
    <w:p>
      <w:pPr>
        <w:snapToGrid w:val="0"/>
        <w:spacing w:line="560" w:lineRule="exact"/>
        <w:ind w:firstLine="640" w:firstLineChars="200"/>
        <w:rPr>
          <w:rFonts w:ascii="仿宋_GB2312" w:hAnsi="Calibri" w:eastAsia="仿宋_GB2312" w:cs="仿宋_GB2312"/>
          <w:color w:val="000000"/>
          <w:kern w:val="0"/>
          <w:sz w:val="32"/>
          <w:szCs w:val="32"/>
        </w:rPr>
      </w:pPr>
      <w:r>
        <w:rPr>
          <w:rFonts w:hint="eastAsia" w:ascii="黑体" w:hAnsi="黑体" w:eastAsia="黑体" w:cs="仿宋_GB2312"/>
          <w:color w:val="000000"/>
          <w:kern w:val="0"/>
          <w:sz w:val="32"/>
          <w:szCs w:val="32"/>
        </w:rPr>
        <w:t>第三十条</w:t>
      </w:r>
      <w:r>
        <w:rPr>
          <w:rFonts w:hint="eastAsia" w:ascii="仿宋_GB2312" w:hAnsi="Calibri" w:eastAsia="仿宋_GB2312" w:cs="仿宋_GB2312"/>
          <w:color w:val="000000"/>
          <w:kern w:val="0"/>
          <w:sz w:val="32"/>
          <w:szCs w:val="32"/>
        </w:rPr>
        <w:t>　公民、法人或者其他组织认为规范性文件同法律、法规、规章相抵触的，可以书面提出审查建议。政策法规处应当在收到书面审查建议之日起60日内研究处理并答复建议人；情况复杂的，经局负责人批准，可以适当延长不超过30日的处理期限。法律、法规另有规定的，从其规定。</w:t>
      </w:r>
    </w:p>
    <w:p>
      <w:pPr>
        <w:snapToGrid w:val="0"/>
        <w:spacing w:line="560" w:lineRule="exact"/>
        <w:ind w:firstLine="640" w:firstLineChars="200"/>
        <w:rPr>
          <w:rFonts w:ascii="仿宋_GB2312" w:hAnsi="Calibri" w:eastAsia="仿宋_GB2312" w:cs="仿宋_GB2312"/>
          <w:color w:val="000000"/>
          <w:kern w:val="0"/>
          <w:sz w:val="32"/>
          <w:szCs w:val="32"/>
        </w:rPr>
      </w:pPr>
      <w:r>
        <w:rPr>
          <w:rFonts w:hint="eastAsia" w:ascii="黑体" w:hAnsi="Calibri" w:eastAsia="黑体" w:cs="黑体"/>
          <w:color w:val="000000"/>
          <w:kern w:val="0"/>
          <w:sz w:val="32"/>
          <w:szCs w:val="32"/>
        </w:rPr>
        <w:t xml:space="preserve">第三十一条 </w:t>
      </w:r>
      <w:r>
        <w:rPr>
          <w:rFonts w:hint="eastAsia" w:ascii="仿宋_GB2312" w:hAnsi="Calibri" w:eastAsia="仿宋_GB2312" w:cs="黑体"/>
          <w:color w:val="000000"/>
          <w:kern w:val="0"/>
          <w:sz w:val="32"/>
          <w:szCs w:val="32"/>
        </w:rPr>
        <w:t>起草单位应当</w:t>
      </w:r>
      <w:r>
        <w:rPr>
          <w:rFonts w:hint="eastAsia" w:ascii="仿宋_GB2312" w:hAnsi="Calibri" w:eastAsia="仿宋_GB2312" w:cs="仿宋_GB2312"/>
          <w:color w:val="000000"/>
          <w:kern w:val="0"/>
          <w:sz w:val="32"/>
          <w:szCs w:val="32"/>
        </w:rPr>
        <w:t>开展规范性文件实施情况后评估工作。</w:t>
      </w:r>
      <w:r>
        <w:rPr>
          <w:rFonts w:hint="eastAsia" w:ascii="仿宋_GB2312" w:hAnsi="Calibri" w:eastAsia="仿宋_GB2312" w:cs="黑体"/>
          <w:color w:val="000000"/>
          <w:kern w:val="0"/>
          <w:sz w:val="32"/>
          <w:szCs w:val="32"/>
        </w:rPr>
        <w:t>政策法规处</w:t>
      </w:r>
      <w:r>
        <w:rPr>
          <w:rFonts w:hint="eastAsia" w:ascii="仿宋_GB2312" w:hAnsi="Calibri" w:eastAsia="仿宋_GB2312" w:cs="仿宋_GB2312"/>
          <w:color w:val="000000"/>
          <w:kern w:val="0"/>
          <w:sz w:val="32"/>
          <w:szCs w:val="32"/>
        </w:rPr>
        <w:t>应当每隔两年牵头对本机关制定的规范性文件组织全面清理；全面清理行政规范性文件后，应当及时公布继续有效、拟修改、废止和失效的行政规范性文件目录。</w:t>
      </w:r>
    </w:p>
    <w:p>
      <w:pPr>
        <w:snapToGrid w:val="0"/>
        <w:spacing w:line="560" w:lineRule="exact"/>
        <w:ind w:firstLine="640" w:firstLineChars="200"/>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根据上级机关的要求或者认为确有必要的，可以对规范性文件开展专项清理或者即时清理。</w:t>
      </w:r>
    </w:p>
    <w:p>
      <w:pPr>
        <w:snapToGrid w:val="0"/>
        <w:spacing w:line="560" w:lineRule="exact"/>
        <w:ind w:firstLine="640" w:firstLineChars="200"/>
        <w:rPr>
          <w:rFonts w:ascii="仿宋_GB2312" w:hAnsi="Calibri" w:eastAsia="仿宋_GB2312" w:cs="仿宋_GB2312"/>
          <w:color w:val="000000"/>
          <w:kern w:val="0"/>
          <w:sz w:val="32"/>
          <w:szCs w:val="32"/>
        </w:rPr>
      </w:pPr>
      <w:r>
        <w:rPr>
          <w:rFonts w:hint="eastAsia" w:ascii="黑体" w:eastAsia="黑体" w:cs="黑体"/>
          <w:color w:val="000000"/>
          <w:kern w:val="0"/>
          <w:sz w:val="32"/>
          <w:szCs w:val="32"/>
        </w:rPr>
        <w:t xml:space="preserve">第三十二条 </w:t>
      </w:r>
      <w:r>
        <w:rPr>
          <w:rFonts w:ascii="仿宋_GB2312" w:hAnsi="Calibri" w:eastAsia="仿宋_GB2312" w:cs="仿宋_GB2312"/>
          <w:color w:val="000000"/>
          <w:kern w:val="0"/>
          <w:sz w:val="32"/>
          <w:szCs w:val="32"/>
        </w:rPr>
        <w:t>规范性文件有效期届满，自行失效。需要继续实施的规范性文件，应按下列规定处理：</w:t>
      </w:r>
    </w:p>
    <w:p>
      <w:pPr>
        <w:snapToGrid w:val="0"/>
        <w:spacing w:line="560" w:lineRule="exact"/>
        <w:ind w:firstLine="640" w:firstLineChars="200"/>
        <w:rPr>
          <w:rFonts w:ascii="仿宋_GB2312" w:hAnsi="Calibri" w:eastAsia="仿宋_GB2312" w:cs="仿宋_GB2312"/>
          <w:color w:val="000000"/>
          <w:kern w:val="0"/>
          <w:sz w:val="32"/>
          <w:szCs w:val="32"/>
        </w:rPr>
      </w:pPr>
      <w:r>
        <w:rPr>
          <w:rFonts w:ascii="仿宋_GB2312" w:hAnsi="Calibri" w:eastAsia="仿宋_GB2312" w:cs="仿宋_GB2312"/>
          <w:color w:val="000000"/>
          <w:kern w:val="0"/>
          <w:sz w:val="32"/>
          <w:szCs w:val="32"/>
        </w:rPr>
        <w:t>（一）内容有修改的规范性文件，</w:t>
      </w:r>
      <w:r>
        <w:rPr>
          <w:rFonts w:hint="eastAsia" w:ascii="仿宋_GB2312" w:hAnsi="Calibri" w:eastAsia="仿宋_GB2312" w:cs="仿宋_GB2312"/>
          <w:color w:val="000000"/>
          <w:kern w:val="0"/>
          <w:sz w:val="32"/>
          <w:szCs w:val="32"/>
        </w:rPr>
        <w:t>起草</w:t>
      </w:r>
      <w:r>
        <w:rPr>
          <w:rFonts w:ascii="仿宋_GB2312" w:hAnsi="Calibri" w:eastAsia="仿宋_GB2312" w:cs="仿宋_GB2312"/>
          <w:color w:val="000000"/>
          <w:kern w:val="0"/>
          <w:sz w:val="32"/>
          <w:szCs w:val="32"/>
        </w:rPr>
        <w:t>单位应当在有效期届满前，按照本办法规定重新制定。</w:t>
      </w:r>
    </w:p>
    <w:p>
      <w:pPr>
        <w:snapToGrid w:val="0"/>
        <w:spacing w:line="560" w:lineRule="exact"/>
        <w:ind w:firstLine="640" w:firstLineChars="200"/>
        <w:rPr>
          <w:rFonts w:ascii="仿宋_GB2312" w:hAnsi="Calibri" w:eastAsia="仿宋_GB2312" w:cs="仿宋_GB2312"/>
          <w:color w:val="000000"/>
          <w:kern w:val="0"/>
          <w:sz w:val="32"/>
          <w:szCs w:val="32"/>
        </w:rPr>
      </w:pPr>
      <w:r>
        <w:rPr>
          <w:rFonts w:ascii="仿宋_GB2312" w:hAnsi="Calibri" w:eastAsia="仿宋_GB2312" w:cs="仿宋_GB2312"/>
          <w:color w:val="000000"/>
          <w:kern w:val="0"/>
          <w:sz w:val="32"/>
          <w:szCs w:val="32"/>
        </w:rPr>
        <w:t>（二）内容没有修改的规范性文件，</w:t>
      </w:r>
      <w:r>
        <w:rPr>
          <w:rFonts w:hint="eastAsia" w:ascii="仿宋_GB2312" w:hAnsi="Calibri" w:eastAsia="仿宋_GB2312" w:cs="仿宋_GB2312"/>
          <w:color w:val="000000"/>
          <w:kern w:val="0"/>
          <w:sz w:val="32"/>
          <w:szCs w:val="32"/>
        </w:rPr>
        <w:t>起草</w:t>
      </w:r>
      <w:r>
        <w:rPr>
          <w:rFonts w:ascii="仿宋_GB2312" w:hAnsi="Calibri" w:eastAsia="仿宋_GB2312" w:cs="仿宋_GB2312"/>
          <w:color w:val="000000"/>
          <w:kern w:val="0"/>
          <w:sz w:val="32"/>
          <w:szCs w:val="32"/>
        </w:rPr>
        <w:t>单位应当在有效期届满3个月前起草规范性文件续期通知，经</w:t>
      </w:r>
      <w:r>
        <w:rPr>
          <w:rFonts w:hint="eastAsia" w:ascii="仿宋_GB2312" w:hAnsi="Calibri" w:eastAsia="仿宋_GB2312" w:cs="仿宋_GB2312"/>
          <w:color w:val="000000"/>
          <w:kern w:val="0"/>
          <w:sz w:val="32"/>
          <w:szCs w:val="32"/>
        </w:rPr>
        <w:t>政策法规处</w:t>
      </w:r>
      <w:r>
        <w:rPr>
          <w:rFonts w:ascii="仿宋_GB2312" w:hAnsi="Calibri" w:eastAsia="仿宋_GB2312" w:cs="仿宋_GB2312"/>
          <w:color w:val="000000"/>
          <w:kern w:val="0"/>
          <w:sz w:val="32"/>
          <w:szCs w:val="32"/>
        </w:rPr>
        <w:t>合法性审核、</w:t>
      </w:r>
      <w:r>
        <w:rPr>
          <w:rFonts w:hint="eastAsia" w:ascii="仿宋_GB2312" w:hAnsi="Calibri" w:eastAsia="仿宋_GB2312" w:cs="仿宋_GB2312"/>
          <w:color w:val="000000"/>
          <w:kern w:val="0"/>
          <w:sz w:val="32"/>
          <w:szCs w:val="32"/>
        </w:rPr>
        <w:t>局</w:t>
      </w:r>
      <w:r>
        <w:rPr>
          <w:rFonts w:ascii="仿宋_GB2312" w:hAnsi="Calibri" w:eastAsia="仿宋_GB2312" w:cs="仿宋_GB2312"/>
          <w:color w:val="000000"/>
          <w:kern w:val="0"/>
          <w:sz w:val="32"/>
          <w:szCs w:val="32"/>
        </w:rPr>
        <w:t>主要负责人批准后重新公布。</w:t>
      </w:r>
    </w:p>
    <w:p>
      <w:pPr>
        <w:autoSpaceDE w:val="0"/>
        <w:autoSpaceDN w:val="0"/>
        <w:adjustRightInd w:val="0"/>
        <w:spacing w:line="560" w:lineRule="exact"/>
        <w:ind w:firstLine="640" w:firstLineChars="200"/>
        <w:jc w:val="left"/>
        <w:rPr>
          <w:rFonts w:ascii="仿宋_GB2312" w:hAnsi="Calibri" w:eastAsia="仿宋_GB2312" w:cs="仿宋_GB2312"/>
          <w:color w:val="000000"/>
          <w:kern w:val="0"/>
          <w:sz w:val="32"/>
          <w:szCs w:val="32"/>
        </w:rPr>
      </w:pPr>
      <w:r>
        <w:rPr>
          <w:rFonts w:hint="eastAsia" w:ascii="黑体" w:hAnsi="黑体" w:eastAsia="黑体" w:cs="仿宋_GB2312"/>
          <w:color w:val="000000"/>
          <w:kern w:val="0"/>
          <w:sz w:val="32"/>
          <w:szCs w:val="32"/>
        </w:rPr>
        <w:t>第三十三条</w:t>
      </w:r>
      <w:r>
        <w:rPr>
          <w:rFonts w:hint="eastAsia" w:ascii="仿宋_GB2312" w:hAnsi="Calibri" w:eastAsia="仿宋_GB2312" w:cs="仿宋_GB2312"/>
          <w:color w:val="000000"/>
          <w:kern w:val="0"/>
          <w:sz w:val="32"/>
          <w:szCs w:val="32"/>
        </w:rPr>
        <w:t xml:space="preserve"> </w:t>
      </w:r>
      <w:r>
        <w:rPr>
          <w:rFonts w:hint="eastAsia" w:ascii="仿宋_GB2312" w:eastAsia="仿宋_GB2312" w:cs="仿宋_GB2312"/>
          <w:color w:val="000000"/>
          <w:kern w:val="0"/>
          <w:sz w:val="32"/>
          <w:szCs w:val="32"/>
        </w:rPr>
        <w:t>本办法自</w:t>
      </w:r>
      <w:r>
        <w:rPr>
          <w:rFonts w:ascii="仿宋_GB2312" w:eastAsia="仿宋_GB2312" w:cs="仿宋_GB2312"/>
          <w:color w:val="000000"/>
          <w:kern w:val="0"/>
          <w:sz w:val="32"/>
          <w:szCs w:val="32"/>
        </w:rPr>
        <w:t>20</w:t>
      </w:r>
      <w:r>
        <w:rPr>
          <w:rFonts w:hint="eastAsia" w:ascii="仿宋_GB2312" w:eastAsia="仿宋_GB2312" w:cs="仿宋_GB2312"/>
          <w:color w:val="000000"/>
          <w:kern w:val="0"/>
          <w:sz w:val="32"/>
          <w:szCs w:val="32"/>
        </w:rPr>
        <w:t>20年6月1日起施行，有效期5年。</w:t>
      </w:r>
      <w:r>
        <w:rPr>
          <w:rFonts w:ascii="仿宋_GB2312" w:eastAsia="仿宋_GB2312" w:cs="仿宋_GB2312"/>
          <w:kern w:val="0"/>
          <w:sz w:val="32"/>
          <w:szCs w:val="32"/>
        </w:rPr>
        <w:t>2017</w:t>
      </w:r>
      <w:r>
        <w:rPr>
          <w:rFonts w:hint="eastAsia" w:ascii="仿宋_GB2312" w:eastAsia="仿宋_GB2312" w:cs="仿宋_GB2312"/>
          <w:kern w:val="0"/>
          <w:sz w:val="32"/>
          <w:szCs w:val="32"/>
        </w:rPr>
        <w:t>年</w:t>
      </w:r>
      <w:r>
        <w:rPr>
          <w:rFonts w:ascii="仿宋_GB2312" w:eastAsia="仿宋_GB2312" w:cs="仿宋_GB2312"/>
          <w:kern w:val="0"/>
          <w:sz w:val="32"/>
          <w:szCs w:val="32"/>
        </w:rPr>
        <w:t>1</w:t>
      </w:r>
      <w:r>
        <w:rPr>
          <w:rFonts w:hint="eastAsia" w:ascii="仿宋_GB2312" w:eastAsia="仿宋_GB2312" w:cs="仿宋_GB2312"/>
          <w:kern w:val="0"/>
          <w:sz w:val="32"/>
          <w:szCs w:val="32"/>
        </w:rPr>
        <w:t>月</w:t>
      </w:r>
      <w:r>
        <w:rPr>
          <w:rFonts w:ascii="仿宋_GB2312" w:eastAsia="仿宋_GB2312" w:cs="仿宋_GB2312"/>
          <w:kern w:val="0"/>
          <w:sz w:val="32"/>
          <w:szCs w:val="32"/>
        </w:rPr>
        <w:t>1</w:t>
      </w:r>
      <w:r>
        <w:rPr>
          <w:rFonts w:hint="eastAsia" w:ascii="仿宋_GB2312" w:eastAsia="仿宋_GB2312" w:cs="仿宋_GB2312"/>
          <w:kern w:val="0"/>
          <w:sz w:val="32"/>
          <w:szCs w:val="32"/>
        </w:rPr>
        <w:t>日起施行的</w:t>
      </w:r>
      <w:r>
        <w:rPr>
          <w:rFonts w:hint="eastAsia" w:ascii="仿宋_GB2312" w:hAnsi="宋体" w:eastAsia="仿宋_GB2312"/>
          <w:sz w:val="32"/>
          <w:szCs w:val="32"/>
        </w:rPr>
        <w:t>《温州市</w:t>
      </w:r>
      <w:r>
        <w:rPr>
          <w:rFonts w:hint="eastAsia" w:ascii="仿宋_GB2312" w:hAnsi="宋体" w:eastAsia="仿宋_GB2312"/>
          <w:spacing w:val="-18"/>
          <w:sz w:val="32"/>
          <w:szCs w:val="32"/>
        </w:rPr>
        <w:t>综合行政执法局行政规范性文件管理办法</w:t>
      </w:r>
      <w:r>
        <w:rPr>
          <w:rFonts w:hint="eastAsia" w:ascii="仿宋_GB2312" w:hAnsi="宋体" w:eastAsia="仿宋_GB2312"/>
          <w:sz w:val="32"/>
          <w:szCs w:val="32"/>
        </w:rPr>
        <w:t>》（</w:t>
      </w:r>
      <w:r>
        <w:rPr>
          <w:rFonts w:hint="eastAsia" w:ascii="仿宋_GB2312" w:eastAsia="仿宋_GB2312" w:cs="仿宋_GB2312"/>
          <w:kern w:val="0"/>
          <w:sz w:val="32"/>
          <w:szCs w:val="32"/>
        </w:rPr>
        <w:t>温综法发〔</w:t>
      </w:r>
      <w:r>
        <w:rPr>
          <w:rFonts w:ascii="仿宋_GB2312" w:eastAsia="仿宋_GB2312" w:cs="仿宋_GB2312"/>
          <w:kern w:val="0"/>
          <w:sz w:val="32"/>
          <w:szCs w:val="32"/>
        </w:rPr>
        <w:t>2016</w:t>
      </w:r>
      <w:r>
        <w:rPr>
          <w:rFonts w:hint="eastAsia" w:ascii="仿宋_GB2312" w:eastAsia="仿宋_GB2312" w:cs="仿宋_GB2312"/>
          <w:kern w:val="0"/>
          <w:sz w:val="32"/>
          <w:szCs w:val="32"/>
        </w:rPr>
        <w:t>〕</w:t>
      </w:r>
      <w:r>
        <w:rPr>
          <w:rFonts w:ascii="仿宋_GB2312" w:eastAsia="仿宋_GB2312" w:cs="仿宋_GB2312"/>
          <w:kern w:val="0"/>
          <w:sz w:val="32"/>
          <w:szCs w:val="32"/>
        </w:rPr>
        <w:t xml:space="preserve">36 </w:t>
      </w:r>
      <w:r>
        <w:rPr>
          <w:rFonts w:hint="eastAsia" w:ascii="仿宋_GB2312" w:eastAsia="仿宋_GB2312" w:cs="仿宋_GB2312"/>
          <w:kern w:val="0"/>
          <w:sz w:val="32"/>
          <w:szCs w:val="32"/>
        </w:rPr>
        <w:t>号</w:t>
      </w:r>
      <w:r>
        <w:rPr>
          <w:rFonts w:hint="eastAsia" w:ascii="仿宋_GB2312" w:hAnsi="宋体" w:eastAsia="仿宋_GB2312"/>
          <w:sz w:val="32"/>
          <w:szCs w:val="32"/>
        </w:rPr>
        <w:t>）</w:t>
      </w:r>
      <w:r>
        <w:rPr>
          <w:rFonts w:hint="eastAsia" w:ascii="仿宋_GB2312" w:eastAsia="仿宋_GB2312" w:cs="仿宋_GB2312"/>
          <w:color w:val="000000"/>
          <w:kern w:val="0"/>
          <w:sz w:val="32"/>
          <w:szCs w:val="32"/>
        </w:rPr>
        <w:t>同时废止。</w:t>
      </w:r>
    </w:p>
    <w:sectPr>
      <w:headerReference r:id="rId3" w:type="default"/>
      <w:footerReference r:id="rId5" w:type="default"/>
      <w:headerReference r:id="rId4" w:type="even"/>
      <w:footerReference r:id="rId6" w:type="even"/>
      <w:pgSz w:w="11906" w:h="16838"/>
      <w:pgMar w:top="2098" w:right="1474" w:bottom="1985" w:left="1588" w:header="851" w:footer="153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FZXiaoBiaoSong-B05S">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sz w:val="28"/>
        <w:szCs w:val="28"/>
      </w:rPr>
    </w:pPr>
    <w:r>
      <w:rPr>
        <w:rStyle w:val="22"/>
        <w:rFonts w:hint="eastAsia"/>
        <w:sz w:val="28"/>
        <w:szCs w:val="28"/>
      </w:rPr>
      <w:t>—</w:t>
    </w:r>
    <w:r>
      <w:rPr>
        <w:rStyle w:val="22"/>
        <w:sz w:val="28"/>
        <w:szCs w:val="28"/>
      </w:rPr>
      <w:fldChar w:fldCharType="begin"/>
    </w:r>
    <w:r>
      <w:rPr>
        <w:rStyle w:val="22"/>
        <w:sz w:val="28"/>
        <w:szCs w:val="28"/>
      </w:rPr>
      <w:instrText xml:space="preserve"> PAGE </w:instrText>
    </w:r>
    <w:r>
      <w:rPr>
        <w:rStyle w:val="22"/>
        <w:sz w:val="28"/>
        <w:szCs w:val="28"/>
      </w:rPr>
      <w:fldChar w:fldCharType="separate"/>
    </w:r>
    <w:r>
      <w:rPr>
        <w:rStyle w:val="22"/>
        <w:sz w:val="28"/>
        <w:szCs w:val="28"/>
      </w:rPr>
      <w:t>1</w:t>
    </w:r>
    <w:r>
      <w:rPr>
        <w:rStyle w:val="22"/>
        <w:sz w:val="28"/>
        <w:szCs w:val="28"/>
      </w:rPr>
      <w:fldChar w:fldCharType="end"/>
    </w:r>
    <w:r>
      <w:rPr>
        <w:rStyle w:val="22"/>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28"/>
        <w:szCs w:val="28"/>
      </w:rPr>
    </w:pPr>
    <w:r>
      <w:rPr>
        <w:rStyle w:val="22"/>
        <w:rFonts w:hint="eastAsia"/>
        <w:sz w:val="28"/>
        <w:szCs w:val="28"/>
      </w:rPr>
      <w:t>—</w:t>
    </w:r>
    <w:r>
      <w:rPr>
        <w:rStyle w:val="22"/>
        <w:sz w:val="28"/>
        <w:szCs w:val="28"/>
      </w:rPr>
      <w:fldChar w:fldCharType="begin"/>
    </w:r>
    <w:r>
      <w:rPr>
        <w:rStyle w:val="22"/>
        <w:sz w:val="28"/>
        <w:szCs w:val="28"/>
      </w:rPr>
      <w:instrText xml:space="preserve"> PAGE </w:instrText>
    </w:r>
    <w:r>
      <w:rPr>
        <w:rStyle w:val="22"/>
        <w:sz w:val="28"/>
        <w:szCs w:val="28"/>
      </w:rPr>
      <w:fldChar w:fldCharType="separate"/>
    </w:r>
    <w:r>
      <w:rPr>
        <w:rStyle w:val="22"/>
        <w:sz w:val="28"/>
        <w:szCs w:val="28"/>
      </w:rPr>
      <w:t>2</w:t>
    </w:r>
    <w:r>
      <w:rPr>
        <w:rStyle w:val="22"/>
        <w:sz w:val="28"/>
        <w:szCs w:val="28"/>
      </w:rPr>
      <w:fldChar w:fldCharType="end"/>
    </w:r>
    <w:r>
      <w:rPr>
        <w:rStyle w:val="22"/>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4285" w:firstLine="0"/>
      </w:pPr>
      <w:rPr>
        <w:rFonts w:hint="eastAsia" w:ascii="黑体" w:hAnsi="Times New Roman" w:eastAsia="黑体"/>
        <w:b w:val="0"/>
        <w:i w:val="0"/>
        <w:sz w:val="21"/>
        <w:szCs w:val="21"/>
      </w:rPr>
    </w:lvl>
    <w:lvl w:ilvl="1" w:tentative="0">
      <w:start w:val="1"/>
      <w:numFmt w:val="decimal"/>
      <w:pStyle w:val="56"/>
      <w:suff w:val="nothing"/>
      <w:lvlText w:val="%1.%2　"/>
      <w:lvlJc w:val="left"/>
      <w:pPr>
        <w:ind w:left="499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5"/>
      <w:suff w:val="nothing"/>
      <w:lvlText w:val="%1.%2.%3　"/>
      <w:lvlJc w:val="left"/>
      <w:pPr>
        <w:ind w:left="4427" w:firstLine="0"/>
      </w:pPr>
      <w:rPr>
        <w:rFonts w:hint="eastAsia" w:ascii="黑体" w:hAnsi="Times New Roman" w:eastAsia="黑体"/>
        <w:b w:val="0"/>
        <w:i w:val="0"/>
        <w:color w:val="000000"/>
        <w:sz w:val="21"/>
      </w:rPr>
    </w:lvl>
    <w:lvl w:ilvl="3" w:tentative="0">
      <w:start w:val="1"/>
      <w:numFmt w:val="decimal"/>
      <w:suff w:val="nothing"/>
      <w:lvlText w:val="%1.%2.%3.%4　"/>
      <w:lvlJc w:val="left"/>
      <w:pPr>
        <w:ind w:left="4705" w:firstLine="0"/>
      </w:pPr>
      <w:rPr>
        <w:rFonts w:hint="eastAsia" w:ascii="黑体" w:hAnsi="Times New Roman" w:eastAsia="黑体"/>
        <w:b w:val="0"/>
        <w:i w:val="0"/>
        <w:sz w:val="21"/>
      </w:rPr>
    </w:lvl>
    <w:lvl w:ilvl="4" w:tentative="0">
      <w:start w:val="1"/>
      <w:numFmt w:val="decimal"/>
      <w:suff w:val="nothing"/>
      <w:lvlText w:val="%1.%2.%3.%4.%5　"/>
      <w:lvlJc w:val="left"/>
      <w:pPr>
        <w:ind w:left="4285" w:firstLine="0"/>
      </w:pPr>
      <w:rPr>
        <w:rFonts w:hint="eastAsia" w:ascii="黑体" w:hAnsi="Times New Roman" w:eastAsia="黑体"/>
        <w:b w:val="0"/>
        <w:i w:val="0"/>
        <w:sz w:val="21"/>
      </w:rPr>
    </w:lvl>
    <w:lvl w:ilvl="5" w:tentative="0">
      <w:start w:val="1"/>
      <w:numFmt w:val="decimal"/>
      <w:suff w:val="nothing"/>
      <w:lvlText w:val="%1.%2.%3.%4.%5.%6　"/>
      <w:lvlJc w:val="left"/>
      <w:pPr>
        <w:ind w:left="4285" w:firstLine="0"/>
      </w:pPr>
      <w:rPr>
        <w:rFonts w:hint="eastAsia" w:ascii="黑体" w:hAnsi="Times New Roman" w:eastAsia="黑体"/>
        <w:b w:val="0"/>
        <w:i w:val="0"/>
        <w:sz w:val="21"/>
      </w:rPr>
    </w:lvl>
    <w:lvl w:ilvl="6" w:tentative="0">
      <w:start w:val="1"/>
      <w:numFmt w:val="decimal"/>
      <w:suff w:val="nothing"/>
      <w:lvlText w:val="%1%2.%3.%4.%5.%6.%7　"/>
      <w:lvlJc w:val="left"/>
      <w:pPr>
        <w:ind w:left="4285" w:firstLine="0"/>
      </w:pPr>
      <w:rPr>
        <w:rFonts w:hint="eastAsia" w:ascii="黑体" w:hAnsi="Times New Roman" w:eastAsia="黑体"/>
        <w:b w:val="0"/>
        <w:i w:val="0"/>
        <w:sz w:val="21"/>
      </w:rPr>
    </w:lvl>
    <w:lvl w:ilvl="7" w:tentative="0">
      <w:start w:val="1"/>
      <w:numFmt w:val="decimal"/>
      <w:lvlText w:val="%1.%2.%3.%4.%5.%6.%7.%8"/>
      <w:lvlJc w:val="left"/>
      <w:pPr>
        <w:tabs>
          <w:tab w:val="left" w:pos="8636"/>
        </w:tabs>
        <w:ind w:left="8254" w:hanging="1418"/>
      </w:pPr>
      <w:rPr>
        <w:rFonts w:hint="eastAsia"/>
      </w:rPr>
    </w:lvl>
    <w:lvl w:ilvl="8" w:tentative="0">
      <w:start w:val="1"/>
      <w:numFmt w:val="decimal"/>
      <w:lvlText w:val="%1.%2.%3.%4.%5.%6.%7.%8.%9"/>
      <w:lvlJc w:val="left"/>
      <w:pPr>
        <w:tabs>
          <w:tab w:val="left" w:pos="9062"/>
        </w:tabs>
        <w:ind w:left="8962" w:hanging="1700"/>
      </w:pPr>
      <w:rPr>
        <w:rFonts w:hint="eastAsia"/>
      </w:rPr>
    </w:lvl>
  </w:abstractNum>
  <w:abstractNum w:abstractNumId="1">
    <w:nsid w:val="368B2B7C"/>
    <w:multiLevelType w:val="multilevel"/>
    <w:tmpl w:val="368B2B7C"/>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2775"/>
    <w:rsid w:val="00000BF7"/>
    <w:rsid w:val="00001610"/>
    <w:rsid w:val="0000292C"/>
    <w:rsid w:val="0000346A"/>
    <w:rsid w:val="00004385"/>
    <w:rsid w:val="000060CB"/>
    <w:rsid w:val="00006222"/>
    <w:rsid w:val="00007AD3"/>
    <w:rsid w:val="00011BAC"/>
    <w:rsid w:val="00012195"/>
    <w:rsid w:val="00014DBF"/>
    <w:rsid w:val="0001501A"/>
    <w:rsid w:val="00017C9D"/>
    <w:rsid w:val="00020264"/>
    <w:rsid w:val="00020407"/>
    <w:rsid w:val="000211FC"/>
    <w:rsid w:val="00021A20"/>
    <w:rsid w:val="0002329C"/>
    <w:rsid w:val="000254BD"/>
    <w:rsid w:val="00025760"/>
    <w:rsid w:val="00034037"/>
    <w:rsid w:val="00034250"/>
    <w:rsid w:val="000352D7"/>
    <w:rsid w:val="00036130"/>
    <w:rsid w:val="00040DC4"/>
    <w:rsid w:val="00042386"/>
    <w:rsid w:val="000438D7"/>
    <w:rsid w:val="000443C7"/>
    <w:rsid w:val="000474A2"/>
    <w:rsid w:val="000511EE"/>
    <w:rsid w:val="000523D9"/>
    <w:rsid w:val="00052F3A"/>
    <w:rsid w:val="00053026"/>
    <w:rsid w:val="0005547C"/>
    <w:rsid w:val="00055B17"/>
    <w:rsid w:val="00056282"/>
    <w:rsid w:val="00056FF3"/>
    <w:rsid w:val="00065650"/>
    <w:rsid w:val="00065E70"/>
    <w:rsid w:val="00067837"/>
    <w:rsid w:val="000740BA"/>
    <w:rsid w:val="00077067"/>
    <w:rsid w:val="00081AB7"/>
    <w:rsid w:val="00083553"/>
    <w:rsid w:val="000843F1"/>
    <w:rsid w:val="000917FA"/>
    <w:rsid w:val="000A3985"/>
    <w:rsid w:val="000A3C63"/>
    <w:rsid w:val="000A634B"/>
    <w:rsid w:val="000B3D9B"/>
    <w:rsid w:val="000B407C"/>
    <w:rsid w:val="000B4BB5"/>
    <w:rsid w:val="000C0A06"/>
    <w:rsid w:val="000C120F"/>
    <w:rsid w:val="000C1F94"/>
    <w:rsid w:val="000C73D1"/>
    <w:rsid w:val="000D163B"/>
    <w:rsid w:val="000D1976"/>
    <w:rsid w:val="000D21E2"/>
    <w:rsid w:val="000D22CE"/>
    <w:rsid w:val="000D29AB"/>
    <w:rsid w:val="000D5851"/>
    <w:rsid w:val="000D6031"/>
    <w:rsid w:val="000E062C"/>
    <w:rsid w:val="000E12EF"/>
    <w:rsid w:val="000E1F3E"/>
    <w:rsid w:val="000E4F70"/>
    <w:rsid w:val="000E6DD4"/>
    <w:rsid w:val="000F2624"/>
    <w:rsid w:val="000F4662"/>
    <w:rsid w:val="000F4F9A"/>
    <w:rsid w:val="000F561A"/>
    <w:rsid w:val="00103551"/>
    <w:rsid w:val="001037CB"/>
    <w:rsid w:val="001041CE"/>
    <w:rsid w:val="001077EB"/>
    <w:rsid w:val="00110D17"/>
    <w:rsid w:val="00111244"/>
    <w:rsid w:val="00112229"/>
    <w:rsid w:val="00113056"/>
    <w:rsid w:val="00113E61"/>
    <w:rsid w:val="00115A3E"/>
    <w:rsid w:val="00117BEE"/>
    <w:rsid w:val="00117E7B"/>
    <w:rsid w:val="00117EF3"/>
    <w:rsid w:val="0012019A"/>
    <w:rsid w:val="00121143"/>
    <w:rsid w:val="00121F3D"/>
    <w:rsid w:val="00125B4C"/>
    <w:rsid w:val="0013021F"/>
    <w:rsid w:val="00130BB3"/>
    <w:rsid w:val="00130BE8"/>
    <w:rsid w:val="00132B6A"/>
    <w:rsid w:val="00133598"/>
    <w:rsid w:val="00135937"/>
    <w:rsid w:val="00140AB5"/>
    <w:rsid w:val="00142369"/>
    <w:rsid w:val="0014500F"/>
    <w:rsid w:val="00146F00"/>
    <w:rsid w:val="00150AAB"/>
    <w:rsid w:val="00151F08"/>
    <w:rsid w:val="00152017"/>
    <w:rsid w:val="001613CB"/>
    <w:rsid w:val="001648DF"/>
    <w:rsid w:val="00165B4C"/>
    <w:rsid w:val="001718EB"/>
    <w:rsid w:val="00171DBC"/>
    <w:rsid w:val="0017326F"/>
    <w:rsid w:val="00175B3E"/>
    <w:rsid w:val="00176FE5"/>
    <w:rsid w:val="001803A4"/>
    <w:rsid w:val="0018261D"/>
    <w:rsid w:val="00182CE2"/>
    <w:rsid w:val="00183056"/>
    <w:rsid w:val="001854BE"/>
    <w:rsid w:val="00186496"/>
    <w:rsid w:val="0019602F"/>
    <w:rsid w:val="001A0BF0"/>
    <w:rsid w:val="001A2880"/>
    <w:rsid w:val="001A28B3"/>
    <w:rsid w:val="001A2EB5"/>
    <w:rsid w:val="001A64B8"/>
    <w:rsid w:val="001B04FC"/>
    <w:rsid w:val="001B1444"/>
    <w:rsid w:val="001B2D2A"/>
    <w:rsid w:val="001B3AD4"/>
    <w:rsid w:val="001B680F"/>
    <w:rsid w:val="001C4412"/>
    <w:rsid w:val="001C50D3"/>
    <w:rsid w:val="001C7AE4"/>
    <w:rsid w:val="001D04F2"/>
    <w:rsid w:val="001D4FC8"/>
    <w:rsid w:val="001D6684"/>
    <w:rsid w:val="001D7C94"/>
    <w:rsid w:val="001D7D08"/>
    <w:rsid w:val="001E1D58"/>
    <w:rsid w:val="001E68D2"/>
    <w:rsid w:val="001E77F3"/>
    <w:rsid w:val="001F27D2"/>
    <w:rsid w:val="001F6911"/>
    <w:rsid w:val="00205475"/>
    <w:rsid w:val="00205DF3"/>
    <w:rsid w:val="00206014"/>
    <w:rsid w:val="0020690E"/>
    <w:rsid w:val="002107E9"/>
    <w:rsid w:val="00212595"/>
    <w:rsid w:val="002135AE"/>
    <w:rsid w:val="0021398D"/>
    <w:rsid w:val="00213AD7"/>
    <w:rsid w:val="00217DE0"/>
    <w:rsid w:val="00224181"/>
    <w:rsid w:val="00225B23"/>
    <w:rsid w:val="00227882"/>
    <w:rsid w:val="0022793A"/>
    <w:rsid w:val="00227ED3"/>
    <w:rsid w:val="002309D4"/>
    <w:rsid w:val="002329ED"/>
    <w:rsid w:val="00234628"/>
    <w:rsid w:val="00234FA3"/>
    <w:rsid w:val="00241865"/>
    <w:rsid w:val="00243D7A"/>
    <w:rsid w:val="00253309"/>
    <w:rsid w:val="00253A28"/>
    <w:rsid w:val="00254E68"/>
    <w:rsid w:val="00260C21"/>
    <w:rsid w:val="0026194A"/>
    <w:rsid w:val="002625B0"/>
    <w:rsid w:val="00264DEC"/>
    <w:rsid w:val="0026506A"/>
    <w:rsid w:val="002654E0"/>
    <w:rsid w:val="00265E86"/>
    <w:rsid w:val="002703A6"/>
    <w:rsid w:val="002714E6"/>
    <w:rsid w:val="00272CBC"/>
    <w:rsid w:val="002735F8"/>
    <w:rsid w:val="00273FAD"/>
    <w:rsid w:val="00277571"/>
    <w:rsid w:val="00281DB0"/>
    <w:rsid w:val="002852AE"/>
    <w:rsid w:val="002901C0"/>
    <w:rsid w:val="0029320E"/>
    <w:rsid w:val="00293DE2"/>
    <w:rsid w:val="00294072"/>
    <w:rsid w:val="00294B98"/>
    <w:rsid w:val="00294CC3"/>
    <w:rsid w:val="00294E0A"/>
    <w:rsid w:val="00294EFF"/>
    <w:rsid w:val="002965F1"/>
    <w:rsid w:val="00297E0B"/>
    <w:rsid w:val="002A61A6"/>
    <w:rsid w:val="002C19F1"/>
    <w:rsid w:val="002C2AF7"/>
    <w:rsid w:val="002C447C"/>
    <w:rsid w:val="002C6228"/>
    <w:rsid w:val="002C7FDB"/>
    <w:rsid w:val="002D1183"/>
    <w:rsid w:val="002D2BEA"/>
    <w:rsid w:val="002D68FD"/>
    <w:rsid w:val="002D6EC4"/>
    <w:rsid w:val="002D7F1B"/>
    <w:rsid w:val="002E081E"/>
    <w:rsid w:val="002E0F37"/>
    <w:rsid w:val="002E17AE"/>
    <w:rsid w:val="002E5B99"/>
    <w:rsid w:val="002E5F64"/>
    <w:rsid w:val="002E712B"/>
    <w:rsid w:val="002E72E8"/>
    <w:rsid w:val="002E72EE"/>
    <w:rsid w:val="002F143B"/>
    <w:rsid w:val="002F169E"/>
    <w:rsid w:val="002F3E58"/>
    <w:rsid w:val="002F4DB7"/>
    <w:rsid w:val="002F5015"/>
    <w:rsid w:val="002F675A"/>
    <w:rsid w:val="002F76B0"/>
    <w:rsid w:val="0030093F"/>
    <w:rsid w:val="00301C7B"/>
    <w:rsid w:val="0030287D"/>
    <w:rsid w:val="00302A35"/>
    <w:rsid w:val="00303113"/>
    <w:rsid w:val="0030385E"/>
    <w:rsid w:val="00303C43"/>
    <w:rsid w:val="00310753"/>
    <w:rsid w:val="003111A8"/>
    <w:rsid w:val="003116E8"/>
    <w:rsid w:val="0031242B"/>
    <w:rsid w:val="00314EB0"/>
    <w:rsid w:val="00316AE1"/>
    <w:rsid w:val="00316FBD"/>
    <w:rsid w:val="00321D98"/>
    <w:rsid w:val="003235F1"/>
    <w:rsid w:val="00323732"/>
    <w:rsid w:val="00323FBE"/>
    <w:rsid w:val="00325AC9"/>
    <w:rsid w:val="00331894"/>
    <w:rsid w:val="00331DF5"/>
    <w:rsid w:val="00336636"/>
    <w:rsid w:val="00336C1D"/>
    <w:rsid w:val="0033791D"/>
    <w:rsid w:val="00340208"/>
    <w:rsid w:val="00342056"/>
    <w:rsid w:val="003473DE"/>
    <w:rsid w:val="00347DDA"/>
    <w:rsid w:val="00355764"/>
    <w:rsid w:val="00356544"/>
    <w:rsid w:val="00362952"/>
    <w:rsid w:val="00362A41"/>
    <w:rsid w:val="00362C3B"/>
    <w:rsid w:val="00364F78"/>
    <w:rsid w:val="00365112"/>
    <w:rsid w:val="00365344"/>
    <w:rsid w:val="0036575F"/>
    <w:rsid w:val="003658F4"/>
    <w:rsid w:val="00370220"/>
    <w:rsid w:val="00371B12"/>
    <w:rsid w:val="00371D27"/>
    <w:rsid w:val="0037387D"/>
    <w:rsid w:val="003739D7"/>
    <w:rsid w:val="0037721E"/>
    <w:rsid w:val="0038079B"/>
    <w:rsid w:val="00381412"/>
    <w:rsid w:val="0038189A"/>
    <w:rsid w:val="00382D86"/>
    <w:rsid w:val="00385ABB"/>
    <w:rsid w:val="00385C12"/>
    <w:rsid w:val="003863ED"/>
    <w:rsid w:val="0039048C"/>
    <w:rsid w:val="0039169F"/>
    <w:rsid w:val="00392675"/>
    <w:rsid w:val="003932AC"/>
    <w:rsid w:val="00394D97"/>
    <w:rsid w:val="003A176C"/>
    <w:rsid w:val="003A5028"/>
    <w:rsid w:val="003A64DF"/>
    <w:rsid w:val="003A64EA"/>
    <w:rsid w:val="003A754B"/>
    <w:rsid w:val="003B0AC1"/>
    <w:rsid w:val="003B0C35"/>
    <w:rsid w:val="003B298D"/>
    <w:rsid w:val="003B7C1A"/>
    <w:rsid w:val="003C228E"/>
    <w:rsid w:val="003C42D6"/>
    <w:rsid w:val="003C452B"/>
    <w:rsid w:val="003C5C2D"/>
    <w:rsid w:val="003C6F46"/>
    <w:rsid w:val="003D03D8"/>
    <w:rsid w:val="003D20D9"/>
    <w:rsid w:val="003D29B5"/>
    <w:rsid w:val="003D2BB9"/>
    <w:rsid w:val="003E0006"/>
    <w:rsid w:val="003E1E60"/>
    <w:rsid w:val="003E29CA"/>
    <w:rsid w:val="003E43B3"/>
    <w:rsid w:val="003E5CF5"/>
    <w:rsid w:val="003E60AB"/>
    <w:rsid w:val="003E6FB9"/>
    <w:rsid w:val="003F10AD"/>
    <w:rsid w:val="003F1CF9"/>
    <w:rsid w:val="003F3447"/>
    <w:rsid w:val="003F3D0C"/>
    <w:rsid w:val="003F41F9"/>
    <w:rsid w:val="003F5931"/>
    <w:rsid w:val="003F5AF7"/>
    <w:rsid w:val="003F67CF"/>
    <w:rsid w:val="00400203"/>
    <w:rsid w:val="004005AD"/>
    <w:rsid w:val="00401872"/>
    <w:rsid w:val="00401A9F"/>
    <w:rsid w:val="00404922"/>
    <w:rsid w:val="00404E13"/>
    <w:rsid w:val="00410B1C"/>
    <w:rsid w:val="00412D71"/>
    <w:rsid w:val="00414327"/>
    <w:rsid w:val="004144F4"/>
    <w:rsid w:val="00417391"/>
    <w:rsid w:val="004173CC"/>
    <w:rsid w:val="00422775"/>
    <w:rsid w:val="00423636"/>
    <w:rsid w:val="00424915"/>
    <w:rsid w:val="004326C4"/>
    <w:rsid w:val="004346DB"/>
    <w:rsid w:val="00434730"/>
    <w:rsid w:val="00435385"/>
    <w:rsid w:val="00437F32"/>
    <w:rsid w:val="00440BC9"/>
    <w:rsid w:val="00443A28"/>
    <w:rsid w:val="004456FD"/>
    <w:rsid w:val="00447306"/>
    <w:rsid w:val="004500EE"/>
    <w:rsid w:val="00454778"/>
    <w:rsid w:val="004550EE"/>
    <w:rsid w:val="004558FD"/>
    <w:rsid w:val="00456613"/>
    <w:rsid w:val="0046045C"/>
    <w:rsid w:val="0046319C"/>
    <w:rsid w:val="00463673"/>
    <w:rsid w:val="00464067"/>
    <w:rsid w:val="00465A44"/>
    <w:rsid w:val="0047016E"/>
    <w:rsid w:val="00473C32"/>
    <w:rsid w:val="00474000"/>
    <w:rsid w:val="00477945"/>
    <w:rsid w:val="0048321B"/>
    <w:rsid w:val="0048624E"/>
    <w:rsid w:val="00487615"/>
    <w:rsid w:val="004876FD"/>
    <w:rsid w:val="00487770"/>
    <w:rsid w:val="0049248B"/>
    <w:rsid w:val="00495D8C"/>
    <w:rsid w:val="004A197E"/>
    <w:rsid w:val="004A1F58"/>
    <w:rsid w:val="004A269E"/>
    <w:rsid w:val="004A3DEA"/>
    <w:rsid w:val="004A41AE"/>
    <w:rsid w:val="004A45E7"/>
    <w:rsid w:val="004A76FA"/>
    <w:rsid w:val="004B10E8"/>
    <w:rsid w:val="004B313F"/>
    <w:rsid w:val="004B6BB7"/>
    <w:rsid w:val="004C0FAE"/>
    <w:rsid w:val="004C3D10"/>
    <w:rsid w:val="004C57D9"/>
    <w:rsid w:val="004C5E78"/>
    <w:rsid w:val="004C6114"/>
    <w:rsid w:val="004C6479"/>
    <w:rsid w:val="004D240F"/>
    <w:rsid w:val="004D2D0E"/>
    <w:rsid w:val="004D312E"/>
    <w:rsid w:val="004D3572"/>
    <w:rsid w:val="004D563E"/>
    <w:rsid w:val="004E0E95"/>
    <w:rsid w:val="004E2CF4"/>
    <w:rsid w:val="004E2E2C"/>
    <w:rsid w:val="004E561B"/>
    <w:rsid w:val="004E598C"/>
    <w:rsid w:val="004E7A37"/>
    <w:rsid w:val="004F5638"/>
    <w:rsid w:val="004F65CD"/>
    <w:rsid w:val="004F67CF"/>
    <w:rsid w:val="004F7474"/>
    <w:rsid w:val="00500D02"/>
    <w:rsid w:val="00501297"/>
    <w:rsid w:val="005018B8"/>
    <w:rsid w:val="00505AC5"/>
    <w:rsid w:val="00507093"/>
    <w:rsid w:val="0050720B"/>
    <w:rsid w:val="00507907"/>
    <w:rsid w:val="00511A71"/>
    <w:rsid w:val="00511CED"/>
    <w:rsid w:val="0051270B"/>
    <w:rsid w:val="005150B2"/>
    <w:rsid w:val="005155F2"/>
    <w:rsid w:val="00515BD1"/>
    <w:rsid w:val="00515D0C"/>
    <w:rsid w:val="00517724"/>
    <w:rsid w:val="0052290A"/>
    <w:rsid w:val="00524AFC"/>
    <w:rsid w:val="00524DA3"/>
    <w:rsid w:val="00527A61"/>
    <w:rsid w:val="00531BCD"/>
    <w:rsid w:val="00534EF3"/>
    <w:rsid w:val="00537BE4"/>
    <w:rsid w:val="005408BD"/>
    <w:rsid w:val="00540A15"/>
    <w:rsid w:val="005413AA"/>
    <w:rsid w:val="00541A3A"/>
    <w:rsid w:val="00542173"/>
    <w:rsid w:val="005432F4"/>
    <w:rsid w:val="005450A0"/>
    <w:rsid w:val="005458BB"/>
    <w:rsid w:val="0054709F"/>
    <w:rsid w:val="005472B0"/>
    <w:rsid w:val="00550053"/>
    <w:rsid w:val="00554234"/>
    <w:rsid w:val="00555078"/>
    <w:rsid w:val="0055561A"/>
    <w:rsid w:val="00560728"/>
    <w:rsid w:val="00563C81"/>
    <w:rsid w:val="00564E9B"/>
    <w:rsid w:val="00566925"/>
    <w:rsid w:val="00567BD0"/>
    <w:rsid w:val="005740E8"/>
    <w:rsid w:val="00582E76"/>
    <w:rsid w:val="00590DB0"/>
    <w:rsid w:val="0059184F"/>
    <w:rsid w:val="0059557F"/>
    <w:rsid w:val="00596D11"/>
    <w:rsid w:val="00597D86"/>
    <w:rsid w:val="005A2229"/>
    <w:rsid w:val="005A26F9"/>
    <w:rsid w:val="005A5B03"/>
    <w:rsid w:val="005A5F53"/>
    <w:rsid w:val="005A632A"/>
    <w:rsid w:val="005B05DC"/>
    <w:rsid w:val="005B3615"/>
    <w:rsid w:val="005B3D50"/>
    <w:rsid w:val="005B41C5"/>
    <w:rsid w:val="005B4AC1"/>
    <w:rsid w:val="005C1AB0"/>
    <w:rsid w:val="005C260C"/>
    <w:rsid w:val="005C3A67"/>
    <w:rsid w:val="005C5460"/>
    <w:rsid w:val="005C6976"/>
    <w:rsid w:val="005C788B"/>
    <w:rsid w:val="005C7917"/>
    <w:rsid w:val="005D0DBB"/>
    <w:rsid w:val="005D34CF"/>
    <w:rsid w:val="005D3BFF"/>
    <w:rsid w:val="005D4BB6"/>
    <w:rsid w:val="005D6010"/>
    <w:rsid w:val="005D7B81"/>
    <w:rsid w:val="005E0A26"/>
    <w:rsid w:val="005E0ABD"/>
    <w:rsid w:val="005E0EC3"/>
    <w:rsid w:val="005E23CB"/>
    <w:rsid w:val="005E525F"/>
    <w:rsid w:val="005E5F00"/>
    <w:rsid w:val="005E6375"/>
    <w:rsid w:val="005F28B4"/>
    <w:rsid w:val="005F3AB3"/>
    <w:rsid w:val="005F51E2"/>
    <w:rsid w:val="005F64B1"/>
    <w:rsid w:val="005F6995"/>
    <w:rsid w:val="00600DD7"/>
    <w:rsid w:val="00604E56"/>
    <w:rsid w:val="00605E33"/>
    <w:rsid w:val="00605E7A"/>
    <w:rsid w:val="00611CA6"/>
    <w:rsid w:val="00613172"/>
    <w:rsid w:val="0062531B"/>
    <w:rsid w:val="00626D9F"/>
    <w:rsid w:val="00635E9F"/>
    <w:rsid w:val="00640045"/>
    <w:rsid w:val="0064035F"/>
    <w:rsid w:val="006404F1"/>
    <w:rsid w:val="00641A15"/>
    <w:rsid w:val="00642A92"/>
    <w:rsid w:val="006431A3"/>
    <w:rsid w:val="00643BE4"/>
    <w:rsid w:val="00651A1C"/>
    <w:rsid w:val="00652146"/>
    <w:rsid w:val="006521D8"/>
    <w:rsid w:val="00653F7E"/>
    <w:rsid w:val="00655611"/>
    <w:rsid w:val="00655A95"/>
    <w:rsid w:val="00660778"/>
    <w:rsid w:val="00660A8E"/>
    <w:rsid w:val="00663685"/>
    <w:rsid w:val="006642A9"/>
    <w:rsid w:val="006662CD"/>
    <w:rsid w:val="00667250"/>
    <w:rsid w:val="00674EA3"/>
    <w:rsid w:val="00675156"/>
    <w:rsid w:val="00681FE7"/>
    <w:rsid w:val="006842AF"/>
    <w:rsid w:val="00685E3C"/>
    <w:rsid w:val="00692367"/>
    <w:rsid w:val="00697B2B"/>
    <w:rsid w:val="006A13E4"/>
    <w:rsid w:val="006A2A56"/>
    <w:rsid w:val="006A4D3C"/>
    <w:rsid w:val="006A5DD7"/>
    <w:rsid w:val="006A7BCB"/>
    <w:rsid w:val="006B0D01"/>
    <w:rsid w:val="006B112D"/>
    <w:rsid w:val="006B436C"/>
    <w:rsid w:val="006B4BE6"/>
    <w:rsid w:val="006B6CAD"/>
    <w:rsid w:val="006B7A56"/>
    <w:rsid w:val="006C0F9B"/>
    <w:rsid w:val="006C1E92"/>
    <w:rsid w:val="006C3781"/>
    <w:rsid w:val="006C573F"/>
    <w:rsid w:val="006C723D"/>
    <w:rsid w:val="006C7723"/>
    <w:rsid w:val="006C7846"/>
    <w:rsid w:val="006C7EC4"/>
    <w:rsid w:val="006D1737"/>
    <w:rsid w:val="006D1CB2"/>
    <w:rsid w:val="006D2F8E"/>
    <w:rsid w:val="006D3442"/>
    <w:rsid w:val="006D5DAD"/>
    <w:rsid w:val="006D7B45"/>
    <w:rsid w:val="006D7C6B"/>
    <w:rsid w:val="006E300A"/>
    <w:rsid w:val="006E6BAF"/>
    <w:rsid w:val="006E7666"/>
    <w:rsid w:val="006E7ED3"/>
    <w:rsid w:val="006F0579"/>
    <w:rsid w:val="006F0729"/>
    <w:rsid w:val="006F14EE"/>
    <w:rsid w:val="006F1FB9"/>
    <w:rsid w:val="006F3557"/>
    <w:rsid w:val="006F376A"/>
    <w:rsid w:val="006F44AE"/>
    <w:rsid w:val="006F7F89"/>
    <w:rsid w:val="0070188D"/>
    <w:rsid w:val="007032E6"/>
    <w:rsid w:val="00704E19"/>
    <w:rsid w:val="00705CEA"/>
    <w:rsid w:val="00711D66"/>
    <w:rsid w:val="00712A6A"/>
    <w:rsid w:val="00714650"/>
    <w:rsid w:val="00714C8F"/>
    <w:rsid w:val="00716446"/>
    <w:rsid w:val="0071738A"/>
    <w:rsid w:val="00725F43"/>
    <w:rsid w:val="00727787"/>
    <w:rsid w:val="00730D4D"/>
    <w:rsid w:val="007310D0"/>
    <w:rsid w:val="00732C0A"/>
    <w:rsid w:val="00733733"/>
    <w:rsid w:val="007339AF"/>
    <w:rsid w:val="00733DDF"/>
    <w:rsid w:val="00734B90"/>
    <w:rsid w:val="007351C1"/>
    <w:rsid w:val="00735262"/>
    <w:rsid w:val="007355B4"/>
    <w:rsid w:val="00735CF6"/>
    <w:rsid w:val="00736F19"/>
    <w:rsid w:val="007377CC"/>
    <w:rsid w:val="007379BB"/>
    <w:rsid w:val="0074062F"/>
    <w:rsid w:val="007462B9"/>
    <w:rsid w:val="00746568"/>
    <w:rsid w:val="0074771B"/>
    <w:rsid w:val="007503C6"/>
    <w:rsid w:val="00751D53"/>
    <w:rsid w:val="0075255F"/>
    <w:rsid w:val="00757137"/>
    <w:rsid w:val="00760AEB"/>
    <w:rsid w:val="0076366B"/>
    <w:rsid w:val="0076398C"/>
    <w:rsid w:val="007643BF"/>
    <w:rsid w:val="007654AD"/>
    <w:rsid w:val="00766A6B"/>
    <w:rsid w:val="007670C1"/>
    <w:rsid w:val="0077007D"/>
    <w:rsid w:val="007821D8"/>
    <w:rsid w:val="007833F9"/>
    <w:rsid w:val="0078428E"/>
    <w:rsid w:val="00787A76"/>
    <w:rsid w:val="007900E5"/>
    <w:rsid w:val="00790603"/>
    <w:rsid w:val="00790CAE"/>
    <w:rsid w:val="00792A04"/>
    <w:rsid w:val="007930D3"/>
    <w:rsid w:val="00794643"/>
    <w:rsid w:val="007947E9"/>
    <w:rsid w:val="007B0397"/>
    <w:rsid w:val="007B0829"/>
    <w:rsid w:val="007B371E"/>
    <w:rsid w:val="007B3A7A"/>
    <w:rsid w:val="007B3DFE"/>
    <w:rsid w:val="007B4E3D"/>
    <w:rsid w:val="007C0C0B"/>
    <w:rsid w:val="007C23A0"/>
    <w:rsid w:val="007C4E06"/>
    <w:rsid w:val="007D1F11"/>
    <w:rsid w:val="007D404D"/>
    <w:rsid w:val="007E1985"/>
    <w:rsid w:val="007E309A"/>
    <w:rsid w:val="007E4DCB"/>
    <w:rsid w:val="007F24F0"/>
    <w:rsid w:val="007F3C38"/>
    <w:rsid w:val="007F45D6"/>
    <w:rsid w:val="007F79A1"/>
    <w:rsid w:val="007F7D89"/>
    <w:rsid w:val="00801FF2"/>
    <w:rsid w:val="00804366"/>
    <w:rsid w:val="008107E7"/>
    <w:rsid w:val="00811E18"/>
    <w:rsid w:val="00811F72"/>
    <w:rsid w:val="00813A53"/>
    <w:rsid w:val="0081574A"/>
    <w:rsid w:val="008173C4"/>
    <w:rsid w:val="008205DE"/>
    <w:rsid w:val="00820F07"/>
    <w:rsid w:val="0082213C"/>
    <w:rsid w:val="00823827"/>
    <w:rsid w:val="00825229"/>
    <w:rsid w:val="0082754C"/>
    <w:rsid w:val="00827868"/>
    <w:rsid w:val="0083161C"/>
    <w:rsid w:val="00832906"/>
    <w:rsid w:val="00832DE5"/>
    <w:rsid w:val="00836DD1"/>
    <w:rsid w:val="00837061"/>
    <w:rsid w:val="008379F4"/>
    <w:rsid w:val="0084262F"/>
    <w:rsid w:val="0084279E"/>
    <w:rsid w:val="00846D54"/>
    <w:rsid w:val="00847B1A"/>
    <w:rsid w:val="00853C5B"/>
    <w:rsid w:val="00853F0A"/>
    <w:rsid w:val="00855CC3"/>
    <w:rsid w:val="00856264"/>
    <w:rsid w:val="00860969"/>
    <w:rsid w:val="00860BC0"/>
    <w:rsid w:val="008646CF"/>
    <w:rsid w:val="00865C6C"/>
    <w:rsid w:val="00871038"/>
    <w:rsid w:val="0087322C"/>
    <w:rsid w:val="008740FB"/>
    <w:rsid w:val="00875454"/>
    <w:rsid w:val="00876B7F"/>
    <w:rsid w:val="0087767C"/>
    <w:rsid w:val="00883E33"/>
    <w:rsid w:val="00883E80"/>
    <w:rsid w:val="00887514"/>
    <w:rsid w:val="00890ED9"/>
    <w:rsid w:val="008927AA"/>
    <w:rsid w:val="00892F19"/>
    <w:rsid w:val="00893F3F"/>
    <w:rsid w:val="00895C0A"/>
    <w:rsid w:val="00895DA9"/>
    <w:rsid w:val="0089779A"/>
    <w:rsid w:val="008A6394"/>
    <w:rsid w:val="008A6809"/>
    <w:rsid w:val="008B264B"/>
    <w:rsid w:val="008B3D40"/>
    <w:rsid w:val="008B41E0"/>
    <w:rsid w:val="008B64E3"/>
    <w:rsid w:val="008C0281"/>
    <w:rsid w:val="008C0949"/>
    <w:rsid w:val="008C1F83"/>
    <w:rsid w:val="008C2B0D"/>
    <w:rsid w:val="008C49E8"/>
    <w:rsid w:val="008C4B1B"/>
    <w:rsid w:val="008C5323"/>
    <w:rsid w:val="008C6CAA"/>
    <w:rsid w:val="008D1D8C"/>
    <w:rsid w:val="008D4CBB"/>
    <w:rsid w:val="008D5904"/>
    <w:rsid w:val="008E2CF1"/>
    <w:rsid w:val="008E37F2"/>
    <w:rsid w:val="008E4B44"/>
    <w:rsid w:val="008E4D6F"/>
    <w:rsid w:val="008E55FF"/>
    <w:rsid w:val="008E74DE"/>
    <w:rsid w:val="008F2309"/>
    <w:rsid w:val="008F25DF"/>
    <w:rsid w:val="008F270D"/>
    <w:rsid w:val="008F2BDA"/>
    <w:rsid w:val="008F2E0B"/>
    <w:rsid w:val="008F705F"/>
    <w:rsid w:val="008F70D0"/>
    <w:rsid w:val="008F7D51"/>
    <w:rsid w:val="0090052B"/>
    <w:rsid w:val="00901004"/>
    <w:rsid w:val="00902C95"/>
    <w:rsid w:val="009033AC"/>
    <w:rsid w:val="00903479"/>
    <w:rsid w:val="00903B14"/>
    <w:rsid w:val="009043AA"/>
    <w:rsid w:val="009048B2"/>
    <w:rsid w:val="00907B8E"/>
    <w:rsid w:val="00907ED5"/>
    <w:rsid w:val="00912FED"/>
    <w:rsid w:val="00921A62"/>
    <w:rsid w:val="00923191"/>
    <w:rsid w:val="009235D8"/>
    <w:rsid w:val="00924BB1"/>
    <w:rsid w:val="009251A0"/>
    <w:rsid w:val="00925C5A"/>
    <w:rsid w:val="009266C7"/>
    <w:rsid w:val="00926E66"/>
    <w:rsid w:val="00930424"/>
    <w:rsid w:val="009316B7"/>
    <w:rsid w:val="00931EF4"/>
    <w:rsid w:val="0093293A"/>
    <w:rsid w:val="00933C37"/>
    <w:rsid w:val="00935B06"/>
    <w:rsid w:val="00940E45"/>
    <w:rsid w:val="009433B4"/>
    <w:rsid w:val="009433CA"/>
    <w:rsid w:val="00943890"/>
    <w:rsid w:val="00943927"/>
    <w:rsid w:val="00945E79"/>
    <w:rsid w:val="009503AC"/>
    <w:rsid w:val="00950CA9"/>
    <w:rsid w:val="00953791"/>
    <w:rsid w:val="009549A2"/>
    <w:rsid w:val="00961EB1"/>
    <w:rsid w:val="009639EB"/>
    <w:rsid w:val="00965B6B"/>
    <w:rsid w:val="009713FD"/>
    <w:rsid w:val="00975BED"/>
    <w:rsid w:val="0097780D"/>
    <w:rsid w:val="0098319B"/>
    <w:rsid w:val="0098477C"/>
    <w:rsid w:val="009850AE"/>
    <w:rsid w:val="00986F3F"/>
    <w:rsid w:val="009873CA"/>
    <w:rsid w:val="00987849"/>
    <w:rsid w:val="0099129B"/>
    <w:rsid w:val="00992055"/>
    <w:rsid w:val="009936B0"/>
    <w:rsid w:val="00994EE4"/>
    <w:rsid w:val="00995918"/>
    <w:rsid w:val="009A159C"/>
    <w:rsid w:val="009A1BD0"/>
    <w:rsid w:val="009A27E6"/>
    <w:rsid w:val="009B19CA"/>
    <w:rsid w:val="009B2409"/>
    <w:rsid w:val="009B6229"/>
    <w:rsid w:val="009B642F"/>
    <w:rsid w:val="009B6F2A"/>
    <w:rsid w:val="009B7BA2"/>
    <w:rsid w:val="009C036B"/>
    <w:rsid w:val="009C0CE5"/>
    <w:rsid w:val="009C0D59"/>
    <w:rsid w:val="009C3C9F"/>
    <w:rsid w:val="009C450B"/>
    <w:rsid w:val="009C4703"/>
    <w:rsid w:val="009C4E0F"/>
    <w:rsid w:val="009C54AD"/>
    <w:rsid w:val="009C583A"/>
    <w:rsid w:val="009C5AC2"/>
    <w:rsid w:val="009C5FBB"/>
    <w:rsid w:val="009C69EF"/>
    <w:rsid w:val="009C75C7"/>
    <w:rsid w:val="009D0682"/>
    <w:rsid w:val="009D1242"/>
    <w:rsid w:val="009D3F17"/>
    <w:rsid w:val="009D56BA"/>
    <w:rsid w:val="009D5BA8"/>
    <w:rsid w:val="009D6BF3"/>
    <w:rsid w:val="009E0B16"/>
    <w:rsid w:val="009E25F4"/>
    <w:rsid w:val="009E29B5"/>
    <w:rsid w:val="009E2A40"/>
    <w:rsid w:val="009E4ABE"/>
    <w:rsid w:val="009E4DC4"/>
    <w:rsid w:val="009F2A5F"/>
    <w:rsid w:val="009F4E33"/>
    <w:rsid w:val="009F5A03"/>
    <w:rsid w:val="00A049ED"/>
    <w:rsid w:val="00A06880"/>
    <w:rsid w:val="00A0759F"/>
    <w:rsid w:val="00A13ED9"/>
    <w:rsid w:val="00A15234"/>
    <w:rsid w:val="00A152F9"/>
    <w:rsid w:val="00A1625E"/>
    <w:rsid w:val="00A17CC7"/>
    <w:rsid w:val="00A17E05"/>
    <w:rsid w:val="00A23D5A"/>
    <w:rsid w:val="00A24A8F"/>
    <w:rsid w:val="00A26111"/>
    <w:rsid w:val="00A27231"/>
    <w:rsid w:val="00A27882"/>
    <w:rsid w:val="00A279BB"/>
    <w:rsid w:val="00A30C84"/>
    <w:rsid w:val="00A32522"/>
    <w:rsid w:val="00A43355"/>
    <w:rsid w:val="00A43F59"/>
    <w:rsid w:val="00A44947"/>
    <w:rsid w:val="00A44A0F"/>
    <w:rsid w:val="00A44D24"/>
    <w:rsid w:val="00A462F0"/>
    <w:rsid w:val="00A463F7"/>
    <w:rsid w:val="00A46C86"/>
    <w:rsid w:val="00A514BB"/>
    <w:rsid w:val="00A51620"/>
    <w:rsid w:val="00A51E95"/>
    <w:rsid w:val="00A54994"/>
    <w:rsid w:val="00A55307"/>
    <w:rsid w:val="00A55716"/>
    <w:rsid w:val="00A55A3E"/>
    <w:rsid w:val="00A565FC"/>
    <w:rsid w:val="00A56997"/>
    <w:rsid w:val="00A636AB"/>
    <w:rsid w:val="00A64940"/>
    <w:rsid w:val="00A70820"/>
    <w:rsid w:val="00A70A78"/>
    <w:rsid w:val="00A70E56"/>
    <w:rsid w:val="00A7508F"/>
    <w:rsid w:val="00A843BA"/>
    <w:rsid w:val="00A900C3"/>
    <w:rsid w:val="00A93789"/>
    <w:rsid w:val="00AA079E"/>
    <w:rsid w:val="00AA26D3"/>
    <w:rsid w:val="00AA3022"/>
    <w:rsid w:val="00AA4B3C"/>
    <w:rsid w:val="00AB2E63"/>
    <w:rsid w:val="00AB5F31"/>
    <w:rsid w:val="00AB620F"/>
    <w:rsid w:val="00AB7B5E"/>
    <w:rsid w:val="00AC0893"/>
    <w:rsid w:val="00AC2EFE"/>
    <w:rsid w:val="00AC39E7"/>
    <w:rsid w:val="00AC3B02"/>
    <w:rsid w:val="00AC3F72"/>
    <w:rsid w:val="00AC6607"/>
    <w:rsid w:val="00AD4FD8"/>
    <w:rsid w:val="00AD7189"/>
    <w:rsid w:val="00AE11B6"/>
    <w:rsid w:val="00AE1801"/>
    <w:rsid w:val="00AE3716"/>
    <w:rsid w:val="00AE3D80"/>
    <w:rsid w:val="00AE498B"/>
    <w:rsid w:val="00AE4CA3"/>
    <w:rsid w:val="00AE7194"/>
    <w:rsid w:val="00AE780D"/>
    <w:rsid w:val="00AF0AA1"/>
    <w:rsid w:val="00AF0F0E"/>
    <w:rsid w:val="00AF2994"/>
    <w:rsid w:val="00AF3584"/>
    <w:rsid w:val="00AF36AC"/>
    <w:rsid w:val="00AF52FA"/>
    <w:rsid w:val="00AF5D05"/>
    <w:rsid w:val="00B008A8"/>
    <w:rsid w:val="00B00F50"/>
    <w:rsid w:val="00B01582"/>
    <w:rsid w:val="00B027B5"/>
    <w:rsid w:val="00B02D21"/>
    <w:rsid w:val="00B0336A"/>
    <w:rsid w:val="00B0543B"/>
    <w:rsid w:val="00B0775D"/>
    <w:rsid w:val="00B12630"/>
    <w:rsid w:val="00B12DD6"/>
    <w:rsid w:val="00B13906"/>
    <w:rsid w:val="00B164A3"/>
    <w:rsid w:val="00B17238"/>
    <w:rsid w:val="00B177B2"/>
    <w:rsid w:val="00B20C19"/>
    <w:rsid w:val="00B20FDC"/>
    <w:rsid w:val="00B2615C"/>
    <w:rsid w:val="00B2682C"/>
    <w:rsid w:val="00B30462"/>
    <w:rsid w:val="00B311A2"/>
    <w:rsid w:val="00B31A8B"/>
    <w:rsid w:val="00B33226"/>
    <w:rsid w:val="00B340C6"/>
    <w:rsid w:val="00B35263"/>
    <w:rsid w:val="00B35887"/>
    <w:rsid w:val="00B438D7"/>
    <w:rsid w:val="00B4774A"/>
    <w:rsid w:val="00B50BFF"/>
    <w:rsid w:val="00B51A94"/>
    <w:rsid w:val="00B536AF"/>
    <w:rsid w:val="00B537E1"/>
    <w:rsid w:val="00B53B6A"/>
    <w:rsid w:val="00B5458D"/>
    <w:rsid w:val="00B55DBD"/>
    <w:rsid w:val="00B56687"/>
    <w:rsid w:val="00B60FDE"/>
    <w:rsid w:val="00B61BAB"/>
    <w:rsid w:val="00B61E24"/>
    <w:rsid w:val="00B627BF"/>
    <w:rsid w:val="00B704E4"/>
    <w:rsid w:val="00B70B1C"/>
    <w:rsid w:val="00B723B8"/>
    <w:rsid w:val="00B7288D"/>
    <w:rsid w:val="00B73AC7"/>
    <w:rsid w:val="00B757ED"/>
    <w:rsid w:val="00B77ED6"/>
    <w:rsid w:val="00B812A9"/>
    <w:rsid w:val="00B8133E"/>
    <w:rsid w:val="00B85E88"/>
    <w:rsid w:val="00B86421"/>
    <w:rsid w:val="00B879CF"/>
    <w:rsid w:val="00B94363"/>
    <w:rsid w:val="00B96351"/>
    <w:rsid w:val="00B96430"/>
    <w:rsid w:val="00B97225"/>
    <w:rsid w:val="00BA017C"/>
    <w:rsid w:val="00BA0542"/>
    <w:rsid w:val="00BA0C12"/>
    <w:rsid w:val="00BA1988"/>
    <w:rsid w:val="00BB1EA8"/>
    <w:rsid w:val="00BB2D53"/>
    <w:rsid w:val="00BB3826"/>
    <w:rsid w:val="00BB62EC"/>
    <w:rsid w:val="00BB669A"/>
    <w:rsid w:val="00BB7078"/>
    <w:rsid w:val="00BB7625"/>
    <w:rsid w:val="00BB7B97"/>
    <w:rsid w:val="00BC0F0E"/>
    <w:rsid w:val="00BC2315"/>
    <w:rsid w:val="00BC4FF5"/>
    <w:rsid w:val="00BD2368"/>
    <w:rsid w:val="00BD317F"/>
    <w:rsid w:val="00BD568F"/>
    <w:rsid w:val="00BE0F18"/>
    <w:rsid w:val="00BE15EF"/>
    <w:rsid w:val="00BE3C74"/>
    <w:rsid w:val="00BE4836"/>
    <w:rsid w:val="00BE4B08"/>
    <w:rsid w:val="00BE6D0A"/>
    <w:rsid w:val="00BE7BF7"/>
    <w:rsid w:val="00BF3825"/>
    <w:rsid w:val="00BF3DA0"/>
    <w:rsid w:val="00BF539F"/>
    <w:rsid w:val="00C0032A"/>
    <w:rsid w:val="00C011BE"/>
    <w:rsid w:val="00C02EBD"/>
    <w:rsid w:val="00C05801"/>
    <w:rsid w:val="00C06374"/>
    <w:rsid w:val="00C066A7"/>
    <w:rsid w:val="00C10037"/>
    <w:rsid w:val="00C158FB"/>
    <w:rsid w:val="00C1719F"/>
    <w:rsid w:val="00C22242"/>
    <w:rsid w:val="00C22712"/>
    <w:rsid w:val="00C24430"/>
    <w:rsid w:val="00C24E42"/>
    <w:rsid w:val="00C30106"/>
    <w:rsid w:val="00C309AB"/>
    <w:rsid w:val="00C30F73"/>
    <w:rsid w:val="00C346D0"/>
    <w:rsid w:val="00C36ED0"/>
    <w:rsid w:val="00C40885"/>
    <w:rsid w:val="00C40E57"/>
    <w:rsid w:val="00C417FC"/>
    <w:rsid w:val="00C42CC7"/>
    <w:rsid w:val="00C45374"/>
    <w:rsid w:val="00C518D5"/>
    <w:rsid w:val="00C52133"/>
    <w:rsid w:val="00C53F98"/>
    <w:rsid w:val="00C56339"/>
    <w:rsid w:val="00C576BC"/>
    <w:rsid w:val="00C63DFC"/>
    <w:rsid w:val="00C646DE"/>
    <w:rsid w:val="00C64F50"/>
    <w:rsid w:val="00C671C3"/>
    <w:rsid w:val="00C717A4"/>
    <w:rsid w:val="00C7187F"/>
    <w:rsid w:val="00C73647"/>
    <w:rsid w:val="00C75AB4"/>
    <w:rsid w:val="00C75D56"/>
    <w:rsid w:val="00C77688"/>
    <w:rsid w:val="00C836EB"/>
    <w:rsid w:val="00C84DB0"/>
    <w:rsid w:val="00C85D1B"/>
    <w:rsid w:val="00C869AE"/>
    <w:rsid w:val="00C9049C"/>
    <w:rsid w:val="00C92226"/>
    <w:rsid w:val="00C925C0"/>
    <w:rsid w:val="00C94B40"/>
    <w:rsid w:val="00C953C9"/>
    <w:rsid w:val="00CA25EC"/>
    <w:rsid w:val="00CA3812"/>
    <w:rsid w:val="00CA5C80"/>
    <w:rsid w:val="00CA5C94"/>
    <w:rsid w:val="00CA6A1E"/>
    <w:rsid w:val="00CA7DC0"/>
    <w:rsid w:val="00CB116B"/>
    <w:rsid w:val="00CB4113"/>
    <w:rsid w:val="00CB46B6"/>
    <w:rsid w:val="00CB5667"/>
    <w:rsid w:val="00CB7A1B"/>
    <w:rsid w:val="00CC0C02"/>
    <w:rsid w:val="00CC2EBA"/>
    <w:rsid w:val="00CC54F8"/>
    <w:rsid w:val="00CD02BF"/>
    <w:rsid w:val="00CD19E1"/>
    <w:rsid w:val="00CD5B43"/>
    <w:rsid w:val="00CD70FF"/>
    <w:rsid w:val="00CD78CA"/>
    <w:rsid w:val="00CE2216"/>
    <w:rsid w:val="00CE2C54"/>
    <w:rsid w:val="00CE472D"/>
    <w:rsid w:val="00CE53D5"/>
    <w:rsid w:val="00CE560A"/>
    <w:rsid w:val="00CF0A66"/>
    <w:rsid w:val="00CF0BFB"/>
    <w:rsid w:val="00CF0E84"/>
    <w:rsid w:val="00CF275A"/>
    <w:rsid w:val="00D00D3E"/>
    <w:rsid w:val="00D03055"/>
    <w:rsid w:val="00D044B9"/>
    <w:rsid w:val="00D04B52"/>
    <w:rsid w:val="00D05B3A"/>
    <w:rsid w:val="00D06E4E"/>
    <w:rsid w:val="00D129A3"/>
    <w:rsid w:val="00D12E4B"/>
    <w:rsid w:val="00D14F66"/>
    <w:rsid w:val="00D17408"/>
    <w:rsid w:val="00D176D2"/>
    <w:rsid w:val="00D17D38"/>
    <w:rsid w:val="00D17E07"/>
    <w:rsid w:val="00D22EF6"/>
    <w:rsid w:val="00D256CD"/>
    <w:rsid w:val="00D262FC"/>
    <w:rsid w:val="00D30869"/>
    <w:rsid w:val="00D32411"/>
    <w:rsid w:val="00D36543"/>
    <w:rsid w:val="00D37713"/>
    <w:rsid w:val="00D40895"/>
    <w:rsid w:val="00D40B86"/>
    <w:rsid w:val="00D41A36"/>
    <w:rsid w:val="00D42A60"/>
    <w:rsid w:val="00D42D09"/>
    <w:rsid w:val="00D44F07"/>
    <w:rsid w:val="00D46033"/>
    <w:rsid w:val="00D4674A"/>
    <w:rsid w:val="00D5216D"/>
    <w:rsid w:val="00D522FE"/>
    <w:rsid w:val="00D53205"/>
    <w:rsid w:val="00D53B64"/>
    <w:rsid w:val="00D542BF"/>
    <w:rsid w:val="00D554EE"/>
    <w:rsid w:val="00D55EE4"/>
    <w:rsid w:val="00D56485"/>
    <w:rsid w:val="00D63BD7"/>
    <w:rsid w:val="00D70FDA"/>
    <w:rsid w:val="00D71C9A"/>
    <w:rsid w:val="00D726DD"/>
    <w:rsid w:val="00D75591"/>
    <w:rsid w:val="00D768ED"/>
    <w:rsid w:val="00D7737F"/>
    <w:rsid w:val="00D776E5"/>
    <w:rsid w:val="00D80662"/>
    <w:rsid w:val="00D81402"/>
    <w:rsid w:val="00D82527"/>
    <w:rsid w:val="00D838EB"/>
    <w:rsid w:val="00D83A80"/>
    <w:rsid w:val="00D856CD"/>
    <w:rsid w:val="00D866FA"/>
    <w:rsid w:val="00D90A1D"/>
    <w:rsid w:val="00D9178A"/>
    <w:rsid w:val="00D9282B"/>
    <w:rsid w:val="00D966A6"/>
    <w:rsid w:val="00DA09FA"/>
    <w:rsid w:val="00DA1C68"/>
    <w:rsid w:val="00DA7ADF"/>
    <w:rsid w:val="00DB0CD4"/>
    <w:rsid w:val="00DB0EED"/>
    <w:rsid w:val="00DB1385"/>
    <w:rsid w:val="00DB1B13"/>
    <w:rsid w:val="00DB339B"/>
    <w:rsid w:val="00DB3591"/>
    <w:rsid w:val="00DB4064"/>
    <w:rsid w:val="00DB4351"/>
    <w:rsid w:val="00DB47F9"/>
    <w:rsid w:val="00DB4F21"/>
    <w:rsid w:val="00DB5C42"/>
    <w:rsid w:val="00DB6509"/>
    <w:rsid w:val="00DC026D"/>
    <w:rsid w:val="00DC2F3D"/>
    <w:rsid w:val="00DC39FC"/>
    <w:rsid w:val="00DC4E5A"/>
    <w:rsid w:val="00DC7FF4"/>
    <w:rsid w:val="00DD1395"/>
    <w:rsid w:val="00DD1E23"/>
    <w:rsid w:val="00DD2C0C"/>
    <w:rsid w:val="00DD2EC0"/>
    <w:rsid w:val="00DD628C"/>
    <w:rsid w:val="00DE175E"/>
    <w:rsid w:val="00DE17FE"/>
    <w:rsid w:val="00DE1EAF"/>
    <w:rsid w:val="00DE2B42"/>
    <w:rsid w:val="00DE348D"/>
    <w:rsid w:val="00DE3DB9"/>
    <w:rsid w:val="00DE446A"/>
    <w:rsid w:val="00DE4E89"/>
    <w:rsid w:val="00DE64C6"/>
    <w:rsid w:val="00DF0574"/>
    <w:rsid w:val="00DF12C4"/>
    <w:rsid w:val="00DF317A"/>
    <w:rsid w:val="00DF4411"/>
    <w:rsid w:val="00DF60B5"/>
    <w:rsid w:val="00E013D9"/>
    <w:rsid w:val="00E06727"/>
    <w:rsid w:val="00E15A9A"/>
    <w:rsid w:val="00E166FC"/>
    <w:rsid w:val="00E16D7A"/>
    <w:rsid w:val="00E21C31"/>
    <w:rsid w:val="00E2234C"/>
    <w:rsid w:val="00E2425B"/>
    <w:rsid w:val="00E27996"/>
    <w:rsid w:val="00E30D14"/>
    <w:rsid w:val="00E3102D"/>
    <w:rsid w:val="00E37A51"/>
    <w:rsid w:val="00E37C0D"/>
    <w:rsid w:val="00E40702"/>
    <w:rsid w:val="00E41D42"/>
    <w:rsid w:val="00E425E5"/>
    <w:rsid w:val="00E43A6A"/>
    <w:rsid w:val="00E46AD6"/>
    <w:rsid w:val="00E470C3"/>
    <w:rsid w:val="00E47B54"/>
    <w:rsid w:val="00E5037E"/>
    <w:rsid w:val="00E51546"/>
    <w:rsid w:val="00E5348D"/>
    <w:rsid w:val="00E54833"/>
    <w:rsid w:val="00E549E0"/>
    <w:rsid w:val="00E56EC1"/>
    <w:rsid w:val="00E6000D"/>
    <w:rsid w:val="00E60240"/>
    <w:rsid w:val="00E63CDE"/>
    <w:rsid w:val="00E670D9"/>
    <w:rsid w:val="00E6759F"/>
    <w:rsid w:val="00E72302"/>
    <w:rsid w:val="00E731C6"/>
    <w:rsid w:val="00E732CE"/>
    <w:rsid w:val="00E820B1"/>
    <w:rsid w:val="00E8417C"/>
    <w:rsid w:val="00E867BB"/>
    <w:rsid w:val="00E90F45"/>
    <w:rsid w:val="00E925D9"/>
    <w:rsid w:val="00E93092"/>
    <w:rsid w:val="00E96686"/>
    <w:rsid w:val="00E970EA"/>
    <w:rsid w:val="00EA5369"/>
    <w:rsid w:val="00EA6DF1"/>
    <w:rsid w:val="00EA7B8B"/>
    <w:rsid w:val="00EB290F"/>
    <w:rsid w:val="00EB3619"/>
    <w:rsid w:val="00EB38FD"/>
    <w:rsid w:val="00EB4942"/>
    <w:rsid w:val="00EB5CFB"/>
    <w:rsid w:val="00EC096D"/>
    <w:rsid w:val="00EC2D0F"/>
    <w:rsid w:val="00EC2E8B"/>
    <w:rsid w:val="00EC330E"/>
    <w:rsid w:val="00EC5678"/>
    <w:rsid w:val="00EC7847"/>
    <w:rsid w:val="00ED37A2"/>
    <w:rsid w:val="00ED6094"/>
    <w:rsid w:val="00ED6E36"/>
    <w:rsid w:val="00ED7139"/>
    <w:rsid w:val="00EE0B09"/>
    <w:rsid w:val="00EE36CC"/>
    <w:rsid w:val="00EE447F"/>
    <w:rsid w:val="00EE5020"/>
    <w:rsid w:val="00EE5D23"/>
    <w:rsid w:val="00EE65CD"/>
    <w:rsid w:val="00F002A2"/>
    <w:rsid w:val="00F03349"/>
    <w:rsid w:val="00F07ECE"/>
    <w:rsid w:val="00F11479"/>
    <w:rsid w:val="00F124C9"/>
    <w:rsid w:val="00F12CF3"/>
    <w:rsid w:val="00F13B90"/>
    <w:rsid w:val="00F149EF"/>
    <w:rsid w:val="00F20BE1"/>
    <w:rsid w:val="00F20EFC"/>
    <w:rsid w:val="00F21A46"/>
    <w:rsid w:val="00F229F3"/>
    <w:rsid w:val="00F2369B"/>
    <w:rsid w:val="00F23B11"/>
    <w:rsid w:val="00F24616"/>
    <w:rsid w:val="00F26F49"/>
    <w:rsid w:val="00F3020F"/>
    <w:rsid w:val="00F304A6"/>
    <w:rsid w:val="00F32A62"/>
    <w:rsid w:val="00F3577C"/>
    <w:rsid w:val="00F35BEF"/>
    <w:rsid w:val="00F36E47"/>
    <w:rsid w:val="00F40A9C"/>
    <w:rsid w:val="00F41C64"/>
    <w:rsid w:val="00F43E6B"/>
    <w:rsid w:val="00F4461B"/>
    <w:rsid w:val="00F4548A"/>
    <w:rsid w:val="00F468E6"/>
    <w:rsid w:val="00F478E5"/>
    <w:rsid w:val="00F47E71"/>
    <w:rsid w:val="00F509B0"/>
    <w:rsid w:val="00F54500"/>
    <w:rsid w:val="00F55E1E"/>
    <w:rsid w:val="00F5749A"/>
    <w:rsid w:val="00F6159A"/>
    <w:rsid w:val="00F61B6D"/>
    <w:rsid w:val="00F65157"/>
    <w:rsid w:val="00F6615E"/>
    <w:rsid w:val="00F7150F"/>
    <w:rsid w:val="00F74997"/>
    <w:rsid w:val="00F76016"/>
    <w:rsid w:val="00F835B7"/>
    <w:rsid w:val="00F84E1F"/>
    <w:rsid w:val="00F85A03"/>
    <w:rsid w:val="00F86714"/>
    <w:rsid w:val="00F872A5"/>
    <w:rsid w:val="00F91A20"/>
    <w:rsid w:val="00F91DCB"/>
    <w:rsid w:val="00F92292"/>
    <w:rsid w:val="00F944BC"/>
    <w:rsid w:val="00F94D7B"/>
    <w:rsid w:val="00FA2CD5"/>
    <w:rsid w:val="00FA2FBC"/>
    <w:rsid w:val="00FA5E83"/>
    <w:rsid w:val="00FA7102"/>
    <w:rsid w:val="00FB0CEC"/>
    <w:rsid w:val="00FB39AB"/>
    <w:rsid w:val="00FB3B01"/>
    <w:rsid w:val="00FB4133"/>
    <w:rsid w:val="00FB4BDA"/>
    <w:rsid w:val="00FB66AA"/>
    <w:rsid w:val="00FB6802"/>
    <w:rsid w:val="00FB7515"/>
    <w:rsid w:val="00FB7E9C"/>
    <w:rsid w:val="00FC2C0D"/>
    <w:rsid w:val="00FC4CA0"/>
    <w:rsid w:val="00FD08E0"/>
    <w:rsid w:val="00FD307C"/>
    <w:rsid w:val="00FD3DAE"/>
    <w:rsid w:val="00FD6681"/>
    <w:rsid w:val="00FD71AB"/>
    <w:rsid w:val="00FE5685"/>
    <w:rsid w:val="00FE7278"/>
    <w:rsid w:val="00FF1E6B"/>
    <w:rsid w:val="00FF25D9"/>
    <w:rsid w:val="00FF6122"/>
    <w:rsid w:val="00FF7F97"/>
    <w:rsid w:val="4B405F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99" w:semiHidden="0" w:name="footnote text"/>
    <w:lsdException w:uiPriority="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snapToGrid w:val="0"/>
      <w:spacing w:line="550" w:lineRule="exact"/>
      <w:ind w:firstLine="660"/>
      <w:outlineLvl w:val="0"/>
    </w:pPr>
    <w:rPr>
      <w:rFonts w:ascii="黑体" w:hAnsi="宋体" w:eastAsia="黑体"/>
      <w:sz w:val="32"/>
      <w:szCs w:val="32"/>
    </w:rPr>
  </w:style>
  <w:style w:type="paragraph" w:styleId="3">
    <w:name w:val="heading 2"/>
    <w:basedOn w:val="1"/>
    <w:next w:val="1"/>
    <w:link w:val="5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69"/>
    <w:uiPriority w:val="0"/>
    <w:rPr>
      <w:rFonts w:ascii="宋体" w:hAnsi="宋体"/>
      <w:b/>
      <w:bCs/>
    </w:rPr>
  </w:style>
  <w:style w:type="paragraph" w:styleId="6">
    <w:name w:val="annotation text"/>
    <w:basedOn w:val="1"/>
    <w:link w:val="70"/>
    <w:semiHidden/>
    <w:unhideWhenUsed/>
    <w:uiPriority w:val="0"/>
    <w:pPr>
      <w:jc w:val="left"/>
    </w:pPr>
  </w:style>
  <w:style w:type="paragraph" w:styleId="7">
    <w:name w:val="Document Map"/>
    <w:basedOn w:val="1"/>
    <w:link w:val="62"/>
    <w:uiPriority w:val="0"/>
    <w:rPr>
      <w:rFonts w:ascii="宋体"/>
      <w:sz w:val="18"/>
      <w:szCs w:val="18"/>
    </w:rPr>
  </w:style>
  <w:style w:type="paragraph" w:styleId="8">
    <w:name w:val="Body Text"/>
    <w:basedOn w:val="1"/>
    <w:link w:val="48"/>
    <w:uiPriority w:val="0"/>
    <w:pPr>
      <w:jc w:val="center"/>
    </w:pPr>
    <w:rPr>
      <w:sz w:val="44"/>
      <w:szCs w:val="44"/>
    </w:rPr>
  </w:style>
  <w:style w:type="paragraph" w:styleId="9">
    <w:name w:val="Body Text Indent"/>
    <w:basedOn w:val="1"/>
    <w:uiPriority w:val="0"/>
    <w:pPr>
      <w:spacing w:after="120"/>
      <w:ind w:left="420" w:leftChars="200"/>
    </w:pPr>
  </w:style>
  <w:style w:type="paragraph" w:styleId="10">
    <w:name w:val="Plain Text"/>
    <w:basedOn w:val="1"/>
    <w:uiPriority w:val="0"/>
    <w:rPr>
      <w:rFonts w:hint="eastAsia" w:ascii="宋体" w:hAnsi="Courier New"/>
      <w:szCs w:val="20"/>
    </w:rPr>
  </w:style>
  <w:style w:type="paragraph" w:styleId="11">
    <w:name w:val="Date"/>
    <w:basedOn w:val="1"/>
    <w:next w:val="1"/>
    <w:qFormat/>
    <w:uiPriority w:val="0"/>
    <w:pPr>
      <w:ind w:left="100" w:leftChars="2500"/>
    </w:pPr>
  </w:style>
  <w:style w:type="paragraph" w:styleId="12">
    <w:name w:val="Balloon Text"/>
    <w:basedOn w:val="1"/>
    <w:uiPriority w:val="0"/>
    <w:rPr>
      <w:sz w:val="18"/>
      <w:szCs w:val="18"/>
    </w:rPr>
  </w:style>
  <w:style w:type="paragraph" w:styleId="13">
    <w:name w:val="footer"/>
    <w:basedOn w:val="1"/>
    <w:link w:val="49"/>
    <w:uiPriority w:val="0"/>
    <w:pPr>
      <w:tabs>
        <w:tab w:val="center" w:pos="4153"/>
        <w:tab w:val="right" w:pos="8306"/>
      </w:tabs>
      <w:snapToGrid w:val="0"/>
      <w:jc w:val="left"/>
    </w:pPr>
    <w:rPr>
      <w:sz w:val="18"/>
      <w:szCs w:val="18"/>
    </w:rPr>
  </w:style>
  <w:style w:type="paragraph" w:styleId="14">
    <w:name w:val="header"/>
    <w:basedOn w:val="1"/>
    <w:link w:val="47"/>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0"/>
    <w:pPr>
      <w:tabs>
        <w:tab w:val="right" w:leader="dot" w:pos="8296"/>
      </w:tabs>
      <w:jc w:val="center"/>
    </w:pPr>
    <w:rPr>
      <w:sz w:val="28"/>
      <w:szCs w:val="28"/>
    </w:rPr>
  </w:style>
  <w:style w:type="paragraph" w:styleId="16">
    <w:name w:val="footnote text"/>
    <w:basedOn w:val="1"/>
    <w:link w:val="60"/>
    <w:uiPriority w:val="99"/>
    <w:pPr>
      <w:snapToGrid w:val="0"/>
      <w:jc w:val="left"/>
    </w:pPr>
    <w:rPr>
      <w:sz w:val="18"/>
      <w:szCs w:val="20"/>
    </w:rPr>
  </w:style>
  <w:style w:type="paragraph" w:styleId="17">
    <w:name w:val="toc 2"/>
    <w:basedOn w:val="1"/>
    <w:next w:val="1"/>
    <w:unhideWhenUsed/>
    <w:uiPriority w:val="0"/>
    <w:pPr>
      <w:spacing w:line="580" w:lineRule="exact"/>
      <w:ind w:left="420" w:leftChars="200" w:firstLine="200" w:firstLineChars="200"/>
    </w:pPr>
    <w:rPr>
      <w:sz w:val="30"/>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Title"/>
    <w:basedOn w:val="1"/>
    <w:next w:val="1"/>
    <w:link w:val="65"/>
    <w:qFormat/>
    <w:uiPriority w:val="0"/>
    <w:pPr>
      <w:jc w:val="center"/>
    </w:pPr>
    <w:rPr>
      <w:rFonts w:ascii="宋体" w:hAnsi="宋体"/>
      <w:b/>
      <w:color w:val="000000"/>
      <w:sz w:val="32"/>
      <w:szCs w:val="32"/>
    </w:rPr>
  </w:style>
  <w:style w:type="character" w:styleId="21">
    <w:name w:val="Strong"/>
    <w:qFormat/>
    <w:uiPriority w:val="0"/>
    <w:rPr>
      <w:b/>
      <w:bCs/>
    </w:rPr>
  </w:style>
  <w:style w:type="character" w:styleId="22">
    <w:name w:val="page number"/>
    <w:basedOn w:val="20"/>
    <w:uiPriority w:val="0"/>
  </w:style>
  <w:style w:type="character" w:styleId="23">
    <w:name w:val="Emphasis"/>
    <w:qFormat/>
    <w:uiPriority w:val="0"/>
    <w:rPr>
      <w:i/>
      <w:iCs/>
    </w:rPr>
  </w:style>
  <w:style w:type="character" w:styleId="24">
    <w:name w:val="Hyperlink"/>
    <w:uiPriority w:val="0"/>
    <w:rPr>
      <w:color w:val="0000FF"/>
      <w:u w:val="single"/>
    </w:rPr>
  </w:style>
  <w:style w:type="character" w:styleId="25">
    <w:name w:val="annotation reference"/>
    <w:semiHidden/>
    <w:unhideWhenUsed/>
    <w:uiPriority w:val="0"/>
    <w:rPr>
      <w:sz w:val="21"/>
      <w:szCs w:val="21"/>
    </w:rPr>
  </w:style>
  <w:style w:type="character" w:styleId="26">
    <w:name w:val="footnote reference"/>
    <w:uiPriority w:val="99"/>
    <w:rPr>
      <w:vertAlign w:val="superscript"/>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9">
    <w:name w:val="Char Char1"/>
    <w:basedOn w:val="1"/>
    <w:uiPriority w:val="0"/>
    <w:pPr>
      <w:widowControl/>
      <w:spacing w:after="160" w:line="240" w:lineRule="exact"/>
      <w:jc w:val="left"/>
    </w:pPr>
  </w:style>
  <w:style w:type="paragraph" w:customStyle="1" w:styleId="30">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szCs w:val="20"/>
    </w:rPr>
  </w:style>
  <w:style w:type="paragraph" w:customStyle="1" w:styleId="31">
    <w:name w:val="Char Char Char Char"/>
    <w:basedOn w:val="1"/>
    <w:qFormat/>
    <w:uiPriority w:val="0"/>
    <w:rPr>
      <w:szCs w:val="20"/>
    </w:rPr>
  </w:style>
  <w:style w:type="paragraph" w:customStyle="1" w:styleId="32">
    <w:name w:val="Char"/>
    <w:basedOn w:val="1"/>
    <w:uiPriority w:val="0"/>
  </w:style>
  <w:style w:type="paragraph" w:styleId="33">
    <w:name w:val="List Paragraph"/>
    <w:basedOn w:val="1"/>
    <w:qFormat/>
    <w:uiPriority w:val="34"/>
    <w:pPr>
      <w:ind w:firstLine="420" w:firstLineChars="200"/>
    </w:pPr>
  </w:style>
  <w:style w:type="paragraph" w:customStyle="1" w:styleId="34">
    <w:name w:val="Char1"/>
    <w:basedOn w:val="1"/>
    <w:uiPriority w:val="0"/>
    <w:pPr>
      <w:tabs>
        <w:tab w:val="left" w:pos="4665"/>
        <w:tab w:val="left" w:pos="8970"/>
      </w:tabs>
      <w:ind w:firstLine="400"/>
    </w:pPr>
  </w:style>
  <w:style w:type="paragraph" w:customStyle="1" w:styleId="35">
    <w:name w:val="Char Char Char Char Char Char Char"/>
    <w:basedOn w:val="1"/>
    <w:uiPriority w:val="0"/>
    <w:pPr>
      <w:widowControl/>
      <w:spacing w:line="351" w:lineRule="atLeast"/>
      <w:ind w:firstLine="419"/>
      <w:textAlignment w:val="baseline"/>
    </w:pPr>
    <w:rPr>
      <w:color w:val="000000"/>
      <w:kern w:val="0"/>
      <w:szCs w:val="20"/>
      <w:u w:color="000000"/>
    </w:rPr>
  </w:style>
  <w:style w:type="paragraph" w:customStyle="1" w:styleId="36">
    <w:name w:val="Default"/>
    <w:uiPriority w:val="0"/>
    <w:pPr>
      <w:widowControl w:val="0"/>
      <w:autoSpaceDE w:val="0"/>
      <w:autoSpaceDN w:val="0"/>
      <w:adjustRightInd w:val="0"/>
    </w:pPr>
    <w:rPr>
      <w:rFonts w:ascii="FZXiaoBiaoSong-B05S" w:hAnsi="Times New Roman" w:eastAsia="FZXiaoBiaoSong-B05S" w:cs="FZXiaoBiaoSong-B05S"/>
      <w:color w:val="000000"/>
      <w:sz w:val="24"/>
      <w:szCs w:val="24"/>
      <w:lang w:val="en-US" w:eastAsia="zh-CN" w:bidi="ar-SA"/>
    </w:rPr>
  </w:style>
  <w:style w:type="paragraph" w:customStyle="1" w:styleId="37">
    <w:name w:val="默认段落字体 Para Char Char Char Char Char Char Char Char Char Char"/>
    <w:basedOn w:val="1"/>
    <w:uiPriority w:val="0"/>
    <w:rPr>
      <w:rFonts w:ascii="Arial" w:hAnsi="Arial" w:cs="Arial"/>
      <w:sz w:val="20"/>
      <w:szCs w:val="20"/>
    </w:rPr>
  </w:style>
  <w:style w:type="paragraph" w:customStyle="1" w:styleId="38">
    <w:name w:val="p0"/>
    <w:basedOn w:val="1"/>
    <w:uiPriority w:val="0"/>
    <w:pPr>
      <w:widowControl/>
    </w:pPr>
    <w:rPr>
      <w:kern w:val="0"/>
      <w:szCs w:val="21"/>
    </w:rPr>
  </w:style>
  <w:style w:type="character" w:customStyle="1" w:styleId="39">
    <w:name w:val="标题 1 Char"/>
    <w:link w:val="2"/>
    <w:uiPriority w:val="0"/>
    <w:rPr>
      <w:rFonts w:ascii="黑体" w:hAnsi="宋体" w:eastAsia="黑体"/>
      <w:kern w:val="2"/>
      <w:sz w:val="32"/>
      <w:szCs w:val="32"/>
      <w:lang w:val="en-US" w:eastAsia="zh-CN" w:bidi="ar-SA"/>
    </w:rPr>
  </w:style>
  <w:style w:type="paragraph" w:customStyle="1" w:styleId="40">
    <w:name w:val="p16"/>
    <w:basedOn w:val="1"/>
    <w:uiPriority w:val="0"/>
    <w:pPr>
      <w:widowControl/>
    </w:pPr>
    <w:rPr>
      <w:kern w:val="0"/>
      <w:szCs w:val="21"/>
    </w:rPr>
  </w:style>
  <w:style w:type="paragraph" w:customStyle="1" w:styleId="41">
    <w:name w:val="p17"/>
    <w:basedOn w:val="1"/>
    <w:uiPriority w:val="0"/>
    <w:pPr>
      <w:widowControl/>
    </w:pPr>
    <w:rPr>
      <w:rFonts w:ascii="Calibri" w:hAnsi="Calibri" w:cs="宋体"/>
      <w:kern w:val="0"/>
      <w:szCs w:val="21"/>
    </w:rPr>
  </w:style>
  <w:style w:type="paragraph" w:customStyle="1" w:styleId="42">
    <w:name w:val="默认段落字体 Para Char Char Char Char Char Char Char Char"/>
    <w:basedOn w:val="1"/>
    <w:uiPriority w:val="0"/>
    <w:rPr>
      <w:rFonts w:ascii="仿宋_GB2312" w:eastAsia="仿宋_GB2312"/>
      <w:kern w:val="0"/>
      <w:sz w:val="30"/>
      <w:szCs w:val="30"/>
    </w:rPr>
  </w:style>
  <w:style w:type="paragraph" w:customStyle="1" w:styleId="43">
    <w:name w:val="正文1"/>
    <w:uiPriority w:val="0"/>
    <w:pPr>
      <w:jc w:val="both"/>
    </w:pPr>
    <w:rPr>
      <w:rFonts w:ascii="Calibri" w:hAnsi="Calibri" w:eastAsia="宋体" w:cs="宋体"/>
      <w:kern w:val="2"/>
      <w:sz w:val="21"/>
      <w:szCs w:val="21"/>
      <w:lang w:val="en-US" w:eastAsia="zh-CN" w:bidi="ar-SA"/>
    </w:rPr>
  </w:style>
  <w:style w:type="paragraph" w:customStyle="1" w:styleId="44">
    <w:name w:val="0"/>
    <w:basedOn w:val="1"/>
    <w:uiPriority w:val="0"/>
    <w:pPr>
      <w:widowControl/>
      <w:snapToGrid w:val="0"/>
    </w:pPr>
    <w:rPr>
      <w:kern w:val="0"/>
      <w:sz w:val="20"/>
      <w:szCs w:val="20"/>
    </w:rPr>
  </w:style>
  <w:style w:type="paragraph" w:customStyle="1" w:styleId="45">
    <w:name w:val="列出段落1"/>
    <w:basedOn w:val="1"/>
    <w:uiPriority w:val="0"/>
    <w:pPr>
      <w:ind w:firstLine="420" w:firstLineChars="200"/>
    </w:pPr>
    <w:rPr>
      <w:rFonts w:ascii="Calibri" w:hAnsi="Calibri"/>
      <w:szCs w:val="22"/>
    </w:rPr>
  </w:style>
  <w:style w:type="paragraph" w:customStyle="1" w:styleId="46">
    <w:name w:val="正文 New New"/>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7">
    <w:name w:val="页眉 Char"/>
    <w:link w:val="14"/>
    <w:uiPriority w:val="99"/>
    <w:rPr>
      <w:rFonts w:eastAsia="宋体"/>
      <w:kern w:val="2"/>
      <w:sz w:val="18"/>
      <w:szCs w:val="18"/>
      <w:lang w:val="en-US" w:eastAsia="zh-CN" w:bidi="ar-SA"/>
    </w:rPr>
  </w:style>
  <w:style w:type="character" w:customStyle="1" w:styleId="48">
    <w:name w:val="正文文本 Char"/>
    <w:link w:val="8"/>
    <w:uiPriority w:val="0"/>
    <w:rPr>
      <w:rFonts w:eastAsia="宋体"/>
      <w:kern w:val="2"/>
      <w:sz w:val="44"/>
      <w:szCs w:val="44"/>
      <w:lang w:val="en-US" w:eastAsia="zh-CN" w:bidi="ar-SA"/>
    </w:rPr>
  </w:style>
  <w:style w:type="character" w:customStyle="1" w:styleId="49">
    <w:name w:val="页脚 Char"/>
    <w:link w:val="13"/>
    <w:locked/>
    <w:uiPriority w:val="0"/>
    <w:rPr>
      <w:rFonts w:eastAsia="宋体"/>
      <w:kern w:val="2"/>
      <w:sz w:val="18"/>
      <w:szCs w:val="18"/>
      <w:lang w:val="en-US" w:eastAsia="zh-CN" w:bidi="ar-SA"/>
    </w:rPr>
  </w:style>
  <w:style w:type="paragraph" w:customStyle="1" w:styleId="50">
    <w:name w:val="列出段落11"/>
    <w:basedOn w:val="1"/>
    <w:qFormat/>
    <w:uiPriority w:val="0"/>
    <w:pPr>
      <w:ind w:firstLine="420" w:firstLineChars="200"/>
    </w:pPr>
  </w:style>
  <w:style w:type="character" w:customStyle="1" w:styleId="51">
    <w:name w:val="ht1"/>
    <w:uiPriority w:val="0"/>
    <w:rPr>
      <w:rFonts w:ascii="黑体" w:eastAsia="黑体"/>
      <w:b/>
      <w:bCs/>
    </w:rPr>
  </w:style>
  <w:style w:type="paragraph" w:customStyle="1" w:styleId="52">
    <w:name w:val="zw"/>
    <w:basedOn w:val="1"/>
    <w:uiPriority w:val="0"/>
    <w:pPr>
      <w:widowControl/>
      <w:spacing w:before="30"/>
      <w:ind w:left="100" w:right="100"/>
    </w:pPr>
    <w:rPr>
      <w:rFonts w:ascii="方正书宋简体" w:hAnsi="宋体" w:eastAsia="方正书宋简体"/>
      <w:color w:val="000000"/>
      <w:kern w:val="0"/>
      <w:szCs w:val="21"/>
    </w:rPr>
  </w:style>
  <w:style w:type="paragraph" w:customStyle="1" w:styleId="53">
    <w:name w:val="Char Char Char Char1"/>
    <w:basedOn w:val="1"/>
    <w:uiPriority w:val="0"/>
    <w:pPr>
      <w:widowControl/>
      <w:spacing w:after="160" w:line="240" w:lineRule="exact"/>
      <w:jc w:val="left"/>
    </w:pPr>
  </w:style>
  <w:style w:type="paragraph" w:customStyle="1" w:styleId="54">
    <w:name w:val="二级无"/>
    <w:basedOn w:val="55"/>
    <w:qFormat/>
    <w:uiPriority w:val="0"/>
    <w:pPr>
      <w:tabs>
        <w:tab w:val="left" w:pos="1485"/>
        <w:tab w:val="left" w:pos="1905"/>
      </w:tabs>
    </w:pPr>
    <w:rPr>
      <w:rFonts w:ascii="宋体" w:eastAsia="宋体"/>
    </w:rPr>
  </w:style>
  <w:style w:type="paragraph" w:customStyle="1" w:styleId="55">
    <w:name w:val="二级条标题"/>
    <w:basedOn w:val="56"/>
    <w:next w:val="1"/>
    <w:qFormat/>
    <w:uiPriority w:val="0"/>
    <w:pPr>
      <w:numPr>
        <w:ilvl w:val="2"/>
      </w:numPr>
      <w:tabs>
        <w:tab w:val="left" w:pos="1485"/>
        <w:tab w:val="left" w:pos="1905"/>
      </w:tabs>
      <w:spacing w:beforeLines="0" w:afterLines="0"/>
      <w:ind w:left="1905" w:hanging="420"/>
      <w:outlineLvl w:val="3"/>
    </w:pPr>
  </w:style>
  <w:style w:type="paragraph" w:customStyle="1" w:styleId="56">
    <w:name w:val="一级条标题"/>
    <w:next w:val="1"/>
    <w:qFormat/>
    <w:uiPriority w:val="0"/>
    <w:pPr>
      <w:numPr>
        <w:ilvl w:val="1"/>
        <w:numId w:val="1"/>
      </w:numPr>
      <w:tabs>
        <w:tab w:val="left" w:pos="1485"/>
      </w:tabs>
      <w:spacing w:beforeLines="50" w:afterLines="50"/>
      <w:ind w:left="0" w:hanging="420"/>
      <w:outlineLvl w:val="2"/>
    </w:pPr>
    <w:rPr>
      <w:rFonts w:ascii="黑体" w:hAnsi="Calibri" w:eastAsia="黑体" w:cs="Times New Roman"/>
      <w:sz w:val="21"/>
      <w:szCs w:val="21"/>
      <w:lang w:val="en-US" w:eastAsia="zh-CN" w:bidi="ar-SA"/>
    </w:rPr>
  </w:style>
  <w:style w:type="character" w:customStyle="1" w:styleId="57">
    <w:name w:val="标题 2 Char"/>
    <w:link w:val="3"/>
    <w:uiPriority w:val="0"/>
    <w:rPr>
      <w:rFonts w:ascii="Arial" w:hAnsi="Arial" w:eastAsia="黑体"/>
      <w:b/>
      <w:bCs/>
      <w:kern w:val="2"/>
      <w:sz w:val="32"/>
      <w:szCs w:val="32"/>
    </w:rPr>
  </w:style>
  <w:style w:type="character" w:customStyle="1" w:styleId="58">
    <w:name w:val="标题 3 Char"/>
    <w:link w:val="4"/>
    <w:uiPriority w:val="0"/>
    <w:rPr>
      <w:b/>
      <w:bCs/>
      <w:kern w:val="2"/>
      <w:sz w:val="32"/>
      <w:szCs w:val="32"/>
    </w:rPr>
  </w:style>
  <w:style w:type="paragraph" w:customStyle="1" w:styleId="59">
    <w:name w:val="Char Char11"/>
    <w:basedOn w:val="1"/>
    <w:uiPriority w:val="0"/>
    <w:pPr>
      <w:widowControl/>
      <w:spacing w:after="160" w:line="240" w:lineRule="exact"/>
      <w:jc w:val="left"/>
    </w:pPr>
  </w:style>
  <w:style w:type="character" w:customStyle="1" w:styleId="60">
    <w:name w:val="脚注文本 Char"/>
    <w:link w:val="16"/>
    <w:uiPriority w:val="99"/>
    <w:rPr>
      <w:kern w:val="2"/>
      <w:sz w:val="18"/>
    </w:rPr>
  </w:style>
  <w:style w:type="paragraph" w:customStyle="1" w:styleId="61">
    <w:name w:val="样式"/>
    <w:basedOn w:val="1"/>
    <w:uiPriority w:val="0"/>
    <w:rPr>
      <w:rFonts w:eastAsia="仿宋_GB2312"/>
      <w:sz w:val="32"/>
    </w:rPr>
  </w:style>
  <w:style w:type="character" w:customStyle="1" w:styleId="62">
    <w:name w:val="文档结构图 Char"/>
    <w:link w:val="7"/>
    <w:uiPriority w:val="0"/>
    <w:rPr>
      <w:rFonts w:ascii="宋体"/>
      <w:kern w:val="2"/>
      <w:sz w:val="18"/>
      <w:szCs w:val="18"/>
    </w:rPr>
  </w:style>
  <w:style w:type="character" w:customStyle="1" w:styleId="63">
    <w:name w:val="文档结构图 Char1"/>
    <w:uiPriority w:val="0"/>
    <w:rPr>
      <w:rFonts w:ascii="宋体"/>
      <w:kern w:val="2"/>
      <w:sz w:val="18"/>
      <w:szCs w:val="18"/>
    </w:rPr>
  </w:style>
  <w:style w:type="character" w:customStyle="1" w:styleId="64">
    <w:name w:val="Footer Char"/>
    <w:locked/>
    <w:uiPriority w:val="0"/>
    <w:rPr>
      <w:rFonts w:cs="Times New Roman"/>
      <w:sz w:val="18"/>
      <w:szCs w:val="18"/>
    </w:rPr>
  </w:style>
  <w:style w:type="character" w:customStyle="1" w:styleId="65">
    <w:name w:val="标题 Char"/>
    <w:link w:val="19"/>
    <w:uiPriority w:val="0"/>
    <w:rPr>
      <w:rFonts w:ascii="宋体" w:hAnsi="宋体"/>
      <w:b/>
      <w:color w:val="000000"/>
      <w:kern w:val="2"/>
      <w:sz w:val="32"/>
      <w:szCs w:val="32"/>
    </w:rPr>
  </w:style>
  <w:style w:type="character" w:customStyle="1" w:styleId="66">
    <w:name w:val="Char Char3"/>
    <w:uiPriority w:val="0"/>
    <w:rPr>
      <w:rFonts w:eastAsia="宋体"/>
      <w:kern w:val="2"/>
      <w:sz w:val="18"/>
      <w:szCs w:val="18"/>
      <w:lang w:val="en-US" w:eastAsia="zh-CN" w:bidi="ar-SA"/>
    </w:rPr>
  </w:style>
  <w:style w:type="character" w:customStyle="1" w:styleId="67">
    <w:name w:val="Char Char4"/>
    <w:semiHidden/>
    <w:locked/>
    <w:uiPriority w:val="0"/>
    <w:rPr>
      <w:rFonts w:eastAsia="宋体"/>
      <w:kern w:val="2"/>
      <w:sz w:val="18"/>
      <w:szCs w:val="18"/>
      <w:lang w:val="en-US" w:eastAsia="zh-CN" w:bidi="ar-SA"/>
    </w:rPr>
  </w:style>
  <w:style w:type="character" w:customStyle="1" w:styleId="68">
    <w:name w:val="批注文字 Char"/>
    <w:semiHidden/>
    <w:locked/>
    <w:uiPriority w:val="0"/>
    <w:rPr>
      <w:rFonts w:ascii="宋体" w:hAnsi="宋体" w:eastAsia="宋体"/>
      <w:kern w:val="2"/>
      <w:sz w:val="21"/>
      <w:szCs w:val="24"/>
      <w:lang w:val="en-US" w:eastAsia="zh-CN" w:bidi="ar-SA"/>
    </w:rPr>
  </w:style>
  <w:style w:type="character" w:customStyle="1" w:styleId="69">
    <w:name w:val="批注主题 Char"/>
    <w:link w:val="5"/>
    <w:locked/>
    <w:uiPriority w:val="0"/>
    <w:rPr>
      <w:rFonts w:ascii="宋体" w:hAnsi="宋体"/>
      <w:b/>
      <w:bCs/>
      <w:kern w:val="2"/>
      <w:sz w:val="21"/>
      <w:szCs w:val="24"/>
    </w:rPr>
  </w:style>
  <w:style w:type="character" w:customStyle="1" w:styleId="70">
    <w:name w:val="批注文字 Char1"/>
    <w:link w:val="6"/>
    <w:uiPriority w:val="0"/>
    <w:rPr>
      <w:kern w:val="2"/>
      <w:sz w:val="21"/>
      <w:szCs w:val="24"/>
    </w:rPr>
  </w:style>
  <w:style w:type="character" w:customStyle="1" w:styleId="71">
    <w:name w:val="批注主题 Char1"/>
    <w:uiPriority w:val="0"/>
    <w:rPr>
      <w:b/>
      <w:bCs/>
      <w:kern w:val="2"/>
      <w:sz w:val="21"/>
      <w:szCs w:val="24"/>
    </w:rPr>
  </w:style>
  <w:style w:type="character" w:customStyle="1" w:styleId="72">
    <w:name w:val="Char Char2"/>
    <w:uiPriority w:val="0"/>
    <w:rPr>
      <w:kern w:val="2"/>
      <w:sz w:val="18"/>
      <w:szCs w:val="18"/>
    </w:rPr>
  </w:style>
  <w:style w:type="character" w:customStyle="1" w:styleId="73">
    <w:name w:val="Char Char"/>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10;&#21457;&#25991;\&#28201;&#24220;&#27861;&#21457;&#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C1B6C3-FADD-4A06-8318-B21F7C0E2550}">
  <ds:schemaRefs/>
</ds:datastoreItem>
</file>

<file path=docProps/app.xml><?xml version="1.0" encoding="utf-8"?>
<Properties xmlns="http://schemas.openxmlformats.org/officeDocument/2006/extended-properties" xmlns:vt="http://schemas.openxmlformats.org/officeDocument/2006/docPropsVTypes">
  <Template>温府法发模版</Template>
  <Company>微软中国</Company>
  <Pages>9</Pages>
  <Words>649</Words>
  <Characters>3701</Characters>
  <Lines>30</Lines>
  <Paragraphs>8</Paragraphs>
  <TotalTime>0</TotalTime>
  <ScaleCrop>false</ScaleCrop>
  <LinksUpToDate>false</LinksUpToDate>
  <CharactersWithSpaces>4342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2020-03-10T02:44:00Z</dcterms:created>
  <dc:creator>微软用户</dc:creator>
  <cp:lastModifiedBy>朱永春</cp:lastModifiedBy>
  <cp:lastPrinted>2016-09-08T06:36:00Z</cp:lastPrinted>
  <dcterms:modified xsi:type="dcterms:W3CDTF">2020-04-01T07:14:02Z</dcterms:modified>
  <dc:title>温府法发〔2012〕28号</dc:title>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