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32"/>
              <w:rPr>
                <w:color w:val="000000" w:themeColor="text1"/>
                <w14:textFill>
                  <w14:solidFill>
                    <w14:schemeClr w14:val="tx1"/>
                  </w14:solidFill>
                </w14:textFill>
              </w:rPr>
            </w:pPr>
          </w:p>
        </w:tc>
      </w:tr>
    </w:tbl>
    <w:p>
      <w:pPr>
        <w:pStyle w:val="33"/>
        <w:rPr>
          <w:color w:val="000000" w:themeColor="text1"/>
          <w14:textFill>
            <w14:solidFill>
              <w14:schemeClr w14:val="tx1"/>
            </w14:solidFill>
          </w14:textFill>
        </w:rPr>
      </w:pPr>
      <w:r>
        <w:rPr>
          <w:color w:val="000000" w:themeColor="text1"/>
          <w14:textFill>
            <w14:solidFill>
              <w14:schemeClr w14:val="tx1"/>
            </w14:solidFill>
          </w14:textFill>
        </w:rPr>
        <w:t>DB</w:t>
      </w:r>
    </w:p>
    <w:p>
      <w:pPr>
        <w:pStyle w:val="35"/>
        <w:rPr>
          <w:color w:val="000000" w:themeColor="text1"/>
          <w14:textFill>
            <w14:solidFill>
              <w14:schemeClr w14:val="tx1"/>
            </w14:solidFill>
          </w14:textFill>
        </w:rPr>
      </w:pPr>
      <w:r>
        <w:rPr>
          <w:rFonts w:hint="eastAsia"/>
          <w:color w:val="000000" w:themeColor="text1"/>
          <w14:textFill>
            <w14:solidFill>
              <w14:schemeClr w14:val="tx1"/>
            </w14:solidFill>
          </w14:textFill>
        </w:rPr>
        <w:t>浙江省绍兴市地方标准</w:t>
      </w:r>
    </w:p>
    <w:p>
      <w:pPr>
        <w:pStyle w:val="36"/>
        <w:rPr>
          <w:rFonts w:hAnsi="黑体"/>
          <w:color w:val="000000" w:themeColor="text1"/>
          <w:lang w:val="fr-FR"/>
          <w14:textFill>
            <w14:solidFill>
              <w14:schemeClr w14:val="tx1"/>
            </w14:solidFill>
          </w14:textFill>
        </w:rPr>
      </w:pPr>
      <w:r>
        <w:rPr>
          <w:rFonts w:ascii="Times New Roman"/>
          <w:color w:val="000000" w:themeColor="text1"/>
          <w:lang w:val="fr-FR"/>
          <w14:textFill>
            <w14:solidFill>
              <w14:schemeClr w14:val="tx1"/>
            </w14:solidFill>
          </w14:textFill>
        </w:rPr>
        <w:t>DB 3306</w:t>
      </w:r>
      <w:r>
        <w:rPr>
          <w:rFonts w:hAnsi="黑体"/>
          <w:color w:val="000000" w:themeColor="text1"/>
          <w:lang w:val="fr-FR"/>
          <w14:textFill>
            <w14:solidFill>
              <w14:schemeClr w14:val="tx1"/>
            </w14:solidFill>
          </w14:textFill>
        </w:rPr>
        <w:t>/</w:t>
      </w:r>
      <w:r>
        <w:rPr>
          <w:rFonts w:hint="eastAsia" w:hAnsi="黑体"/>
          <w:color w:val="000000" w:themeColor="text1"/>
          <w:lang w:val="fr-FR"/>
          <w14:textFill>
            <w14:solidFill>
              <w14:schemeClr w14:val="tx1"/>
            </w14:solidFill>
          </w14:textFill>
        </w:rPr>
        <w:t>T</w:t>
      </w:r>
      <w:r>
        <w:rPr>
          <w:rFonts w:hAnsi="黑体"/>
          <w:color w:val="000000" w:themeColor="text1"/>
          <w:lang w:val="fr-FR"/>
          <w14:textFill>
            <w14:solidFill>
              <w14:schemeClr w14:val="tx1"/>
            </w14:solidFill>
          </w14:textFill>
        </w:rPr>
        <w:t xml:space="preserve"> </w:t>
      </w:r>
      <w:r>
        <w:rPr>
          <w:rFonts w:hint="eastAsia" w:hAnsi="黑体"/>
          <w:color w:val="000000" w:themeColor="text1"/>
          <w:lang w:val="fr-FR"/>
          <w14:textFill>
            <w14:solidFill>
              <w14:schemeClr w14:val="tx1"/>
            </w14:solidFill>
          </w14:textFill>
        </w:rPr>
        <w:t>XXXX</w:t>
      </w:r>
      <w:r>
        <w:rPr>
          <w:rFonts w:hAnsi="黑体"/>
          <w:color w:val="000000" w:themeColor="text1"/>
          <w:lang w:val="fr-FR"/>
          <w14:textFill>
            <w14:solidFill>
              <w14:schemeClr w14:val="tx1"/>
            </w14:solidFill>
          </w14:textFill>
        </w:rPr>
        <w:t>—</w:t>
      </w:r>
      <w:r>
        <w:rPr>
          <w:rFonts w:hint="eastAsia" w:hAnsi="黑体"/>
          <w:color w:val="000000" w:themeColor="text1"/>
          <w:lang w:val="fr-FR"/>
          <w14:textFill>
            <w14:solidFill>
              <w14:schemeClr w14:val="tx1"/>
            </w14:solidFill>
          </w14:textFill>
        </w:rPr>
        <w:t>XXXX</w:t>
      </w:r>
    </w:p>
    <w:tbl>
      <w:tblPr>
        <w:tblStyle w:val="1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37"/>
              <w:rPr>
                <w:color w:val="000000" w:themeColor="text1"/>
                <w:lang w:val="fr-FR"/>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CdlkyXAQAAHAMAAA4AAABkcnMvZTJvRG9jLnhtbK1STU7c&#10;MBTeV+IOlveMk6FCKJoMC9CwQQWJ9gAex04s+U/PZpI5DRK7HqLHqXqNPnvSgcIOkcXL+/Pn933P&#10;q8vJGrKTELV3La0XFSXSCd9p17f0x/fN6QUlMXHXceOdbOleRnq5PvmyGkMjl37wppNAEMTFZgwt&#10;HVIKDWNRDNLyuPBBOiwqD5YnDKFnHfAR0a1hy6o6Z6OHLoAXMkbMXh+KdF3wlZIi3SkVZSKmpThb&#10;KhaK3WbL1ive9MDDoMU8Bv/AFJZrh5ceoa554uQR9DsoqwX46FVaCG+ZV0oLWTggm7p6w+Zh4EEW&#10;LihODEeZ4ufBim+7eyC6w91R4rjFFf15+vn71zOpszZjiA22PIR7mKOIbiY6KbD5jxTIVPTcH/WU&#10;UyICk3X99ayqUHaBteXy4hx9hGEvpwPEdCO9JdlpKeC+iox8dxvTofVfS74seqO7jTamBNBvrwyQ&#10;Hcfdbso3o//XZlxudj4fOyDmDMvMDlyyl6btNBPc+m6PkjwG0P2AMxUdSjuuoAw/P5e849dxAX15&#10;1O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mDyy9YAAAAIAQAADwAAAAAAAAABACAAAAAiAAAA&#10;ZHJzL2Rvd25yZXYueG1sUEsBAhQAFAAAAAgAh07iQFCdlkyXAQAAHAMAAA4AAAAAAAAAAQAgAAAA&#10;JQEAAGRycy9lMm9Eb2MueG1sUEsFBgAAAAAGAAYAWQEAAC4FAAAAAA==&#10;">
                      <v:fill on="t" focussize="0,0"/>
                      <v:stroke on="f"/>
                      <v:imagedata o:title=""/>
                      <o:lock v:ext="edit" aspectratio="f"/>
                      <v:textbox>
                        <w:txbxContent>
                          <w:p/>
                        </w:txbxContent>
                      </v:textbox>
                    </v:rect>
                  </w:pict>
                </mc:Fallback>
              </mc:AlternateContent>
            </w:r>
          </w:p>
        </w:tc>
      </w:tr>
    </w:tbl>
    <w:p>
      <w:pPr>
        <w:pStyle w:val="36"/>
        <w:rPr>
          <w:rFonts w:hAnsi="黑体"/>
          <w:color w:val="000000" w:themeColor="text1"/>
          <w:lang w:val="fr-FR"/>
          <w14:textFill>
            <w14:solidFill>
              <w14:schemeClr w14:val="tx1"/>
            </w14:solidFill>
          </w14:textFill>
        </w:rPr>
      </w:pPr>
    </w:p>
    <w:p>
      <w:pPr>
        <w:pStyle w:val="36"/>
        <w:rPr>
          <w:rFonts w:hAnsi="黑体"/>
          <w:color w:val="000000" w:themeColor="text1"/>
          <w:lang w:val="fr-FR"/>
          <w14:textFill>
            <w14:solidFill>
              <w14:schemeClr w14:val="tx1"/>
            </w14:solidFill>
          </w14:textFill>
        </w:rPr>
      </w:pPr>
    </w:p>
    <w:p>
      <w:pPr>
        <w:pStyle w:val="38"/>
        <w:rPr>
          <w:color w:val="000000" w:themeColor="text1"/>
          <w14:textFill>
            <w14:solidFill>
              <w14:schemeClr w14:val="tx1"/>
            </w14:solidFill>
          </w14:textFill>
        </w:rPr>
      </w:pPr>
      <w:r>
        <w:rPr>
          <w:rFonts w:hint="eastAsia"/>
          <w:color w:val="000000" w:themeColor="text1"/>
          <w14:textFill>
            <w14:solidFill>
              <w14:schemeClr w14:val="tx1"/>
            </w14:solidFill>
          </w14:textFill>
        </w:rPr>
        <w:t>非遗形象门店基本要求及评定</w:t>
      </w:r>
    </w:p>
    <w:p>
      <w:pPr>
        <w:pStyle w:val="40"/>
        <w:rPr>
          <w:color w:val="000000" w:themeColor="text1"/>
          <w14:textFill>
            <w14:solidFill>
              <w14:schemeClr w14:val="tx1"/>
            </w14:solidFill>
          </w14:textFill>
        </w:rPr>
      </w:pPr>
      <w:r>
        <w:rPr>
          <w:color w:val="000000" w:themeColor="text1"/>
          <w14:textFill>
            <w14:solidFill>
              <w14:schemeClr w14:val="tx1"/>
            </w14:solidFill>
          </w14:textFill>
        </w:rPr>
        <w:t>Basic requirements and assessment of intangible cultural heritage image stores</w:t>
      </w:r>
    </w:p>
    <w:tbl>
      <w:tblPr>
        <w:tblStyle w:val="1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1"/>
              <w:rPr>
                <w:color w:val="000000" w:themeColor="text1"/>
                <w14:textFill>
                  <w14:solidFill>
                    <w14:schemeClr w14:val="tx1"/>
                  </w14:solidFill>
                </w14:textFill>
              </w:rPr>
            </w:pPr>
            <w:r>
              <w:rPr>
                <w:rFonts w:hint="eastAsia"/>
                <w:color w:val="000000" w:themeColor="text1"/>
                <w14:textFill>
                  <w14:solidFill>
                    <w14:schemeClr w14:val="tx1"/>
                  </w14:solidFill>
                </w14:textFill>
              </w:rPr>
              <w:t>（征求意见稿）</w:t>
            </w:r>
            <w:r>
              <w:rPr>
                <w:color w:val="000000" w:themeColor="text1"/>
                <w14:textFill>
                  <w14:solidFill>
                    <w14:schemeClr w14:val="tx1"/>
                  </w14:solidFill>
                </w14:textFill>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2" name="矩形 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MG0uSZgBAAAcAwAADgAAAGRycy9lMm9Eb2MueG1srVJLbtsw&#10;EN0XyB0I7mvKQhO0guUsGjibIAmQ5AA0RUoE+MOQseTTFOiuh+hxglyjQ1p1mmQXVIvR/Pg47w1X&#10;55M1ZCchau9aulxUlEgnfKdd39KH+83nr5TExF3HjXeypXsZ6fn65NNqDI2s/eBNJ4EgiIvNGFo6&#10;pBQaxqIYpOVx4YN0WFQeLE8YQs864COiW8Pqqjpjo4cugBcyRsxeHIp0XfCVkiLdKBVlIqalOFsq&#10;FordZsvWK970wMOgxTwG/8AUlmuHlx6hLnji5BH0OyirBfjoVVoIb5lXSgtZOCCbZfWGzd3Agyxc&#10;UJwYjjLF/wcrrne3QHTX0poSxy2u6PnHr6ffP0mdtRlDbLDlLtzCHEV0M9FJgc1/pECmouf+qKec&#10;EhGYXH6rTqsKZRdYq0+/ZB9h2MvpADFdSm9JdloKuK8iI99dxXRo/duSL4ve6G6jjSkB9NvvBsiO&#10;42435ZvRX7UZl5udz8cOiDnDMrMDl+ylaTvNBLe+26MkjwF0P+BMywKam3AFZfj5ueQd/xsX0JdH&#10;v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muktUAAAAKAQAADwAAAAAAAAABACAAAAAiAAAA&#10;ZHJzL2Rvd25yZXYueG1sUEsBAhQAFAAAAAgAh07iQDBtLkmYAQAAHAMAAA4AAAAAAAAAAQAgAAAA&#10;JAEAAGRycy9lMm9Eb2MueG1sUEsFBgAAAAAGAAYAWQEAAC4FAAAAAA==&#10;">
                      <v:fill on="t" focussize="0,0"/>
                      <v:stroke on="f"/>
                      <v:imagedata o:title=""/>
                      <o:lock v:ext="edit" aspectratio="f"/>
                      <v:textbox>
                        <w:txbxContent>
                          <w:p/>
                        </w:txbxContent>
                      </v:textbox>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矩形 4"/>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J5LpOYAQAAHAMAAA4AAABkcnMvZTJvRG9jLnhtbK1SS27b&#10;MBDdF8gdCO5jyo7RBoLlLBI4m6AJkPYANEVKBPjDkLHk0xTIrofocYpeo0NacX67IFwMZ4bDx3lv&#10;uLoYrSE7CVF719D5rKJEOuFb7bqG/vyxOT2nJCbuWm68kw3dy0gv1idfVkOo5cL33rQSCIK4WA+h&#10;oX1KoWYsil5aHmc+SIeHyoPlCUPoWAt8QHRr2KKqvrLBQxvACxkjZq8Oh3Rd8JWSIt0qFWUipqHY&#10;WyoWit1my9YrXnfAQ6/F1Ab/QBeWa4ePHqGueOLkAfQ7KKsF+OhVmglvmVdKC1k4IJt59YbNfc+D&#10;LFxQnBiOMsXPgxXfd3dAdNvQJSWOWxzRv1+///55JMuszRBijSX34Q6mKKKbiY4KbN6RAhmLnvuj&#10;nnJMRGByvvhW4aJE4NlZtTxHH2HY8+0AMV1Lb0l2Ggo4ryIj393EdCh9KsmPRW90u9HGlAC67aUB&#10;suM4201ZE/qrMuNysfP52gExZ1hmduCSvTRux4ng1rd7lOQhgO567GleQHMRjqA0P32XPOOXcQF9&#10;/tT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Phi+XWAAAACQEAAA8AAAAAAAAAAQAgAAAAIgAA&#10;AGRycy9kb3ducmV2LnhtbFBLAQIUABQAAAAIAIdO4kByeS6TmAEAABwDAAAOAAAAAAAAAAEAIAAA&#10;ACUBAABkcnMvZTJvRG9jLnhtbFBLBQYAAAAABgAGAFkBAAAvBQ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2"/>
              <w:rPr>
                <w:color w:val="000000" w:themeColor="text1"/>
                <w14:textFill>
                  <w14:solidFill>
                    <w14:schemeClr w14:val="tx1"/>
                  </w14:solidFill>
                </w14:textFill>
              </w:rPr>
            </w:pPr>
            <w:r>
              <w:rPr>
                <w:color w:val="000000" w:themeColor="text1"/>
                <w14:textFill>
                  <w14:solidFill>
                    <w14:schemeClr w14:val="tx1"/>
                  </w14:solidFill>
                </w14:textFill>
              </w:rPr>
              <w:fldChar w:fldCharType="begin">
                <w:ffData>
                  <w:name w:val="WCRQ"/>
                  <w:enabled/>
                  <w:calcOnExit w:val="0"/>
                  <w:textInput/>
                </w:ffData>
              </w:fldChar>
            </w:r>
            <w:bookmarkStart w:id="0" w:name="WCRQ"/>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w:t>
            </w:r>
            <w:r>
              <w:rPr>
                <w:color w:val="000000" w:themeColor="text1"/>
                <w14:textFill>
                  <w14:solidFill>
                    <w14:schemeClr w14:val="tx1"/>
                  </w14:solidFill>
                </w14:textFill>
              </w:rPr>
              <w:fldChar w:fldCharType="end"/>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2"/>
              <w:rPr>
                <w:color w:val="000000" w:themeColor="text1"/>
                <w14:textFill>
                  <w14:solidFill>
                    <w14:schemeClr w14:val="tx1"/>
                  </w14:solidFill>
                </w14:textFill>
              </w:rPr>
            </w:pPr>
          </w:p>
        </w:tc>
      </w:tr>
    </w:tbl>
    <w:p>
      <w:pPr>
        <w:pStyle w:val="43"/>
        <w:framePr w:hAnchor="page" w:x="1471" w:y="14151"/>
        <w:rPr>
          <w:color w:val="000000" w:themeColor="text1"/>
          <w14:textFill>
            <w14:solidFill>
              <w14:schemeClr w14:val="tx1"/>
            </w14:solidFill>
          </w14:textFill>
        </w:rPr>
      </w:pPr>
      <w:r>
        <w:rPr>
          <w:rFonts w:hint="eastAsia" w:ascii="黑体"/>
          <w:color w:val="000000" w:themeColor="text1"/>
          <w14:textFill>
            <w14:solidFill>
              <w14:schemeClr w14:val="tx1"/>
            </w14:solidFill>
          </w14:textFill>
        </w:rPr>
        <w:t>XXXX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UTqT3QAQAAigMAAA4AAABkcnMvZTJvRG9jLnhtbK1TS44T&#10;MRDdI3EHy3vS+WhG0EpnFhOGDYJIwAEq/nRb8k8uk04uwQWQ2MGKJXtuw3AMyk4mw2eDEL2oLper&#10;XtV7Xb282jvLdiqhCb7js8mUM+VFkMb3HX/z+ubRY84wg5dgg1cdPyjkV6uHD5ZjbNU8DMFKlRiB&#10;eGzH2PEh59g2DYpBOcBJiMrTpQ7JQaZj6huZYCR0Z5v5dHrZjCHJmIJQiBRdHy/5quJrrUR+qTWq&#10;zGzHabZcbap2W2yzWkLbJ4iDEacx4B+mcGA8NT1DrSEDe5vMH1DOiBQw6DwRwTVBayNU5UBsZtPf&#10;2LwaIKrKhcTBeJYJ/x+seLHbJGZkxxeceXD0iW7ff/n27uP3rx/I3n7+xBZFpDFiS7nXfpNOJ4yb&#10;VBjvdXLlTVzYvgp7OAur9pkJCl7OiN2C9Bd3d819YUyYn6ngWHE6bo0vnKGF3XPM1IxS71JK2Ho2&#10;dvzJxfyC4IBWRlvI5LpIJND3tRaDNfLGWFsqMPXba5vYDsoS1KdQItxf0kqTNeBwzKtXx/UYFMin&#10;XrJ8iCSPpz3mZQSnJGdW0doXjwChzWDs32RSa+tpgqLqUcfibYM8VHlrnD54nfG0nGWjfj7X6vtf&#10;a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YdrPNYAAAALAQAADwAAAAAAAAABACAAAAAiAAAA&#10;ZHJzL2Rvd25yZXYueG1sUEsBAhQAFAAAAAgAh07iQOUTqT3QAQAAigMAAA4AAAAAAAAAAQAgAAAA&#10;JQEAAGRycy9lMm9Eb2MueG1sUEsFBgAAAAAGAAYAWQEAAGcFAAAAAA==&#10;">
                <v:fill on="f" focussize="0,0"/>
                <v:stroke color="#000000" joinstyle="round"/>
                <v:imagedata o:title=""/>
                <o:lock v:ext="edit" aspectratio="f"/>
                <w10:anchorlock/>
              </v:line>
            </w:pict>
          </mc:Fallback>
        </mc:AlternateContent>
      </w:r>
    </w:p>
    <w:p>
      <w:pPr>
        <w:pStyle w:val="45"/>
        <w:framePr w:hAnchor="page" w:x="6531" w:y="14151"/>
        <w:rPr>
          <w:color w:val="000000" w:themeColor="text1"/>
          <w14:textFill>
            <w14:solidFill>
              <w14:schemeClr w14:val="tx1"/>
            </w14:solidFill>
          </w14:textFill>
        </w:rPr>
      </w:pPr>
      <w:r>
        <w:rPr>
          <w:rFonts w:hint="eastAsia" w:ascii="黑体"/>
          <w:color w:val="000000" w:themeColor="text1"/>
          <w14:textFill>
            <w14:solidFill>
              <w14:schemeClr w14:val="tx1"/>
            </w14:solidFill>
          </w14:textFill>
        </w:rPr>
        <w:t>XXXX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实施</w:t>
      </w:r>
    </w:p>
    <w:p>
      <w:pPr>
        <w:pStyle w:val="47"/>
        <w:rPr>
          <w:color w:val="000000" w:themeColor="text1"/>
          <w14:textFill>
            <w14:solidFill>
              <w14:schemeClr w14:val="tx1"/>
            </w14:solidFill>
          </w14:textFill>
        </w:rPr>
      </w:pPr>
      <w:bookmarkStart w:id="17" w:name="_GoBack"/>
      <w:bookmarkEnd w:id="17"/>
      <w:r>
        <w:rPr>
          <w:rFonts w:hAnsi="黑体"/>
          <w:color w:val="000000" w:themeColor="text1"/>
          <w14:textFill>
            <w14:solidFill>
              <w14:schemeClr w14:val="tx1"/>
            </w14:solidFill>
          </w14:textFill>
        </w:rPr>
        <w:t>   </w:t>
      </w:r>
      <w:r>
        <w:rPr>
          <w:rStyle w:val="49"/>
          <w:rFonts w:hint="eastAsia"/>
          <w:color w:val="000000" w:themeColor="text1"/>
          <w14:textFill>
            <w14:solidFill>
              <w14:schemeClr w14:val="tx1"/>
            </w14:solidFill>
          </w14:textFill>
        </w:rPr>
        <w:t>发布</w:t>
      </w: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sectPr>
          <w:pgSz w:w="11906" w:h="16838"/>
          <w:pgMar w:top="1440" w:right="1080" w:bottom="1440" w:left="1080" w:header="851" w:footer="992" w:gutter="0"/>
          <w:pgNumType w:fmt="upperRoman"/>
          <w:cols w:space="425" w:num="1"/>
          <w:docGrid w:type="lines" w:linePitch="312" w:charSpace="0"/>
        </w:sectPr>
      </w:pPr>
    </w:p>
    <w:sdt>
      <w:sdtPr>
        <w:rPr>
          <w:rFonts w:hint="eastAsia" w:ascii="黑体" w:hAnsi="黑体" w:eastAsia="黑体" w:cs="黑体"/>
          <w:color w:val="000000" w:themeColor="text1"/>
          <w:sz w:val="32"/>
          <w:szCs w:val="32"/>
          <w14:textFill>
            <w14:solidFill>
              <w14:schemeClr w14:val="tx1"/>
            </w14:solidFill>
          </w14:textFill>
        </w:rPr>
        <w:id w:val="147456705"/>
        <w15:color w:val="DBDBDB"/>
      </w:sdtPr>
      <w:sdtEndPr>
        <w:rPr>
          <w:rFonts w:hint="eastAsia" w:ascii="黑体" w:hAnsi="黑体" w:eastAsia="黑体" w:cs="黑体"/>
          <w:color w:val="000000" w:themeColor="text1"/>
          <w:sz w:val="21"/>
          <w:szCs w:val="32"/>
          <w14:textFill>
            <w14:solidFill>
              <w14:schemeClr w14:val="tx1"/>
            </w14:solidFill>
          </w14:textFill>
        </w:rPr>
      </w:sdtEndPr>
      <w:sdtContent>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次</w:t>
          </w:r>
        </w:p>
        <w:p>
          <w:pPr>
            <w:jc w:val="center"/>
            <w:rPr>
              <w:rFonts w:ascii="黑体" w:hAnsi="黑体" w:eastAsia="黑体" w:cs="黑体"/>
              <w:color w:val="000000" w:themeColor="text1"/>
              <w:sz w:val="32"/>
              <w:szCs w:val="32"/>
              <w14:textFill>
                <w14:solidFill>
                  <w14:schemeClr w14:val="tx1"/>
                </w14:solidFill>
              </w14:textFill>
            </w:rPr>
          </w:pPr>
        </w:p>
        <w:p>
          <w:pPr>
            <w:pStyle w:val="12"/>
            <w:tabs>
              <w:tab w:val="right" w:leader="dot" w:pos="9736"/>
            </w:tabs>
          </w:pPr>
          <w:r>
            <w:rPr>
              <w:rFonts w:hint="eastAsia" w:ascii="黑体" w:hAnsi="黑体" w:eastAsia="黑体" w:cs="黑体"/>
              <w:color w:val="000000" w:themeColor="text1"/>
              <w:sz w:val="32"/>
              <w:szCs w:val="32"/>
              <w14:textFill>
                <w14:solidFill>
                  <w14:schemeClr w14:val="tx1"/>
                </w14:solidFill>
              </w14:textFill>
            </w:rPr>
            <w:fldChar w:fldCharType="begin"/>
          </w:r>
          <w:r>
            <w:rPr>
              <w:rFonts w:hint="eastAsia" w:ascii="黑体" w:hAnsi="黑体" w:eastAsia="黑体" w:cs="黑体"/>
              <w:color w:val="000000" w:themeColor="text1"/>
              <w:sz w:val="32"/>
              <w:szCs w:val="32"/>
              <w14:textFill>
                <w14:solidFill>
                  <w14:schemeClr w14:val="tx1"/>
                </w14:solidFill>
              </w14:textFill>
            </w:rPr>
            <w:instrText xml:space="preserve">TOC \o "1-3" \h \u </w:instrText>
          </w:r>
          <w:r>
            <w:rPr>
              <w:rFonts w:hint="eastAsia" w:ascii="黑体" w:hAnsi="黑体" w:eastAsia="黑体" w:cs="黑体"/>
              <w:color w:val="000000" w:themeColor="text1"/>
              <w:sz w:val="32"/>
              <w:szCs w:val="32"/>
              <w14:textFill>
                <w14:solidFill>
                  <w14:schemeClr w14:val="tx1"/>
                </w14:solidFill>
              </w14:textFill>
            </w:rPr>
            <w:fldChar w:fldCharType="separate"/>
          </w:r>
          <w:r>
            <w:fldChar w:fldCharType="begin"/>
          </w:r>
          <w:r>
            <w:instrText xml:space="preserve"> HYPERLINK \l "_Toc49938236" </w:instrText>
          </w:r>
          <w:r>
            <w:fldChar w:fldCharType="separate"/>
          </w:r>
          <w:r>
            <w:rPr>
              <w:rStyle w:val="15"/>
              <w:rFonts w:ascii="黑体" w:hAnsi="黑体" w:eastAsia="黑体" w:cs="黑体"/>
            </w:rPr>
            <w:t>前   言</w:t>
          </w:r>
          <w:r>
            <w:tab/>
          </w:r>
          <w:r>
            <w:fldChar w:fldCharType="begin"/>
          </w:r>
          <w:r>
            <w:instrText xml:space="preserve"> PAGEREF _Toc49938236 \h </w:instrText>
          </w:r>
          <w:r>
            <w:fldChar w:fldCharType="separate"/>
          </w:r>
          <w:r>
            <w:t>II</w:t>
          </w:r>
          <w:r>
            <w:fldChar w:fldCharType="end"/>
          </w:r>
          <w:r>
            <w:fldChar w:fldCharType="end"/>
          </w:r>
        </w:p>
        <w:p>
          <w:pPr>
            <w:pStyle w:val="12"/>
            <w:tabs>
              <w:tab w:val="right" w:leader="dot" w:pos="9736"/>
            </w:tabs>
          </w:pPr>
          <w:r>
            <w:fldChar w:fldCharType="begin"/>
          </w:r>
          <w:r>
            <w:instrText xml:space="preserve"> HYPERLINK \l "_Toc49938237" </w:instrText>
          </w:r>
          <w:r>
            <w:fldChar w:fldCharType="separate"/>
          </w:r>
          <w:r>
            <w:rPr>
              <w:rStyle w:val="15"/>
              <w:rFonts w:hAnsi="Times New Roman"/>
            </w:rPr>
            <w:t>1</w:t>
          </w:r>
          <w:r>
            <w:rPr>
              <w:rStyle w:val="15"/>
            </w:rPr>
            <w:t xml:space="preserve"> 范围</w:t>
          </w:r>
          <w:r>
            <w:tab/>
          </w:r>
          <w:r>
            <w:fldChar w:fldCharType="begin"/>
          </w:r>
          <w:r>
            <w:instrText xml:space="preserve"> PAGEREF _Toc49938237 \h </w:instrText>
          </w:r>
          <w:r>
            <w:fldChar w:fldCharType="separate"/>
          </w:r>
          <w:r>
            <w:t>1</w:t>
          </w:r>
          <w:r>
            <w:fldChar w:fldCharType="end"/>
          </w:r>
          <w:r>
            <w:fldChar w:fldCharType="end"/>
          </w:r>
        </w:p>
        <w:p>
          <w:pPr>
            <w:pStyle w:val="12"/>
            <w:tabs>
              <w:tab w:val="right" w:leader="dot" w:pos="9736"/>
            </w:tabs>
          </w:pPr>
          <w:r>
            <w:fldChar w:fldCharType="begin"/>
          </w:r>
          <w:r>
            <w:instrText xml:space="preserve"> HYPERLINK \l "_Toc49938238" </w:instrText>
          </w:r>
          <w:r>
            <w:fldChar w:fldCharType="separate"/>
          </w:r>
          <w:r>
            <w:rPr>
              <w:rStyle w:val="15"/>
              <w:rFonts w:hAnsi="Times New Roman"/>
            </w:rPr>
            <w:t>2</w:t>
          </w:r>
          <w:r>
            <w:rPr>
              <w:rStyle w:val="15"/>
            </w:rPr>
            <w:t xml:space="preserve"> 规范性引用文件</w:t>
          </w:r>
          <w:r>
            <w:tab/>
          </w:r>
          <w:r>
            <w:fldChar w:fldCharType="begin"/>
          </w:r>
          <w:r>
            <w:instrText xml:space="preserve"> PAGEREF _Toc49938238 \h </w:instrText>
          </w:r>
          <w:r>
            <w:fldChar w:fldCharType="separate"/>
          </w:r>
          <w:r>
            <w:t>1</w:t>
          </w:r>
          <w:r>
            <w:fldChar w:fldCharType="end"/>
          </w:r>
          <w:r>
            <w:fldChar w:fldCharType="end"/>
          </w:r>
        </w:p>
        <w:p>
          <w:pPr>
            <w:pStyle w:val="12"/>
            <w:tabs>
              <w:tab w:val="right" w:leader="dot" w:pos="9736"/>
            </w:tabs>
          </w:pPr>
          <w:r>
            <w:fldChar w:fldCharType="begin"/>
          </w:r>
          <w:r>
            <w:instrText xml:space="preserve"> HYPERLINK \l "_Toc49938239" </w:instrText>
          </w:r>
          <w:r>
            <w:fldChar w:fldCharType="separate"/>
          </w:r>
          <w:r>
            <w:rPr>
              <w:rStyle w:val="15"/>
              <w:rFonts w:hAnsi="Times New Roman"/>
            </w:rPr>
            <w:t>3</w:t>
          </w:r>
          <w:r>
            <w:rPr>
              <w:rStyle w:val="15"/>
            </w:rPr>
            <w:t xml:space="preserve"> 术语和定义</w:t>
          </w:r>
          <w:r>
            <w:tab/>
          </w:r>
          <w:r>
            <w:fldChar w:fldCharType="begin"/>
          </w:r>
          <w:r>
            <w:instrText xml:space="preserve"> PAGEREF _Toc49938239 \h </w:instrText>
          </w:r>
          <w:r>
            <w:fldChar w:fldCharType="separate"/>
          </w:r>
          <w:r>
            <w:t>1</w:t>
          </w:r>
          <w:r>
            <w:fldChar w:fldCharType="end"/>
          </w:r>
          <w:r>
            <w:fldChar w:fldCharType="end"/>
          </w:r>
        </w:p>
        <w:p>
          <w:pPr>
            <w:pStyle w:val="12"/>
            <w:tabs>
              <w:tab w:val="right" w:leader="dot" w:pos="9736"/>
            </w:tabs>
          </w:pPr>
          <w:r>
            <w:fldChar w:fldCharType="begin"/>
          </w:r>
          <w:r>
            <w:instrText xml:space="preserve"> HYPERLINK \l "_Toc49938240" </w:instrText>
          </w:r>
          <w:r>
            <w:fldChar w:fldCharType="separate"/>
          </w:r>
          <w:r>
            <w:rPr>
              <w:rStyle w:val="15"/>
              <w:rFonts w:hAnsi="Times New Roman"/>
            </w:rPr>
            <w:t>4</w:t>
          </w:r>
          <w:r>
            <w:rPr>
              <w:rStyle w:val="15"/>
            </w:rPr>
            <w:t xml:space="preserve"> 非遗形象门店基本类型</w:t>
          </w:r>
          <w:r>
            <w:tab/>
          </w:r>
          <w:r>
            <w:fldChar w:fldCharType="begin"/>
          </w:r>
          <w:r>
            <w:instrText xml:space="preserve"> PAGEREF _Toc49938240 \h </w:instrText>
          </w:r>
          <w:r>
            <w:fldChar w:fldCharType="separate"/>
          </w:r>
          <w:r>
            <w:t>2</w:t>
          </w:r>
          <w:r>
            <w:fldChar w:fldCharType="end"/>
          </w:r>
          <w:r>
            <w:fldChar w:fldCharType="end"/>
          </w:r>
        </w:p>
        <w:p>
          <w:pPr>
            <w:pStyle w:val="12"/>
            <w:tabs>
              <w:tab w:val="right" w:leader="dot" w:pos="9736"/>
            </w:tabs>
          </w:pPr>
          <w:r>
            <w:fldChar w:fldCharType="begin"/>
          </w:r>
          <w:r>
            <w:instrText xml:space="preserve"> HYPERLINK \l "_Toc49938241" </w:instrText>
          </w:r>
          <w:r>
            <w:fldChar w:fldCharType="separate"/>
          </w:r>
          <w:r>
            <w:rPr>
              <w:rStyle w:val="15"/>
              <w:rFonts w:hAnsi="Times New Roman"/>
            </w:rPr>
            <w:t>5</w:t>
          </w:r>
          <w:r>
            <w:rPr>
              <w:rStyle w:val="15"/>
            </w:rPr>
            <w:t xml:space="preserve"> 等级与标志</w:t>
          </w:r>
          <w:r>
            <w:tab/>
          </w:r>
          <w:r>
            <w:fldChar w:fldCharType="begin"/>
          </w:r>
          <w:r>
            <w:instrText xml:space="preserve"> PAGEREF _Toc49938241 \h </w:instrText>
          </w:r>
          <w:r>
            <w:fldChar w:fldCharType="separate"/>
          </w:r>
          <w:r>
            <w:t>2</w:t>
          </w:r>
          <w:r>
            <w:fldChar w:fldCharType="end"/>
          </w:r>
          <w:r>
            <w:fldChar w:fldCharType="end"/>
          </w:r>
        </w:p>
        <w:p>
          <w:pPr>
            <w:pStyle w:val="12"/>
            <w:tabs>
              <w:tab w:val="right" w:leader="dot" w:pos="9736"/>
            </w:tabs>
          </w:pPr>
          <w:r>
            <w:fldChar w:fldCharType="begin"/>
          </w:r>
          <w:r>
            <w:instrText xml:space="preserve"> HYPERLINK \l "_Toc49938242" </w:instrText>
          </w:r>
          <w:r>
            <w:fldChar w:fldCharType="separate"/>
          </w:r>
          <w:r>
            <w:rPr>
              <w:rStyle w:val="15"/>
              <w:rFonts w:hAnsi="Times New Roman"/>
            </w:rPr>
            <w:t>6</w:t>
          </w:r>
          <w:r>
            <w:rPr>
              <w:rStyle w:val="15"/>
            </w:rPr>
            <w:t xml:space="preserve"> 基本原则</w:t>
          </w:r>
          <w:r>
            <w:tab/>
          </w:r>
          <w:r>
            <w:fldChar w:fldCharType="begin"/>
          </w:r>
          <w:r>
            <w:instrText xml:space="preserve"> PAGEREF _Toc49938242 \h </w:instrText>
          </w:r>
          <w:r>
            <w:fldChar w:fldCharType="separate"/>
          </w:r>
          <w:r>
            <w:t>2</w:t>
          </w:r>
          <w:r>
            <w:fldChar w:fldCharType="end"/>
          </w:r>
          <w:r>
            <w:fldChar w:fldCharType="end"/>
          </w:r>
        </w:p>
        <w:p>
          <w:pPr>
            <w:pStyle w:val="12"/>
            <w:tabs>
              <w:tab w:val="right" w:leader="dot" w:pos="9736"/>
            </w:tabs>
          </w:pPr>
          <w:r>
            <w:fldChar w:fldCharType="begin"/>
          </w:r>
          <w:r>
            <w:instrText xml:space="preserve"> HYPERLINK \l "_Toc49938243" </w:instrText>
          </w:r>
          <w:r>
            <w:fldChar w:fldCharType="separate"/>
          </w:r>
          <w:r>
            <w:rPr>
              <w:rStyle w:val="15"/>
              <w:rFonts w:hAnsi="Times New Roman"/>
            </w:rPr>
            <w:t>7</w:t>
          </w:r>
          <w:r>
            <w:rPr>
              <w:rStyle w:val="15"/>
              <w:rFonts w:hAnsi="黑体" w:cs="黑体"/>
            </w:rPr>
            <w:t xml:space="preserve"> 管理要求</w:t>
          </w:r>
          <w:r>
            <w:tab/>
          </w:r>
          <w:r>
            <w:fldChar w:fldCharType="begin"/>
          </w:r>
          <w:r>
            <w:instrText xml:space="preserve"> PAGEREF _Toc49938243 \h </w:instrText>
          </w:r>
          <w:r>
            <w:fldChar w:fldCharType="separate"/>
          </w:r>
          <w:r>
            <w:t>3</w:t>
          </w:r>
          <w:r>
            <w:fldChar w:fldCharType="end"/>
          </w:r>
          <w:r>
            <w:fldChar w:fldCharType="end"/>
          </w:r>
        </w:p>
        <w:p>
          <w:pPr>
            <w:pStyle w:val="12"/>
            <w:tabs>
              <w:tab w:val="right" w:leader="dot" w:pos="9736"/>
            </w:tabs>
          </w:pPr>
          <w:r>
            <w:fldChar w:fldCharType="begin"/>
          </w:r>
          <w:r>
            <w:instrText xml:space="preserve"> HYPERLINK \l "_Toc49938244" </w:instrText>
          </w:r>
          <w:r>
            <w:fldChar w:fldCharType="separate"/>
          </w:r>
          <w:r>
            <w:rPr>
              <w:rStyle w:val="15"/>
              <w:rFonts w:hAnsi="Times New Roman" w:cs="黑体"/>
            </w:rPr>
            <w:t>8</w:t>
          </w:r>
          <w:r>
            <w:rPr>
              <w:rStyle w:val="15"/>
              <w:rFonts w:hAnsi="黑体" w:cs="黑体"/>
            </w:rPr>
            <w:t xml:space="preserve"> 必备要求</w:t>
          </w:r>
          <w:r>
            <w:tab/>
          </w:r>
          <w:r>
            <w:fldChar w:fldCharType="begin"/>
          </w:r>
          <w:r>
            <w:instrText xml:space="preserve"> PAGEREF _Toc49938244 \h </w:instrText>
          </w:r>
          <w:r>
            <w:fldChar w:fldCharType="separate"/>
          </w:r>
          <w:r>
            <w:t>3</w:t>
          </w:r>
          <w:r>
            <w:fldChar w:fldCharType="end"/>
          </w:r>
          <w:r>
            <w:fldChar w:fldCharType="end"/>
          </w:r>
        </w:p>
        <w:p>
          <w:pPr>
            <w:pStyle w:val="12"/>
            <w:tabs>
              <w:tab w:val="right" w:leader="dot" w:pos="9736"/>
            </w:tabs>
          </w:pPr>
          <w:r>
            <w:fldChar w:fldCharType="begin"/>
          </w:r>
          <w:r>
            <w:instrText xml:space="preserve"> HYPERLINK \l "_Toc49938245" </w:instrText>
          </w:r>
          <w:r>
            <w:fldChar w:fldCharType="separate"/>
          </w:r>
          <w:r>
            <w:rPr>
              <w:rStyle w:val="15"/>
              <w:rFonts w:hAnsi="Times New Roman" w:cs="黑体"/>
            </w:rPr>
            <w:t>9</w:t>
          </w:r>
          <w:r>
            <w:rPr>
              <w:rStyle w:val="15"/>
              <w:rFonts w:hAnsi="黑体" w:cs="黑体"/>
            </w:rPr>
            <w:t xml:space="preserve"> 等级划分条件</w:t>
          </w:r>
          <w:r>
            <w:tab/>
          </w:r>
          <w:r>
            <w:fldChar w:fldCharType="begin"/>
          </w:r>
          <w:r>
            <w:instrText xml:space="preserve"> PAGEREF _Toc49938245 \h </w:instrText>
          </w:r>
          <w:r>
            <w:fldChar w:fldCharType="separate"/>
          </w:r>
          <w:r>
            <w:t>3</w:t>
          </w:r>
          <w:r>
            <w:fldChar w:fldCharType="end"/>
          </w:r>
          <w:r>
            <w:fldChar w:fldCharType="end"/>
          </w:r>
        </w:p>
        <w:p>
          <w:pPr>
            <w:pStyle w:val="12"/>
            <w:tabs>
              <w:tab w:val="right" w:leader="dot" w:pos="9736"/>
            </w:tabs>
          </w:pPr>
          <w:r>
            <w:fldChar w:fldCharType="begin"/>
          </w:r>
          <w:r>
            <w:instrText xml:space="preserve"> HYPERLINK \l "_Toc49938246" </w:instrText>
          </w:r>
          <w:r>
            <w:fldChar w:fldCharType="separate"/>
          </w:r>
          <w:r>
            <w:rPr>
              <w:rStyle w:val="15"/>
              <w:rFonts w:hAnsi="Times New Roman" w:cs="黑体"/>
            </w:rPr>
            <w:t>10</w:t>
          </w:r>
          <w:r>
            <w:rPr>
              <w:rStyle w:val="15"/>
              <w:rFonts w:hAnsi="黑体" w:cs="黑体"/>
            </w:rPr>
            <w:t xml:space="preserve"> 特色要求</w:t>
          </w:r>
          <w:r>
            <w:tab/>
          </w:r>
          <w:r>
            <w:fldChar w:fldCharType="begin"/>
          </w:r>
          <w:r>
            <w:instrText xml:space="preserve"> PAGEREF _Toc49938246 \h </w:instrText>
          </w:r>
          <w:r>
            <w:fldChar w:fldCharType="separate"/>
          </w:r>
          <w:r>
            <w:t>5</w:t>
          </w:r>
          <w:r>
            <w:fldChar w:fldCharType="end"/>
          </w:r>
          <w:r>
            <w:fldChar w:fldCharType="end"/>
          </w:r>
        </w:p>
        <w:p>
          <w:pPr>
            <w:pStyle w:val="12"/>
            <w:tabs>
              <w:tab w:val="right" w:leader="dot" w:pos="9736"/>
            </w:tabs>
          </w:pPr>
          <w:r>
            <w:fldChar w:fldCharType="begin"/>
          </w:r>
          <w:r>
            <w:instrText xml:space="preserve"> HYPERLINK \l "_Toc49938247" </w:instrText>
          </w:r>
          <w:r>
            <w:fldChar w:fldCharType="separate"/>
          </w:r>
          <w:r>
            <w:rPr>
              <w:rStyle w:val="15"/>
              <w:rFonts w:hAnsi="Times New Roman" w:cs="黑体"/>
            </w:rPr>
            <w:t>11</w:t>
          </w:r>
          <w:r>
            <w:rPr>
              <w:rStyle w:val="15"/>
              <w:rFonts w:hAnsi="黑体" w:cs="黑体"/>
            </w:rPr>
            <w:t xml:space="preserve"> 等级评定</w:t>
          </w:r>
          <w:r>
            <w:tab/>
          </w:r>
          <w:r>
            <w:fldChar w:fldCharType="begin"/>
          </w:r>
          <w:r>
            <w:instrText xml:space="preserve"> PAGEREF _Toc49938247 \h </w:instrText>
          </w:r>
          <w:r>
            <w:fldChar w:fldCharType="separate"/>
          </w:r>
          <w:r>
            <w:t>5</w:t>
          </w:r>
          <w:r>
            <w:fldChar w:fldCharType="end"/>
          </w:r>
          <w:r>
            <w:fldChar w:fldCharType="end"/>
          </w:r>
        </w:p>
        <w:p>
          <w:pPr>
            <w:jc w:val="center"/>
            <w:rPr>
              <w:rFonts w:ascii="黑体" w:hAnsi="黑体" w:eastAsia="黑体" w:cs="黑体"/>
              <w:color w:val="000000" w:themeColor="text1"/>
              <w:szCs w:val="32"/>
              <w14:textFill>
                <w14:solidFill>
                  <w14:schemeClr w14:val="tx1"/>
                </w14:solidFill>
              </w14:textFill>
            </w:rPr>
            <w:sectPr>
              <w:footerReference r:id="rId3" w:type="default"/>
              <w:pgSz w:w="11906" w:h="16838"/>
              <w:pgMar w:top="1440" w:right="1080" w:bottom="1440" w:left="1080" w:header="851" w:footer="992" w:gutter="0"/>
              <w:pgNumType w:fmt="upperRoman" w:start="1"/>
              <w:cols w:space="425" w:num="1"/>
              <w:docGrid w:type="lines" w:linePitch="312" w:charSpace="0"/>
            </w:sectPr>
          </w:pPr>
          <w:r>
            <w:rPr>
              <w:rFonts w:hint="eastAsia" w:ascii="黑体" w:hAnsi="黑体" w:eastAsia="黑体" w:cs="黑体"/>
              <w:color w:val="000000" w:themeColor="text1"/>
              <w:szCs w:val="32"/>
              <w14:textFill>
                <w14:solidFill>
                  <w14:schemeClr w14:val="tx1"/>
                </w14:solidFill>
              </w14:textFill>
            </w:rPr>
            <w:fldChar w:fldCharType="end"/>
          </w:r>
        </w:p>
      </w:sdtContent>
    </w:sdt>
    <w:p>
      <w:pPr>
        <w:rPr>
          <w:rFonts w:ascii="黑体" w:hAnsi="黑体" w:eastAsia="黑体" w:cs="黑体"/>
          <w:color w:val="000000" w:themeColor="text1"/>
          <w:sz w:val="32"/>
          <w:szCs w:val="32"/>
          <w14:textFill>
            <w14:solidFill>
              <w14:schemeClr w14:val="tx1"/>
            </w14:solidFill>
          </w14:textFill>
        </w:rPr>
      </w:pPr>
    </w:p>
    <w:p>
      <w:pPr>
        <w:jc w:val="center"/>
        <w:outlineLvl w:val="0"/>
        <w:rPr>
          <w:rFonts w:ascii="黑体" w:hAnsi="黑体" w:eastAsia="黑体" w:cs="黑体"/>
          <w:color w:val="000000" w:themeColor="text1"/>
          <w:sz w:val="32"/>
          <w:szCs w:val="32"/>
          <w14:textFill>
            <w14:solidFill>
              <w14:schemeClr w14:val="tx1"/>
            </w14:solidFill>
          </w14:textFill>
        </w:rPr>
      </w:pPr>
      <w:bookmarkStart w:id="1" w:name="_Toc49938236"/>
      <w:r>
        <w:rPr>
          <w:rFonts w:hint="eastAsia" w:ascii="黑体" w:hAnsi="黑体" w:eastAsia="黑体" w:cs="黑体"/>
          <w:color w:val="000000" w:themeColor="text1"/>
          <w:sz w:val="32"/>
          <w:szCs w:val="32"/>
          <w14:textFill>
            <w14:solidFill>
              <w14:schemeClr w14:val="tx1"/>
            </w14:solidFill>
          </w14:textFill>
        </w:rPr>
        <w:t>前   言</w:t>
      </w:r>
      <w:bookmarkEnd w:id="1"/>
    </w:p>
    <w:p>
      <w:pPr>
        <w:jc w:val="center"/>
        <w:rPr>
          <w:rFonts w:ascii="黑体" w:hAnsi="黑体" w:eastAsia="黑体" w:cs="黑体"/>
          <w:color w:val="000000" w:themeColor="text1"/>
          <w:sz w:val="32"/>
          <w:szCs w:val="32"/>
          <w14:textFill>
            <w14:solidFill>
              <w14:schemeClr w14:val="tx1"/>
            </w14:solidFill>
          </w14:textFill>
        </w:rPr>
      </w:pPr>
    </w:p>
    <w:p>
      <w:pPr>
        <w:ind w:firstLine="42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本标准按照GB/T 1.1-2009给出的规则起草。</w:t>
      </w:r>
    </w:p>
    <w:p>
      <w:pPr>
        <w:ind w:firstLine="42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本标准由绍兴市文化广电旅游局提出并归口管理。</w:t>
      </w:r>
    </w:p>
    <w:p>
      <w:pPr>
        <w:topLinePunct/>
        <w:autoSpaceDE w:val="0"/>
        <w:autoSpaceDN w:val="0"/>
        <w:ind w:firstLine="42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本标准起草单位：</w:t>
      </w:r>
      <w:r>
        <w:rPr>
          <w:rFonts w:hint="eastAsia" w:ascii="宋体" w:hAnsi="宋体" w:eastAsia="宋体" w:cs="Times New Roman"/>
          <w:color w:val="000000" w:themeColor="text1"/>
          <w14:textFill>
            <w14:solidFill>
              <w14:schemeClr w14:val="tx1"/>
            </w14:solidFill>
          </w14:textFill>
        </w:rPr>
        <w:t>绍兴市文化广电旅游局、中国传媒大学。</w:t>
      </w:r>
    </w:p>
    <w:p>
      <w:pPr>
        <w:ind w:firstLine="42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本标准主要起草人：杨红、张依宁、隗家兴、梁智渊、徐红。</w:t>
      </w:r>
    </w:p>
    <w:p>
      <w:pPr>
        <w:spacing w:after="624" w:afterLines="200"/>
        <w:jc w:val="center"/>
        <w:rPr>
          <w:rFonts w:ascii="黑体" w:hAnsi="黑体" w:eastAsia="黑体" w:cs="黑体"/>
          <w:b/>
          <w:bCs/>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jc w:val="center"/>
        <w:rPr>
          <w:rFonts w:ascii="黑体" w:hAnsi="黑体" w:eastAsia="黑体" w:cs="黑体"/>
          <w:color w:val="000000" w:themeColor="text1"/>
          <w:sz w:val="48"/>
          <w:szCs w:val="48"/>
          <w14:textFill>
            <w14:solidFill>
              <w14:schemeClr w14:val="tx1"/>
            </w14:solidFill>
          </w14:textFill>
        </w:rPr>
      </w:pPr>
    </w:p>
    <w:p>
      <w:pPr>
        <w:spacing w:after="624" w:afterLines="200"/>
        <w:rPr>
          <w:rFonts w:ascii="黑体" w:hAnsi="黑体" w:eastAsia="黑体" w:cs="黑体"/>
          <w:color w:val="000000" w:themeColor="text1"/>
          <w:sz w:val="48"/>
          <w:szCs w:val="48"/>
          <w14:textFill>
            <w14:solidFill>
              <w14:schemeClr w14:val="tx1"/>
            </w14:solidFill>
          </w14:textFill>
        </w:rPr>
      </w:pPr>
    </w:p>
    <w:p>
      <w:pPr>
        <w:spacing w:after="624" w:afterLines="200"/>
        <w:rPr>
          <w:rFonts w:ascii="黑体" w:hAnsi="黑体" w:eastAsia="黑体" w:cs="黑体"/>
          <w:color w:val="000000" w:themeColor="text1"/>
          <w:sz w:val="48"/>
          <w:szCs w:val="48"/>
          <w14:textFill>
            <w14:solidFill>
              <w14:schemeClr w14:val="tx1"/>
            </w14:solidFill>
          </w14:textFill>
        </w:rPr>
      </w:pPr>
    </w:p>
    <w:p>
      <w:pPr>
        <w:spacing w:after="624" w:afterLines="200"/>
        <w:rPr>
          <w:rFonts w:ascii="黑体" w:hAnsi="黑体" w:eastAsia="黑体" w:cs="黑体"/>
          <w:color w:val="000000" w:themeColor="text1"/>
          <w:sz w:val="48"/>
          <w:szCs w:val="48"/>
          <w14:textFill>
            <w14:solidFill>
              <w14:schemeClr w14:val="tx1"/>
            </w14:solidFill>
          </w14:textFill>
        </w:rPr>
        <w:sectPr>
          <w:footerReference r:id="rId4" w:type="default"/>
          <w:pgSz w:w="11906" w:h="16838"/>
          <w:pgMar w:top="1440" w:right="1080" w:bottom="1440" w:left="1080" w:header="851" w:footer="992" w:gutter="0"/>
          <w:pgNumType w:fmt="upperRoman"/>
          <w:cols w:space="425" w:num="1"/>
          <w:docGrid w:type="lines" w:linePitch="312" w:charSpace="0"/>
        </w:sectPr>
      </w:pPr>
    </w:p>
    <w:p>
      <w:pPr>
        <w:spacing w:after="624" w:afterLines="200"/>
        <w:rPr>
          <w:rFonts w:ascii="黑体" w:hAnsi="黑体" w:eastAsia="黑体" w:cs="黑体"/>
          <w:color w:val="000000" w:themeColor="text1"/>
          <w:sz w:val="48"/>
          <w:szCs w:val="48"/>
          <w14:textFill>
            <w14:solidFill>
              <w14:schemeClr w14:val="tx1"/>
            </w14:solidFill>
          </w14:textFill>
        </w:rPr>
      </w:pPr>
    </w:p>
    <w:p>
      <w:pPr>
        <w:spacing w:after="624" w:afterLines="200"/>
        <w:jc w:val="center"/>
        <w:rPr>
          <w:color w:val="000000" w:themeColor="text1"/>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非遗形象门店基本要求及评定</w:t>
      </w:r>
    </w:p>
    <w:p>
      <w:pPr>
        <w:pStyle w:val="19"/>
        <w:numPr>
          <w:ilvl w:val="0"/>
          <w:numId w:val="0"/>
        </w:numPr>
        <w:rPr>
          <w:color w:val="000000" w:themeColor="text1"/>
          <w14:textFill>
            <w14:solidFill>
              <w14:schemeClr w14:val="tx1"/>
            </w14:solidFill>
          </w14:textFill>
        </w:rPr>
      </w:pPr>
    </w:p>
    <w:p>
      <w:pPr>
        <w:pStyle w:val="19"/>
        <w:outlineLvl w:val="0"/>
        <w:rPr>
          <w:color w:val="000000" w:themeColor="text1"/>
          <w14:textFill>
            <w14:solidFill>
              <w14:schemeClr w14:val="tx1"/>
            </w14:solidFill>
          </w14:textFill>
        </w:rPr>
      </w:pPr>
      <w:bookmarkStart w:id="2" w:name="_Toc49938237"/>
      <w:r>
        <w:rPr>
          <w:rFonts w:hint="eastAsia"/>
          <w:color w:val="000000" w:themeColor="text1"/>
          <w14:textFill>
            <w14:solidFill>
              <w14:schemeClr w14:val="tx1"/>
            </w14:solidFill>
          </w14:textFill>
        </w:rPr>
        <w:t>范围</w:t>
      </w:r>
      <w:bookmarkEnd w:id="2"/>
    </w:p>
    <w:p>
      <w:pPr>
        <w:pStyle w:val="20"/>
        <w:ind w:firstLine="0" w:firstLineChars="0"/>
      </w:pPr>
    </w:p>
    <w:p>
      <w:pPr>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本标准拟规定浙江省绍兴市非遗形象门店的基本类型、等级与标志，以及创建非遗形象门店的基本原则、</w:t>
      </w:r>
      <w:r>
        <w:rPr>
          <w:rFonts w:hint="eastAsia" w:ascii="宋体" w:hAnsi="宋体" w:eastAsia="宋体"/>
          <w:color w:val="000000" w:themeColor="text1"/>
          <w14:textFill>
            <w14:solidFill>
              <w14:schemeClr w14:val="tx1"/>
            </w14:solidFill>
          </w14:textFill>
        </w:rPr>
        <w:t>管理要求、等</w:t>
      </w:r>
      <w:r>
        <w:rPr>
          <w:rFonts w:ascii="宋体" w:hAnsi="宋体" w:eastAsia="宋体"/>
          <w:color w:val="000000" w:themeColor="text1"/>
          <w14:textFill>
            <w14:solidFill>
              <w14:schemeClr w14:val="tx1"/>
            </w14:solidFill>
          </w14:textFill>
        </w:rPr>
        <w:t>级</w:t>
      </w:r>
      <w:r>
        <w:rPr>
          <w:rFonts w:hint="eastAsia" w:ascii="宋体" w:hAnsi="宋体" w:eastAsia="宋体"/>
          <w:color w:val="000000" w:themeColor="text1"/>
          <w14:textFill>
            <w14:solidFill>
              <w14:schemeClr w14:val="tx1"/>
            </w14:solidFill>
          </w14:textFill>
        </w:rPr>
        <w:t>划分条件、特色要求等</w:t>
      </w:r>
      <w:r>
        <w:rPr>
          <w:rFonts w:ascii="宋体" w:hAnsi="宋体" w:eastAsia="宋体"/>
          <w:color w:val="000000" w:themeColor="text1"/>
          <w14:textFill>
            <w14:solidFill>
              <w14:schemeClr w14:val="tx1"/>
            </w14:solidFill>
          </w14:textFill>
        </w:rPr>
        <w:t>内容。除了针对不同等级非遗形象门店制定不同的</w:t>
      </w:r>
      <w:r>
        <w:rPr>
          <w:rFonts w:hint="eastAsia" w:ascii="宋体" w:hAnsi="宋体" w:eastAsia="宋体"/>
          <w:color w:val="000000" w:themeColor="text1"/>
          <w14:textFill>
            <w14:solidFill>
              <w14:schemeClr w14:val="tx1"/>
            </w14:solidFill>
          </w14:textFill>
        </w:rPr>
        <w:t>等级划分条件</w:t>
      </w:r>
      <w:r>
        <w:rPr>
          <w:rFonts w:ascii="宋体" w:hAnsi="宋体" w:eastAsia="宋体"/>
          <w:color w:val="000000" w:themeColor="text1"/>
          <w14:textFill>
            <w14:solidFill>
              <w14:schemeClr w14:val="tx1"/>
            </w14:solidFill>
          </w14:textFill>
        </w:rPr>
        <w:t>外，还将针对非遗形象门店进行特色要求制定，包括</w:t>
      </w:r>
      <w:r>
        <w:rPr>
          <w:rFonts w:hint="eastAsia" w:ascii="宋体" w:hAnsi="宋体" w:eastAsia="宋体"/>
          <w:color w:val="000000" w:themeColor="text1"/>
          <w14:textFill>
            <w14:solidFill>
              <w14:schemeClr w14:val="tx1"/>
            </w14:solidFill>
          </w14:textFill>
        </w:rPr>
        <w:t>门店</w:t>
      </w:r>
      <w:r>
        <w:rPr>
          <w:rFonts w:ascii="宋体" w:hAnsi="宋体" w:eastAsia="宋体"/>
          <w:color w:val="000000" w:themeColor="text1"/>
          <w14:textFill>
            <w14:solidFill>
              <w14:schemeClr w14:val="tx1"/>
            </w14:solidFill>
          </w14:textFill>
        </w:rPr>
        <w:t>外观要求、服务特色要求、产品特色要求。</w:t>
      </w:r>
    </w:p>
    <w:p>
      <w:pPr>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本标准适用于在浙江省绍兴市范围内需申请创建非遗形象门店的相关店铺。</w:t>
      </w:r>
    </w:p>
    <w:p>
      <w:pPr>
        <w:pStyle w:val="19"/>
        <w:numPr>
          <w:ilvl w:val="0"/>
          <w:numId w:val="0"/>
        </w:numPr>
        <w:rPr>
          <w:color w:val="000000" w:themeColor="text1"/>
          <w14:textFill>
            <w14:solidFill>
              <w14:schemeClr w14:val="tx1"/>
            </w14:solidFill>
          </w14:textFill>
        </w:rPr>
      </w:pPr>
    </w:p>
    <w:p>
      <w:pPr>
        <w:pStyle w:val="19"/>
        <w:outlineLvl w:val="0"/>
        <w:rPr>
          <w:color w:val="000000" w:themeColor="text1"/>
          <w14:textFill>
            <w14:solidFill>
              <w14:schemeClr w14:val="tx1"/>
            </w14:solidFill>
          </w14:textFill>
        </w:rPr>
      </w:pPr>
      <w:bookmarkStart w:id="3" w:name="_Toc49938238"/>
      <w:r>
        <w:rPr>
          <w:rFonts w:hint="eastAsia"/>
          <w:color w:val="000000" w:themeColor="text1"/>
          <w14:textFill>
            <w14:solidFill>
              <w14:schemeClr w14:val="tx1"/>
            </w14:solidFill>
          </w14:textFill>
        </w:rPr>
        <w:t>规范性引用文件</w:t>
      </w:r>
      <w:bookmarkEnd w:id="3"/>
    </w:p>
    <w:p>
      <w:pPr>
        <w:pStyle w:val="20"/>
      </w:pPr>
    </w:p>
    <w:p>
      <w:pPr>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下列文件对于本文件的应用是必不可少的。凡是注日期的引用文件，仅所注日期的版本适用于本文件。凡是不注日期的引用文件，其最新版本(包括所有的修改单)适用于本文件。 </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 3096-2008  声环境质量标准</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 8978-1996  污水综合排放标准</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 17945-2010  消防应急照明和疏散指示系统</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 37487-2019  公共场所卫生管理规范</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GB/T 10001.1-2012  标志用公共信息图形符号第1部分：通用符号</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GB/T 10001.5-2006  标志用公共信息图形符号第5部分：购物符号</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GB/T 10001.9-2008  标志用公共信息图形符号第9部分：无障碍设施符号</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GB/T 17110-2008  商店购物环境与营销设施的要求</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GB/T 26356-2010  旅游购物场所服务质量要求</w:t>
      </w:r>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DB33/T 527-2016  购物场所旅游服务规范</w:t>
      </w:r>
    </w:p>
    <w:p>
      <w:pPr>
        <w:pStyle w:val="19"/>
        <w:numPr>
          <w:ilvl w:val="0"/>
          <w:numId w:val="0"/>
        </w:numPr>
        <w:rPr>
          <w:color w:val="000000" w:themeColor="text1"/>
          <w14:textFill>
            <w14:solidFill>
              <w14:schemeClr w14:val="tx1"/>
            </w14:solidFill>
          </w14:textFill>
        </w:rPr>
      </w:pPr>
    </w:p>
    <w:p>
      <w:pPr>
        <w:pStyle w:val="19"/>
        <w:outlineLvl w:val="0"/>
        <w:rPr>
          <w:color w:val="000000" w:themeColor="text1"/>
          <w14:textFill>
            <w14:solidFill>
              <w14:schemeClr w14:val="tx1"/>
            </w14:solidFill>
          </w14:textFill>
        </w:rPr>
      </w:pPr>
      <w:bookmarkStart w:id="4" w:name="_Toc49938239"/>
      <w:r>
        <w:rPr>
          <w:rFonts w:hint="eastAsia"/>
          <w:color w:val="000000" w:themeColor="text1"/>
          <w14:textFill>
            <w14:solidFill>
              <w14:schemeClr w14:val="tx1"/>
            </w14:solidFill>
          </w14:textFill>
        </w:rPr>
        <w:t>术语和定义</w:t>
      </w:r>
      <w:bookmarkEnd w:id="4"/>
    </w:p>
    <w:p>
      <w:pPr>
        <w:pStyle w:val="7"/>
        <w:topLinePunct/>
        <w:autoSpaceDE w:val="0"/>
        <w:autoSpaceDN w:val="0"/>
        <w:spacing w:before="156" w:beforeLines="50" w:after="156" w:afterLines="50"/>
        <w:ind w:firstLine="420" w:firstLineChars="200"/>
        <w:jc w:val="left"/>
        <w:rPr>
          <w:rFonts w:cs="Times New Roman"/>
          <w:color w:val="000000" w:themeColor="text1"/>
          <w:szCs w:val="24"/>
          <w:lang w:val="en-US" w:bidi="ar-SA"/>
          <w14:textFill>
            <w14:solidFill>
              <w14:schemeClr w14:val="tx1"/>
            </w14:solidFill>
          </w14:textFill>
        </w:rPr>
      </w:pPr>
      <w:r>
        <w:rPr>
          <w:rFonts w:hint="eastAsia" w:cs="Times New Roman"/>
          <w:color w:val="000000" w:themeColor="text1"/>
          <w:szCs w:val="24"/>
          <w:lang w:val="en-US" w:bidi="ar-SA"/>
          <w14:textFill>
            <w14:solidFill>
              <w14:schemeClr w14:val="tx1"/>
            </w14:solidFill>
          </w14:textFill>
        </w:rPr>
        <w:t>下列术语和定义适用于本文件。</w:t>
      </w:r>
    </w:p>
    <w:p>
      <w:pPr>
        <w:pStyle w:val="2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ind w:firstLine="420" w:firstLineChars="200"/>
        <w:rPr>
          <w:rFonts w:ascii="黑体" w:hAnsi="黑体" w:eastAsia="黑体" w:cs="黑体"/>
          <w:color w:val="000000" w:themeColor="text1"/>
          <w:szCs w:val="21"/>
          <w:shd w:val="clear" w:color="auto" w:fill="FFFFFF"/>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非物质文化遗产</w:t>
      </w:r>
    </w:p>
    <w:p>
      <w:pPr>
        <w:ind w:firstLine="420" w:firstLineChars="200"/>
        <w:rPr>
          <w:rFonts w:ascii="黑体" w:hAnsi="黑体" w:eastAsia="黑体" w:cs="黑体"/>
          <w:color w:val="000000" w:themeColor="text1"/>
          <w:szCs w:val="21"/>
          <w:shd w:val="clear" w:color="auto" w:fill="FFFFFF"/>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szCs w:val="21"/>
          <w:shd w:val="clear" w:color="auto" w:fill="FFFFFF"/>
          <w14:textFill>
            <w14:solidFill>
              <w14:schemeClr w14:val="tx1"/>
            </w14:solidFill>
          </w14:textFill>
        </w:rPr>
        <w:t>非物质文化遗产是指各族人民世代相传并视为其文化遗产组成部分的各种传统文化表现形式，以及与传统文化表现形式相关的实物和场所。可简称为“非遗”。</w:t>
      </w:r>
    </w:p>
    <w:p>
      <w:pPr>
        <w:pStyle w:val="21"/>
        <w:numPr>
          <w:ilvl w:val="1"/>
          <w:numId w:val="0"/>
        </w:numPr>
        <w:rPr>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8"/>
        <w:topLinePunct/>
        <w:autoSpaceDE w:val="0"/>
        <w:autoSpaceDN w:val="0"/>
        <w:spacing w:before="156" w:beforeLines="50" w:after="156" w:afterLines="50"/>
        <w:ind w:firstLineChars="0"/>
        <w:jc w:val="left"/>
        <w:rPr>
          <w:rFonts w:ascii="黑体" w:hAnsi="黑体" w:eastAsia="黑体" w:cs="黑体"/>
          <w:color w:val="000000" w:themeColor="text1"/>
          <w:szCs w:val="21"/>
          <w14:textFill>
            <w14:solidFill>
              <w14:schemeClr w14:val="tx1"/>
            </w14:solidFill>
          </w14:textFill>
        </w:rPr>
      </w:pPr>
      <w:bookmarkStart w:id="5" w:name="_Toc15818"/>
      <w:r>
        <w:rPr>
          <w:rFonts w:hint="eastAsia" w:ascii="黑体" w:hAnsi="黑体" w:eastAsia="黑体" w:cs="黑体"/>
          <w:color w:val="000000" w:themeColor="text1"/>
          <w:szCs w:val="21"/>
          <w14:textFill>
            <w14:solidFill>
              <w14:schemeClr w14:val="tx1"/>
            </w14:solidFill>
          </w14:textFill>
        </w:rPr>
        <w:t xml:space="preserve">非遗形象门店 </w:t>
      </w:r>
      <w:bookmarkEnd w:id="5"/>
    </w:p>
    <w:p>
      <w:pPr>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主要以销售和提供非遗相关产品或服务为主，为顾客提供专业、特色消费体验的门店。</w:t>
      </w:r>
    </w:p>
    <w:p>
      <w:pPr>
        <w:pStyle w:val="21"/>
        <w:numPr>
          <w:ilvl w:val="1"/>
          <w:numId w:val="0"/>
        </w:numPr>
        <w:rPr>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8"/>
        <w:topLinePunct/>
        <w:autoSpaceDE w:val="0"/>
        <w:autoSpaceDN w:val="0"/>
        <w:spacing w:before="156" w:beforeLines="50" w:after="156" w:afterLines="50"/>
        <w:jc w:val="left"/>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非遗产品</w:t>
      </w:r>
    </w:p>
    <w:p>
      <w:pPr>
        <w:pStyle w:val="18"/>
        <w:ind w:left="420" w:firstLine="0" w:firstLineChars="0"/>
        <w:rPr>
          <w:rFonts w:ascii="宋体" w:hAnsi="宋体" w:eastAsia="宋体"/>
          <w:color w:val="auto"/>
        </w:rPr>
      </w:pPr>
      <w:r>
        <w:rPr>
          <w:rFonts w:hint="eastAsia" w:ascii="宋体" w:hAnsi="宋体" w:eastAsia="宋体"/>
          <w:color w:val="auto"/>
          <w:lang w:eastAsia="zh-CN"/>
        </w:rPr>
        <w:t>以</w:t>
      </w:r>
      <w:r>
        <w:rPr>
          <w:rFonts w:hint="eastAsia" w:ascii="宋体" w:hAnsi="宋体" w:eastAsia="宋体"/>
          <w:color w:val="auto"/>
        </w:rPr>
        <w:t>国家、地方认定的非遗代表性项目相关工艺技艺</w:t>
      </w:r>
      <w:r>
        <w:rPr>
          <w:rFonts w:hint="eastAsia" w:ascii="宋体" w:hAnsi="宋体" w:eastAsia="宋体"/>
          <w:color w:val="auto"/>
          <w:lang w:eastAsia="zh-CN"/>
        </w:rPr>
        <w:t>等</w:t>
      </w:r>
      <w:r>
        <w:rPr>
          <w:rFonts w:hint="eastAsia" w:ascii="宋体" w:hAnsi="宋体" w:eastAsia="宋体"/>
          <w:color w:val="auto"/>
        </w:rPr>
        <w:t>制成的产品或</w:t>
      </w:r>
      <w:r>
        <w:rPr>
          <w:rFonts w:hint="eastAsia" w:ascii="宋体" w:hAnsi="宋体" w:eastAsia="宋体"/>
          <w:color w:val="auto"/>
          <w:lang w:eastAsia="zh-CN"/>
        </w:rPr>
        <w:t>提供的</w:t>
      </w:r>
      <w:r>
        <w:rPr>
          <w:rFonts w:hint="eastAsia" w:ascii="宋体" w:hAnsi="宋体" w:eastAsia="宋体"/>
          <w:color w:val="auto"/>
        </w:rPr>
        <w:t>服务。</w:t>
      </w:r>
    </w:p>
    <w:p>
      <w:pPr>
        <w:pStyle w:val="21"/>
        <w:numPr>
          <w:ilvl w:val="1"/>
          <w:numId w:val="0"/>
        </w:numPr>
        <w:rPr>
          <w:color w:val="auto"/>
        </w:rPr>
      </w:pPr>
    </w:p>
    <w:p>
      <w:pPr>
        <w:pStyle w:val="19"/>
        <w:outlineLvl w:val="0"/>
        <w:rPr>
          <w:color w:val="000000" w:themeColor="text1"/>
          <w14:textFill>
            <w14:solidFill>
              <w14:schemeClr w14:val="tx1"/>
            </w14:solidFill>
          </w14:textFill>
        </w:rPr>
      </w:pPr>
      <w:bookmarkStart w:id="6" w:name="_Toc49938240"/>
      <w:r>
        <w:rPr>
          <w:rFonts w:hint="eastAsia"/>
          <w:color w:val="000000" w:themeColor="text1"/>
          <w14:textFill>
            <w14:solidFill>
              <w14:schemeClr w14:val="tx1"/>
            </w14:solidFill>
          </w14:textFill>
        </w:rPr>
        <w:t>非遗形象门店基本类型</w:t>
      </w:r>
      <w:bookmarkEnd w:id="6"/>
    </w:p>
    <w:p>
      <w:pPr>
        <w:spacing w:before="156" w:beforeLines="50"/>
        <w:ind w:left="42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非遗形象门店基本类型主要归为以下四类：</w:t>
      </w:r>
    </w:p>
    <w:p>
      <w:pPr>
        <w:ind w:left="420"/>
        <w:rPr>
          <w:rFonts w:ascii="宋体" w:hAnsi="宋体" w:eastAsia="宋体" w:cs="Times New Roman"/>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p>
    <w:p>
      <w:pPr>
        <w:spacing w:after="156" w:afterLines="50"/>
        <w:ind w:left="420"/>
        <w:rPr>
          <w:rFonts w:ascii="Heiti SC Medium" w:hAnsi="Heiti SC Medium" w:eastAsia="Heiti SC Medium" w:cs="Times New Roman"/>
          <w:color w:val="000000" w:themeColor="text1"/>
          <w14:textFill>
            <w14:solidFill>
              <w14:schemeClr w14:val="tx1"/>
            </w14:solidFill>
          </w14:textFill>
        </w:rPr>
      </w:pPr>
      <w:r>
        <w:rPr>
          <w:rFonts w:hint="eastAsia" w:ascii="Heiti SC Medium" w:hAnsi="Heiti SC Medium" w:eastAsia="Heiti SC Medium" w:cs="Times New Roman"/>
          <w:color w:val="000000" w:themeColor="text1"/>
          <w14:textFill>
            <w14:solidFill>
              <w14:schemeClr w14:val="tx1"/>
            </w14:solidFill>
          </w14:textFill>
        </w:rPr>
        <w:t>艺术表演</w:t>
      </w:r>
      <w:r>
        <w:rPr>
          <w:rFonts w:ascii="Heiti SC Medium" w:hAnsi="Heiti SC Medium" w:eastAsia="Heiti SC Medium" w:cs="Times New Roman"/>
          <w:color w:val="000000" w:themeColor="text1"/>
          <w14:textFill>
            <w14:solidFill>
              <w14:schemeClr w14:val="tx1"/>
            </w14:solidFill>
          </w14:textFill>
        </w:rPr>
        <w:t>类</w:t>
      </w:r>
    </w:p>
    <w:p>
      <w:pPr>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指</w:t>
      </w:r>
      <w:r>
        <w:rPr>
          <w:rFonts w:hint="eastAsia" w:ascii="宋体" w:hAnsi="宋体" w:eastAsia="宋体" w:cs="Times New Roman"/>
          <w:color w:val="000000" w:themeColor="text1"/>
          <w14:textFill>
            <w14:solidFill>
              <w14:schemeClr w14:val="tx1"/>
            </w14:solidFill>
          </w14:textFill>
        </w:rPr>
        <w:t>提供与传统戏剧、曲艺、传统</w:t>
      </w:r>
      <w:r>
        <w:rPr>
          <w:rFonts w:ascii="宋体" w:hAnsi="宋体" w:eastAsia="宋体" w:cs="Times New Roman"/>
          <w:color w:val="000000" w:themeColor="text1"/>
          <w14:textFill>
            <w14:solidFill>
              <w14:schemeClr w14:val="tx1"/>
            </w14:solidFill>
          </w14:textFill>
        </w:rPr>
        <w:t>音乐、</w:t>
      </w:r>
      <w:r>
        <w:rPr>
          <w:rFonts w:hint="eastAsia" w:ascii="宋体" w:hAnsi="宋体" w:eastAsia="宋体" w:cs="Times New Roman"/>
          <w:color w:val="000000" w:themeColor="text1"/>
          <w14:textFill>
            <w14:solidFill>
              <w14:schemeClr w14:val="tx1"/>
            </w14:solidFill>
          </w14:textFill>
        </w:rPr>
        <w:t>传统</w:t>
      </w:r>
      <w:r>
        <w:rPr>
          <w:rFonts w:ascii="宋体" w:hAnsi="宋体" w:eastAsia="宋体" w:cs="Times New Roman"/>
          <w:color w:val="000000" w:themeColor="text1"/>
          <w14:textFill>
            <w14:solidFill>
              <w14:schemeClr w14:val="tx1"/>
            </w14:solidFill>
          </w14:textFill>
        </w:rPr>
        <w:t>舞蹈、</w:t>
      </w:r>
      <w:r>
        <w:rPr>
          <w:rFonts w:hint="eastAsia" w:ascii="宋体" w:hAnsi="宋体" w:eastAsia="宋体" w:cs="Times New Roman"/>
          <w:color w:val="000000" w:themeColor="text1"/>
          <w14:textFill>
            <w14:solidFill>
              <w14:schemeClr w14:val="tx1"/>
            </w14:solidFill>
          </w14:textFill>
        </w:rPr>
        <w:t>传统体育游艺与杂技</w:t>
      </w:r>
      <w:r>
        <w:rPr>
          <w:rFonts w:ascii="宋体" w:hAnsi="宋体" w:eastAsia="宋体" w:cs="Times New Roman"/>
          <w:color w:val="000000" w:themeColor="text1"/>
          <w14:textFill>
            <w14:solidFill>
              <w14:schemeClr w14:val="tx1"/>
            </w14:solidFill>
          </w14:textFill>
        </w:rPr>
        <w:t>等</w:t>
      </w:r>
      <w:r>
        <w:rPr>
          <w:rFonts w:hint="eastAsia" w:ascii="宋体" w:hAnsi="宋体" w:eastAsia="宋体" w:cs="Times New Roman"/>
          <w:color w:val="000000" w:themeColor="text1"/>
          <w14:textFill>
            <w14:solidFill>
              <w14:schemeClr w14:val="tx1"/>
            </w14:solidFill>
          </w14:textFill>
        </w:rPr>
        <w:t>非遗门类相关的非遗产品或服务的门店。</w:t>
      </w:r>
    </w:p>
    <w:p>
      <w:pPr>
        <w:rPr>
          <w:rFonts w:ascii="宋体" w:hAnsi="宋体" w:eastAsia="宋体" w:cs="Times New Roman"/>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p>
    <w:p>
      <w:pPr>
        <w:spacing w:after="156" w:afterLines="50"/>
        <w:ind w:left="420"/>
        <w:rPr>
          <w:rFonts w:ascii="Heiti SC Medium" w:hAnsi="Heiti SC Medium" w:eastAsia="Heiti SC Medium" w:cs="Times New Roman"/>
          <w:color w:val="auto"/>
        </w:rPr>
      </w:pPr>
      <w:r>
        <w:rPr>
          <w:rFonts w:ascii="Heiti SC Medium" w:hAnsi="Heiti SC Medium" w:eastAsia="Heiti SC Medium" w:cs="Times New Roman"/>
          <w:color w:val="000000" w:themeColor="text1"/>
          <w14:textFill>
            <w14:solidFill>
              <w14:schemeClr w14:val="tx1"/>
            </w14:solidFill>
          </w14:textFill>
        </w:rPr>
        <w:t>传统技艺类</w:t>
      </w:r>
    </w:p>
    <w:p>
      <w:pPr>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auto"/>
        </w:rPr>
        <w:t xml:space="preserve">   指通过烧造、刻绘、织绣、印染、锻制</w:t>
      </w:r>
      <w:r>
        <w:rPr>
          <w:rFonts w:hint="eastAsia" w:ascii="宋体" w:hAnsi="宋体" w:eastAsia="宋体" w:cs="Times New Roman"/>
          <w:color w:val="auto"/>
          <w:lang w:eastAsia="zh-CN"/>
        </w:rPr>
        <w:t>、</w:t>
      </w:r>
      <w:r>
        <w:rPr>
          <w:rFonts w:hint="eastAsia" w:ascii="宋体" w:hAnsi="宋体" w:eastAsia="宋体" w:cs="Times New Roman"/>
          <w:color w:val="auto"/>
        </w:rPr>
        <w:t>编结、铸造等工艺</w:t>
      </w:r>
      <w:r>
        <w:rPr>
          <w:rFonts w:hint="eastAsia" w:ascii="宋体" w:hAnsi="宋体" w:eastAsia="宋体" w:cs="Times New Roman"/>
          <w:color w:val="000000" w:themeColor="text1"/>
          <w14:textFill>
            <w14:solidFill>
              <w14:schemeClr w14:val="tx1"/>
            </w14:solidFill>
          </w14:textFill>
        </w:rPr>
        <w:t>技艺，主要以手工方式制造或提供的非遗产品或服务的门店。</w:t>
      </w:r>
    </w:p>
    <w:p>
      <w:pPr>
        <w:rPr>
          <w:rFonts w:ascii="宋体" w:hAnsi="宋体" w:eastAsia="宋体" w:cs="Times New Roman"/>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p>
    <w:p>
      <w:pPr>
        <w:spacing w:after="156" w:afterLines="50"/>
        <w:ind w:left="420"/>
        <w:rPr>
          <w:rFonts w:ascii="Heiti SC Medium" w:hAnsi="Heiti SC Medium" w:eastAsia="Heiti SC Medium" w:cs="Times New Roman"/>
          <w:color w:val="000000" w:themeColor="text1"/>
          <w14:textFill>
            <w14:solidFill>
              <w14:schemeClr w14:val="tx1"/>
            </w14:solidFill>
          </w14:textFill>
        </w:rPr>
      </w:pPr>
      <w:r>
        <w:rPr>
          <w:rFonts w:ascii="Heiti SC Medium" w:hAnsi="Heiti SC Medium" w:eastAsia="Heiti SC Medium" w:cs="Times New Roman"/>
          <w:color w:val="000000" w:themeColor="text1"/>
          <w14:textFill>
            <w14:solidFill>
              <w14:schemeClr w14:val="tx1"/>
            </w14:solidFill>
          </w14:textFill>
        </w:rPr>
        <w:t>医药护理类</w:t>
      </w:r>
    </w:p>
    <w:p>
      <w:pPr>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   指提供与传统医药类非遗相关的产品或服务的门店。</w:t>
      </w:r>
    </w:p>
    <w:p>
      <w:pPr>
        <w:rPr>
          <w:rFonts w:ascii="宋体" w:hAnsi="宋体" w:eastAsia="宋体" w:cs="Times New Roman"/>
          <w:color w:val="000000" w:themeColor="text1"/>
          <w14:textFill>
            <w14:solidFill>
              <w14:schemeClr w14:val="tx1"/>
            </w14:solidFill>
          </w14:textFill>
        </w:rPr>
      </w:pPr>
    </w:p>
    <w:p>
      <w:pPr>
        <w:pStyle w:val="21"/>
        <w:ind w:left="0"/>
        <w:rPr>
          <w:color w:val="000000" w:themeColor="text1"/>
          <w14:textFill>
            <w14:solidFill>
              <w14:schemeClr w14:val="tx1"/>
            </w14:solidFill>
          </w14:textFill>
        </w:rPr>
      </w:pPr>
    </w:p>
    <w:p>
      <w:pPr>
        <w:spacing w:after="156" w:afterLines="50"/>
        <w:ind w:left="420"/>
        <w:rPr>
          <w:rFonts w:ascii="Heiti SC Medium" w:hAnsi="Heiti SC Medium" w:eastAsia="Heiti SC Medium" w:cs="Times New Roman"/>
          <w:color w:val="000000" w:themeColor="text1"/>
          <w14:textFill>
            <w14:solidFill>
              <w14:schemeClr w14:val="tx1"/>
            </w14:solidFill>
          </w14:textFill>
        </w:rPr>
      </w:pPr>
      <w:r>
        <w:rPr>
          <w:rFonts w:ascii="Heiti SC Medium" w:hAnsi="Heiti SC Medium" w:eastAsia="Heiti SC Medium" w:cs="Times New Roman"/>
          <w:color w:val="000000" w:themeColor="text1"/>
          <w14:textFill>
            <w14:solidFill>
              <w14:schemeClr w14:val="tx1"/>
            </w14:solidFill>
          </w14:textFill>
        </w:rPr>
        <w:t>特色美食类</w:t>
      </w:r>
    </w:p>
    <w:p>
      <w:pPr>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 xml:space="preserve">   指提供与饮食类非遗相关的产品或服务的门店。</w:t>
      </w:r>
    </w:p>
    <w:p>
      <w:pPr>
        <w:rPr>
          <w:rFonts w:ascii="宋体" w:hAnsi="宋体" w:eastAsia="宋体" w:cs="Times New Roman"/>
          <w:color w:val="000000" w:themeColor="text1"/>
          <w14:textFill>
            <w14:solidFill>
              <w14:schemeClr w14:val="tx1"/>
            </w14:solidFill>
          </w14:textFill>
        </w:rPr>
      </w:pPr>
    </w:p>
    <w:p>
      <w:pPr>
        <w:pStyle w:val="19"/>
        <w:numPr>
          <w:ilvl w:val="0"/>
          <w:numId w:val="0"/>
        </w:numPr>
        <w:rPr>
          <w:color w:val="000000" w:themeColor="text1"/>
          <w14:textFill>
            <w14:solidFill>
              <w14:schemeClr w14:val="tx1"/>
            </w14:solidFill>
          </w14:textFill>
        </w:rPr>
      </w:pPr>
    </w:p>
    <w:p>
      <w:pPr>
        <w:pStyle w:val="19"/>
        <w:outlineLvl w:val="0"/>
        <w:rPr>
          <w:color w:val="000000" w:themeColor="text1"/>
          <w14:textFill>
            <w14:solidFill>
              <w14:schemeClr w14:val="tx1"/>
            </w14:solidFill>
          </w14:textFill>
        </w:rPr>
      </w:pPr>
      <w:bookmarkStart w:id="7" w:name="_Toc49938241"/>
      <w:r>
        <w:rPr>
          <w:rFonts w:hint="eastAsia"/>
          <w:color w:val="000000" w:themeColor="text1"/>
          <w14:textFill>
            <w14:solidFill>
              <w14:schemeClr w14:val="tx1"/>
            </w14:solidFill>
          </w14:textFill>
        </w:rPr>
        <w:t>等级与标志</w:t>
      </w:r>
      <w:bookmarkEnd w:id="7"/>
    </w:p>
    <w:p>
      <w:pPr>
        <w:pStyle w:val="19"/>
        <w:numPr>
          <w:ilvl w:val="0"/>
          <w:numId w:val="0"/>
        </w:numPr>
        <w:rPr>
          <w:color w:val="000000" w:themeColor="text1"/>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等级</w:t>
      </w:r>
    </w:p>
    <w:p>
      <w:pPr>
        <w:pStyle w:val="26"/>
        <w:numPr>
          <w:ilvl w:val="2"/>
          <w:numId w:val="0"/>
        </w:numPr>
        <w:ind w:firstLine="420" w:firstLineChars="200"/>
        <w:rPr>
          <w:rFonts w:hAnsi="宋体" w:cs="Times New Roman"/>
          <w:color w:val="000000" w:themeColor="text1"/>
          <w:szCs w:val="24"/>
          <w14:textFill>
            <w14:solidFill>
              <w14:schemeClr w14:val="tx1"/>
            </w14:solidFill>
          </w14:textFill>
        </w:rPr>
      </w:pPr>
      <w:r>
        <w:rPr>
          <w:rFonts w:hint="eastAsia" w:hAnsi="宋体" w:cs="Times New Roman"/>
          <w:color w:val="000000" w:themeColor="text1"/>
          <w:szCs w:val="24"/>
          <w14:textFill>
            <w14:solidFill>
              <w14:schemeClr w14:val="tx1"/>
            </w14:solidFill>
          </w14:textFill>
        </w:rPr>
        <w:t>非遗形象门店主要</w:t>
      </w:r>
      <w:r>
        <w:rPr>
          <w:rFonts w:hAnsi="宋体" w:cs="Times New Roman"/>
          <w:color w:val="000000" w:themeColor="text1"/>
          <w:szCs w:val="24"/>
          <w14:textFill>
            <w14:solidFill>
              <w14:schemeClr w14:val="tx1"/>
            </w14:solidFill>
          </w14:textFill>
        </w:rPr>
        <w:t>划分为</w:t>
      </w:r>
      <w:r>
        <w:rPr>
          <w:rFonts w:hint="eastAsia" w:hAnsi="宋体" w:cs="Times New Roman"/>
          <w:color w:val="000000" w:themeColor="text1"/>
          <w:szCs w:val="24"/>
          <w14:textFill>
            <w14:solidFill>
              <w14:schemeClr w14:val="tx1"/>
            </w14:solidFill>
          </w14:textFill>
        </w:rPr>
        <w:t>三</w:t>
      </w:r>
      <w:r>
        <w:rPr>
          <w:rFonts w:hAnsi="宋体" w:cs="Times New Roman"/>
          <w:color w:val="000000" w:themeColor="text1"/>
          <w:szCs w:val="24"/>
          <w14:textFill>
            <w14:solidFill>
              <w14:schemeClr w14:val="tx1"/>
            </w14:solidFill>
          </w14:textFill>
        </w:rPr>
        <w:t>个等级:</w:t>
      </w:r>
      <w:r>
        <w:rPr>
          <w:rFonts w:hint="eastAsia" w:hAnsi="宋体" w:cs="Times New Roman"/>
          <w:color w:val="000000" w:themeColor="text1"/>
          <w:szCs w:val="24"/>
          <w14:textFill>
            <w14:solidFill>
              <w14:schemeClr w14:val="tx1"/>
            </w14:solidFill>
          </w14:textFill>
        </w:rPr>
        <w:t xml:space="preserve"> 达标级非遗形象门店（达标级门店）、银鼎级非遗形象门店（银鼎级门店）、金鼎级非遗形象门店（以下简称“</w:t>
      </w:r>
      <w:bookmarkStart w:id="8" w:name="OLE_LINK2"/>
      <w:bookmarkStart w:id="9" w:name="OLE_LINK1"/>
      <w:r>
        <w:rPr>
          <w:rFonts w:hint="eastAsia" w:hAnsi="宋体" w:cs="Times New Roman"/>
          <w:color w:val="000000" w:themeColor="text1"/>
          <w:szCs w:val="24"/>
          <w14:textFill>
            <w14:solidFill>
              <w14:schemeClr w14:val="tx1"/>
            </w14:solidFill>
          </w14:textFill>
        </w:rPr>
        <w:t>金鼎级门店</w:t>
      </w:r>
      <w:bookmarkEnd w:id="8"/>
      <w:bookmarkEnd w:id="9"/>
      <w:r>
        <w:rPr>
          <w:rFonts w:hint="eastAsia" w:hAnsi="宋体" w:cs="Times New Roman"/>
          <w:color w:val="000000" w:themeColor="text1"/>
          <w:szCs w:val="24"/>
          <w14:textFill>
            <w14:solidFill>
              <w14:schemeClr w14:val="tx1"/>
            </w14:solidFill>
          </w14:textFill>
        </w:rPr>
        <w:t>”）。</w:t>
      </w:r>
    </w:p>
    <w:p>
      <w:pPr>
        <w:pStyle w:val="19"/>
        <w:numPr>
          <w:ilvl w:val="0"/>
          <w:numId w:val="0"/>
        </w:numPr>
        <w:rPr>
          <w:rFonts w:cs="Times New Roman"/>
          <w:color w:val="000000" w:themeColor="text1"/>
          <w:kern w:val="0"/>
          <w14:textFill>
            <w14:solidFill>
              <w14:schemeClr w14:val="tx1"/>
            </w14:solidFill>
          </w14:textFill>
        </w:rPr>
      </w:pPr>
    </w:p>
    <w:p>
      <w:pPr>
        <w:pStyle w:val="21"/>
        <w:spacing w:before="156" w:beforeLines="50" w:after="156" w:afterLines="50"/>
        <w:ind w:left="0"/>
        <w:rPr>
          <w:rFonts w:hAnsi="黑体" w:cs="黑体"/>
          <w:color w:val="000000" w:themeColor="text1"/>
          <w:szCs w:val="24"/>
          <w14:textFill>
            <w14:solidFill>
              <w14:schemeClr w14:val="tx1"/>
            </w14:solidFill>
          </w14:textFill>
        </w:rPr>
      </w:pPr>
      <w:r>
        <w:rPr>
          <w:rFonts w:hint="eastAsia" w:hAnsi="黑体" w:cs="黑体"/>
          <w:color w:val="000000" w:themeColor="text1"/>
          <w:szCs w:val="24"/>
          <w14:textFill>
            <w14:solidFill>
              <w14:schemeClr w14:val="tx1"/>
            </w14:solidFill>
          </w14:textFill>
        </w:rPr>
        <w:t>标志</w:t>
      </w:r>
    </w:p>
    <w:p>
      <w:pPr>
        <w:pStyle w:val="26"/>
        <w:widowControl/>
        <w:numPr>
          <w:ilvl w:val="2"/>
          <w:numId w:val="0"/>
        </w:numPr>
        <w:ind w:firstLine="420" w:firstLineChars="20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非遗形象门店标志由政府相关部门统一制作挂牌。标志由中国非物质文化遗产标识和“非遗门店”文字构成，红色文字代表“</w:t>
      </w:r>
      <w:r>
        <w:rPr>
          <w:rFonts w:hint="eastAsia" w:hAnsi="宋体" w:cs="Times New Roman"/>
          <w:color w:val="000000" w:themeColor="text1"/>
          <w:szCs w:val="24"/>
          <w14:textFill>
            <w14:solidFill>
              <w14:schemeClr w14:val="tx1"/>
            </w14:solidFill>
          </w14:textFill>
        </w:rPr>
        <w:t>达标级门店</w:t>
      </w:r>
      <w:r>
        <w:rPr>
          <w:rFonts w:hint="eastAsia" w:hAnsi="宋体" w:cs="宋体"/>
          <w:color w:val="000000" w:themeColor="text1"/>
          <w:kern w:val="0"/>
          <w14:textFill>
            <w14:solidFill>
              <w14:schemeClr w14:val="tx1"/>
            </w14:solidFill>
          </w14:textFill>
        </w:rPr>
        <w:t>”，银白色文字代表“</w:t>
      </w:r>
      <w:r>
        <w:rPr>
          <w:rFonts w:hint="eastAsia" w:hAnsi="宋体" w:cs="Times New Roman"/>
          <w:color w:val="000000" w:themeColor="text1"/>
          <w:szCs w:val="24"/>
          <w14:textFill>
            <w14:solidFill>
              <w14:schemeClr w14:val="tx1"/>
            </w14:solidFill>
          </w14:textFill>
        </w:rPr>
        <w:t>银鼎级门店</w:t>
      </w:r>
      <w:r>
        <w:rPr>
          <w:rFonts w:hint="eastAsia" w:hAnsi="宋体" w:cs="宋体"/>
          <w:color w:val="000000" w:themeColor="text1"/>
          <w:kern w:val="0"/>
          <w14:textFill>
            <w14:solidFill>
              <w14:schemeClr w14:val="tx1"/>
            </w14:solidFill>
          </w14:textFill>
        </w:rPr>
        <w:t>”，金黄色文字代表“</w:t>
      </w:r>
      <w:r>
        <w:rPr>
          <w:rFonts w:hint="eastAsia" w:hAnsi="宋体" w:cs="Times New Roman"/>
          <w:color w:val="000000" w:themeColor="text1"/>
          <w:szCs w:val="24"/>
          <w14:textFill>
            <w14:solidFill>
              <w14:schemeClr w14:val="tx1"/>
            </w14:solidFill>
          </w14:textFill>
        </w:rPr>
        <w:t>金鼎级门店</w:t>
      </w:r>
      <w:r>
        <w:rPr>
          <w:rFonts w:hint="eastAsia" w:hAnsi="宋体" w:cs="宋体"/>
          <w:color w:val="000000" w:themeColor="text1"/>
          <w:kern w:val="0"/>
          <w14:textFill>
            <w14:solidFill>
              <w14:schemeClr w14:val="tx1"/>
            </w14:solidFill>
          </w14:textFill>
        </w:rPr>
        <w:t>”。门店标志应实行中外文对照形式，中文设置在上方，外文设置在下方，中文字号大小应当大于外文。</w:t>
      </w:r>
    </w:p>
    <w:p>
      <w:pPr>
        <w:pStyle w:val="19"/>
        <w:numPr>
          <w:ilvl w:val="0"/>
          <w:numId w:val="0"/>
        </w:numPr>
        <w:rPr>
          <w:color w:val="000000" w:themeColor="text1"/>
          <w14:textFill>
            <w14:solidFill>
              <w14:schemeClr w14:val="tx1"/>
            </w14:solidFill>
          </w14:textFill>
        </w:rPr>
      </w:pPr>
    </w:p>
    <w:p>
      <w:pPr>
        <w:pStyle w:val="19"/>
        <w:outlineLvl w:val="0"/>
        <w:rPr>
          <w:color w:val="000000" w:themeColor="text1"/>
          <w14:textFill>
            <w14:solidFill>
              <w14:schemeClr w14:val="tx1"/>
            </w14:solidFill>
          </w14:textFill>
        </w:rPr>
      </w:pPr>
      <w:bookmarkStart w:id="10" w:name="_Toc49938242"/>
      <w:r>
        <w:rPr>
          <w:rFonts w:hint="eastAsia"/>
          <w:color w:val="000000" w:themeColor="text1"/>
          <w14:textFill>
            <w14:solidFill>
              <w14:schemeClr w14:val="tx1"/>
            </w14:solidFill>
          </w14:textFill>
        </w:rPr>
        <w:t>基本原则</w:t>
      </w:r>
      <w:bookmarkEnd w:id="10"/>
    </w:p>
    <w:p>
      <w:pPr>
        <w:pStyle w:val="19"/>
        <w:numPr>
          <w:ilvl w:val="0"/>
          <w:numId w:val="0"/>
        </w:numPr>
        <w:rPr>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w:t>
      </w:r>
      <w:r>
        <w:rPr>
          <w:rFonts w:ascii="黑体" w:hAnsi="黑体" w:eastAsia="黑体" w:cs="黑体"/>
          <w:color w:val="000000" w:themeColor="text1"/>
          <w14:textFill>
            <w14:solidFill>
              <w14:schemeClr w14:val="tx1"/>
            </w14:solidFill>
          </w14:textFill>
        </w:rPr>
        <w:t>.1</w:t>
      </w:r>
      <w:r>
        <w:rPr>
          <w:rFonts w:ascii="黑体" w:hAnsi="黑体" w:eastAsia="黑体" w:cs="黑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注重非遗特色。</w:t>
      </w:r>
      <w:r>
        <w:rPr>
          <w:rFonts w:hint="eastAsia" w:ascii="宋体" w:hAnsi="宋体" w:eastAsia="宋体"/>
          <w:color w:val="auto"/>
          <w:lang w:eastAsia="zh-CN"/>
        </w:rPr>
        <w:t>有</w:t>
      </w:r>
      <w:r>
        <w:rPr>
          <w:rFonts w:hint="eastAsia" w:ascii="宋体" w:hAnsi="宋体" w:eastAsia="宋体"/>
          <w:color w:val="auto"/>
        </w:rPr>
        <w:t>明</w:t>
      </w:r>
      <w:r>
        <w:rPr>
          <w:rFonts w:hint="eastAsia" w:ascii="宋体" w:hAnsi="宋体" w:eastAsia="宋体"/>
          <w:color w:val="000000" w:themeColor="text1"/>
          <w14:textFill>
            <w14:solidFill>
              <w14:schemeClr w14:val="tx1"/>
            </w14:solidFill>
          </w14:textFill>
        </w:rPr>
        <w:t>确的非遗代表性项目是申报非遗形象门店的前提。门店在经营中，需注重非遗代表性项目的传承与展示，塑造独特的门店形象。</w:t>
      </w:r>
    </w:p>
    <w:p>
      <w:pPr>
        <w:pStyle w:val="19"/>
        <w:numPr>
          <w:ilvl w:val="0"/>
          <w:numId w:val="0"/>
        </w:num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w:t>
      </w:r>
      <w:r>
        <w:rPr>
          <w:rFonts w:ascii="黑体" w:hAnsi="黑体" w:eastAsia="黑体" w:cs="黑体"/>
          <w:color w:val="000000" w:themeColor="text1"/>
          <w14:textFill>
            <w14:solidFill>
              <w14:schemeClr w14:val="tx1"/>
            </w14:solidFill>
          </w14:textFill>
        </w:rPr>
        <w:t>.2</w:t>
      </w:r>
      <w:r>
        <w:rPr>
          <w:rFonts w:ascii="黑体" w:hAnsi="黑体" w:eastAsia="黑体" w:cs="黑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限定经营范围。以售卖或提供已评定的</w:t>
      </w:r>
      <w:r>
        <w:rPr>
          <w:rFonts w:hint="eastAsia" w:ascii="宋体" w:hAnsi="宋体" w:eastAsia="宋体"/>
          <w:color w:val="000000" w:themeColor="text1"/>
          <w:lang w:eastAsia="zh-CN"/>
          <w14:textFill>
            <w14:solidFill>
              <w14:schemeClr w14:val="tx1"/>
            </w14:solidFill>
          </w14:textFill>
        </w:rPr>
        <w:t>市</w:t>
      </w:r>
      <w:r>
        <w:rPr>
          <w:rFonts w:hint="eastAsia" w:ascii="宋体" w:hAnsi="宋体" w:eastAsia="宋体"/>
          <w:color w:val="000000" w:themeColor="text1"/>
          <w14:textFill>
            <w14:solidFill>
              <w14:schemeClr w14:val="tx1"/>
            </w14:solidFill>
          </w14:textFill>
        </w:rPr>
        <w:t>级及以上非遗代表性项目相关产品或服务为主要经营范围。</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w:t>
      </w:r>
      <w:r>
        <w:rPr>
          <w:rFonts w:ascii="黑体" w:hAnsi="黑体" w:eastAsia="黑体" w:cs="黑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 xml:space="preserve"> 遵循在地性原则。非遗形象门店售卖的产品或提供的服务须与本地非遗代表性项目相关。</w:t>
      </w:r>
    </w:p>
    <w:p>
      <w:pPr>
        <w:pStyle w:val="19"/>
        <w:numPr>
          <w:ilvl w:val="0"/>
          <w:numId w:val="0"/>
        </w:numPr>
        <w:rPr>
          <w:color w:val="000000" w:themeColor="text1"/>
          <w14:textFill>
            <w14:solidFill>
              <w14:schemeClr w14:val="tx1"/>
            </w14:solidFill>
          </w14:textFill>
        </w:rPr>
      </w:pPr>
    </w:p>
    <w:p>
      <w:pPr>
        <w:pStyle w:val="19"/>
        <w:spacing w:before="312" w:beforeLines="100" w:after="312" w:afterLines="100"/>
        <w:outlineLvl w:val="0"/>
        <w:rPr>
          <w:color w:val="000000" w:themeColor="text1"/>
          <w14:textFill>
            <w14:solidFill>
              <w14:schemeClr w14:val="tx1"/>
            </w14:solidFill>
          </w14:textFill>
        </w:rPr>
      </w:pPr>
      <w:bookmarkStart w:id="11" w:name="_Toc49938243"/>
      <w:r>
        <w:rPr>
          <w:rFonts w:hint="eastAsia" w:hAnsi="黑体" w:cs="黑体"/>
          <w:color w:val="000000" w:themeColor="text1"/>
          <w:szCs w:val="21"/>
          <w14:textFill>
            <w14:solidFill>
              <w14:schemeClr w14:val="tx1"/>
            </w14:solidFill>
          </w14:textFill>
        </w:rPr>
        <w:t>管理要求</w:t>
      </w:r>
      <w:bookmarkEnd w:id="11"/>
    </w:p>
    <w:p>
      <w:pPr>
        <w:pStyle w:val="18"/>
        <w:ind w:left="2" w:firstLine="0" w:firstLineChars="0"/>
        <w:rPr>
          <w:rFonts w:ascii="宋体" w:hAnsi="宋体" w:eastAsia="宋体"/>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7.</w:t>
      </w:r>
      <w:r>
        <w:rPr>
          <w:rFonts w:hint="eastAsia" w:ascii="黑体" w:hAnsi="黑体" w:eastAsia="黑体" w:cs="黑体"/>
          <w:color w:val="000000" w:themeColor="text1"/>
          <w14:textFill>
            <w14:solidFill>
              <w14:schemeClr w14:val="tx1"/>
            </w14:solidFill>
          </w14:textFill>
        </w:rPr>
        <w:t>1</w:t>
      </w:r>
      <w:r>
        <w:rPr>
          <w:rFonts w:ascii="黑体" w:hAnsi="黑体" w:eastAsia="黑体" w:cs="黑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门店应有较为完善的经营管理制度，有短期和长期的经营计划。</w:t>
      </w:r>
    </w:p>
    <w:p>
      <w:pPr>
        <w:pStyle w:val="18"/>
        <w:ind w:left="2" w:firstLine="0" w:firstLineChars="0"/>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7.2 </w:t>
      </w:r>
      <w:r>
        <w:rPr>
          <w:rFonts w:hint="eastAsia" w:ascii="宋体" w:hAnsi="宋体" w:eastAsia="宋体"/>
          <w:color w:val="000000" w:themeColor="text1"/>
          <w14:textFill>
            <w14:solidFill>
              <w14:schemeClr w14:val="tx1"/>
            </w14:solidFill>
          </w14:textFill>
        </w:rPr>
        <w:t>门店应有较为完善的财务制度，有短期及长期的销售目标。</w:t>
      </w:r>
    </w:p>
    <w:p>
      <w:pPr>
        <w:rPr>
          <w:rFonts w:ascii="宋体" w:hAnsi="宋体" w:eastAsia="宋体"/>
          <w:color w:val="000000" w:themeColor="text1"/>
          <w14:textFill>
            <w14:solidFill>
              <w14:schemeClr w14:val="tx1"/>
            </w14:solidFill>
          </w14:textFill>
        </w:rPr>
      </w:pPr>
    </w:p>
    <w:p>
      <w:pPr>
        <w:pStyle w:val="18"/>
        <w:ind w:firstLine="0" w:firstLineChars="0"/>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7.3 </w:t>
      </w:r>
      <w:r>
        <w:rPr>
          <w:rFonts w:hint="eastAsia" w:ascii="宋体" w:hAnsi="宋体" w:eastAsia="宋体"/>
          <w:color w:val="000000" w:themeColor="text1"/>
          <w14:textFill>
            <w14:solidFill>
              <w14:schemeClr w14:val="tx1"/>
            </w14:solidFill>
          </w14:textFill>
        </w:rPr>
        <w:t>门店应有较为完善的安全管理制度，门店内部至少安装一个监控探头，门店内部柜台、货架等设施应考虑消费者购物安全，并对门店内客流量进行及时监测，超过安全极限时予以限流。</w:t>
      </w:r>
    </w:p>
    <w:p>
      <w:pPr>
        <w:pStyle w:val="18"/>
        <w:ind w:firstLine="0" w:firstLineChars="0"/>
        <w:rPr>
          <w:rFonts w:ascii="宋体" w:hAnsi="宋体" w:eastAsia="宋体"/>
          <w:color w:val="000000" w:themeColor="text1"/>
          <w14:textFill>
            <w14:solidFill>
              <w14:schemeClr w14:val="tx1"/>
            </w14:solidFill>
          </w14:textFill>
        </w:rPr>
      </w:pPr>
    </w:p>
    <w:p>
      <w:pPr>
        <w:pStyle w:val="18"/>
        <w:ind w:firstLine="0" w:firstLineChars="0"/>
        <w:rPr>
          <w:rFonts w:ascii="宋体" w:hAnsi="宋体" w:eastAsia="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7</w:t>
      </w:r>
      <w:r>
        <w:rPr>
          <w:rFonts w:ascii="黑体" w:hAnsi="黑体" w:eastAsia="黑体" w:cs="黑体"/>
          <w:color w:val="000000" w:themeColor="text1"/>
          <w14:textFill>
            <w14:solidFill>
              <w14:schemeClr w14:val="tx1"/>
            </w14:solidFill>
          </w14:textFill>
        </w:rPr>
        <w:t>.</w:t>
      </w:r>
      <w:r>
        <w:rPr>
          <w:rFonts w:hint="eastAsia" w:ascii="黑体" w:hAnsi="黑体" w:eastAsia="黑体" w:cs="黑体"/>
          <w:color w:val="000000" w:themeColor="text1"/>
          <w14:textFill>
            <w14:solidFill>
              <w14:schemeClr w14:val="tx1"/>
            </w14:solidFill>
          </w14:textFill>
        </w:rPr>
        <w:t>4</w:t>
      </w:r>
      <w:r>
        <w:rPr>
          <w:rFonts w:ascii="黑体" w:hAnsi="黑体" w:eastAsia="黑体" w:cs="黑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门店应体现非遗特色，在经营环境中对相关非遗代表性项目进行介绍。</w:t>
      </w:r>
    </w:p>
    <w:p>
      <w:pPr>
        <w:pStyle w:val="18"/>
        <w:ind w:left="2" w:firstLine="0" w:firstLineChars="0"/>
        <w:rPr>
          <w:rFonts w:ascii="宋体" w:hAnsi="宋体" w:eastAsia="宋体"/>
          <w:color w:val="000000" w:themeColor="text1"/>
          <w14:textFill>
            <w14:solidFill>
              <w14:schemeClr w14:val="tx1"/>
            </w14:solidFill>
          </w14:textFill>
        </w:rPr>
      </w:pPr>
    </w:p>
    <w:p>
      <w:pPr>
        <w:pStyle w:val="19"/>
        <w:spacing w:before="312" w:beforeLines="100" w:after="312" w:afterLines="100"/>
        <w:outlineLvl w:val="0"/>
        <w:rPr>
          <w:rFonts w:hAnsi="黑体" w:cs="黑体"/>
          <w:color w:val="000000" w:themeColor="text1"/>
          <w:szCs w:val="21"/>
          <w14:textFill>
            <w14:solidFill>
              <w14:schemeClr w14:val="tx1"/>
            </w14:solidFill>
          </w14:textFill>
        </w:rPr>
      </w:pPr>
      <w:bookmarkStart w:id="12" w:name="_Toc49938244"/>
      <w:r>
        <w:rPr>
          <w:rFonts w:hint="eastAsia" w:hAnsi="黑体" w:cs="黑体"/>
          <w:color w:val="000000" w:themeColor="text1"/>
          <w:szCs w:val="21"/>
          <w14:textFill>
            <w14:solidFill>
              <w14:schemeClr w14:val="tx1"/>
            </w14:solidFill>
          </w14:textFill>
        </w:rPr>
        <w:t>必备要求</w:t>
      </w:r>
      <w:bookmarkEnd w:id="12"/>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非遗认定要求</w:t>
      </w:r>
    </w:p>
    <w:p>
      <w:pPr>
        <w:pStyle w:val="26"/>
        <w:widowControl/>
        <w:numPr>
          <w:ilvl w:val="0"/>
          <w:numId w:val="0"/>
        </w:numPr>
        <w:rPr>
          <w:rFonts w:hAnsi="宋体" w:cs="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8</w:t>
      </w:r>
      <w:r>
        <w:rPr>
          <w:rFonts w:ascii="黑体" w:hAnsi="黑体" w:eastAsia="黑体" w:cs="黑体"/>
          <w:color w:val="000000" w:themeColor="text1"/>
          <w14:textFill>
            <w14:solidFill>
              <w14:schemeClr w14:val="tx1"/>
            </w14:solidFill>
          </w14:textFill>
        </w:rPr>
        <w:t xml:space="preserve">.1.1 </w:t>
      </w:r>
      <w:r>
        <w:rPr>
          <w:rFonts w:hint="eastAsia" w:hAnsi="宋体" w:cs="宋体"/>
          <w:color w:val="000000" w:themeColor="text1"/>
          <w14:textFill>
            <w14:solidFill>
              <w14:schemeClr w14:val="tx1"/>
            </w14:solidFill>
          </w14:textFill>
        </w:rPr>
        <w:t>本地区非遗代表性项目相关门店可申请，由文化主管部门进行资格审核，门店主要经营的产品或服务经统一认定后确与市级及以上非遗代表性项目相关。</w:t>
      </w:r>
    </w:p>
    <w:p>
      <w:pPr>
        <w:pStyle w:val="26"/>
        <w:widowControl/>
        <w:numPr>
          <w:ilvl w:val="0"/>
          <w:numId w:val="0"/>
        </w:numPr>
        <w:rPr>
          <w:rFonts w:hAnsi="宋体" w:cs="宋体"/>
          <w:color w:val="000000" w:themeColor="text1"/>
          <w14:textFill>
            <w14:solidFill>
              <w14:schemeClr w14:val="tx1"/>
            </w14:solidFill>
          </w14:textFill>
        </w:rPr>
      </w:pPr>
    </w:p>
    <w:p>
      <w:pPr>
        <w:pStyle w:val="26"/>
        <w:widowControl/>
        <w:numPr>
          <w:ilvl w:val="0"/>
          <w:numId w:val="0"/>
        </w:numPr>
        <w:rPr>
          <w:rFonts w:hAnsi="宋体" w:cs="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8</w:t>
      </w:r>
      <w:r>
        <w:rPr>
          <w:rFonts w:ascii="黑体" w:hAnsi="黑体" w:eastAsia="黑体" w:cs="黑体"/>
          <w:color w:val="000000" w:themeColor="text1"/>
          <w14:textFill>
            <w14:solidFill>
              <w14:schemeClr w14:val="tx1"/>
            </w14:solidFill>
          </w14:textFill>
        </w:rPr>
        <w:t xml:space="preserve">.1.2 </w:t>
      </w:r>
      <w:r>
        <w:rPr>
          <w:rFonts w:hint="eastAsia" w:hAnsi="宋体" w:cs="宋体"/>
          <w:color w:val="000000" w:themeColor="text1"/>
          <w14:textFill>
            <w14:solidFill>
              <w14:schemeClr w14:val="tx1"/>
            </w14:solidFill>
          </w14:textFill>
        </w:rPr>
        <w:t>若无法直接认定产品或服务与非遗代表性项目相关，可由经营者提供相关材料，证明其非遗代表性传承人的身份，由文化主管部门进行资格审核。</w:t>
      </w:r>
    </w:p>
    <w:p>
      <w:pPr>
        <w:pStyle w:val="26"/>
        <w:widowControl/>
        <w:numPr>
          <w:ilvl w:val="0"/>
          <w:numId w:val="0"/>
        </w:numPr>
        <w:rPr>
          <w:rFonts w:hAnsi="宋体" w:cs="宋体"/>
          <w:color w:val="000000" w:themeColor="text1"/>
          <w14:textFill>
            <w14:solidFill>
              <w14:schemeClr w14:val="tx1"/>
            </w14:solidFill>
          </w14:textFill>
        </w:rPr>
      </w:pPr>
    </w:p>
    <w:p>
      <w:pPr>
        <w:pStyle w:val="26"/>
        <w:widowControl/>
        <w:numPr>
          <w:ilvl w:val="0"/>
          <w:numId w:val="0"/>
        </w:numPr>
        <w:rPr>
          <w:rFonts w:hAnsi="宋体" w:cs="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8</w:t>
      </w:r>
      <w:r>
        <w:rPr>
          <w:rFonts w:ascii="黑体" w:hAnsi="黑体" w:eastAsia="黑体" w:cs="黑体"/>
          <w:color w:val="000000" w:themeColor="text1"/>
          <w14:textFill>
            <w14:solidFill>
              <w14:schemeClr w14:val="tx1"/>
            </w14:solidFill>
          </w14:textFill>
        </w:rPr>
        <w:t xml:space="preserve">.1.3 </w:t>
      </w:r>
      <w:r>
        <w:rPr>
          <w:rFonts w:hint="eastAsia" w:hAnsi="宋体" w:cs="宋体"/>
          <w:color w:val="000000" w:themeColor="text1"/>
          <w14:textFill>
            <w14:solidFill>
              <w14:schemeClr w14:val="tx1"/>
            </w14:solidFill>
          </w14:textFill>
        </w:rPr>
        <w:t>非遗代表性项目保护单位可组织和统筹相关门店申请</w:t>
      </w:r>
      <w:bookmarkStart w:id="13" w:name="_Hlk49868916"/>
      <w:r>
        <w:rPr>
          <w:rFonts w:hint="eastAsia" w:hAnsi="宋体" w:cs="宋体"/>
          <w:color w:val="000000" w:themeColor="text1"/>
          <w14:textFill>
            <w14:solidFill>
              <w14:schemeClr w14:val="tx1"/>
            </w14:solidFill>
          </w14:textFill>
        </w:rPr>
        <w:t>，由文化主管部门进行资格审核</w:t>
      </w:r>
      <w:bookmarkEnd w:id="13"/>
      <w:r>
        <w:rPr>
          <w:rFonts w:hint="eastAsia" w:hAnsi="宋体" w:cs="宋体"/>
          <w:color w:val="000000" w:themeColor="text1"/>
          <w14:textFill>
            <w14:solidFill>
              <w14:schemeClr w14:val="tx1"/>
            </w14:solidFill>
          </w14:textFill>
        </w:rPr>
        <w:t>。</w:t>
      </w:r>
    </w:p>
    <w:p>
      <w:pPr>
        <w:pStyle w:val="26"/>
        <w:widowControl/>
        <w:numPr>
          <w:ilvl w:val="0"/>
          <w:numId w:val="0"/>
        </w:numPr>
        <w:rPr>
          <w:rFonts w:hAnsi="宋体" w:cs="宋体"/>
          <w:color w:val="000000" w:themeColor="text1"/>
          <w14:textFill>
            <w14:solidFill>
              <w14:schemeClr w14:val="tx1"/>
            </w14:solidFill>
          </w14:textFill>
        </w:rPr>
      </w:pPr>
    </w:p>
    <w:p>
      <w:pPr>
        <w:pStyle w:val="19"/>
        <w:spacing w:before="312" w:beforeLines="100" w:after="312" w:afterLines="100"/>
        <w:outlineLvl w:val="0"/>
        <w:rPr>
          <w:rFonts w:hAnsi="黑体" w:cs="黑体"/>
          <w:color w:val="000000" w:themeColor="text1"/>
          <w:szCs w:val="21"/>
          <w14:textFill>
            <w14:solidFill>
              <w14:schemeClr w14:val="tx1"/>
            </w14:solidFill>
          </w14:textFill>
        </w:rPr>
      </w:pPr>
      <w:bookmarkStart w:id="14" w:name="_Toc49938245"/>
      <w:r>
        <w:rPr>
          <w:rFonts w:hint="eastAsia" w:hAnsi="黑体" w:cs="黑体"/>
          <w:color w:val="000000" w:themeColor="text1"/>
          <w:szCs w:val="21"/>
          <w14:textFill>
            <w14:solidFill>
              <w14:schemeClr w14:val="tx1"/>
            </w14:solidFill>
          </w14:textFill>
        </w:rPr>
        <w:t>等级划分条件</w:t>
      </w:r>
      <w:bookmarkEnd w:id="14"/>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达标级门店</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经营状况</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a）门店经营一年以上；</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）合法经营，最近三年内无重大违法乱纪行为；</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c</w:t>
      </w:r>
      <w:r>
        <w:rPr>
          <w:rFonts w:hint="eastAsia" w:cs="Times New Roman"/>
          <w:color w:val="000000" w:themeColor="text1"/>
          <w:kern w:val="0"/>
          <w14:textFill>
            <w14:solidFill>
              <w14:schemeClr w14:val="tx1"/>
            </w14:solidFill>
          </w14:textFill>
        </w:rPr>
        <w:t>）符合国家消防、市监、公安、卫生、环保、税务、旅游、商务、知识产权等法律、法规和强制性标准的规定。</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经营环境</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a）门店选址合理，交通便利；</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）门店内标识设置合理、清晰；</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c</w:t>
      </w:r>
      <w:r>
        <w:rPr>
          <w:rFonts w:hint="eastAsia" w:cs="Times New Roman"/>
          <w:color w:val="000000" w:themeColor="text1"/>
          <w:kern w:val="0"/>
          <w14:textFill>
            <w14:solidFill>
              <w14:schemeClr w14:val="tx1"/>
            </w14:solidFill>
          </w14:textFill>
        </w:rPr>
        <w:t>）门店布局合理，营业面积2</w:t>
      </w:r>
      <w:r>
        <w:rPr>
          <w:rFonts w:cs="Times New Roman"/>
          <w:color w:val="000000" w:themeColor="text1"/>
          <w:kern w:val="0"/>
          <w14:textFill>
            <w14:solidFill>
              <w14:schemeClr w14:val="tx1"/>
            </w14:solidFill>
          </w14:textFill>
        </w:rPr>
        <w:t>0</w:t>
      </w:r>
      <w:r>
        <w:rPr>
          <w:rFonts w:hAnsi="宋体" w:cs="Times New Roman"/>
          <w:color w:val="000000" w:themeColor="text1"/>
          <w14:textFill>
            <w14:solidFill>
              <w14:schemeClr w14:val="tx1"/>
            </w14:solidFill>
          </w14:textFill>
        </w:rPr>
        <w:t>m</w:t>
      </w:r>
      <w:r>
        <w:rPr>
          <w:rFonts w:hAnsi="宋体" w:cs="Times New Roman"/>
          <w:color w:val="000000" w:themeColor="text1"/>
          <w:vertAlign w:val="superscript"/>
          <w14:textFill>
            <w14:solidFill>
              <w14:schemeClr w14:val="tx1"/>
            </w14:solidFill>
          </w14:textFill>
        </w:rPr>
        <w:t>2</w:t>
      </w:r>
      <w:r>
        <w:rPr>
          <w:rFonts w:hint="eastAsia" w:cs="Times New Roman"/>
          <w:color w:val="000000" w:themeColor="text1"/>
          <w:kern w:val="0"/>
          <w14:textFill>
            <w14:solidFill>
              <w14:schemeClr w14:val="tx1"/>
            </w14:solidFill>
          </w14:textFill>
        </w:rPr>
        <w:t>（含）以上。</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店面要求</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a）门店门窗、牌匾（招牌）、橱窗、广告、标志、店外照明和临街外墙装修应符合当地相关部门的要求；</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）门店牌匾（招牌）应醒目，牌匾、广告、标志用字应符合国家用字规范；</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c</w:t>
      </w:r>
      <w:r>
        <w:rPr>
          <w:rFonts w:hint="eastAsia" w:cs="Times New Roman"/>
          <w:color w:val="000000" w:themeColor="text1"/>
          <w:kern w:val="0"/>
          <w14:textFill>
            <w14:solidFill>
              <w14:schemeClr w14:val="tx1"/>
            </w14:solidFill>
          </w14:textFill>
        </w:rPr>
        <w:t>）门店内外所有凸出牌匾（招牌）、广告、标志均应安全牢固；</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d</w:t>
      </w:r>
      <w:r>
        <w:rPr>
          <w:rFonts w:hint="eastAsia" w:cs="Times New Roman"/>
          <w:color w:val="000000" w:themeColor="text1"/>
          <w:kern w:val="0"/>
          <w14:textFill>
            <w14:solidFill>
              <w14:schemeClr w14:val="tx1"/>
            </w14:solidFill>
          </w14:textFill>
        </w:rPr>
        <w:t>）门店内应有与该门店</w:t>
      </w:r>
      <w:r>
        <w:rPr>
          <w:rFonts w:hint="eastAsia" w:hAnsi="宋体"/>
          <w:color w:val="000000" w:themeColor="text1"/>
          <w14:textFill>
            <w14:solidFill>
              <w14:schemeClr w14:val="tx1"/>
            </w14:solidFill>
          </w14:textFill>
        </w:rPr>
        <w:t>售卖的产品或提供的服务相关非遗代表性项目的文字介绍</w:t>
      </w:r>
      <w:r>
        <w:rPr>
          <w:rFonts w:hint="eastAsia" w:cs="Times New Roman"/>
          <w:color w:val="000000" w:themeColor="text1"/>
          <w:kern w:val="0"/>
          <w14:textFill>
            <w14:solidFill>
              <w14:schemeClr w14:val="tx1"/>
            </w14:solidFill>
          </w14:textFill>
        </w:rPr>
        <w:t>。</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非遗特色</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a）门店非遗特色的创建范围至少覆盖门店牌匾（招牌）和墙面的其中一处；</w:t>
      </w:r>
    </w:p>
    <w:p>
      <w:pPr>
        <w:pStyle w:val="26"/>
        <w:widowControl/>
        <w:numPr>
          <w:ilvl w:val="0"/>
          <w:numId w:val="0"/>
        </w:numPr>
        <w:ind w:left="42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）近三年内，门店售卖的非遗产品或提供的非遗服务在当地社会有一定认知度和知名度。</w:t>
      </w:r>
    </w:p>
    <w:p>
      <w:pPr>
        <w:pStyle w:val="19"/>
        <w:numPr>
          <w:ilvl w:val="0"/>
          <w:numId w:val="0"/>
        </w:numPr>
        <w:rPr>
          <w:rFonts w:cs="Times New Roman"/>
          <w:color w:val="000000" w:themeColor="text1"/>
          <w:kern w:val="0"/>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银鼎级门店</w:t>
      </w:r>
    </w:p>
    <w:p>
      <w:pPr>
        <w:pStyle w:val="26"/>
        <w:widowControl/>
        <w:numPr>
          <w:ilvl w:val="2"/>
          <w:numId w:val="1"/>
        </w:numPr>
        <w:spacing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经营状况</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.1.1.</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）门店经营状况稳定，能实现年度财务计划指标。</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经营环境</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.1.2 a</w:t>
      </w:r>
      <w:r>
        <w:rPr>
          <w:rFonts w:hint="eastAsia" w:cs="Times New Roman"/>
          <w:color w:val="FF0000"/>
          <w:kern w:val="0"/>
        </w:rPr>
        <w:t>、b</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）门店布局合理，营业面积</w:t>
      </w:r>
      <w:r>
        <w:rPr>
          <w:rFonts w:cs="Times New Roman"/>
          <w:color w:val="000000" w:themeColor="text1"/>
          <w:kern w:val="0"/>
          <w14:textFill>
            <w14:solidFill>
              <w14:schemeClr w14:val="tx1"/>
            </w14:solidFill>
          </w14:textFill>
        </w:rPr>
        <w:t>50</w:t>
      </w:r>
      <w:r>
        <w:rPr>
          <w:rFonts w:hAnsi="宋体" w:cs="Times New Roman"/>
          <w:color w:val="000000" w:themeColor="text1"/>
          <w14:textFill>
            <w14:solidFill>
              <w14:schemeClr w14:val="tx1"/>
            </w14:solidFill>
          </w14:textFill>
        </w:rPr>
        <w:t>m</w:t>
      </w:r>
      <w:r>
        <w:rPr>
          <w:rFonts w:hAnsi="宋体" w:cs="Times New Roman"/>
          <w:color w:val="000000" w:themeColor="text1"/>
          <w:vertAlign w:val="superscript"/>
          <w14:textFill>
            <w14:solidFill>
              <w14:schemeClr w14:val="tx1"/>
            </w14:solidFill>
          </w14:textFill>
        </w:rPr>
        <w:t>2</w:t>
      </w:r>
      <w:r>
        <w:rPr>
          <w:rFonts w:hint="eastAsia" w:cs="Times New Roman"/>
          <w:color w:val="000000" w:themeColor="text1"/>
          <w:kern w:val="0"/>
          <w14:textFill>
            <w14:solidFill>
              <w14:schemeClr w14:val="tx1"/>
            </w14:solidFill>
          </w14:textFill>
        </w:rPr>
        <w:t>（含）以上。</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店面要求</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.1.3</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）有门店的设计方案（含门店视觉识别系统VI设计）和创建方案，能按方案有效实施。</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非遗特色</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a）门店非遗特色的创建范围覆盖门店匾牌（招牌）和墙面；</w:t>
      </w:r>
    </w:p>
    <w:p>
      <w:pPr>
        <w:pStyle w:val="26"/>
        <w:widowControl/>
        <w:numPr>
          <w:ilvl w:val="0"/>
          <w:numId w:val="0"/>
        </w:numPr>
        <w:ind w:left="42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）近三年内，门店售卖的非遗产品或提供的非遗服务在当地社会有较高认知度和知名度。</w:t>
      </w:r>
    </w:p>
    <w:p>
      <w:pPr>
        <w:pStyle w:val="19"/>
        <w:numPr>
          <w:ilvl w:val="0"/>
          <w:numId w:val="0"/>
        </w:numPr>
        <w:rPr>
          <w:color w:val="000000" w:themeColor="text1"/>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金鼎级门店</w:t>
      </w:r>
    </w:p>
    <w:p>
      <w:pPr>
        <w:pStyle w:val="26"/>
        <w:widowControl/>
        <w:numPr>
          <w:ilvl w:val="2"/>
          <w:numId w:val="1"/>
        </w:numPr>
        <w:spacing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经营状况</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.1.1.</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）门店经营状况良好，能超额实现年度财务计划指标。</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经营环境</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.1.2 a</w:t>
      </w:r>
      <w:r>
        <w:rPr>
          <w:rFonts w:hint="eastAsia" w:cs="Times New Roman"/>
          <w:color w:val="FF0000"/>
          <w:kern w:val="0"/>
        </w:rPr>
        <w:t>、b</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）门店布局合理，营业面积</w:t>
      </w:r>
      <w:r>
        <w:rPr>
          <w:rFonts w:cs="Times New Roman"/>
          <w:color w:val="000000" w:themeColor="text1"/>
          <w:kern w:val="0"/>
          <w14:textFill>
            <w14:solidFill>
              <w14:schemeClr w14:val="tx1"/>
            </w14:solidFill>
          </w14:textFill>
        </w:rPr>
        <w:t>100</w:t>
      </w:r>
      <w:r>
        <w:rPr>
          <w:rFonts w:hAnsi="宋体" w:cs="Times New Roman"/>
          <w:color w:val="000000" w:themeColor="text1"/>
          <w14:textFill>
            <w14:solidFill>
              <w14:schemeClr w14:val="tx1"/>
            </w14:solidFill>
          </w14:textFill>
        </w:rPr>
        <w:t>m</w:t>
      </w:r>
      <w:r>
        <w:rPr>
          <w:rFonts w:hAnsi="宋体" w:cs="Times New Roman"/>
          <w:color w:val="000000" w:themeColor="text1"/>
          <w:vertAlign w:val="superscript"/>
          <w14:textFill>
            <w14:solidFill>
              <w14:schemeClr w14:val="tx1"/>
            </w14:solidFill>
          </w14:textFill>
        </w:rPr>
        <w:t>2</w:t>
      </w:r>
      <w:r>
        <w:rPr>
          <w:rFonts w:hint="eastAsia" w:cs="Times New Roman"/>
          <w:color w:val="000000" w:themeColor="text1"/>
          <w:kern w:val="0"/>
          <w14:textFill>
            <w14:solidFill>
              <w14:schemeClr w14:val="tx1"/>
            </w14:solidFill>
          </w14:textFill>
        </w:rPr>
        <w:t>（含）以上。</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店面要求</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a）符合</w:t>
      </w:r>
      <w:r>
        <w:rPr>
          <w:rFonts w:hint="eastAsia" w:cs="Times New Roman"/>
          <w:color w:val="FF0000"/>
          <w:kern w:val="0"/>
          <w:lang w:val="en-US" w:eastAsia="zh-CN"/>
        </w:rPr>
        <w:t>9</w:t>
      </w:r>
      <w:r>
        <w:rPr>
          <w:rFonts w:cs="Times New Roman"/>
          <w:color w:val="FF0000"/>
          <w:kern w:val="0"/>
        </w:rPr>
        <w:t>.1.3</w:t>
      </w:r>
      <w:r>
        <w:rPr>
          <w:rFonts w:hint="eastAsia" w:cs="Times New Roman"/>
          <w:color w:val="000000" w:themeColor="text1"/>
          <w:kern w:val="0"/>
          <w14:textFill>
            <w14:solidFill>
              <w14:schemeClr w14:val="tx1"/>
            </w14:solidFill>
          </w14:textFill>
        </w:rPr>
        <w:t>的标准；</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b</w:t>
      </w:r>
      <w:r>
        <w:rPr>
          <w:rFonts w:hint="eastAsia" w:cs="Times New Roman"/>
          <w:color w:val="000000" w:themeColor="text1"/>
          <w:kern w:val="0"/>
          <w14:textFill>
            <w14:solidFill>
              <w14:schemeClr w14:val="tx1"/>
            </w14:solidFill>
          </w14:textFill>
        </w:rPr>
        <w:t>）有门店的设计方案（含门店视觉识别系统VI设计）和创建方案，严格按方案有效实施，具有示范参考价值。</w:t>
      </w:r>
    </w:p>
    <w:p>
      <w:pPr>
        <w:pStyle w:val="26"/>
        <w:widowControl/>
        <w:numPr>
          <w:ilvl w:val="0"/>
          <w:numId w:val="0"/>
        </w:numPr>
        <w:ind w:firstLine="420" w:firstLineChars="20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c</w:t>
      </w:r>
      <w:r>
        <w:rPr>
          <w:rFonts w:hint="eastAsia" w:cs="Times New Roman"/>
          <w:color w:val="000000" w:themeColor="text1"/>
          <w:kern w:val="0"/>
          <w14:textFill>
            <w14:solidFill>
              <w14:schemeClr w14:val="tx1"/>
            </w14:solidFill>
          </w14:textFill>
        </w:rPr>
        <w:t>）门店内应有与该门店</w:t>
      </w:r>
      <w:r>
        <w:rPr>
          <w:rFonts w:hint="eastAsia" w:hAnsi="宋体"/>
          <w:color w:val="000000" w:themeColor="text1"/>
          <w14:textFill>
            <w14:solidFill>
              <w14:schemeClr w14:val="tx1"/>
            </w14:solidFill>
          </w14:textFill>
        </w:rPr>
        <w:t>售卖的产品或提供的服务相关非遗项目的文字、图片和视频介绍</w:t>
      </w:r>
      <w:r>
        <w:rPr>
          <w:rFonts w:hint="eastAsia" w:cs="Times New Roman"/>
          <w:color w:val="000000" w:themeColor="text1"/>
          <w:kern w:val="0"/>
          <w14:textFill>
            <w14:solidFill>
              <w14:schemeClr w14:val="tx1"/>
            </w14:solidFill>
          </w14:textFill>
        </w:rPr>
        <w:t>。</w:t>
      </w:r>
    </w:p>
    <w:p>
      <w:pPr>
        <w:pStyle w:val="26"/>
        <w:widowControl/>
        <w:numPr>
          <w:ilvl w:val="2"/>
          <w:numId w:val="1"/>
        </w:numPr>
        <w:spacing w:before="156" w:beforeLines="50" w:after="156" w:afterLines="50"/>
        <w:ind w:left="0"/>
        <w:rPr>
          <w:rFonts w:ascii="Heiti SC Medium" w:hAnsi="Heiti SC Medium" w:eastAsia="Heiti SC Medium" w:cs="Times New Roman"/>
          <w:color w:val="000000" w:themeColor="text1"/>
          <w:kern w:val="0"/>
          <w14:textFill>
            <w14:solidFill>
              <w14:schemeClr w14:val="tx1"/>
            </w14:solidFill>
          </w14:textFill>
        </w:rPr>
      </w:pPr>
      <w:r>
        <w:rPr>
          <w:rFonts w:hint="eastAsia" w:ascii="Heiti SC Medium" w:hAnsi="Heiti SC Medium" w:eastAsia="Heiti SC Medium" w:cs="Times New Roman"/>
          <w:color w:val="000000" w:themeColor="text1"/>
          <w:kern w:val="0"/>
          <w14:textFill>
            <w14:solidFill>
              <w14:schemeClr w14:val="tx1"/>
            </w14:solidFill>
          </w14:textFill>
        </w:rPr>
        <w:t>非遗特色</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a）门店非遗特色的创建范围覆盖门店所有营业区域产品、服务，非遗特色鲜明、氛围浓厚；</w:t>
      </w:r>
    </w:p>
    <w:p>
      <w:pPr>
        <w:pStyle w:val="26"/>
        <w:widowControl/>
        <w:numPr>
          <w:ilvl w:val="0"/>
          <w:numId w:val="0"/>
        </w:numPr>
        <w:ind w:left="42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b）有明确的非遗形象门店市场定位和特色盈利模式设计方案，并取得较好效益；</w:t>
      </w:r>
    </w:p>
    <w:p>
      <w:pPr>
        <w:pStyle w:val="26"/>
        <w:widowControl/>
        <w:numPr>
          <w:ilvl w:val="0"/>
          <w:numId w:val="0"/>
        </w:numPr>
        <w:ind w:firstLine="420"/>
        <w:rPr>
          <w:rFonts w:cs="Times New Roman"/>
          <w:color w:val="000000" w:themeColor="text1"/>
          <w:kern w:val="0"/>
          <w14:textFill>
            <w14:solidFill>
              <w14:schemeClr w14:val="tx1"/>
            </w14:solidFill>
          </w14:textFill>
        </w:rPr>
      </w:pPr>
      <w:r>
        <w:rPr>
          <w:rFonts w:cs="Times New Roman"/>
          <w:color w:val="000000" w:themeColor="text1"/>
          <w:kern w:val="0"/>
          <w14:textFill>
            <w14:solidFill>
              <w14:schemeClr w14:val="tx1"/>
            </w14:solidFill>
          </w14:textFill>
        </w:rPr>
        <w:t>c</w:t>
      </w:r>
      <w:r>
        <w:rPr>
          <w:rFonts w:hint="eastAsia" w:cs="Times New Roman"/>
          <w:color w:val="000000" w:themeColor="text1"/>
          <w:kern w:val="0"/>
          <w14:textFill>
            <w14:solidFill>
              <w14:schemeClr w14:val="tx1"/>
            </w14:solidFill>
          </w14:textFill>
        </w:rPr>
        <w:t>）近三年内，门店售卖的非遗产品或提供的非遗服务在全国有一定认知度和知名度。</w:t>
      </w:r>
    </w:p>
    <w:p>
      <w:pPr>
        <w:pStyle w:val="19"/>
        <w:numPr>
          <w:ilvl w:val="0"/>
          <w:numId w:val="0"/>
        </w:numPr>
        <w:rPr>
          <w:color w:val="000000" w:themeColor="text1"/>
          <w14:textFill>
            <w14:solidFill>
              <w14:schemeClr w14:val="tx1"/>
            </w14:solidFill>
          </w14:textFill>
        </w:rPr>
      </w:pPr>
    </w:p>
    <w:p>
      <w:pPr>
        <w:pStyle w:val="19"/>
        <w:spacing w:before="312" w:beforeLines="100" w:after="312" w:afterLines="100"/>
        <w:outlineLvl w:val="0"/>
        <w:rPr>
          <w:rFonts w:hAnsi="黑体" w:cs="黑体"/>
          <w:color w:val="000000" w:themeColor="text1"/>
          <w:szCs w:val="21"/>
          <w14:textFill>
            <w14:solidFill>
              <w14:schemeClr w14:val="tx1"/>
            </w14:solidFill>
          </w14:textFill>
        </w:rPr>
      </w:pPr>
      <w:bookmarkStart w:id="15" w:name="_Toc49938246"/>
      <w:r>
        <w:rPr>
          <w:rFonts w:hint="eastAsia" w:hAnsi="黑体" w:cs="黑体"/>
          <w:color w:val="000000" w:themeColor="text1"/>
          <w:szCs w:val="21"/>
          <w14:textFill>
            <w14:solidFill>
              <w14:schemeClr w14:val="tx1"/>
            </w14:solidFill>
          </w14:textFill>
        </w:rPr>
        <w:t>特色要求</w:t>
      </w:r>
      <w:bookmarkEnd w:id="15"/>
    </w:p>
    <w:p>
      <w:pPr>
        <w:pStyle w:val="19"/>
        <w:numPr>
          <w:ilvl w:val="0"/>
          <w:numId w:val="0"/>
        </w:numPr>
        <w:rPr>
          <w:color w:val="000000" w:themeColor="text1"/>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门店外观要求</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门店的建筑、装修、软装饰等应符合其所提供的产品或服务的风格，整体氛围需体现非遗特色。</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门店的灯光设计、背景音乐与门店的整体风格相融合。</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在门店的橱柜、展架及细节装饰上，有专门设计的体现门店特色的视觉识别系统。</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门店员工服饰设计体现门店非遗特色。</w:t>
      </w:r>
    </w:p>
    <w:p>
      <w:pPr>
        <w:pStyle w:val="19"/>
        <w:numPr>
          <w:ilvl w:val="0"/>
          <w:numId w:val="0"/>
        </w:numPr>
        <w:rPr>
          <w:rFonts w:hAnsi="宋体" w:cs="宋体"/>
          <w:color w:val="000000" w:themeColor="text1"/>
          <w:kern w:val="0"/>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产品特色要求</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门店所提供的非遗产品或服务达到经营内容的5</w:t>
      </w:r>
      <w:r>
        <w:rPr>
          <w:rFonts w:hAnsi="宋体" w:cs="宋体"/>
          <w:color w:val="000000" w:themeColor="text1"/>
          <w:kern w:val="0"/>
          <w14:textFill>
            <w14:solidFill>
              <w14:schemeClr w14:val="tx1"/>
            </w14:solidFill>
          </w14:textFill>
        </w:rPr>
        <w:t>0%</w:t>
      </w:r>
      <w:r>
        <w:rPr>
          <w:rFonts w:hint="eastAsia" w:hAnsi="宋体" w:cs="宋体"/>
          <w:color w:val="000000" w:themeColor="text1"/>
          <w:kern w:val="0"/>
          <w14:textFill>
            <w14:solidFill>
              <w14:schemeClr w14:val="tx1"/>
            </w14:solidFill>
          </w14:textFill>
        </w:rPr>
        <w:t>（含）以上。</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有自有品牌。自有品牌应注册独立商标、体现非遗特色。</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在门店提供的相应产品或服务旁应配套提供相关的非遗代表性项目介绍。</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产品包装等具有非遗特色，且不同系列具有视觉统一性。</w:t>
      </w:r>
    </w:p>
    <w:p>
      <w:pPr>
        <w:pStyle w:val="19"/>
        <w:numPr>
          <w:ilvl w:val="0"/>
          <w:numId w:val="0"/>
        </w:numPr>
        <w:rPr>
          <w:rFonts w:hAnsi="宋体" w:cs="宋体"/>
          <w:color w:val="000000" w:themeColor="text1"/>
          <w:kern w:val="0"/>
          <w14:textFill>
            <w14:solidFill>
              <w14:schemeClr w14:val="tx1"/>
            </w14:solidFill>
          </w14:textFill>
        </w:rPr>
      </w:pPr>
    </w:p>
    <w:p>
      <w:pPr>
        <w:pStyle w:val="21"/>
        <w:spacing w:before="156" w:beforeLines="50" w:after="156" w:afterLines="50"/>
        <w:ind w:left="0"/>
        <w:rPr>
          <w:rFonts w:hAnsi="黑体" w:cs="黑体"/>
          <w:color w:val="000000" w:themeColor="text1"/>
          <w:kern w:val="0"/>
          <w14:textFill>
            <w14:solidFill>
              <w14:schemeClr w14:val="tx1"/>
            </w14:solidFill>
          </w14:textFill>
        </w:rPr>
      </w:pPr>
      <w:r>
        <w:rPr>
          <w:rFonts w:hint="eastAsia" w:hAnsi="黑体" w:cs="黑体"/>
          <w:color w:val="000000" w:themeColor="text1"/>
          <w:kern w:val="0"/>
          <w14:textFill>
            <w14:solidFill>
              <w14:schemeClr w14:val="tx1"/>
            </w14:solidFill>
          </w14:textFill>
        </w:rPr>
        <w:t>服务特色要求</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门店应具备清晰的引导标识和完善的配套设施。</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门店的相关服务人员应具备专业素养，上岗前参与统一培训。</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门店应定期组织开展非遗相关主题的宣传活动和营销活动，有效利用各类媒体和渠道宣传推广非遗代表性项目。</w:t>
      </w:r>
    </w:p>
    <w:p>
      <w:pPr>
        <w:pStyle w:val="26"/>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鼓励门店提供非遗相关工艺技艺、生产场景的展示，提升消费体验。</w:t>
      </w:r>
    </w:p>
    <w:p>
      <w:pPr>
        <w:pStyle w:val="19"/>
        <w:numPr>
          <w:ilvl w:val="0"/>
          <w:numId w:val="0"/>
        </w:numPr>
        <w:rPr>
          <w:color w:val="000000" w:themeColor="text1"/>
          <w14:textFill>
            <w14:solidFill>
              <w14:schemeClr w14:val="tx1"/>
            </w14:solidFill>
          </w14:textFill>
        </w:rPr>
      </w:pPr>
    </w:p>
    <w:p>
      <w:pPr>
        <w:pStyle w:val="19"/>
        <w:spacing w:before="312" w:beforeLines="100" w:after="312" w:afterLines="100"/>
        <w:outlineLvl w:val="0"/>
        <w:rPr>
          <w:rFonts w:hAnsi="黑体" w:cs="黑体"/>
          <w:color w:val="000000" w:themeColor="text1"/>
          <w14:textFill>
            <w14:solidFill>
              <w14:schemeClr w14:val="tx1"/>
            </w14:solidFill>
          </w14:textFill>
        </w:rPr>
      </w:pPr>
      <w:bookmarkStart w:id="16" w:name="_Toc49938247"/>
      <w:r>
        <w:rPr>
          <w:rFonts w:hint="eastAsia" w:hAnsi="黑体" w:cs="黑体"/>
          <w:color w:val="000000" w:themeColor="text1"/>
          <w14:textFill>
            <w14:solidFill>
              <w14:schemeClr w14:val="tx1"/>
            </w14:solidFill>
          </w14:textFill>
        </w:rPr>
        <w:t>等级评定</w:t>
      </w:r>
      <w:bookmarkEnd w:id="16"/>
    </w:p>
    <w:p>
      <w:pPr>
        <w:pStyle w:val="21"/>
        <w:ind w:left="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非遗形象门店的等级评定分“必备要求”、“等级划分条件”和“特色要求”，“必备要求”必须达标，按照“等级划分条件”进行检查，“特色要求”按门店达标程度进行评分。</w:t>
      </w:r>
    </w:p>
    <w:p>
      <w:pPr>
        <w:pStyle w:val="21"/>
        <w:ind w:left="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“达标级门店”：“必备要求”按</w:t>
      </w:r>
      <w:r>
        <w:rPr>
          <w:rFonts w:asciiTheme="minorEastAsia" w:hAnsiTheme="minorEastAsia" w:eastAsiaTheme="minorEastAsia"/>
          <w:color w:val="000000" w:themeColor="text1"/>
          <w14:textFill>
            <w14:solidFill>
              <w14:schemeClr w14:val="tx1"/>
            </w14:solidFill>
          </w14:textFill>
        </w:rPr>
        <w:t>9.1</w:t>
      </w:r>
      <w:r>
        <w:rPr>
          <w:rFonts w:hint="eastAsia" w:asciiTheme="minorEastAsia" w:hAnsiTheme="minorEastAsia" w:eastAsiaTheme="minorEastAsia"/>
          <w:color w:val="000000" w:themeColor="text1"/>
          <w14:textFill>
            <w14:solidFill>
              <w14:schemeClr w14:val="tx1"/>
            </w14:solidFill>
          </w14:textFill>
        </w:rPr>
        <w:t>项目进行检查，各项达标后方可进入“特色要求”评分。</w:t>
      </w:r>
    </w:p>
    <w:p>
      <w:pPr>
        <w:pStyle w:val="21"/>
        <w:ind w:left="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“银鼎级门店”：“必备要求”按</w:t>
      </w:r>
      <w:r>
        <w:rPr>
          <w:rFonts w:asciiTheme="minorEastAsia" w:hAnsiTheme="minorEastAsia" w:eastAsiaTheme="minorEastAsia"/>
          <w:color w:val="000000" w:themeColor="text1"/>
          <w14:textFill>
            <w14:solidFill>
              <w14:schemeClr w14:val="tx1"/>
            </w14:solidFill>
          </w14:textFill>
        </w:rPr>
        <w:t>9.2</w:t>
      </w:r>
      <w:r>
        <w:rPr>
          <w:rFonts w:hint="eastAsia" w:asciiTheme="minorEastAsia" w:hAnsiTheme="minorEastAsia" w:eastAsiaTheme="minorEastAsia"/>
          <w:color w:val="000000" w:themeColor="text1"/>
          <w14:textFill>
            <w14:solidFill>
              <w14:schemeClr w14:val="tx1"/>
            </w14:solidFill>
          </w14:textFill>
        </w:rPr>
        <w:t>项目进行检查，各项达标后方可进入“特色要求”评分。</w:t>
      </w:r>
    </w:p>
    <w:p>
      <w:pPr>
        <w:pStyle w:val="21"/>
        <w:ind w:left="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“金鼎级门店”：“必备要求”按</w:t>
      </w:r>
      <w:r>
        <w:rPr>
          <w:rFonts w:asciiTheme="minorEastAsia" w:hAnsiTheme="minorEastAsia" w:eastAsiaTheme="minorEastAsia"/>
          <w:color w:val="000000" w:themeColor="text1"/>
          <w14:textFill>
            <w14:solidFill>
              <w14:schemeClr w14:val="tx1"/>
            </w14:solidFill>
          </w14:textFill>
        </w:rPr>
        <w:t>9.3</w:t>
      </w:r>
      <w:r>
        <w:rPr>
          <w:rFonts w:hint="eastAsia" w:asciiTheme="minorEastAsia" w:hAnsiTheme="minorEastAsia" w:eastAsiaTheme="minorEastAsia"/>
          <w:color w:val="000000" w:themeColor="text1"/>
          <w14:textFill>
            <w14:solidFill>
              <w14:schemeClr w14:val="tx1"/>
            </w14:solidFill>
          </w14:textFill>
        </w:rPr>
        <w:t>项目进行检查，各项达标后方可进入“特色要求”评分。</w:t>
      </w:r>
    </w:p>
    <w:sectPr>
      <w:footerReference r:id="rId5"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Heiti SC Medium">
    <w:altName w:val="宋体"/>
    <w:panose1 w:val="00000000000000000000"/>
    <w:charset w:val="80"/>
    <w:family w:val="auto"/>
    <w:pitch w:val="default"/>
    <w:sig w:usb0="00000000" w:usb1="00000000" w:usb2="00000010" w:usb3="00000000" w:csb0="003E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Arial"/>
    <w:panose1 w:val="020B0604020202020204"/>
    <w:charset w:val="80"/>
    <w:family w:val="auto"/>
    <w:pitch w:val="default"/>
    <w:sig w:usb0="00000000" w:usb1="00000000" w:usb2="0000003F" w:usb3="00000000" w:csb0="603F01FF" w:csb1="FFFF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1">
    <w:nsid w:val="435C5AD1"/>
    <w:multiLevelType w:val="multilevel"/>
    <w:tmpl w:val="435C5AD1"/>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420" w:firstLine="0"/>
      </w:pPr>
      <w:rPr>
        <w:rFonts w:hint="eastAsia" w:ascii="黑体" w:hAnsi="Times New Roman" w:eastAsia="黑体"/>
        <w:b w:val="0"/>
        <w:i w:val="0"/>
        <w:sz w:val="21"/>
      </w:rPr>
    </w:lvl>
    <w:lvl w:ilvl="3" w:tentative="0">
      <w:start w:val="1"/>
      <w:numFmt w:val="decimal"/>
      <w:suff w:val="nothing"/>
      <w:lvlText w:val="%1.%2.%3.%4　"/>
      <w:lvlJc w:val="left"/>
      <w:pPr>
        <w:ind w:left="9782" w:firstLine="0"/>
      </w:pPr>
      <w:rPr>
        <w:rFonts w:hint="eastAsia" w:ascii="黑体" w:hAnsi="Times New Roman" w:eastAsia="黑体"/>
        <w:b w:val="0"/>
        <w:i w:val="0"/>
        <w:sz w:val="21"/>
      </w:rPr>
    </w:lvl>
    <w:lvl w:ilvl="4" w:tentative="0">
      <w:start w:val="1"/>
      <w:numFmt w:val="decimal"/>
      <w:suff w:val="nothing"/>
      <w:lvlText w:val="%1.%2.%3.%4.%5　"/>
      <w:lvlJc w:val="left"/>
      <w:pPr>
        <w:ind w:left="420" w:firstLine="0"/>
      </w:pPr>
      <w:rPr>
        <w:rFonts w:hint="eastAsia" w:ascii="黑体" w:hAnsi="Times New Roman" w:eastAsia="黑体"/>
        <w:b w:val="0"/>
        <w:i w:val="0"/>
        <w:sz w:val="21"/>
      </w:rPr>
    </w:lvl>
    <w:lvl w:ilvl="5" w:tentative="0">
      <w:start w:val="1"/>
      <w:numFmt w:val="decimal"/>
      <w:suff w:val="nothing"/>
      <w:lvlText w:val="%1.%2.%3.%4.%5.%6　"/>
      <w:lvlJc w:val="left"/>
      <w:pPr>
        <w:ind w:left="420" w:firstLine="0"/>
      </w:pPr>
      <w:rPr>
        <w:rFonts w:hint="eastAsia" w:ascii="黑体" w:hAnsi="Times New Roman" w:eastAsia="黑体"/>
        <w:b w:val="0"/>
        <w:i w:val="0"/>
        <w:sz w:val="21"/>
      </w:rPr>
    </w:lvl>
    <w:lvl w:ilvl="6" w:tentative="0">
      <w:start w:val="1"/>
      <w:numFmt w:val="decimal"/>
      <w:suff w:val="nothing"/>
      <w:lvlText w:val="%1%2.%3.%4.%5.%6.%7　"/>
      <w:lvlJc w:val="left"/>
      <w:pPr>
        <w:ind w:left="420" w:firstLine="0"/>
      </w:pPr>
      <w:rPr>
        <w:rFonts w:hint="eastAsia" w:ascii="黑体" w:hAnsi="Times New Roman" w:eastAsia="黑体"/>
        <w:b w:val="0"/>
        <w:i w:val="0"/>
        <w:sz w:val="21"/>
      </w:rPr>
    </w:lvl>
    <w:lvl w:ilvl="7" w:tentative="0">
      <w:start w:val="1"/>
      <w:numFmt w:val="decimal"/>
      <w:lvlText w:val="%1.%2.%3.%4.%5.%6.%7.%8"/>
      <w:lvlJc w:val="left"/>
      <w:pPr>
        <w:tabs>
          <w:tab w:val="left" w:pos="4771"/>
        </w:tabs>
        <w:ind w:left="420" w:firstLine="0"/>
      </w:pPr>
      <w:rPr>
        <w:rFonts w:hint="eastAsia"/>
      </w:rPr>
    </w:lvl>
    <w:lvl w:ilvl="8" w:tentative="0">
      <w:start w:val="1"/>
      <w:numFmt w:val="decimal"/>
      <w:lvlText w:val="%1.%2.%3.%4.%5.%6.%7.%8.%9"/>
      <w:lvlJc w:val="left"/>
      <w:pPr>
        <w:tabs>
          <w:tab w:val="left" w:pos="5197"/>
        </w:tabs>
        <w:ind w:left="420" w:firstLine="0"/>
      </w:pPr>
      <w:rPr>
        <w:rFonts w:hint="eastAsia"/>
      </w:rPr>
    </w:lvl>
  </w:abstractNum>
  <w:abstractNum w:abstractNumId="2">
    <w:nsid w:val="6A617D8C"/>
    <w:multiLevelType w:val="multilevel"/>
    <w:tmpl w:val="6A617D8C"/>
    <w:lvl w:ilvl="0" w:tentative="0">
      <w:start w:val="1"/>
      <w:numFmt w:val="lowerLetter"/>
      <w:pStyle w:val="28"/>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default" w:ascii="宋体" w:hAnsi="宋体" w:eastAsia="宋体" w:cs="宋体"/>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5C2284"/>
    <w:rsid w:val="00003872"/>
    <w:rsid w:val="00014781"/>
    <w:rsid w:val="000329E9"/>
    <w:rsid w:val="00054E8A"/>
    <w:rsid w:val="000673FE"/>
    <w:rsid w:val="00101E8B"/>
    <w:rsid w:val="00102E39"/>
    <w:rsid w:val="00196656"/>
    <w:rsid w:val="0020152F"/>
    <w:rsid w:val="00262B64"/>
    <w:rsid w:val="0029779F"/>
    <w:rsid w:val="002C3512"/>
    <w:rsid w:val="002F39A6"/>
    <w:rsid w:val="00305366"/>
    <w:rsid w:val="00326A97"/>
    <w:rsid w:val="0035111D"/>
    <w:rsid w:val="003A525F"/>
    <w:rsid w:val="003B35C9"/>
    <w:rsid w:val="003E2C04"/>
    <w:rsid w:val="004176F7"/>
    <w:rsid w:val="00445230"/>
    <w:rsid w:val="005341B7"/>
    <w:rsid w:val="005A5F0F"/>
    <w:rsid w:val="005C489E"/>
    <w:rsid w:val="005F2619"/>
    <w:rsid w:val="0065233E"/>
    <w:rsid w:val="00686251"/>
    <w:rsid w:val="006972A2"/>
    <w:rsid w:val="00704F74"/>
    <w:rsid w:val="0073617C"/>
    <w:rsid w:val="00784D87"/>
    <w:rsid w:val="007B3D1C"/>
    <w:rsid w:val="007D50CD"/>
    <w:rsid w:val="007F74AE"/>
    <w:rsid w:val="00840946"/>
    <w:rsid w:val="00846620"/>
    <w:rsid w:val="008617D9"/>
    <w:rsid w:val="008621EF"/>
    <w:rsid w:val="0087539F"/>
    <w:rsid w:val="00877F1D"/>
    <w:rsid w:val="008C5744"/>
    <w:rsid w:val="009C0FED"/>
    <w:rsid w:val="00A00802"/>
    <w:rsid w:val="00A26532"/>
    <w:rsid w:val="00AB600D"/>
    <w:rsid w:val="00AE0796"/>
    <w:rsid w:val="00AE1832"/>
    <w:rsid w:val="00BE60DE"/>
    <w:rsid w:val="00C0501E"/>
    <w:rsid w:val="00C618B0"/>
    <w:rsid w:val="00C71AAB"/>
    <w:rsid w:val="00C93DA9"/>
    <w:rsid w:val="00CC2A83"/>
    <w:rsid w:val="00D25A52"/>
    <w:rsid w:val="00D77E29"/>
    <w:rsid w:val="00DC79B9"/>
    <w:rsid w:val="00EF72FA"/>
    <w:rsid w:val="00F30B5E"/>
    <w:rsid w:val="00F6004A"/>
    <w:rsid w:val="0182771E"/>
    <w:rsid w:val="0A5658EC"/>
    <w:rsid w:val="0C315C57"/>
    <w:rsid w:val="1A9E30FA"/>
    <w:rsid w:val="1AD319BB"/>
    <w:rsid w:val="1AF82CDA"/>
    <w:rsid w:val="1F6F6EA9"/>
    <w:rsid w:val="22312951"/>
    <w:rsid w:val="27AB04CD"/>
    <w:rsid w:val="2A421CFC"/>
    <w:rsid w:val="3D98772D"/>
    <w:rsid w:val="3DEC49D5"/>
    <w:rsid w:val="414D6B97"/>
    <w:rsid w:val="49B56F0C"/>
    <w:rsid w:val="4A541212"/>
    <w:rsid w:val="50B226A0"/>
    <w:rsid w:val="555C2284"/>
    <w:rsid w:val="58FA000A"/>
    <w:rsid w:val="5C4765C3"/>
    <w:rsid w:val="61A25E32"/>
    <w:rsid w:val="624B3040"/>
    <w:rsid w:val="66307901"/>
    <w:rsid w:val="67B1100A"/>
    <w:rsid w:val="6A3F10F8"/>
    <w:rsid w:val="6C2C2F69"/>
    <w:rsid w:val="6C733770"/>
    <w:rsid w:val="706852A0"/>
    <w:rsid w:val="749D121B"/>
    <w:rsid w:val="76D75B30"/>
    <w:rsid w:val="7993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after="290" w:line="372" w:lineRule="auto"/>
      <w:outlineLvl w:val="4"/>
    </w:pPr>
    <w:rPr>
      <w:b/>
      <w:sz w:val="28"/>
    </w:rPr>
  </w:style>
  <w:style w:type="paragraph" w:styleId="4">
    <w:name w:val="heading 6"/>
    <w:basedOn w:val="1"/>
    <w:next w:val="1"/>
    <w:link w:val="31"/>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rPr>
      <w:b/>
      <w:bCs/>
    </w:rPr>
  </w:style>
  <w:style w:type="paragraph" w:styleId="6">
    <w:name w:val="annotation text"/>
    <w:basedOn w:val="1"/>
    <w:link w:val="50"/>
    <w:qFormat/>
    <w:uiPriority w:val="0"/>
    <w:pPr>
      <w:jc w:val="left"/>
    </w:pPr>
  </w:style>
  <w:style w:type="paragraph" w:styleId="7">
    <w:name w:val="Body Text"/>
    <w:basedOn w:val="1"/>
    <w:qFormat/>
    <w:uiPriority w:val="1"/>
    <w:rPr>
      <w:rFonts w:ascii="宋体" w:hAnsi="宋体" w:eastAsia="宋体" w:cs="宋体"/>
      <w:szCs w:val="21"/>
      <w:lang w:val="zh-CN" w:bidi="zh-CN"/>
    </w:rPr>
  </w:style>
  <w:style w:type="paragraph" w:styleId="8">
    <w:name w:val="toc 3"/>
    <w:basedOn w:val="1"/>
    <w:next w:val="1"/>
    <w:qFormat/>
    <w:uiPriority w:val="0"/>
    <w:pPr>
      <w:ind w:left="840" w:leftChars="400"/>
    </w:pPr>
  </w:style>
  <w:style w:type="paragraph" w:styleId="9">
    <w:name w:val="Balloon Text"/>
    <w:basedOn w:val="1"/>
    <w:link w:val="52"/>
    <w:qFormat/>
    <w:uiPriority w:val="0"/>
    <w:rPr>
      <w:sz w:val="18"/>
      <w:szCs w:val="18"/>
    </w:rPr>
  </w:style>
  <w:style w:type="paragraph" w:styleId="10">
    <w:name w:val="footer"/>
    <w:basedOn w:val="1"/>
    <w:qFormat/>
    <w:uiPriority w:val="0"/>
    <w:pPr>
      <w:snapToGrid w:val="0"/>
      <w:ind w:right="210" w:rightChars="100"/>
      <w:jc w:val="righ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character" w:styleId="15">
    <w:name w:val="Hyperlink"/>
    <w:basedOn w:val="14"/>
    <w:qFormat/>
    <w:uiPriority w:val="99"/>
    <w:rPr>
      <w:color w:val="0000FF"/>
      <w:u w:val="single"/>
    </w:rPr>
  </w:style>
  <w:style w:type="character" w:styleId="16">
    <w:name w:val="annotation reference"/>
    <w:basedOn w:val="14"/>
    <w:qFormat/>
    <w:uiPriority w:val="0"/>
    <w:rPr>
      <w:sz w:val="21"/>
      <w:szCs w:val="21"/>
    </w:rPr>
  </w:style>
  <w:style w:type="paragraph" w:customStyle="1" w:styleId="18">
    <w:name w:val="List Paragraph"/>
    <w:basedOn w:val="1"/>
    <w:qFormat/>
    <w:uiPriority w:val="34"/>
    <w:pPr>
      <w:ind w:firstLine="420" w:firstLineChars="200"/>
    </w:pPr>
  </w:style>
  <w:style w:type="paragraph" w:customStyle="1" w:styleId="19">
    <w:name w:val="章标题"/>
    <w:basedOn w:val="1"/>
    <w:next w:val="20"/>
    <w:qFormat/>
    <w:uiPriority w:val="0"/>
    <w:pPr>
      <w:numPr>
        <w:ilvl w:val="0"/>
        <w:numId w:val="1"/>
      </w:numPr>
    </w:pPr>
    <w:rPr>
      <w:rFonts w:ascii="黑体" w:eastAsia="黑体"/>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一级条标题"/>
    <w:basedOn w:val="1"/>
    <w:next w:val="20"/>
    <w:qFormat/>
    <w:uiPriority w:val="0"/>
    <w:pPr>
      <w:numPr>
        <w:ilvl w:val="1"/>
        <w:numId w:val="1"/>
      </w:numPr>
    </w:pPr>
    <w:rPr>
      <w:rFonts w:ascii="黑体" w:eastAsia="黑体"/>
      <w:szCs w:val="21"/>
    </w:rPr>
  </w:style>
  <w:style w:type="paragraph" w:customStyle="1" w:styleId="2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
    <w:name w:val="标准书眉_偶数页"/>
    <w:basedOn w:val="22"/>
    <w:next w:val="1"/>
    <w:qFormat/>
    <w:uiPriority w:val="0"/>
    <w:pPr>
      <w:jc w:val="left"/>
    </w:pPr>
  </w:style>
  <w:style w:type="paragraph" w:customStyle="1" w:styleId="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6">
    <w:name w:val="二级无"/>
    <w:basedOn w:val="27"/>
    <w:qFormat/>
    <w:uiPriority w:val="0"/>
    <w:pPr>
      <w:spacing w:before="0" w:after="0"/>
    </w:pPr>
    <w:rPr>
      <w:rFonts w:ascii="宋体" w:eastAsia="宋体"/>
    </w:rPr>
  </w:style>
  <w:style w:type="paragraph" w:customStyle="1" w:styleId="27">
    <w:name w:val="二级条标题"/>
    <w:basedOn w:val="21"/>
    <w:next w:val="20"/>
    <w:qFormat/>
    <w:uiPriority w:val="0"/>
    <w:pPr>
      <w:numPr>
        <w:ilvl w:val="2"/>
        <w:numId w:val="2"/>
      </w:numPr>
      <w:spacing w:before="50" w:after="50"/>
      <w:outlineLvl w:val="3"/>
    </w:pPr>
  </w:style>
  <w:style w:type="paragraph" w:customStyle="1" w:styleId="28">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29">
    <w:name w:val="一级无"/>
    <w:basedOn w:val="21"/>
    <w:qFormat/>
    <w:uiPriority w:val="0"/>
    <w:rPr>
      <w:rFonts w:ascii="宋体" w:eastAsia="宋体"/>
    </w:rPr>
  </w:style>
  <w:style w:type="paragraph" w:customStyle="1" w:styleId="30">
    <w:name w:val="样式1"/>
    <w:basedOn w:val="26"/>
    <w:next w:val="28"/>
    <w:qFormat/>
    <w:uiPriority w:val="0"/>
    <w:rPr>
      <w:rFonts w:hAnsi="宋体"/>
    </w:rPr>
  </w:style>
  <w:style w:type="character" w:customStyle="1" w:styleId="31">
    <w:name w:val="标题 6 字符"/>
    <w:basedOn w:val="14"/>
    <w:link w:val="4"/>
    <w:qFormat/>
    <w:uiPriority w:val="0"/>
    <w:rPr>
      <w:rFonts w:asciiTheme="majorHAnsi" w:hAnsiTheme="majorHAnsi" w:eastAsiaTheme="majorEastAsia" w:cstheme="majorBidi"/>
      <w:b/>
      <w:bCs/>
      <w:kern w:val="2"/>
      <w:sz w:val="24"/>
      <w:szCs w:val="24"/>
    </w:rPr>
  </w:style>
  <w:style w:type="paragraph" w:customStyle="1" w:styleId="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3">
    <w:name w:val="其他标准标志"/>
    <w:basedOn w:val="34"/>
    <w:qFormat/>
    <w:uiPriority w:val="0"/>
    <w:pPr>
      <w:framePr w:w="6101" w:vAnchor="page" w:hAnchor="page" w:x="4673" w:y="942"/>
    </w:pPr>
    <w:rPr>
      <w:w w:val="130"/>
    </w:rPr>
  </w:style>
  <w:style w:type="paragraph" w:customStyle="1" w:styleId="3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9">
    <w:name w:val="封面标准英文名称"/>
    <w:basedOn w:val="38"/>
    <w:qFormat/>
    <w:uiPriority w:val="0"/>
    <w:pPr>
      <w:spacing w:before="370" w:line="400" w:lineRule="exact"/>
    </w:pPr>
    <w:rPr>
      <w:rFonts w:ascii="Times New Roman"/>
      <w:sz w:val="28"/>
      <w:szCs w:val="28"/>
    </w:rPr>
  </w:style>
  <w:style w:type="paragraph" w:customStyle="1" w:styleId="40">
    <w:name w:val="封面一致性程度标识"/>
    <w:basedOn w:val="39"/>
    <w:qFormat/>
    <w:uiPriority w:val="0"/>
    <w:pPr>
      <w:spacing w:before="440"/>
    </w:pPr>
    <w:rPr>
      <w:rFonts w:ascii="宋体" w:eastAsia="宋体"/>
    </w:rPr>
  </w:style>
  <w:style w:type="paragraph" w:customStyle="1" w:styleId="41">
    <w:name w:val="封面标准文稿类别"/>
    <w:basedOn w:val="40"/>
    <w:qFormat/>
    <w:uiPriority w:val="0"/>
    <w:pPr>
      <w:spacing w:after="160" w:line="240" w:lineRule="auto"/>
    </w:pPr>
    <w:rPr>
      <w:sz w:val="24"/>
    </w:rPr>
  </w:style>
  <w:style w:type="paragraph" w:customStyle="1" w:styleId="42">
    <w:name w:val="封面标准文稿编辑信息"/>
    <w:basedOn w:val="41"/>
    <w:qFormat/>
    <w:uiPriority w:val="0"/>
    <w:pPr>
      <w:spacing w:before="180" w:line="180" w:lineRule="exact"/>
    </w:pPr>
    <w:rPr>
      <w:sz w:val="21"/>
    </w:rPr>
  </w:style>
  <w:style w:type="paragraph" w:customStyle="1" w:styleId="43">
    <w:name w:val="其他发布日期"/>
    <w:basedOn w:val="44"/>
    <w:qFormat/>
    <w:uiPriority w:val="0"/>
    <w:pPr>
      <w:framePr w:vAnchor="page" w:hAnchor="text" w:x="1419"/>
    </w:pPr>
  </w:style>
  <w:style w:type="paragraph" w:customStyle="1" w:styleId="4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5">
    <w:name w:val="其他实施日期"/>
    <w:basedOn w:val="46"/>
    <w:qFormat/>
    <w:uiPriority w:val="0"/>
  </w:style>
  <w:style w:type="paragraph" w:customStyle="1" w:styleId="46">
    <w:name w:val="实施日期"/>
    <w:basedOn w:val="44"/>
    <w:qFormat/>
    <w:uiPriority w:val="0"/>
    <w:pPr>
      <w:framePr w:vAnchor="page" w:hAnchor="text"/>
      <w:jc w:val="right"/>
    </w:pPr>
  </w:style>
  <w:style w:type="paragraph" w:customStyle="1" w:styleId="47">
    <w:name w:val="其他发布部门"/>
    <w:basedOn w:val="48"/>
    <w:qFormat/>
    <w:uiPriority w:val="0"/>
    <w:pPr>
      <w:framePr w:y="15310"/>
      <w:spacing w:line="0" w:lineRule="atLeast"/>
    </w:pPr>
    <w:rPr>
      <w:rFonts w:ascii="黑体" w:eastAsia="黑体"/>
      <w:b w:val="0"/>
    </w:rPr>
  </w:style>
  <w:style w:type="paragraph" w:customStyle="1" w:styleId="48">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49">
    <w:name w:val="发布"/>
    <w:qFormat/>
    <w:uiPriority w:val="0"/>
    <w:rPr>
      <w:rFonts w:ascii="黑体" w:eastAsia="黑体"/>
      <w:spacing w:val="85"/>
      <w:w w:val="100"/>
      <w:position w:val="3"/>
      <w:sz w:val="28"/>
      <w:szCs w:val="28"/>
    </w:rPr>
  </w:style>
  <w:style w:type="character" w:customStyle="1" w:styleId="50">
    <w:name w:val="批注文字 字符"/>
    <w:basedOn w:val="14"/>
    <w:link w:val="6"/>
    <w:qFormat/>
    <w:uiPriority w:val="0"/>
    <w:rPr>
      <w:rFonts w:asciiTheme="minorHAnsi" w:hAnsiTheme="minorHAnsi" w:eastAsiaTheme="minorEastAsia" w:cstheme="minorBidi"/>
      <w:kern w:val="2"/>
      <w:sz w:val="21"/>
      <w:szCs w:val="24"/>
    </w:rPr>
  </w:style>
  <w:style w:type="character" w:customStyle="1" w:styleId="51">
    <w:name w:val="批注主题 字符"/>
    <w:basedOn w:val="50"/>
    <w:link w:val="5"/>
    <w:qFormat/>
    <w:uiPriority w:val="0"/>
    <w:rPr>
      <w:rFonts w:asciiTheme="minorHAnsi" w:hAnsiTheme="minorHAnsi" w:eastAsiaTheme="minorEastAsia" w:cstheme="minorBidi"/>
      <w:b/>
      <w:bCs/>
      <w:kern w:val="2"/>
      <w:sz w:val="21"/>
      <w:szCs w:val="24"/>
    </w:rPr>
  </w:style>
  <w:style w:type="character" w:customStyle="1" w:styleId="52">
    <w:name w:val="批注框文本 字符"/>
    <w:basedOn w:val="14"/>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BC6CF-09F2-5F4C-B6FD-CFAA285D82CB}">
  <ds:schemaRefs/>
</ds:datastoreItem>
</file>

<file path=docProps/app.xml><?xml version="1.0" encoding="utf-8"?>
<Properties xmlns="http://schemas.openxmlformats.org/officeDocument/2006/extended-properties" xmlns:vt="http://schemas.openxmlformats.org/officeDocument/2006/docPropsVTypes">
  <Template>Normal</Template>
  <Pages>9</Pages>
  <Words>692</Words>
  <Characters>3951</Characters>
  <Lines>32</Lines>
  <Paragraphs>9</Paragraphs>
  <ScaleCrop>false</ScaleCrop>
  <LinksUpToDate>false</LinksUpToDate>
  <CharactersWithSpaces>4634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2020-09-02T23:47:00Z</dcterms:created>
  <dc:creator>Joshua</dc:creator>
  <cp:lastModifiedBy>zhoumingyao</cp:lastModifiedBy>
  <dcterms:modified xsi:type="dcterms:W3CDTF">2020-10-12T08:07:00Z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