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bookmarkStart w:id="4" w:name="_GoBack"/>
      <w:bookmarkEnd w:id="4"/>
      <w:r>
        <w:rPr>
          <w:rFonts w:hint="eastAsia" w:ascii="方正小标宋简体" w:eastAsia="方正小标宋简体"/>
          <w:sz w:val="44"/>
          <w:szCs w:val="44"/>
        </w:rPr>
        <w:t>起草说明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为贯彻落实《国务院办公厅关于加快发展外贸新业态新模式的意见》（国办发</w:t>
      </w:r>
      <w:r>
        <w:rPr>
          <w:rFonts w:hint="eastAsia" w:ascii="仿宋_GB2312"/>
          <w:sz w:val="32"/>
          <w:szCs w:val="32"/>
        </w:rPr>
        <w:t>﹝</w:t>
      </w:r>
      <w:r>
        <w:rPr>
          <w:rFonts w:hint="eastAsia" w:ascii="仿宋_GB2312" w:eastAsia="仿宋_GB2312"/>
          <w:sz w:val="32"/>
          <w:szCs w:val="32"/>
        </w:rPr>
        <w:t>2021</w:t>
      </w:r>
      <w:r>
        <w:rPr>
          <w:rFonts w:hint="eastAsia" w:ascii="仿宋_GB2312"/>
          <w:sz w:val="32"/>
          <w:szCs w:val="32"/>
        </w:rPr>
        <w:t>﹞</w:t>
      </w:r>
      <w:r>
        <w:rPr>
          <w:rFonts w:hint="eastAsia" w:ascii="仿宋_GB2312" w:eastAsia="仿宋_GB2312"/>
          <w:sz w:val="32"/>
          <w:szCs w:val="32"/>
        </w:rPr>
        <w:t>24号）精神以及商务部等7部委关于推动商品市场优化升级的部署，促进义乌市场高质量发展，深化线上线下融合，加强展贸联动，提升物流支撑能力，完善口岸平台功能，助力自贸区建设，打造连接国外大循环的开放枢纽和联通国内国际双循环的商贸节点，我委起草促进市场高质量发展的若干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eastAsia="黑体"/>
          <w:sz w:val="32"/>
          <w:szCs w:val="32"/>
        </w:rPr>
      </w:pPr>
      <w:r>
        <w:rPr>
          <w:rFonts w:hint="eastAsia" w:ascii="黑体" w:eastAsia="黑体"/>
          <w:sz w:val="32"/>
          <w:szCs w:val="32"/>
        </w:rPr>
        <w:t>一、政策起草背景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1.落实产业发展“十四五”规划的需要。</w:t>
      </w:r>
      <w:r>
        <w:rPr>
          <w:rFonts w:hint="eastAsia" w:ascii="仿宋_GB2312" w:eastAsia="仿宋_GB2312"/>
          <w:sz w:val="32"/>
          <w:szCs w:val="32"/>
        </w:rPr>
        <w:t>顺应全球国际贸易、现代服务业交互融合、迭代升级的发展趋势，推动市场、电商、会展、物流等“十四五”发展规划实施，以聚焦产业创新为导向，重点谋划跨境电商、现代物流、会展等产业相关政策体系。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2.培育新业态新模式发展的需要。</w:t>
      </w:r>
      <w:r>
        <w:rPr>
          <w:rFonts w:hint="eastAsia" w:ascii="仿宋_GB2312" w:eastAsia="仿宋_GB2312"/>
          <w:sz w:val="32"/>
          <w:szCs w:val="32"/>
        </w:rPr>
        <w:t>在国内国际双循环新发展格局下，加快拓展市场发展空间，提升市场运行效率，通过政策引导，培育跨境电商进出口、直播电商、航空物流、海铁联运等市场相关领域新业态新模式发展，实现多业态协同高质量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3.财政扶持政策清理的需要。</w:t>
      </w:r>
      <w:r>
        <w:rPr>
          <w:rFonts w:hint="eastAsia" w:ascii="仿宋_GB2312" w:eastAsia="仿宋_GB2312"/>
          <w:sz w:val="32"/>
          <w:szCs w:val="32"/>
        </w:rPr>
        <w:t>现有电商、物流、陆港口岸、会展等扶持政策主要体现在6个政策文件，为提高政策合力，通过系统清理、优化整合，在原有政策基础上，根据近年来执行效果和形势发展，着力提高政策的精准性和科学性，同时借鉴先进地区的相关政策，开展修订完善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eastAsia="黑体"/>
          <w:sz w:val="32"/>
          <w:szCs w:val="32"/>
        </w:rPr>
      </w:pPr>
      <w:r>
        <w:rPr>
          <w:rFonts w:hint="eastAsia" w:ascii="黑体" w:eastAsia="黑体"/>
          <w:sz w:val="32"/>
          <w:szCs w:val="32"/>
        </w:rPr>
        <w:t>二、政策起草原则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1.扶优扶新，提高针对性。</w:t>
      </w:r>
      <w:r>
        <w:rPr>
          <w:rFonts w:hint="eastAsia" w:ascii="仿宋_GB2312" w:eastAsia="仿宋_GB2312"/>
          <w:sz w:val="32"/>
          <w:szCs w:val="32"/>
        </w:rPr>
        <w:t>突出我市产业发展重点，以扶优扶新为目标，引导企业做大做强，培育新业态发展，推动产业提档升级，提升区域产业能级。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2.优化精简，提高操作性。</w:t>
      </w:r>
      <w:r>
        <w:rPr>
          <w:rFonts w:hint="eastAsia" w:ascii="仿宋_GB2312" w:eastAsia="仿宋_GB2312"/>
          <w:sz w:val="32"/>
          <w:szCs w:val="32"/>
        </w:rPr>
        <w:t>政策尽量简化，强化执行刚性，提高操作性，避免多环节奖补，降低兑现风险。取消一些小而散的政策条款，突出重点形成具有产业特色的政策体系。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3.注重绩效，提高精准性。</w:t>
      </w:r>
      <w:r>
        <w:rPr>
          <w:rFonts w:hint="eastAsia" w:ascii="仿宋_GB2312" w:eastAsia="仿宋_GB2312"/>
          <w:sz w:val="32"/>
          <w:szCs w:val="32"/>
        </w:rPr>
        <w:t>对原政策条款进行评估，充分考虑按照财政部门实行的扶持资金切块原则，吸收财政部门绩效评估的意见和建议，删除执行率、绩效低的条款，提高部分条款的门槛，明确退出机制，降低补助、奖励力度，新增引导性条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eastAsia="黑体"/>
          <w:sz w:val="32"/>
          <w:szCs w:val="32"/>
        </w:rPr>
      </w:pPr>
      <w:r>
        <w:rPr>
          <w:rFonts w:hint="eastAsia" w:ascii="黑体" w:eastAsia="黑体"/>
          <w:sz w:val="32"/>
          <w:szCs w:val="32"/>
        </w:rPr>
        <w:t>三、政策起草过程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我委于2020年3月启动政策修订清理工作，完成了规范性文件立项、政策修订稿征求意见及合法性审查等工作，因疫情防控和支持复工复产等因素暂停。今年上半年，重新开启政策修订工作，开展走访调研活动15次；对照研究广东、上海、海南、福建等省市自贸试验区政策16个，对跨境电商、现代物流、会展、口岸等相关条款逐条比对分析，吸收借鉴、改进部分内容；对《关于印发义乌市物流业财政扶持办法的通知》（义政办发〔2018〕161号，执行期至2020年12月31日）、《关于印发促进商贸业高质量发展的若干意见》（义政发〔2018〕57号，执行期至2020年12月31日）、《义乌市促进进口贸易发展十条扶持政策》、《关于加快直播电商发展的若干意见（试行）》（</w:t>
      </w:r>
      <w:bookmarkStart w:id="0" w:name="filecode"/>
      <w:r>
        <w:rPr>
          <w:rFonts w:hint="eastAsia" w:ascii="仿宋_GB2312" w:eastAsia="仿宋_GB2312"/>
          <w:sz w:val="32"/>
          <w:szCs w:val="32"/>
        </w:rPr>
        <w:t>义政发</w:t>
      </w:r>
      <w:bookmarkEnd w:id="0"/>
      <w:r>
        <w:rPr>
          <w:rFonts w:hint="eastAsia" w:ascii="仿宋_GB2312" w:eastAsia="仿宋_GB2312"/>
          <w:sz w:val="32"/>
          <w:szCs w:val="32"/>
        </w:rPr>
        <w:t>〔</w:t>
      </w:r>
      <w:bookmarkStart w:id="1" w:name="fileyear"/>
      <w:r>
        <w:rPr>
          <w:rFonts w:ascii="仿宋_GB2312" w:eastAsia="仿宋_GB2312"/>
          <w:sz w:val="32"/>
          <w:szCs w:val="32"/>
        </w:rPr>
        <w:t>2020</w:t>
      </w:r>
      <w:bookmarkEnd w:id="1"/>
      <w:r>
        <w:rPr>
          <w:rFonts w:hint="eastAsia" w:ascii="仿宋_GB2312" w:eastAsia="仿宋_GB2312"/>
          <w:sz w:val="32"/>
          <w:szCs w:val="32"/>
        </w:rPr>
        <w:t>〕</w:t>
      </w:r>
      <w:bookmarkStart w:id="2" w:name="fileno"/>
      <w:r>
        <w:rPr>
          <w:rFonts w:ascii="仿宋_GB2312" w:eastAsia="仿宋_GB2312"/>
          <w:sz w:val="32"/>
          <w:szCs w:val="32"/>
        </w:rPr>
        <w:t>43</w:t>
      </w:r>
      <w:bookmarkEnd w:id="2"/>
      <w:r>
        <w:rPr>
          <w:rFonts w:hint="eastAsia" w:ascii="仿宋_GB2312" w:eastAsia="仿宋_GB2312"/>
          <w:sz w:val="32"/>
          <w:szCs w:val="32"/>
        </w:rPr>
        <w:t>号，试行期至2020年12月31日）、《建设宁波舟山港“第六港区”支持政策（试行）》（试行期至2021年12月31日）、《关于印发义乌市会展业发展专项资金使用管理办法的通知》（义政办发〔2016〕174号，自2017年1月1日执行至今）等6个政策中涉及电商、陆港口岸、物流、会展的条款进行删除、修改和新增，从原政策的50条精简至17条（含附则1条），其中删除35条、修改15条、新增2条，形成了政策征求意见稿。先后召集财政局、交通局、商城集团、陆港集团等18个部门单位和市场、电商、物流、会展、口岸等行业企业，多次征求意见座谈会，并公开向社会公众征求意见和书面向相关部门征求意见，部分意见已吸收采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eastAsia="黑体"/>
          <w:sz w:val="32"/>
          <w:szCs w:val="32"/>
        </w:rPr>
      </w:pPr>
      <w:r>
        <w:rPr>
          <w:rFonts w:hint="eastAsia" w:ascii="黑体" w:eastAsia="黑体"/>
          <w:sz w:val="32"/>
          <w:szCs w:val="32"/>
        </w:rPr>
        <w:t>四、政策主要内容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本政策含市场、电商、会展、物流、口岸等5个方面，共17条。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1.推动商品市场优化升级</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新增政策：</w:t>
      </w:r>
      <w:r>
        <w:rPr>
          <w:rFonts w:hint="eastAsia" w:ascii="仿宋_GB2312" w:eastAsia="仿宋_GB2312"/>
          <w:sz w:val="32"/>
          <w:szCs w:val="32"/>
        </w:rPr>
        <w:t>拓展市场金融服务功能，引导金融机构针对市场经营户开发信用、债务、质押等融资产品，助力市场经营户拓宽获取订单渠道；支持市场经营户向供应链企业转型，适时设立产业扶持基金。对入驻市场的中国驰名商标、中华老字号商品直销商、分销商，且经营该品牌商品满二年的，给予一次性奖励</w:t>
      </w:r>
      <w:r>
        <w:rPr>
          <w:rFonts w:ascii="仿宋_GB2312" w:eastAsia="仿宋_GB2312"/>
          <w:sz w:val="32"/>
          <w:szCs w:val="32"/>
        </w:rPr>
        <w:t>5</w:t>
      </w:r>
      <w:r>
        <w:rPr>
          <w:rFonts w:hint="eastAsia" w:ascii="仿宋_GB2312" w:eastAsia="仿宋_GB2312"/>
          <w:sz w:val="32"/>
          <w:szCs w:val="32"/>
        </w:rPr>
        <w:t>万元人民币。对入驻市场的</w:t>
      </w:r>
      <w:r>
        <w:rPr>
          <w:rFonts w:ascii="仿宋_GB2312" w:eastAsia="仿宋_GB2312"/>
          <w:sz w:val="32"/>
          <w:szCs w:val="32"/>
        </w:rPr>
        <w:t>省级</w:t>
      </w:r>
      <w:r>
        <w:rPr>
          <w:rFonts w:hint="eastAsia" w:ascii="仿宋_GB2312" w:eastAsia="仿宋_GB2312"/>
          <w:sz w:val="32"/>
          <w:szCs w:val="32"/>
        </w:rPr>
        <w:t>“守合同、重信用”</w:t>
      </w:r>
      <w:r>
        <w:rPr>
          <w:rFonts w:ascii="仿宋_GB2312" w:eastAsia="仿宋_GB2312"/>
          <w:sz w:val="32"/>
          <w:szCs w:val="32"/>
        </w:rPr>
        <w:t>称号</w:t>
      </w:r>
      <w:r>
        <w:rPr>
          <w:rFonts w:hint="eastAsia" w:ascii="仿宋_GB2312" w:eastAsia="仿宋_GB2312"/>
          <w:sz w:val="32"/>
          <w:szCs w:val="32"/>
        </w:rPr>
        <w:t>、省级消费者信得过单位商品直销商、分销商，且经营该品牌商品满二年的，给予一次性奖励2万元人民币。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9月29日，商务部、发改委、工信部等7部委将义乌列为全国商品市场优化升级专项行动试点，根据《商品市场优化升级专项行动计划（2021-2025）》“提升品牌孵化能力”以及“吸引国内外品牌企业入驻，提升商品品牌化、特色化水平”的工作要求，制定本条款。通过政策引导，吸引现有经认定的品牌企业入场经营，提升市场品牌化、品质化经营水平。经初步统计，省级及以上品牌商标的经营主体有49户，主要集中在五金工具、办公用品、服装等行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2.招引市外优质电商企业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修改后政策：</w:t>
      </w:r>
      <w:r>
        <w:rPr>
          <w:rFonts w:hint="eastAsia" w:ascii="仿宋_GB2312" w:eastAsia="仿宋_GB2312"/>
          <w:sz w:val="32"/>
          <w:szCs w:val="32"/>
        </w:rPr>
        <w:t>对知名电商平台、应税销售额1亿元以上的电商企业入驻义乌的，按实际使用办公面积给予80%的房租补助，单个企业年度补助最高不超过200万元。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一是取消了对招引项目的仓储面积补助，只补助办公面积引导企业真正将运营人才团队落地义乌，政策效果更精准；二是将电商平台、电商企业等二类主体归并为同一条款；三是按照电子商务销售企业正常坪效估算，电商企业年销售额1亿元，需要办公面积1000平方米左右，按照30元/平方米/月测算，年房租额约为36万元，即200万元的补助可以带动销售额约6.9亿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Calibri" w:eastAsia="仿宋_GB2312" w:cs="Times New Roman"/>
          <w:sz w:val="32"/>
          <w:szCs w:val="32"/>
        </w:rPr>
      </w:pPr>
      <w:r>
        <w:rPr>
          <w:rFonts w:hint="eastAsia" w:ascii="仿宋_GB2312" w:eastAsia="仿宋_GB2312"/>
          <w:b/>
          <w:sz w:val="32"/>
          <w:szCs w:val="32"/>
        </w:rPr>
        <w:t>原政策：</w:t>
      </w:r>
      <w:r>
        <w:rPr>
          <w:rFonts w:hint="eastAsia" w:ascii="仿宋_GB2312" w:hAnsi="Calibri" w:eastAsia="仿宋_GB2312" w:cs="Times New Roman"/>
          <w:sz w:val="32"/>
          <w:szCs w:val="32"/>
        </w:rPr>
        <w:t>交易额超20亿元的知名第三方电子商务平台或垂直类电商平台，总部入驻义乌或在义乌设立省级以上区域运营中心的，自交易额首次达到2亿元之日起，二年内（次年交易额增长不低于20%）按实际使用的有效面积（办公、仓储等场所）给予80%的房租补助，每家每年不超过400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销售额超5亿元的知名第三方电子商务平台上的销售企业，总部入驻义乌或在义乌设立全资子公司的，自销售额首次达到5000万元之日起，二年内（次年销售额增长不低于30%）按实际使用的有效面积（办公、仓储等场所）给予80%的房租补助，每家每年不超过200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销售额超1亿元的知名第三方电子商务平台上的销售企业，总部入驻义乌或在义乌设立全资子公司的，自销售额首次达到1000万元之日起，二年内（次年销售额增长不低于50%）按实际使用的有效面积（办公、仓储等场所）给予80%的房租补助，每年不超过80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3.支持电商企业做大做强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修改后政策：</w:t>
      </w:r>
      <w:r>
        <w:rPr>
          <w:rFonts w:hint="eastAsia" w:ascii="仿宋_GB2312" w:eastAsia="仿宋_GB2312"/>
          <w:sz w:val="32"/>
          <w:szCs w:val="32"/>
        </w:rPr>
        <w:t>对年应税销售额3000万元以上的电商企业，每年按应税销售额的0.7%给予奖励，不超过地方综合贡献额。</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一是根据司法局和前期省审计组关于扶持政策不得与税收（地方财政贡献额）直接挂钩的要求，修改为对应税销售额进行奖励；二是按目前电商企业税率测算，应税销售额3000万元相对应缴纳税收约70万元，较原政策税收50万元的门槛有所提高；三是奖励标准为应税销售额0.7%（相当于地方留存部分的80%），不超过地方综合贡献额，力度较原政策退坡20%。</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sz w:val="32"/>
          <w:szCs w:val="32"/>
        </w:rPr>
      </w:pPr>
      <w:r>
        <w:rPr>
          <w:rFonts w:hint="eastAsia" w:ascii="仿宋_GB2312" w:eastAsia="仿宋_GB2312"/>
          <w:b/>
          <w:sz w:val="32"/>
          <w:szCs w:val="32"/>
        </w:rPr>
        <w:t>原政策：</w:t>
      </w:r>
      <w:r>
        <w:rPr>
          <w:rFonts w:hint="eastAsia" w:ascii="仿宋_GB2312" w:eastAsia="仿宋_GB2312"/>
          <w:sz w:val="32"/>
          <w:szCs w:val="32"/>
        </w:rPr>
        <w:t>对电子商务企业实现税收超50万元起的五年内，按地方财政综合贡献额前三年100%、后两年50%的比例予以奖励（后四年税收额须连续增长）。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4.促进电商产业基地高质量发展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（1）修改后政策：</w:t>
      </w:r>
      <w:r>
        <w:rPr>
          <w:rFonts w:hint="eastAsia" w:ascii="仿宋_GB2312" w:eastAsia="仿宋_GB2312"/>
          <w:sz w:val="32"/>
          <w:szCs w:val="32"/>
        </w:rPr>
        <w:t>对占地面积50亩以上或建筑面积2万平方米以上的场地，在不变更土地性质前提下，允许企业利用存量资源建设电子商务园区。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一是取消对电商园区效益评价考核的奖励；二是继续开展电商园区效益评价，按照控制总量、提质发展的原则，强化对电商园区全生命周期管理。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Calibri" w:eastAsia="仿宋_GB2312" w:cs="Times New Roman"/>
          <w:sz w:val="32"/>
          <w:szCs w:val="32"/>
        </w:rPr>
      </w:pPr>
      <w:r>
        <w:rPr>
          <w:rFonts w:hint="eastAsia" w:ascii="仿宋_GB2312" w:eastAsia="仿宋_GB2312"/>
          <w:b/>
          <w:sz w:val="32"/>
          <w:szCs w:val="32"/>
        </w:rPr>
        <w:t>原政策：</w:t>
      </w:r>
      <w:r>
        <w:rPr>
          <w:rFonts w:hint="eastAsia" w:ascii="仿宋_GB2312" w:hAnsi="Calibri" w:eastAsia="仿宋_GB2312" w:cs="Times New Roman"/>
          <w:sz w:val="32"/>
          <w:szCs w:val="32"/>
        </w:rPr>
        <w:t>对占地面积超过50亩或建筑面积超过2万平方米的场地，在不变更土地用途前提下，允许企业利用存量资源建设电子商务园区。对电商企业整体入驻率超过80%、产业链完整、亩产税收考核排名前五的电子商务园区，按建筑面积给予园区主办主体1元/平方米·月的补助，每家园区每年不超过100万元，连续补助三年。</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（2）修改后政策：</w:t>
      </w:r>
      <w:r>
        <w:rPr>
          <w:rFonts w:hint="eastAsia" w:ascii="仿宋_GB2312" w:eastAsia="仿宋_GB2312"/>
          <w:sz w:val="32"/>
          <w:szCs w:val="32"/>
        </w:rPr>
        <w:t>对计容建筑面积5000平方米以上、年应税销售额2亿元以上的直播电商基地（非工业用地），一次性给予200万元奖励。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一是优化奖励条件，将直播带货场次等认定难的指标转为应税销售额等刚性指标；二是将奖励上限由500万元降低至200万元；三是根据测算年应税销售额2亿元，对应缴纳税收约500万元，地方综合贡献额约200万元。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原政策：</w:t>
      </w:r>
      <w:r>
        <w:rPr>
          <w:rFonts w:hint="eastAsia" w:ascii="仿宋_GB2312" w:eastAsia="仿宋_GB2312"/>
          <w:sz w:val="32"/>
          <w:szCs w:val="32"/>
        </w:rPr>
        <w:t>对计容建筑面积超5000</w:t>
      </w:r>
      <w:r>
        <w:rPr>
          <w:rFonts w:hint="eastAsia" w:ascii="仿宋_GB2312"/>
          <w:sz w:val="32"/>
          <w:szCs w:val="32"/>
        </w:rPr>
        <w:t>㎡</w:t>
      </w:r>
      <w:r>
        <w:rPr>
          <w:rFonts w:hint="eastAsia" w:ascii="仿宋_GB2312" w:eastAsia="仿宋_GB2312"/>
          <w:sz w:val="32"/>
          <w:szCs w:val="32"/>
        </w:rPr>
        <w:t>、年直播带货超6000场的直播电商基地（非工业用地），经认定，按其实际投资额（不含土建）的50%给予一次性补助，最高500万元。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5.支持做大跨境电商进口业务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修改后政策：</w:t>
      </w:r>
      <w:r>
        <w:rPr>
          <w:rFonts w:hint="eastAsia" w:ascii="仿宋_GB2312" w:hAnsi="Calibri" w:eastAsia="仿宋_GB2312" w:cs="Times New Roman"/>
          <w:sz w:val="32"/>
          <w:szCs w:val="32"/>
        </w:rPr>
        <w:t>支持做大跨境电商保税进口（1210）业务，</w:t>
      </w:r>
      <w:r>
        <w:rPr>
          <w:rFonts w:hint="eastAsia" w:ascii="仿宋_GB2312" w:eastAsia="仿宋_GB2312"/>
          <w:sz w:val="32"/>
          <w:szCs w:val="32"/>
        </w:rPr>
        <w:t>在一线入区进口额与二线出区销售额比率超过80%的情况下，按货物销售额的2.5%给予跨境电商进口企业奖励，单个企业年度奖励最高不超过1000万元。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支持快件和跨境电子商务9610进口，按进口额2.5%的比例给予企业奖励，单个企业每年最高不超过1000万元。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奖励标准由3%退坡至2.5%（约相当于1美元奖励0.16元），从2019年的1美元奖励0.3元退坡50%，与现行一般贸易进口奖励政策基本持平。</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原政策：</w:t>
      </w:r>
      <w:bookmarkStart w:id="3" w:name="_Hlk62547592"/>
      <w:r>
        <w:rPr>
          <w:rFonts w:hint="eastAsia" w:ascii="仿宋_GB2312" w:hAnsi="Calibri" w:eastAsia="仿宋_GB2312" w:cs="Times New Roman"/>
          <w:sz w:val="32"/>
          <w:szCs w:val="32"/>
        </w:rPr>
        <w:t>支持做大跨境电商保税进口（1210）业务。在企业季度销售额同比增长，且一线入区进口额与二线出区销售额比率超80%的情况下，按销售额3%的比例给予企业奖励，单家企业每年最高不超过1000万元。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支持快件和跨境电子商务9610进口，按进口额3%的比例给予企业奖励，单家企业每年最高不超过1000万元。</w:t>
      </w:r>
      <w:bookmarkEnd w:id="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6.加快展览项目培育引进</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修改后政策：</w:t>
      </w:r>
      <w:r>
        <w:rPr>
          <w:rFonts w:hint="eastAsia" w:ascii="仿宋_GB2312" w:eastAsia="仿宋_GB2312"/>
          <w:sz w:val="32"/>
          <w:szCs w:val="32"/>
        </w:rPr>
        <w:t>在本市专业展馆举办的展览项目按实际核准的展位数和举办单位层次给予奖励。对本市原创的展位数达到350个以上展览项目，1-3届奖励600元/标准展位，4-6届分别奖励400、300、200元/标准展位。对市外已成功举办3届以上的引进展览项目，展位数达到500个以上的，在按原创标准奖励的基础上，1-3届每届再给予20万元的奖励。对国家级行业协会参与主办，且以下文招展招商支持的展览项目，再给予10万元奖励。单个展览项目奖励期不超过6届，每届奖励总额不超过150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一是原创和引进展览项目的奖励门槛分别由展位数300个以上、</w:t>
      </w:r>
      <w:r>
        <w:rPr>
          <w:rFonts w:hint="eastAsia" w:ascii="仿宋_GB2312" w:hAnsi="仿宋" w:eastAsia="仿宋_GB2312"/>
          <w:spacing w:val="-6"/>
          <w:sz w:val="32"/>
          <w:szCs w:val="32"/>
        </w:rPr>
        <w:t>400个以上</w:t>
      </w:r>
      <w:r>
        <w:rPr>
          <w:rFonts w:hint="eastAsia" w:ascii="仿宋_GB2312" w:eastAsia="仿宋_GB2312"/>
          <w:sz w:val="32"/>
          <w:szCs w:val="32"/>
        </w:rPr>
        <w:t>提高至350个以上、500个以上；二是单个展览项目奖励期由9届减少至6届；三是奖励标准由最高奖励800元/展位降低至600元/展位，从第6届起退坡调整为从第4届起逐年退坡。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spacing w:val="-6"/>
          <w:sz w:val="32"/>
          <w:szCs w:val="32"/>
        </w:rPr>
      </w:pPr>
      <w:r>
        <w:rPr>
          <w:rFonts w:hint="eastAsia" w:ascii="仿宋_GB2312" w:eastAsia="仿宋_GB2312"/>
          <w:b/>
          <w:sz w:val="32"/>
          <w:szCs w:val="32"/>
        </w:rPr>
        <w:t>原政策：</w:t>
      </w:r>
      <w:r>
        <w:rPr>
          <w:rFonts w:hint="eastAsia" w:ascii="仿宋_GB2312" w:hAnsi="仿宋" w:eastAsia="仿宋_GB2312"/>
          <w:spacing w:val="-6"/>
          <w:sz w:val="32"/>
          <w:szCs w:val="32"/>
        </w:rPr>
        <w:t>对在本市原创的展览项目按展位数、参展企业品牌、举办单位层次等进行奖励。单个专业展览项目奖励期不超过9届，其中常规奖励期为前5届。对已过常规奖励期的展览项目，超过往届最高展位数50个以上的项目，以第五届奖励金额为基数，按每届递减20%进行奖励。按实际核准的展位数进行奖励的，展位数为300—399个的，奖励500元/展位；展位数为400—799个的，奖励600元/展位；展位数为800—1199个的，奖励700元/展位；展位数达到1200个及以上的，奖励800元/展位。</w:t>
      </w: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ascii="仿宋_GB2312" w:hAnsi="仿宋" w:eastAsia="仿宋_GB2312"/>
          <w:spacing w:val="-6"/>
          <w:sz w:val="32"/>
          <w:szCs w:val="32"/>
        </w:rPr>
      </w:pPr>
      <w:r>
        <w:rPr>
          <w:rFonts w:hint="eastAsia" w:ascii="仿宋_GB2312" w:hAnsi="仿宋" w:eastAsia="仿宋_GB2312"/>
          <w:spacing w:val="-6"/>
          <w:sz w:val="32"/>
          <w:szCs w:val="32"/>
        </w:rPr>
        <w:t>对引进的、在市外已成功举办3届以上的、国际性或全国性的展览项目，奖励期不超过9届。首届展位数达到400个以上，给予承办单位50万元的奖励，展位数每增加100个再给予5万元的奖励。连续在我市举办第二、三届的，展位数不少于首届的，每届增加5万元奖励；从第四届开始，参照第九条按原创展览项目同届的条件及标准予以奖励。</w:t>
      </w: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ascii="仿宋_GB2312" w:hAnsi="仿宋" w:eastAsia="仿宋_GB2312"/>
          <w:spacing w:val="-6"/>
          <w:sz w:val="32"/>
          <w:szCs w:val="32"/>
        </w:rPr>
      </w:pPr>
      <w:r>
        <w:rPr>
          <w:rFonts w:hint="eastAsia" w:ascii="仿宋_GB2312" w:hAnsi="仿宋" w:eastAsia="仿宋_GB2312"/>
          <w:spacing w:val="-6"/>
          <w:sz w:val="32"/>
          <w:szCs w:val="32"/>
        </w:rPr>
        <w:t>对单个展览项目的奖励，每届总额不超过150万元。对单个会议论坛项目的奖励，每次总额不超过60万元。</w:t>
      </w: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ascii="仿宋_GB2312" w:eastAsia="仿宋_GB2312"/>
          <w:sz w:val="32"/>
          <w:szCs w:val="32"/>
        </w:rPr>
      </w:pPr>
      <w:r>
        <w:rPr>
          <w:rFonts w:hint="eastAsia" w:ascii="仿宋_GB2312" w:hAnsi="仿宋" w:eastAsia="仿宋_GB2312"/>
          <w:spacing w:val="-6"/>
          <w:sz w:val="32"/>
          <w:szCs w:val="32"/>
        </w:rPr>
        <w:t>对国家部委司局或国家级行业协会参与主办或承办，且以下文招展招商等形式参与展会组织或提供实质性支持的展览项目，给予承办单位10万元奖励。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7.支持企业组团外出参展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修改后政策：</w:t>
      </w:r>
      <w:r>
        <w:rPr>
          <w:rFonts w:hint="eastAsia" w:ascii="仿宋_GB2312" w:eastAsia="仿宋_GB2312"/>
          <w:sz w:val="32"/>
          <w:szCs w:val="32"/>
        </w:rPr>
        <w:t>经备案，由政府部门、行业商协会、展览机构组织我市企业参加市外境内展览项目，组团企业10家以上的，按参展企业实际缴纳展位费的50%予以奖励。单个企业参加同一届展览项目奖励金额最高不超过3万元，单个参展企业年度奖励不超过2次，同一展览年度内举办多届的，只奖励其中一届。</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一是奖励门槛由组团企业5家提高至10家以上；二是奖励标准由展位费的80%降低至50%，单个企业参加同一届展览项目奖励上限由6万元降低至3万元；三是提高政策受众和资金效率，明确单个参展企业年度奖励不超过2次，同一展览年度内举办多届的，只奖励其中一届。</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sz w:val="32"/>
          <w:szCs w:val="32"/>
        </w:rPr>
      </w:pPr>
      <w:r>
        <w:rPr>
          <w:rFonts w:hint="eastAsia" w:ascii="仿宋_GB2312" w:eastAsia="仿宋_GB2312"/>
          <w:b/>
          <w:sz w:val="32"/>
          <w:szCs w:val="32"/>
        </w:rPr>
        <w:t>原政策：</w:t>
      </w:r>
      <w:r>
        <w:rPr>
          <w:rFonts w:hint="eastAsia" w:ascii="仿宋_GB2312" w:eastAsia="仿宋_GB2312"/>
          <w:sz w:val="32"/>
          <w:szCs w:val="32"/>
        </w:rPr>
        <w:t>由市相关部门、行业商（协）会、展览机构组织我市企业参加市外国内重要展览项目，组团企业在5家以上，展位数10个以上，且统一体现义乌品牌形象的，按实际交纳展位费的80%予以奖励。同一企业参加同一届展览项目奖励金额最高不超过6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8.支持物流企业做大做强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修改后政策：</w:t>
      </w:r>
      <w:r>
        <w:rPr>
          <w:rFonts w:hint="eastAsia" w:ascii="仿宋_GB2312" w:eastAsia="仿宋_GB2312"/>
          <w:sz w:val="32"/>
          <w:szCs w:val="32"/>
        </w:rPr>
        <w:t>对当年在我市实际缴纳税费首次达到200万元、500万元、1000万元、2000万元等台阶的物流企业（不含供地企业、国资企业），给予企业一次性10万元、25万元、50万元、100万元的效益提升奖励，同一主体达到更高一档标准时，给予差额部分奖励。达到最高奖励标准之后，每增加1000万元税费，增加100万元的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取消对供地物流企业的奖励，取消“与市政府及相关单位有合同约定的物流企业，完成合同约定税款后，超出部分可按本条款给予奖励。”，享受一事一议政策的物流企业不享受此政策。</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sz w:val="32"/>
          <w:szCs w:val="32"/>
        </w:rPr>
      </w:pPr>
      <w:r>
        <w:rPr>
          <w:rFonts w:hint="eastAsia" w:ascii="仿宋_GB2312" w:eastAsia="仿宋_GB2312"/>
          <w:b/>
          <w:sz w:val="32"/>
          <w:szCs w:val="32"/>
        </w:rPr>
        <w:t>原政策：</w:t>
      </w:r>
      <w:r>
        <w:rPr>
          <w:rFonts w:hint="eastAsia" w:ascii="仿宋_GB2312" w:eastAsia="仿宋_GB2312"/>
          <w:sz w:val="32"/>
          <w:szCs w:val="32"/>
        </w:rPr>
        <w:t>对当年在我市实际缴纳税费首次达到200万元、500万元、1000万元、2000万元等台阶的物流企业（不含国资企业），给予企业一次性10万元、25万元、50万元、100万元的效益提升奖励，同一主体达到更高一档标准时，给予差额部分奖励。达到最高奖励标准之后，每增加1000万元税费，增加100万元的奖励。与市政府及相关单位有合同约定的物流企业，完成合同约定税款后，超出部分可按本条款给予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9.鼓励物流企业购置货运车辆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维持不变政策：</w:t>
      </w:r>
      <w:r>
        <w:rPr>
          <w:rFonts w:hint="eastAsia" w:ascii="仿宋_GB2312" w:eastAsia="仿宋_GB2312"/>
          <w:sz w:val="32"/>
          <w:szCs w:val="32"/>
        </w:rPr>
        <w:t>自有货运车辆核定载质量在200吨以上（其中重型运输车辆吨位数占比在75%以上）的物流企业，当年度新购置重型运输车辆，牵引车与挂车配套申请（配套比例在1：1至1:2之间），按车辆购置价款的4%一次性予以补助。享受补助的车辆，三年内不得转让或过户，否则追回补助资金且该企业三年内不得享受同类财政扶持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对自有货运车辆核定载质量在2000吨以上、3000吨以上、5000吨以上的物流企业，分别给予20万元、30万元、50万元的一次性奖励。同一主体达到更高一档标准时，给予差额部分奖励。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奖励条件和标准维持不变，继续发挥政策引导作用。2018年以来，共有6家企业享受该补助条款，新增211辆物流车辆（重型半挂牵引车、半挂车）。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10.拓宽航空物流通道</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新增政策：</w:t>
      </w:r>
      <w:r>
        <w:rPr>
          <w:rFonts w:hint="eastAsia" w:ascii="仿宋_GB2312" w:eastAsia="仿宋_GB2312"/>
          <w:sz w:val="32"/>
          <w:szCs w:val="32"/>
        </w:rPr>
        <w:t>对在义乌海关监管区域（场所）办理通关手续后驳运到其他机场出口的货物，给予航空物流企业2元/公斤的奖励。单个企业年度奖励最高不超过100万元。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一是目前义乌航空货物进出口主要通过杭州、上海等枢纽机场，数据外流现象十分突出，异地货站、空空转关业务有利于数据回流；二是低于我市已开通的马尼拉、大阪国际货运航线补助力度，马尼拉航线首年度财政补助约需13元/公斤，大阪航线首年度财政补助约需12元/公斤；三是通过引导航空业务本地化，逐步推动航空货运企业和产业的发展壮大，提升我市航空口岸影响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11.鼓励集装箱班轮公司在义乌开展业务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修改后政策：</w:t>
      </w:r>
      <w:r>
        <w:rPr>
          <w:rFonts w:hint="eastAsia" w:ascii="仿宋_GB2312" w:eastAsia="仿宋_GB2312"/>
          <w:sz w:val="32"/>
          <w:szCs w:val="32"/>
        </w:rPr>
        <w:t>推动集装箱班轮公司在义乌落地箱管权限，对与义乌堆场签订箱管协议的集装箱班轮公司，年度空箱进场量达到3000以上至5000标箱、5000以上至10000标箱、10000标箱以上的，分别给予30万元、50万元、100万元的一次性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今年1-9月，义乌港堆场空箱进场量较去年同期增长49%，预计全年新增签约集装箱班轮公司4家以上，政策扶持效果明显。新政策将补助门槛由2021年的2000标箱提高至3000标箱。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sz w:val="32"/>
          <w:szCs w:val="32"/>
        </w:rPr>
      </w:pPr>
      <w:r>
        <w:rPr>
          <w:rFonts w:hint="eastAsia" w:ascii="仿宋_GB2312" w:eastAsia="仿宋_GB2312"/>
          <w:b/>
          <w:sz w:val="32"/>
          <w:szCs w:val="32"/>
        </w:rPr>
        <w:t>原政策：</w:t>
      </w:r>
      <w:r>
        <w:rPr>
          <w:rFonts w:hint="eastAsia" w:ascii="仿宋_GB2312" w:hAnsi="仿宋_GB2312" w:eastAsia="仿宋_GB2312" w:cs="仿宋_GB2312"/>
          <w:sz w:val="32"/>
          <w:szCs w:val="32"/>
        </w:rPr>
        <w:t>对与义乌堆场签订箱管协议并建立义乌堆场独立编码的集装箱班轮公司，年度</w:t>
      </w:r>
      <w:r>
        <w:rPr>
          <w:rFonts w:hint="eastAsia" w:ascii="仿宋_GB2312" w:hAnsi="仿宋" w:eastAsia="仿宋_GB2312" w:cs="仿宋_GB2312"/>
          <w:kern w:val="0"/>
          <w:sz w:val="32"/>
          <w:szCs w:val="32"/>
        </w:rPr>
        <w:t>空箱进场量达到2000</w:t>
      </w:r>
      <w:r>
        <w:rPr>
          <w:rFonts w:hint="eastAsia" w:ascii="仿宋_GB2312" w:hAnsi="仿宋_GB2312" w:eastAsia="仿宋_GB2312" w:cs="仿宋_GB2312"/>
          <w:sz w:val="32"/>
          <w:szCs w:val="32"/>
        </w:rPr>
        <w:t>（含）-5000</w:t>
      </w:r>
      <w:r>
        <w:rPr>
          <w:rFonts w:hint="eastAsia" w:ascii="仿宋_GB2312" w:hAnsi="仿宋" w:eastAsia="仿宋_GB2312" w:cs="仿宋_GB2312"/>
          <w:kern w:val="0"/>
          <w:sz w:val="32"/>
          <w:szCs w:val="32"/>
        </w:rPr>
        <w:t>标箱、5000</w:t>
      </w:r>
      <w:r>
        <w:rPr>
          <w:rFonts w:hint="eastAsia" w:ascii="仿宋_GB2312" w:hAnsi="仿宋_GB2312" w:eastAsia="仿宋_GB2312" w:cs="仿宋_GB2312"/>
          <w:sz w:val="32"/>
          <w:szCs w:val="32"/>
        </w:rPr>
        <w:t>（含）-10000</w:t>
      </w:r>
      <w:r>
        <w:rPr>
          <w:rFonts w:hint="eastAsia" w:ascii="仿宋_GB2312" w:hAnsi="仿宋" w:eastAsia="仿宋_GB2312" w:cs="仿宋_GB2312"/>
          <w:kern w:val="0"/>
          <w:sz w:val="32"/>
          <w:szCs w:val="32"/>
        </w:rPr>
        <w:t>标箱、10000标箱</w:t>
      </w:r>
      <w:r>
        <w:rPr>
          <w:rFonts w:hint="eastAsia" w:ascii="仿宋_GB2312" w:hAnsi="仿宋_GB2312" w:eastAsia="仿宋_GB2312" w:cs="仿宋_GB2312"/>
          <w:sz w:val="32"/>
          <w:szCs w:val="32"/>
        </w:rPr>
        <w:t>（含）</w:t>
      </w:r>
      <w:r>
        <w:rPr>
          <w:rFonts w:hint="eastAsia" w:ascii="仿宋_GB2312" w:hAnsi="仿宋" w:eastAsia="仿宋_GB2312" w:cs="仿宋_GB2312"/>
          <w:kern w:val="0"/>
          <w:sz w:val="32"/>
          <w:szCs w:val="32"/>
        </w:rPr>
        <w:t>以上的，分别</w:t>
      </w:r>
      <w:r>
        <w:rPr>
          <w:rFonts w:hint="eastAsia" w:ascii="仿宋_GB2312" w:hAnsi="仿宋_GB2312" w:eastAsia="仿宋_GB2312" w:cs="仿宋_GB2312"/>
          <w:sz w:val="32"/>
          <w:szCs w:val="32"/>
        </w:rPr>
        <w:t>给予30万</w:t>
      </w:r>
      <w:r>
        <w:rPr>
          <w:rFonts w:hint="eastAsia" w:ascii="仿宋_GB2312" w:hAnsi="仿宋" w:eastAsia="仿宋_GB2312" w:cs="仿宋_GB2312"/>
          <w:kern w:val="0"/>
          <w:sz w:val="32"/>
          <w:szCs w:val="32"/>
        </w:rPr>
        <w:t>元</w:t>
      </w:r>
      <w:r>
        <w:rPr>
          <w:rFonts w:hint="eastAsia" w:ascii="仿宋_GB2312" w:hAnsi="仿宋_GB2312" w:eastAsia="仿宋_GB2312" w:cs="仿宋_GB2312"/>
          <w:sz w:val="32"/>
          <w:szCs w:val="32"/>
        </w:rPr>
        <w:t>、50万</w:t>
      </w:r>
      <w:r>
        <w:rPr>
          <w:rFonts w:hint="eastAsia" w:ascii="仿宋_GB2312" w:hAnsi="仿宋" w:eastAsia="仿宋_GB2312" w:cs="仿宋_GB2312"/>
          <w:kern w:val="0"/>
          <w:sz w:val="32"/>
          <w:szCs w:val="32"/>
        </w:rPr>
        <w:t>元</w:t>
      </w:r>
      <w:r>
        <w:rPr>
          <w:rFonts w:hint="eastAsia" w:ascii="仿宋_GB2312" w:hAnsi="仿宋_GB2312" w:eastAsia="仿宋_GB2312" w:cs="仿宋_GB2312"/>
          <w:sz w:val="32"/>
          <w:szCs w:val="32"/>
        </w:rPr>
        <w:t>、100万</w:t>
      </w:r>
      <w:r>
        <w:rPr>
          <w:rFonts w:hint="eastAsia" w:ascii="仿宋_GB2312" w:hAnsi="仿宋" w:eastAsia="仿宋_GB2312" w:cs="仿宋_GB2312"/>
          <w:kern w:val="0"/>
          <w:sz w:val="32"/>
          <w:szCs w:val="32"/>
        </w:rPr>
        <w:t>元</w:t>
      </w:r>
      <w:r>
        <w:rPr>
          <w:rFonts w:hint="eastAsia" w:ascii="仿宋_GB2312" w:hAnsi="仿宋_GB2312" w:eastAsia="仿宋_GB2312" w:cs="仿宋_GB2312"/>
          <w:sz w:val="32"/>
          <w:szCs w:val="32"/>
        </w:rPr>
        <w:t>的一次性奖励。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12.支持物流企业在义乌堆场还箱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修改后政策：</w:t>
      </w:r>
      <w:r>
        <w:rPr>
          <w:rFonts w:hint="eastAsia" w:ascii="仿宋_GB2312" w:eastAsia="仿宋_GB2312"/>
          <w:sz w:val="32"/>
          <w:szCs w:val="32"/>
        </w:rPr>
        <w:t>在义乌堆场年还箱量达到5000标箱以上的，给予物流企业每标箱60元的还箱补助。</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政策说明：</w:t>
      </w:r>
      <w:r>
        <w:rPr>
          <w:rFonts w:hint="eastAsia" w:ascii="仿宋_GB2312" w:eastAsia="仿宋_GB2312"/>
          <w:sz w:val="32"/>
          <w:szCs w:val="32"/>
        </w:rPr>
        <w:t>一是补助门槛由年提还箱量8000标箱（一个箱子提还分别算1次），提高至仅补助还箱量5000标箱；二是目前各国生产秩序逐步恢复，空箱紧缺问题有所缓解，补助标准降低至每标箱60元还箱补助。</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原政策：</w:t>
      </w:r>
      <w:r>
        <w:rPr>
          <w:rFonts w:hint="eastAsia" w:ascii="仿宋_GB2312" w:hAnsi="Calibri" w:eastAsia="仿宋_GB2312" w:cs="仿宋_GB2312"/>
          <w:sz w:val="32"/>
          <w:szCs w:val="32"/>
        </w:rPr>
        <w:t>在义乌堆场年提还箱量达到8000标箱（含）以上的，给予物流企业每标箱80元的提还箱补助。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13.支持海铁联运发展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修改后政策：</w:t>
      </w:r>
      <w:r>
        <w:rPr>
          <w:rFonts w:hint="eastAsia" w:ascii="仿宋_GB2312" w:eastAsia="仿宋_GB2312"/>
          <w:sz w:val="32"/>
          <w:szCs w:val="32"/>
        </w:rPr>
        <w:t>对从事铁路西站集装箱海铁联运业务的运营平台，2022年、2023年、2024年的年度多式联运全程提单业务占比达到50%、60%、70%以上的，按照铁路西站实际到发的集装箱重箱数量，给予每标箱160元的补助。</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据统计，2021年1-9月海铁联运全程提单业务占比超45%。为提高海铁联运班列运行质量，2022年多式联运全程提单业务占比门槛设定为50%，政策期内多式联运全程提单业务占比逐年提升，补助力度维持160元/标箱。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原政策：</w:t>
      </w:r>
      <w:r>
        <w:rPr>
          <w:rFonts w:hint="eastAsia" w:ascii="仿宋_GB2312" w:hAnsi="仿宋_GB2312" w:eastAsia="仿宋_GB2312" w:cs="仿宋_GB2312"/>
          <w:sz w:val="32"/>
          <w:szCs w:val="32"/>
        </w:rPr>
        <w:t>对从事铁路西站集装箱海铁联运业务的运营平台，按照铁路西站实际到发的集装箱重箱数量，年多式联运全程提单业务占比30%以下的不予补助，占比30%（含）-50%、50%（含）以上的，分别按每标箱160元和180元给予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14.支持指定口岸发展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维持不变政策：</w:t>
      </w:r>
      <w:r>
        <w:rPr>
          <w:rFonts w:hint="eastAsia" w:ascii="仿宋_GB2312" w:eastAsia="仿宋_GB2312"/>
          <w:sz w:val="32"/>
          <w:szCs w:val="32"/>
        </w:rPr>
        <w:t>对通过义乌指定口岸查验进口的肉类、水果、冰鲜水产品等商品，每进口1美元货物给予境内收货人0.2元的奖励，单个企业年度奖励最高不超过1000万元。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2021年1-9月，通过肉类指定口岸进口仅115车，共计2866吨，货值约932.6万美元。今年上半年，依托“义乌-马尼拉”国际货运航线，我市进口水果、冰鲜水产品等指定监管场地开展了首批业务。新冠肺炎疫情对进口冷链商品影响极大，目前肉类、水果、冰鲜水产品等口岸业务基本停滞；另据了解，金华对指定口岸的补助标准每进口1美元货物给予境内收货人0.2元的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15.鼓励企业评优评先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（1）修改后政策：</w:t>
      </w:r>
      <w:r>
        <w:rPr>
          <w:rFonts w:hint="eastAsia" w:ascii="仿宋_GB2312" w:eastAsia="仿宋_GB2312"/>
          <w:sz w:val="32"/>
          <w:szCs w:val="32"/>
        </w:rPr>
        <w:t>通过国家级、省级示范电子商务基地、示范物流园区评定的，分别给予一次性50万元、30万元奖励。通过国家级、省级示范电子商务企业、物流企业评定的，分别给予一次性30万元、20万元奖励。省级升国家级的，补差计奖；延续认定的，不再予以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一是取消义乌市级示范物流园区、示范物流企业、示范电子商务企业奖励；二是国家级示范电子商务企业奖励由50万元降低至30万元。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原政策：</w:t>
      </w:r>
      <w:r>
        <w:rPr>
          <w:rFonts w:hint="eastAsia" w:ascii="仿宋_GB2312" w:eastAsia="仿宋_GB2312"/>
          <w:sz w:val="32"/>
          <w:szCs w:val="32"/>
        </w:rPr>
        <w:t>通过国家级、省级、市本级示范物流园区评定的，分别给予一次性50万元、30万元、15万元奖励，市本级升省级、省级升国家级的，补差计奖；延续认定的，不再予以奖励。通过市本级示范物流企业评定的，给予一次性10万元奖励。</w:t>
      </w:r>
      <w:r>
        <w:rPr>
          <w:rFonts w:hint="eastAsia" w:ascii="仿宋_GB2312" w:hAnsi="Calibri" w:eastAsia="仿宋_GB2312" w:cs="Times New Roman"/>
          <w:sz w:val="32"/>
          <w:szCs w:val="32"/>
        </w:rPr>
        <w:t>对获评国家级、省级、市级（义乌）电子商务示范企业，分别给予一次性50万元、20万元、10万元奖励。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（2）修改后政策：</w:t>
      </w:r>
      <w:r>
        <w:rPr>
          <w:rFonts w:hint="eastAsia" w:ascii="仿宋_GB2312" w:eastAsia="仿宋_GB2312"/>
          <w:sz w:val="32"/>
          <w:szCs w:val="32"/>
        </w:rPr>
        <w:t>市内展览、会议项目通过国际展览业协会(UFI)、国际大会和会议协会(ICCA)、国际中心会议协会（AIPC）认证的，一次性给予20万元奖励。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参照深圳市相关政策，增加对通过国际中心会议协会（AIPC）认证会议项目的奖励，国际中心会议协会（AIPC）与国际展览业协会(UFI)、国际大会和会议协会(ICCA)属同一层级，同为国际会展业的全球协会。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原政策：</w:t>
      </w:r>
      <w:r>
        <w:rPr>
          <w:rFonts w:hint="eastAsia" w:ascii="仿宋_GB2312" w:eastAsia="仿宋_GB2312"/>
          <w:sz w:val="32"/>
          <w:szCs w:val="32"/>
        </w:rPr>
        <w:t>市内展览、会议项目通过国际展览业协会(UFI)、国际大会和会议协会(ICCA)认证的，一次性给予20万元奖励。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16.支持企业扩大经营规模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新增政策：</w:t>
      </w:r>
      <w:r>
        <w:rPr>
          <w:rFonts w:hint="eastAsia" w:ascii="仿宋_GB2312" w:eastAsia="仿宋_GB2312"/>
          <w:sz w:val="32"/>
          <w:szCs w:val="32"/>
        </w:rPr>
        <w:t>对当年度按月度、年度新增方式纳入限额以上统计库的电商企业和纳入规模以上服务业统计库的物流、会展企业，分别给予7.5万元、5万元的奖励，保持限额以上或规模以上统计管理2年且营业额连续增长的，再给予7.5万元、5万元的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一是参照现行“对按月度新增方式纳入限额以上统计库的批发、零售企业，在入库次年给予15万元的一次性奖励。”政策，将物流、会展企业纳入奖励范围；二是由于每年上级会下达纳统任务，如2021年金华消费专班要求义乌新增电商纳统企业15家，将年度纳统企业纳入奖励范围。三是分2次给予奖励，引导纳统企业持续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17.附则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（1）对信用等级D级、E级企业及信用积分80分以下自然人, 在财政资金拨付时依法依规实施惩戒，信用报告作为审慎参考依据。具体以主体在政策享受期期末信用为准。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（2）存在走私、侵权等行为被公安、海关等部门追究刑事责任立案的，暂缓兑现立案当年度或当季度的奖励；如查实并追究刑事责任的，取消暂缓兑现部分的奖励。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（3）本意见除招引电商平台房租补助、鼓励集装箱班轮公司在义乌开展业务和支持海铁联运发展等条款外，其余条款适用对象为注册地、税务征管及统计关系在义乌的自然人、法人、非法人组织。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（4）本意见中的“以上”包含本数，“超过”不包含本数。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（5）本意见自2022年1月1日施行，有效期至2024年12月31日止。本意见实施后，《关于印发义乌市会展业发展专项资金使用管理办法的通知》（义政办发</w:t>
      </w:r>
      <w:r>
        <w:rPr>
          <w:rFonts w:hint="eastAsia" w:ascii="仿宋_GB2312"/>
          <w:sz w:val="32"/>
          <w:szCs w:val="32"/>
        </w:rPr>
        <w:t>﹝</w:t>
      </w:r>
      <w:r>
        <w:rPr>
          <w:rFonts w:hint="eastAsia" w:ascii="仿宋_GB2312" w:eastAsia="仿宋_GB2312"/>
          <w:sz w:val="32"/>
          <w:szCs w:val="32"/>
        </w:rPr>
        <w:t>2016</w:t>
      </w:r>
      <w:r>
        <w:rPr>
          <w:rFonts w:hint="eastAsia" w:ascii="仿宋_GB2312"/>
          <w:sz w:val="32"/>
          <w:szCs w:val="32"/>
        </w:rPr>
        <w:t>﹞</w:t>
      </w:r>
      <w:r>
        <w:rPr>
          <w:rFonts w:hint="eastAsia" w:ascii="仿宋_GB2312" w:eastAsia="仿宋_GB2312"/>
          <w:sz w:val="32"/>
          <w:szCs w:val="32"/>
        </w:rPr>
        <w:t>174号）废止。</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政策说明：</w:t>
      </w:r>
      <w:r>
        <w:rPr>
          <w:rFonts w:hint="eastAsia" w:ascii="仿宋_GB2312" w:eastAsia="仿宋_GB2312"/>
          <w:sz w:val="32"/>
          <w:szCs w:val="32"/>
        </w:rPr>
        <w:t>提升限制性条款可操作性，明确有关企业违法行为触犯限制性条款的处置方式。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eastAsia="黑体"/>
          <w:sz w:val="32"/>
          <w:szCs w:val="32"/>
        </w:rPr>
      </w:pPr>
      <w:r>
        <w:rPr>
          <w:rFonts w:hint="eastAsia" w:ascii="黑体" w:eastAsia="黑体"/>
          <w:sz w:val="32"/>
          <w:szCs w:val="32"/>
        </w:rPr>
        <w:t>五、所需资金测算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新政策将于2022年1月1日起施行，其中大部分条款为次年即2023年兑现，经测算，2023年兑现新政策共需资金19300万元，预计较2021年兑现资金减少41.59%，较2020年兑现资金增加19.02%（如剔除跨境电商1210、9610及快件进口、直播基地等2条政策所需13950万元，共需资金5350万元，预计较2021年兑现资金减少50.07%，较2020年兑现资金减少40.02%），分大项构成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市场及电子商务共需资金15325万元，较2021年兑现资金减少37.19%，较2020年兑现资金增长63.22%（如剔除跨境电商1210、9610及快件进口、直播基地等2条政策所需13950万元，共需资金1375万元，预计较2021年兑现资金减少33.62%，较2020年兑现资金减少24.34%），其中跨境电商保税进口政策预计需兑现12500万元，较2020年兑现资金增长71.33%。跨境电商保税进口2020年销售额40亿元，需奖励资金18000万元，当年实际兑现7296万元（2019年11月-2020年6月）；2021年按销售额50亿元测算，预计需奖励资金21926万元（含2020年7-12月11726万元及2021年1-9月10200万元）；2022年按销售额50亿测算，预计需奖励资金15000万元（含2021年10-12月6000万元及2022年1-9月9000万元）；2023年按销售额50亿测算，预计需奖励资金12500万元（含2022年10-12月5000万元及2023年1-9月7500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2.会展共需资金1200万元，较2021年兑现资金减少33.33%，较2020年兑现资金减少41.5%。</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3.物流口岸共需资金共需资金2775万元，较2021年兑现资金减少59.45%，较2020年兑现资金减少45.07%。</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跨境电商保税进口（1210）是跨境电商综合试验区排名的重要指标，进口考核任务也在逐年提升，今年1-9月1210进口销售额31亿元，同比增长51%，奖励力度虽已连续退坡，但因业务规模快速增长，奖励资金规模仍较大；数字清关口岸服务快件及9610进口新业态，通过数字化手段提升跨境寄递进口商品的清关效率，填补我市快件及跨境电商9610进口的空白，今年1月才正式投用，是政策扶持第一年；直播电商是当前电子商务发展新业态，今年1-9月直播电商销售额249.58亿元，同比增长59.7%，2021年是政策扶持的第一年，引导效果明显。建议继续给予跨境电商保税进口、数字清关、直播电商等新业态较大力度扶持。</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小标宋简体" w:eastAsia="方正小标宋简体"/>
          <w:sz w:val="32"/>
          <w:szCs w:val="32"/>
        </w:rPr>
      </w:pPr>
    </w:p>
    <w:p>
      <w:pPr>
        <w:widowControl/>
        <w:jc w:val="both"/>
        <w:rPr>
          <w:rFonts w:hint="eastAsia" w:ascii="方正小标宋简体" w:eastAsia="方正小标宋简体"/>
          <w:sz w:val="32"/>
          <w:szCs w:val="32"/>
        </w:rPr>
      </w:pPr>
    </w:p>
    <w:p>
      <w:pPr>
        <w:widowControl/>
        <w:jc w:val="center"/>
        <w:rPr>
          <w:rFonts w:ascii="方正小标宋简体" w:eastAsia="方正小标宋简体"/>
          <w:sz w:val="32"/>
          <w:szCs w:val="32"/>
        </w:rPr>
      </w:pPr>
      <w:r>
        <w:rPr>
          <w:rFonts w:hint="eastAsia" w:ascii="方正小标宋简体" w:eastAsia="方正小标宋简体"/>
          <w:sz w:val="32"/>
          <w:szCs w:val="32"/>
        </w:rPr>
        <w:t>2020-2023年市场、电商、会展、物流、口岸政策资金对比表</w:t>
      </w:r>
    </w:p>
    <w:tbl>
      <w:tblPr>
        <w:tblStyle w:val="5"/>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3828"/>
        <w:gridCol w:w="1134"/>
        <w:gridCol w:w="1134"/>
        <w:gridCol w:w="1134"/>
        <w:gridCol w:w="1276"/>
        <w:gridCol w:w="105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2" w:type="dxa"/>
            <w:gridSpan w:val="2"/>
            <w:vAlign w:val="center"/>
          </w:tcPr>
          <w:p>
            <w:pPr>
              <w:spacing w:line="240" w:lineRule="exact"/>
              <w:jc w:val="center"/>
              <w:rPr>
                <w:rFonts w:ascii="黑体" w:eastAsia="黑体"/>
                <w:sz w:val="18"/>
                <w:szCs w:val="18"/>
              </w:rPr>
            </w:pPr>
            <w:r>
              <w:rPr>
                <w:rFonts w:hint="eastAsia" w:ascii="黑体" w:eastAsia="黑体"/>
                <w:sz w:val="18"/>
                <w:szCs w:val="18"/>
              </w:rPr>
              <w:t>政策条款</w:t>
            </w:r>
          </w:p>
        </w:tc>
        <w:tc>
          <w:tcPr>
            <w:tcW w:w="1134" w:type="dxa"/>
            <w:vAlign w:val="center"/>
          </w:tcPr>
          <w:p>
            <w:pPr>
              <w:spacing w:line="240" w:lineRule="exact"/>
              <w:jc w:val="center"/>
              <w:rPr>
                <w:rFonts w:ascii="黑体" w:eastAsia="黑体"/>
                <w:sz w:val="18"/>
                <w:szCs w:val="18"/>
              </w:rPr>
            </w:pPr>
            <w:r>
              <w:rPr>
                <w:rFonts w:hint="eastAsia" w:ascii="黑体" w:eastAsia="黑体"/>
                <w:sz w:val="18"/>
                <w:szCs w:val="18"/>
              </w:rPr>
              <w:t>2020年</w:t>
            </w:r>
          </w:p>
          <w:p>
            <w:pPr>
              <w:spacing w:line="240" w:lineRule="exact"/>
              <w:jc w:val="center"/>
              <w:rPr>
                <w:rFonts w:ascii="黑体" w:eastAsia="黑体"/>
                <w:sz w:val="18"/>
                <w:szCs w:val="18"/>
              </w:rPr>
            </w:pPr>
            <w:r>
              <w:rPr>
                <w:rFonts w:hint="eastAsia" w:ascii="黑体" w:eastAsia="黑体"/>
                <w:sz w:val="18"/>
                <w:szCs w:val="18"/>
              </w:rPr>
              <w:t>兑现资金(万元)</w:t>
            </w:r>
          </w:p>
        </w:tc>
        <w:tc>
          <w:tcPr>
            <w:tcW w:w="1134" w:type="dxa"/>
            <w:vAlign w:val="center"/>
          </w:tcPr>
          <w:p>
            <w:pPr>
              <w:spacing w:line="240" w:lineRule="exact"/>
              <w:jc w:val="center"/>
              <w:rPr>
                <w:rFonts w:ascii="黑体" w:eastAsia="黑体"/>
                <w:sz w:val="18"/>
                <w:szCs w:val="18"/>
              </w:rPr>
            </w:pPr>
            <w:r>
              <w:rPr>
                <w:rFonts w:hint="eastAsia" w:ascii="黑体" w:eastAsia="黑体"/>
                <w:sz w:val="18"/>
                <w:szCs w:val="18"/>
              </w:rPr>
              <w:t>2021年</w:t>
            </w:r>
          </w:p>
          <w:p>
            <w:pPr>
              <w:spacing w:line="240" w:lineRule="exact"/>
              <w:jc w:val="center"/>
              <w:rPr>
                <w:rFonts w:ascii="黑体" w:eastAsia="黑体"/>
                <w:sz w:val="18"/>
                <w:szCs w:val="18"/>
              </w:rPr>
            </w:pPr>
            <w:r>
              <w:rPr>
                <w:rFonts w:hint="eastAsia" w:ascii="黑体" w:eastAsia="黑体"/>
                <w:sz w:val="18"/>
                <w:szCs w:val="18"/>
              </w:rPr>
              <w:t>预计兑现</w:t>
            </w:r>
          </w:p>
          <w:p>
            <w:pPr>
              <w:spacing w:line="240" w:lineRule="exact"/>
              <w:jc w:val="center"/>
              <w:rPr>
                <w:rFonts w:ascii="黑体" w:eastAsia="黑体"/>
                <w:sz w:val="18"/>
                <w:szCs w:val="18"/>
              </w:rPr>
            </w:pPr>
            <w:r>
              <w:rPr>
                <w:rFonts w:hint="eastAsia" w:ascii="黑体" w:eastAsia="黑体"/>
                <w:sz w:val="18"/>
                <w:szCs w:val="18"/>
              </w:rPr>
              <w:t>资金</w:t>
            </w:r>
          </w:p>
          <w:p>
            <w:pPr>
              <w:spacing w:line="240" w:lineRule="exact"/>
              <w:jc w:val="center"/>
              <w:rPr>
                <w:rFonts w:ascii="黑体" w:eastAsia="黑体"/>
                <w:sz w:val="18"/>
                <w:szCs w:val="18"/>
              </w:rPr>
            </w:pPr>
            <w:r>
              <w:rPr>
                <w:rFonts w:hint="eastAsia" w:ascii="黑体" w:eastAsia="黑体"/>
                <w:sz w:val="18"/>
                <w:szCs w:val="18"/>
              </w:rPr>
              <w:t>(万元)</w:t>
            </w:r>
          </w:p>
        </w:tc>
        <w:tc>
          <w:tcPr>
            <w:tcW w:w="1134" w:type="dxa"/>
            <w:vAlign w:val="center"/>
          </w:tcPr>
          <w:p>
            <w:pPr>
              <w:spacing w:line="240" w:lineRule="exact"/>
              <w:jc w:val="center"/>
              <w:rPr>
                <w:rFonts w:ascii="黑体" w:eastAsia="黑体"/>
                <w:sz w:val="18"/>
                <w:szCs w:val="18"/>
              </w:rPr>
            </w:pPr>
            <w:r>
              <w:rPr>
                <w:rFonts w:hint="eastAsia" w:ascii="黑体" w:eastAsia="黑体"/>
                <w:sz w:val="18"/>
                <w:szCs w:val="18"/>
              </w:rPr>
              <w:t>2022年</w:t>
            </w:r>
          </w:p>
          <w:p>
            <w:pPr>
              <w:spacing w:line="240" w:lineRule="exact"/>
              <w:jc w:val="center"/>
              <w:rPr>
                <w:rFonts w:ascii="黑体" w:eastAsia="黑体"/>
                <w:sz w:val="18"/>
                <w:szCs w:val="18"/>
              </w:rPr>
            </w:pPr>
            <w:r>
              <w:rPr>
                <w:rFonts w:hint="eastAsia" w:ascii="黑体" w:eastAsia="黑体"/>
                <w:sz w:val="18"/>
                <w:szCs w:val="18"/>
              </w:rPr>
              <w:t>预计兑现</w:t>
            </w:r>
          </w:p>
          <w:p>
            <w:pPr>
              <w:spacing w:line="240" w:lineRule="exact"/>
              <w:jc w:val="center"/>
              <w:rPr>
                <w:rFonts w:ascii="黑体" w:eastAsia="黑体"/>
                <w:sz w:val="18"/>
                <w:szCs w:val="18"/>
              </w:rPr>
            </w:pPr>
            <w:r>
              <w:rPr>
                <w:rFonts w:hint="eastAsia" w:ascii="黑体" w:eastAsia="黑体"/>
                <w:sz w:val="18"/>
                <w:szCs w:val="18"/>
              </w:rPr>
              <w:t>资金</w:t>
            </w:r>
          </w:p>
          <w:p>
            <w:pPr>
              <w:spacing w:line="240" w:lineRule="exact"/>
              <w:jc w:val="center"/>
              <w:rPr>
                <w:rFonts w:ascii="黑体" w:eastAsia="黑体"/>
                <w:sz w:val="18"/>
                <w:szCs w:val="18"/>
              </w:rPr>
            </w:pPr>
            <w:r>
              <w:rPr>
                <w:rFonts w:hint="eastAsia" w:ascii="黑体" w:eastAsia="黑体"/>
                <w:sz w:val="18"/>
                <w:szCs w:val="18"/>
              </w:rPr>
              <w:t>(万元)</w:t>
            </w:r>
          </w:p>
        </w:tc>
        <w:tc>
          <w:tcPr>
            <w:tcW w:w="1276" w:type="dxa"/>
            <w:vAlign w:val="center"/>
          </w:tcPr>
          <w:p>
            <w:pPr>
              <w:spacing w:line="240" w:lineRule="exact"/>
              <w:jc w:val="center"/>
              <w:rPr>
                <w:rFonts w:ascii="黑体" w:eastAsia="黑体"/>
                <w:sz w:val="18"/>
                <w:szCs w:val="18"/>
              </w:rPr>
            </w:pPr>
            <w:r>
              <w:rPr>
                <w:rFonts w:hint="eastAsia" w:ascii="黑体" w:eastAsia="黑体"/>
                <w:sz w:val="18"/>
                <w:szCs w:val="18"/>
              </w:rPr>
              <w:t>2023年预计</w:t>
            </w:r>
          </w:p>
          <w:p>
            <w:pPr>
              <w:spacing w:line="240" w:lineRule="exact"/>
              <w:jc w:val="center"/>
              <w:rPr>
                <w:rFonts w:ascii="黑体" w:eastAsia="黑体"/>
                <w:sz w:val="18"/>
                <w:szCs w:val="18"/>
              </w:rPr>
            </w:pPr>
            <w:r>
              <w:rPr>
                <w:rFonts w:hint="eastAsia" w:ascii="黑体" w:eastAsia="黑体"/>
                <w:sz w:val="18"/>
                <w:szCs w:val="18"/>
              </w:rPr>
              <w:t>兑现资金</w:t>
            </w:r>
          </w:p>
          <w:p>
            <w:pPr>
              <w:spacing w:line="240" w:lineRule="exact"/>
              <w:jc w:val="center"/>
              <w:rPr>
                <w:rFonts w:ascii="黑体" w:eastAsia="黑体"/>
                <w:sz w:val="18"/>
                <w:szCs w:val="18"/>
              </w:rPr>
            </w:pPr>
            <w:r>
              <w:rPr>
                <w:rFonts w:hint="eastAsia" w:ascii="黑体" w:eastAsia="黑体"/>
                <w:sz w:val="18"/>
                <w:szCs w:val="18"/>
              </w:rPr>
              <w:t>(万元)</w:t>
            </w:r>
          </w:p>
          <w:p>
            <w:pPr>
              <w:spacing w:line="240" w:lineRule="exact"/>
              <w:jc w:val="center"/>
              <w:rPr>
                <w:rFonts w:ascii="楷体_GB2312" w:eastAsia="楷体_GB2312"/>
                <w:sz w:val="18"/>
                <w:szCs w:val="18"/>
              </w:rPr>
            </w:pPr>
            <w:r>
              <w:rPr>
                <w:rFonts w:hint="eastAsia" w:ascii="楷体_GB2312" w:eastAsia="楷体_GB2312"/>
                <w:sz w:val="15"/>
                <w:szCs w:val="18"/>
              </w:rPr>
              <w:t>(按新政策测算)</w:t>
            </w:r>
          </w:p>
        </w:tc>
        <w:tc>
          <w:tcPr>
            <w:tcW w:w="1058" w:type="dxa"/>
            <w:vAlign w:val="center"/>
          </w:tcPr>
          <w:p>
            <w:pPr>
              <w:spacing w:line="240" w:lineRule="exact"/>
              <w:jc w:val="center"/>
              <w:rPr>
                <w:rFonts w:ascii="黑体" w:eastAsia="黑体"/>
                <w:sz w:val="18"/>
                <w:szCs w:val="18"/>
              </w:rPr>
            </w:pPr>
            <w:r>
              <w:rPr>
                <w:rFonts w:hint="eastAsia" w:ascii="黑体" w:eastAsia="黑体"/>
                <w:sz w:val="18"/>
                <w:szCs w:val="18"/>
              </w:rPr>
              <w:t>2023年与2020年</w:t>
            </w:r>
          </w:p>
          <w:p>
            <w:pPr>
              <w:spacing w:line="240" w:lineRule="exact"/>
              <w:jc w:val="center"/>
              <w:rPr>
                <w:rFonts w:ascii="黑体" w:eastAsia="黑体"/>
                <w:sz w:val="18"/>
                <w:szCs w:val="18"/>
              </w:rPr>
            </w:pPr>
            <w:r>
              <w:rPr>
                <w:rFonts w:hint="eastAsia" w:ascii="黑体" w:eastAsia="黑体"/>
                <w:sz w:val="18"/>
                <w:szCs w:val="18"/>
              </w:rPr>
              <w:t>相比</w:t>
            </w:r>
          </w:p>
        </w:tc>
        <w:tc>
          <w:tcPr>
            <w:tcW w:w="708" w:type="dxa"/>
            <w:vAlign w:val="center"/>
          </w:tcPr>
          <w:p>
            <w:pPr>
              <w:spacing w:line="240" w:lineRule="exact"/>
              <w:jc w:val="center"/>
              <w:rPr>
                <w:rFonts w:ascii="黑体" w:eastAsia="黑体"/>
                <w:sz w:val="18"/>
                <w:szCs w:val="18"/>
              </w:rPr>
            </w:pPr>
            <w:r>
              <w:rPr>
                <w:rFonts w:hint="eastAsia" w:ascii="黑体" w:eastAsia="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4" w:type="dxa"/>
            <w:vMerge w:val="restart"/>
            <w:vAlign w:val="center"/>
          </w:tcPr>
          <w:p>
            <w:pPr>
              <w:jc w:val="cente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市场及电子商务</w:t>
            </w: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推动商品市场优化升级</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276"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50</w:t>
            </w:r>
          </w:p>
        </w:tc>
        <w:tc>
          <w:tcPr>
            <w:tcW w:w="1058" w:type="dxa"/>
            <w:vAlign w:val="center"/>
          </w:tcPr>
          <w:p>
            <w:pPr>
              <w:jc w:val="center"/>
              <w:rPr>
                <w:rFonts w:cs="Times New Roman" w:asciiTheme="minorEastAsia" w:hAnsiTheme="minorEastAsia"/>
                <w:sz w:val="18"/>
                <w:szCs w:val="18"/>
              </w:rPr>
            </w:pPr>
          </w:p>
        </w:tc>
        <w:tc>
          <w:tcPr>
            <w:tcW w:w="708" w:type="dxa"/>
            <w:vAlign w:val="center"/>
          </w:tcPr>
          <w:p>
            <w:pPr>
              <w:spacing w:line="260" w:lineRule="exact"/>
              <w:jc w:val="center"/>
              <w:rPr>
                <w:rFonts w:ascii="仿宋_GB2312" w:eastAsia="仿宋_GB2312" w:cs="Times New Roman" w:hAnsiTheme="minorEastAsia"/>
                <w:sz w:val="18"/>
                <w:szCs w:val="18"/>
              </w:rPr>
            </w:pPr>
            <w:r>
              <w:rPr>
                <w:rFonts w:hint="eastAsia" w:ascii="仿宋_GB2312" w:eastAsia="仿宋_GB2312" w:hAnsiTheme="minorEastAsia"/>
                <w:sz w:val="18"/>
                <w:szCs w:val="18"/>
              </w:rPr>
              <w:t>新增条款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积极招引市外标杆电商企业</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80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276"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200</w:t>
            </w:r>
          </w:p>
        </w:tc>
        <w:tc>
          <w:tcPr>
            <w:tcW w:w="1058"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150%</w:t>
            </w:r>
          </w:p>
        </w:tc>
        <w:tc>
          <w:tcPr>
            <w:tcW w:w="708" w:type="dxa"/>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税收奖励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822.51</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851</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1200</w:t>
            </w:r>
          </w:p>
        </w:tc>
        <w:tc>
          <w:tcPr>
            <w:tcW w:w="1276"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1050</w:t>
            </w:r>
          </w:p>
        </w:tc>
        <w:tc>
          <w:tcPr>
            <w:tcW w:w="1058"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27.66%</w:t>
            </w:r>
          </w:p>
        </w:tc>
        <w:tc>
          <w:tcPr>
            <w:tcW w:w="708" w:type="dxa"/>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b/>
                <w:sz w:val="18"/>
                <w:szCs w:val="18"/>
              </w:rPr>
            </w:pPr>
            <w:r>
              <w:rPr>
                <w:rFonts w:hint="eastAsia" w:ascii="仿宋_GB2312" w:eastAsia="仿宋_GB2312" w:cs="Times New Roman" w:hAnsiTheme="minorEastAsia"/>
                <w:b/>
                <w:sz w:val="18"/>
                <w:szCs w:val="18"/>
              </w:rPr>
              <w:t>跨境电商保税进口1210政策</w:t>
            </w:r>
          </w:p>
        </w:tc>
        <w:tc>
          <w:tcPr>
            <w:tcW w:w="1134" w:type="dxa"/>
            <w:vAlign w:val="center"/>
          </w:tcPr>
          <w:p>
            <w:pPr>
              <w:jc w:val="center"/>
              <w:rPr>
                <w:rFonts w:cs="宋体" w:asciiTheme="minorEastAsia" w:hAnsiTheme="minorEastAsia"/>
                <w:b/>
                <w:sz w:val="18"/>
                <w:szCs w:val="18"/>
              </w:rPr>
            </w:pPr>
            <w:r>
              <w:rPr>
                <w:rFonts w:hint="eastAsia" w:cs="宋体" w:asciiTheme="minorEastAsia" w:hAnsiTheme="minorEastAsia"/>
                <w:b/>
                <w:sz w:val="18"/>
                <w:szCs w:val="18"/>
              </w:rPr>
              <w:t>7296</w:t>
            </w:r>
          </w:p>
        </w:tc>
        <w:tc>
          <w:tcPr>
            <w:tcW w:w="1134" w:type="dxa"/>
            <w:vAlign w:val="center"/>
          </w:tcPr>
          <w:p>
            <w:pPr>
              <w:jc w:val="center"/>
              <w:rPr>
                <w:rFonts w:cs="宋体" w:asciiTheme="minorEastAsia" w:hAnsiTheme="minorEastAsia"/>
                <w:b/>
                <w:sz w:val="18"/>
                <w:szCs w:val="18"/>
              </w:rPr>
            </w:pPr>
            <w:r>
              <w:rPr>
                <w:rFonts w:hint="eastAsia" w:cs="宋体" w:asciiTheme="minorEastAsia" w:hAnsiTheme="minorEastAsia"/>
                <w:b/>
                <w:sz w:val="18"/>
                <w:szCs w:val="18"/>
              </w:rPr>
              <w:t>21926</w:t>
            </w:r>
          </w:p>
        </w:tc>
        <w:tc>
          <w:tcPr>
            <w:tcW w:w="1134" w:type="dxa"/>
            <w:vAlign w:val="center"/>
          </w:tcPr>
          <w:p>
            <w:pPr>
              <w:jc w:val="center"/>
              <w:rPr>
                <w:rFonts w:cs="宋体" w:asciiTheme="minorEastAsia" w:hAnsiTheme="minorEastAsia"/>
                <w:b/>
                <w:sz w:val="18"/>
                <w:szCs w:val="18"/>
              </w:rPr>
            </w:pPr>
            <w:r>
              <w:rPr>
                <w:rFonts w:hint="eastAsia" w:cs="宋体" w:asciiTheme="minorEastAsia" w:hAnsiTheme="minorEastAsia"/>
                <w:b/>
                <w:sz w:val="18"/>
                <w:szCs w:val="18"/>
              </w:rPr>
              <w:t>15000</w:t>
            </w:r>
          </w:p>
        </w:tc>
        <w:tc>
          <w:tcPr>
            <w:tcW w:w="1276" w:type="dxa"/>
            <w:vAlign w:val="center"/>
          </w:tcPr>
          <w:p>
            <w:pPr>
              <w:jc w:val="center"/>
              <w:rPr>
                <w:rFonts w:cs="Times New Roman" w:asciiTheme="minorEastAsia" w:hAnsiTheme="minorEastAsia"/>
                <w:b/>
                <w:sz w:val="18"/>
                <w:szCs w:val="18"/>
              </w:rPr>
            </w:pPr>
            <w:r>
              <w:rPr>
                <w:rFonts w:hint="eastAsia" w:cs="Times New Roman" w:asciiTheme="minorEastAsia" w:hAnsiTheme="minorEastAsia"/>
                <w:b/>
                <w:sz w:val="18"/>
                <w:szCs w:val="18"/>
              </w:rPr>
              <w:t>12500</w:t>
            </w:r>
          </w:p>
        </w:tc>
        <w:tc>
          <w:tcPr>
            <w:tcW w:w="1058" w:type="dxa"/>
            <w:vAlign w:val="center"/>
          </w:tcPr>
          <w:p>
            <w:pPr>
              <w:jc w:val="center"/>
              <w:rPr>
                <w:rFonts w:cs="宋体" w:asciiTheme="minorEastAsia" w:hAnsiTheme="minorEastAsia"/>
                <w:b/>
                <w:sz w:val="18"/>
                <w:szCs w:val="18"/>
              </w:rPr>
            </w:pPr>
            <w:r>
              <w:rPr>
                <w:rFonts w:hint="eastAsia" w:asciiTheme="minorEastAsia" w:hAnsiTheme="minorEastAsia"/>
                <w:b/>
                <w:sz w:val="18"/>
                <w:szCs w:val="18"/>
              </w:rPr>
              <w:t>71.33%</w:t>
            </w:r>
          </w:p>
        </w:tc>
        <w:tc>
          <w:tcPr>
            <w:tcW w:w="708" w:type="dxa"/>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b/>
                <w:sz w:val="18"/>
                <w:szCs w:val="18"/>
              </w:rPr>
            </w:pPr>
            <w:r>
              <w:rPr>
                <w:rFonts w:hint="eastAsia" w:ascii="仿宋_GB2312" w:eastAsia="仿宋_GB2312" w:cs="Times New Roman" w:hAnsiTheme="minorEastAsia"/>
                <w:b/>
                <w:sz w:val="18"/>
                <w:szCs w:val="18"/>
              </w:rPr>
              <w:t>9610及快件进口（数字清关）</w:t>
            </w:r>
          </w:p>
        </w:tc>
        <w:tc>
          <w:tcPr>
            <w:tcW w:w="1134" w:type="dxa"/>
            <w:vAlign w:val="center"/>
          </w:tcPr>
          <w:p>
            <w:pPr>
              <w:jc w:val="center"/>
              <w:rPr>
                <w:rFonts w:cs="宋体" w:asciiTheme="minorEastAsia" w:hAnsiTheme="minorEastAsia"/>
                <w:b/>
                <w:sz w:val="18"/>
                <w:szCs w:val="18"/>
              </w:rPr>
            </w:pPr>
            <w:r>
              <w:rPr>
                <w:rFonts w:hint="eastAsia" w:cs="宋体" w:asciiTheme="minorEastAsia" w:hAnsiTheme="minorEastAsia"/>
                <w:b/>
                <w:sz w:val="18"/>
                <w:szCs w:val="18"/>
              </w:rPr>
              <w:t>/</w:t>
            </w:r>
          </w:p>
        </w:tc>
        <w:tc>
          <w:tcPr>
            <w:tcW w:w="1134" w:type="dxa"/>
            <w:vAlign w:val="center"/>
          </w:tcPr>
          <w:p>
            <w:pPr>
              <w:jc w:val="center"/>
              <w:rPr>
                <w:rFonts w:cs="宋体" w:asciiTheme="minorEastAsia" w:hAnsiTheme="minorEastAsia"/>
                <w:b/>
                <w:sz w:val="18"/>
                <w:szCs w:val="18"/>
              </w:rPr>
            </w:pPr>
            <w:r>
              <w:rPr>
                <w:rFonts w:hint="eastAsia" w:cs="宋体" w:asciiTheme="minorEastAsia" w:hAnsiTheme="minorEastAsia"/>
                <w:b/>
                <w:sz w:val="18"/>
                <w:szCs w:val="18"/>
              </w:rPr>
              <w:t>400</w:t>
            </w:r>
          </w:p>
        </w:tc>
        <w:tc>
          <w:tcPr>
            <w:tcW w:w="1134" w:type="dxa"/>
            <w:vAlign w:val="center"/>
          </w:tcPr>
          <w:p>
            <w:pPr>
              <w:jc w:val="center"/>
              <w:rPr>
                <w:rFonts w:cs="宋体" w:asciiTheme="minorEastAsia" w:hAnsiTheme="minorEastAsia"/>
                <w:b/>
                <w:sz w:val="18"/>
                <w:szCs w:val="18"/>
              </w:rPr>
            </w:pPr>
            <w:r>
              <w:rPr>
                <w:rFonts w:hint="eastAsia" w:cs="宋体" w:asciiTheme="minorEastAsia" w:hAnsiTheme="minorEastAsia"/>
                <w:b/>
                <w:sz w:val="18"/>
                <w:szCs w:val="18"/>
              </w:rPr>
              <w:t>450</w:t>
            </w:r>
          </w:p>
        </w:tc>
        <w:tc>
          <w:tcPr>
            <w:tcW w:w="1276" w:type="dxa"/>
            <w:vAlign w:val="center"/>
          </w:tcPr>
          <w:p>
            <w:pPr>
              <w:jc w:val="center"/>
              <w:rPr>
                <w:rFonts w:cs="宋体" w:asciiTheme="minorEastAsia" w:hAnsiTheme="minorEastAsia"/>
                <w:b/>
                <w:sz w:val="18"/>
                <w:szCs w:val="18"/>
              </w:rPr>
            </w:pPr>
            <w:r>
              <w:rPr>
                <w:rFonts w:hint="eastAsia" w:cs="宋体" w:asciiTheme="minorEastAsia" w:hAnsiTheme="minorEastAsia"/>
                <w:b/>
                <w:sz w:val="18"/>
                <w:szCs w:val="18"/>
              </w:rPr>
              <w:t>450</w:t>
            </w:r>
          </w:p>
        </w:tc>
        <w:tc>
          <w:tcPr>
            <w:tcW w:w="1058" w:type="dxa"/>
            <w:vAlign w:val="center"/>
          </w:tcPr>
          <w:p>
            <w:pPr>
              <w:jc w:val="center"/>
              <w:rPr>
                <w:rFonts w:cs="宋体" w:asciiTheme="minorEastAsia" w:hAnsiTheme="minorEastAsia"/>
                <w:b/>
                <w:sz w:val="18"/>
                <w:szCs w:val="18"/>
              </w:rPr>
            </w:pPr>
          </w:p>
        </w:tc>
        <w:tc>
          <w:tcPr>
            <w:tcW w:w="708" w:type="dxa"/>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b/>
                <w:sz w:val="18"/>
                <w:szCs w:val="18"/>
              </w:rPr>
            </w:pPr>
            <w:r>
              <w:rPr>
                <w:rFonts w:hint="eastAsia" w:ascii="仿宋_GB2312" w:eastAsia="仿宋_GB2312" w:cs="Times New Roman" w:hAnsiTheme="minorEastAsia"/>
                <w:b/>
                <w:sz w:val="18"/>
                <w:szCs w:val="18"/>
              </w:rPr>
              <w:t>直播电商基地投资补助</w:t>
            </w:r>
          </w:p>
        </w:tc>
        <w:tc>
          <w:tcPr>
            <w:tcW w:w="1134" w:type="dxa"/>
            <w:vAlign w:val="center"/>
          </w:tcPr>
          <w:p>
            <w:pPr>
              <w:jc w:val="center"/>
              <w:rPr>
                <w:rFonts w:cs="宋体" w:asciiTheme="minorEastAsia" w:hAnsiTheme="minorEastAsia"/>
                <w:b/>
                <w:sz w:val="18"/>
                <w:szCs w:val="18"/>
              </w:rPr>
            </w:pPr>
            <w:r>
              <w:rPr>
                <w:rFonts w:hint="eastAsia" w:cs="宋体" w:asciiTheme="minorEastAsia" w:hAnsiTheme="minorEastAsia"/>
                <w:b/>
                <w:sz w:val="18"/>
                <w:szCs w:val="18"/>
              </w:rPr>
              <w:t>/</w:t>
            </w:r>
          </w:p>
        </w:tc>
        <w:tc>
          <w:tcPr>
            <w:tcW w:w="1134" w:type="dxa"/>
            <w:vAlign w:val="center"/>
          </w:tcPr>
          <w:p>
            <w:pPr>
              <w:jc w:val="center"/>
              <w:rPr>
                <w:rFonts w:cs="宋体" w:asciiTheme="minorEastAsia" w:hAnsiTheme="minorEastAsia"/>
                <w:b/>
                <w:sz w:val="18"/>
                <w:szCs w:val="18"/>
              </w:rPr>
            </w:pPr>
            <w:r>
              <w:rPr>
                <w:rFonts w:hint="eastAsia" w:cs="宋体" w:asciiTheme="minorEastAsia" w:hAnsiTheme="minorEastAsia"/>
                <w:b/>
                <w:sz w:val="18"/>
                <w:szCs w:val="18"/>
              </w:rPr>
              <w:t>/</w:t>
            </w:r>
          </w:p>
        </w:tc>
        <w:tc>
          <w:tcPr>
            <w:tcW w:w="1134" w:type="dxa"/>
            <w:vAlign w:val="center"/>
          </w:tcPr>
          <w:p>
            <w:pPr>
              <w:jc w:val="center"/>
              <w:rPr>
                <w:rFonts w:cs="宋体" w:asciiTheme="minorEastAsia" w:hAnsiTheme="minorEastAsia"/>
                <w:b/>
                <w:sz w:val="18"/>
                <w:szCs w:val="18"/>
              </w:rPr>
            </w:pPr>
            <w:r>
              <w:rPr>
                <w:rFonts w:hint="eastAsia" w:cs="宋体" w:asciiTheme="minorEastAsia" w:hAnsiTheme="minorEastAsia"/>
                <w:b/>
                <w:sz w:val="18"/>
                <w:szCs w:val="18"/>
              </w:rPr>
              <w:t>1500</w:t>
            </w:r>
          </w:p>
        </w:tc>
        <w:tc>
          <w:tcPr>
            <w:tcW w:w="1276" w:type="dxa"/>
            <w:vAlign w:val="center"/>
          </w:tcPr>
          <w:p>
            <w:pPr>
              <w:jc w:val="center"/>
              <w:rPr>
                <w:rFonts w:cs="Times New Roman" w:asciiTheme="minorEastAsia" w:hAnsiTheme="minorEastAsia"/>
                <w:b/>
                <w:sz w:val="18"/>
                <w:szCs w:val="18"/>
              </w:rPr>
            </w:pPr>
            <w:r>
              <w:rPr>
                <w:rFonts w:hint="eastAsia" w:cs="Times New Roman" w:asciiTheme="minorEastAsia" w:hAnsiTheme="minorEastAsia"/>
                <w:b/>
                <w:sz w:val="18"/>
                <w:szCs w:val="18"/>
              </w:rPr>
              <w:t>1000</w:t>
            </w:r>
          </w:p>
        </w:tc>
        <w:tc>
          <w:tcPr>
            <w:tcW w:w="1058" w:type="dxa"/>
            <w:vAlign w:val="center"/>
          </w:tcPr>
          <w:p>
            <w:pPr>
              <w:jc w:val="center"/>
              <w:rPr>
                <w:rFonts w:asciiTheme="minorEastAsia" w:hAnsiTheme="minorEastAsia"/>
                <w:b/>
                <w:sz w:val="18"/>
                <w:szCs w:val="18"/>
              </w:rPr>
            </w:pPr>
          </w:p>
        </w:tc>
        <w:tc>
          <w:tcPr>
            <w:tcW w:w="708" w:type="dxa"/>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实施电子商务示范工程</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276"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0</w:t>
            </w:r>
          </w:p>
        </w:tc>
        <w:tc>
          <w:tcPr>
            <w:tcW w:w="1058" w:type="dxa"/>
            <w:vAlign w:val="center"/>
          </w:tcPr>
          <w:p>
            <w:pPr>
              <w:jc w:val="center"/>
              <w:rPr>
                <w:rFonts w:cs="Times New Roman" w:asciiTheme="minorEastAsia" w:hAnsiTheme="minorEastAsia"/>
                <w:sz w:val="18"/>
                <w:szCs w:val="18"/>
              </w:rPr>
            </w:pPr>
          </w:p>
        </w:tc>
        <w:tc>
          <w:tcPr>
            <w:tcW w:w="708" w:type="dxa"/>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支持企业扩大经营规模（电商）</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75</w:t>
            </w:r>
          </w:p>
        </w:tc>
        <w:tc>
          <w:tcPr>
            <w:tcW w:w="1058" w:type="dxa"/>
            <w:vAlign w:val="center"/>
          </w:tcPr>
          <w:p>
            <w:pPr>
              <w:jc w:val="center"/>
              <w:rPr>
                <w:rFonts w:cs="Times New Roman" w:asciiTheme="minorEastAsia" w:hAnsiTheme="minorEastAsia"/>
                <w:sz w:val="18"/>
                <w:szCs w:val="18"/>
              </w:rPr>
            </w:pPr>
          </w:p>
        </w:tc>
        <w:tc>
          <w:tcPr>
            <w:tcW w:w="708" w:type="dxa"/>
            <w:vAlign w:val="center"/>
          </w:tcPr>
          <w:p>
            <w:pPr>
              <w:spacing w:line="260" w:lineRule="exact"/>
              <w:jc w:val="center"/>
              <w:rPr>
                <w:rFonts w:ascii="仿宋_GB2312" w:eastAsia="仿宋_GB2312" w:hAnsiTheme="minorEastAsia"/>
                <w:sz w:val="18"/>
                <w:szCs w:val="18"/>
              </w:rPr>
            </w:pPr>
            <w:r>
              <w:rPr>
                <w:rFonts w:hint="eastAsia" w:ascii="仿宋_GB2312" w:eastAsia="仿宋_GB2312" w:hAnsiTheme="minorEastAsia"/>
                <w:sz w:val="18"/>
                <w:szCs w:val="18"/>
              </w:rPr>
              <w:t>新增条款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支持电子商务园区建设补助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186.7</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54.34</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60</w:t>
            </w:r>
          </w:p>
        </w:tc>
        <w:tc>
          <w:tcPr>
            <w:tcW w:w="1276"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1058"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708" w:type="dxa"/>
            <w:vMerge w:val="restart"/>
            <w:vAlign w:val="center"/>
          </w:tcPr>
          <w:p>
            <w:pPr>
              <w:jc w:val="cente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删除条款</w:t>
            </w:r>
          </w:p>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电商数字化营销</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45.98</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44.5</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50</w:t>
            </w:r>
          </w:p>
        </w:tc>
        <w:tc>
          <w:tcPr>
            <w:tcW w:w="1276" w:type="dxa"/>
            <w:vAlign w:val="center"/>
          </w:tcPr>
          <w:p>
            <w:pPr>
              <w:jc w:val="center"/>
              <w:rPr>
                <w:rFonts w:cs="Times New Roman"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直播人才地方贡献奖励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50</w:t>
            </w:r>
          </w:p>
        </w:tc>
        <w:tc>
          <w:tcPr>
            <w:tcW w:w="1276"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Times New Roman" w:asciiTheme="minorEastAsia" w:hAnsiTheme="minorEastAsia"/>
                <w:sz w:val="18"/>
                <w:szCs w:val="18"/>
              </w:rPr>
              <w:t>/</w:t>
            </w:r>
          </w:p>
        </w:tc>
        <w:tc>
          <w:tcPr>
            <w:tcW w:w="708" w:type="dxa"/>
            <w:vMerge w:val="continue"/>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公益性小型培训活动补助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276" w:type="dxa"/>
            <w:vAlign w:val="center"/>
          </w:tcPr>
          <w:p>
            <w:pPr>
              <w:jc w:val="center"/>
              <w:rPr>
                <w:rFonts w:cs="Times New Roman"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Times New Roman"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举办公益性大型商贸论坛活动</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33.64</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建设义乌电商产业带</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跨境电商海外仓建设和应用</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208.95</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365.52</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400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加快各类监管平台建设</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227.74</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70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注册海外商标</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21.13</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8</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25</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跨境电商保税、直购进口规模奖励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116</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518</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大中型电商企业房租补助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74.6</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100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100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直播人才购房补助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MCN机构地方贡献奖励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500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MCN机构签约主播奖励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企业自播奖励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500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直播电商培训奖励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举办直播电商论坛、大赛补助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shd w:val="clear" w:color="auto" w:fill="DBE5F1" w:themeFill="accent1" w:themeFillTint="33"/>
            <w:vAlign w:val="center"/>
          </w:tcPr>
          <w:p>
            <w:pPr>
              <w:rPr>
                <w:rFonts w:ascii="黑体" w:eastAsia="黑体" w:cs="Times New Roman" w:hAnsiTheme="minorEastAsia"/>
                <w:b/>
                <w:sz w:val="18"/>
                <w:szCs w:val="18"/>
              </w:rPr>
            </w:pPr>
            <w:r>
              <w:rPr>
                <w:rFonts w:hint="eastAsia" w:ascii="黑体" w:eastAsia="黑体" w:cs="Times New Roman" w:hAnsiTheme="minorEastAsia"/>
                <w:b/>
                <w:sz w:val="18"/>
                <w:szCs w:val="18"/>
              </w:rPr>
              <w:t>合计</w:t>
            </w:r>
          </w:p>
        </w:tc>
        <w:tc>
          <w:tcPr>
            <w:tcW w:w="1134" w:type="dxa"/>
            <w:shd w:val="clear" w:color="auto" w:fill="DBE5F1" w:themeFill="accent1" w:themeFillTint="33"/>
            <w:vAlign w:val="center"/>
          </w:tcPr>
          <w:p>
            <w:pPr>
              <w:jc w:val="center"/>
              <w:rPr>
                <w:rFonts w:ascii="黑体" w:eastAsia="黑体" w:cs="宋体" w:hAnsiTheme="minorEastAsia"/>
                <w:b/>
                <w:sz w:val="18"/>
                <w:szCs w:val="18"/>
              </w:rPr>
            </w:pPr>
            <w:r>
              <w:rPr>
                <w:rFonts w:hint="eastAsia" w:ascii="黑体" w:eastAsia="黑体" w:cs="宋体" w:hAnsiTheme="minorEastAsia"/>
                <w:b/>
                <w:sz w:val="18"/>
                <w:szCs w:val="18"/>
              </w:rPr>
              <w:t>9113.25</w:t>
            </w:r>
          </w:p>
        </w:tc>
        <w:tc>
          <w:tcPr>
            <w:tcW w:w="1134" w:type="dxa"/>
            <w:shd w:val="clear" w:color="auto" w:fill="DBE5F1" w:themeFill="accent1" w:themeFillTint="33"/>
            <w:vAlign w:val="center"/>
          </w:tcPr>
          <w:p>
            <w:pPr>
              <w:jc w:val="center"/>
              <w:rPr>
                <w:rFonts w:ascii="黑体" w:eastAsia="黑体" w:cs="宋体" w:hAnsiTheme="minorEastAsia"/>
                <w:b/>
                <w:sz w:val="18"/>
                <w:szCs w:val="18"/>
              </w:rPr>
            </w:pPr>
            <w:r>
              <w:rPr>
                <w:rFonts w:hint="eastAsia" w:ascii="黑体" w:eastAsia="黑体" w:cs="宋体" w:hAnsiTheme="minorEastAsia"/>
                <w:b/>
                <w:sz w:val="18"/>
                <w:szCs w:val="18"/>
              </w:rPr>
              <w:t>24397.36</w:t>
            </w:r>
          </w:p>
        </w:tc>
        <w:tc>
          <w:tcPr>
            <w:tcW w:w="1134" w:type="dxa"/>
            <w:shd w:val="clear" w:color="auto" w:fill="DBE5F1" w:themeFill="accent1" w:themeFillTint="33"/>
            <w:vAlign w:val="center"/>
          </w:tcPr>
          <w:p>
            <w:pPr>
              <w:jc w:val="center"/>
              <w:rPr>
                <w:rFonts w:ascii="黑体" w:eastAsia="黑体" w:cs="宋体" w:hAnsiTheme="minorEastAsia"/>
                <w:b/>
                <w:sz w:val="18"/>
                <w:szCs w:val="18"/>
              </w:rPr>
            </w:pPr>
            <w:r>
              <w:rPr>
                <w:rFonts w:hint="eastAsia" w:ascii="黑体" w:eastAsia="黑体" w:cs="宋体" w:hAnsiTheme="minorEastAsia"/>
                <w:b/>
                <w:sz w:val="18"/>
                <w:szCs w:val="18"/>
              </w:rPr>
              <w:t>20350</w:t>
            </w:r>
          </w:p>
        </w:tc>
        <w:tc>
          <w:tcPr>
            <w:tcW w:w="1276" w:type="dxa"/>
            <w:shd w:val="clear" w:color="auto" w:fill="DBE5F1" w:themeFill="accent1" w:themeFillTint="33"/>
            <w:vAlign w:val="center"/>
          </w:tcPr>
          <w:p>
            <w:pPr>
              <w:jc w:val="center"/>
              <w:rPr>
                <w:rFonts w:ascii="黑体" w:eastAsia="黑体" w:cs="宋体" w:hAnsiTheme="minorEastAsia"/>
                <w:b/>
                <w:sz w:val="18"/>
                <w:szCs w:val="18"/>
              </w:rPr>
            </w:pPr>
            <w:r>
              <w:rPr>
                <w:rFonts w:hint="eastAsia" w:ascii="黑体" w:eastAsia="黑体" w:cs="宋体" w:hAnsiTheme="minorEastAsia"/>
                <w:b/>
                <w:sz w:val="18"/>
                <w:szCs w:val="18"/>
              </w:rPr>
              <w:t>15325</w:t>
            </w:r>
          </w:p>
        </w:tc>
        <w:tc>
          <w:tcPr>
            <w:tcW w:w="1058" w:type="dxa"/>
            <w:shd w:val="clear" w:color="auto" w:fill="DBE5F1" w:themeFill="accent1" w:themeFillTint="33"/>
            <w:vAlign w:val="center"/>
          </w:tcPr>
          <w:p>
            <w:pPr>
              <w:jc w:val="center"/>
              <w:rPr>
                <w:rFonts w:ascii="黑体" w:eastAsia="黑体" w:cs="宋体" w:hAnsiTheme="minorEastAsia"/>
                <w:b/>
                <w:sz w:val="18"/>
                <w:szCs w:val="18"/>
              </w:rPr>
            </w:pPr>
            <w:r>
              <w:rPr>
                <w:rFonts w:hint="eastAsia" w:ascii="黑体" w:eastAsia="黑体" w:cs="宋体" w:hAnsiTheme="minorEastAsia"/>
                <w:b/>
                <w:sz w:val="18"/>
                <w:szCs w:val="18"/>
              </w:rPr>
              <w:t>68.16%</w:t>
            </w:r>
          </w:p>
        </w:tc>
        <w:tc>
          <w:tcPr>
            <w:tcW w:w="708" w:type="dxa"/>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Merge w:val="continue"/>
            <w:vAlign w:val="center"/>
          </w:tcPr>
          <w:p>
            <w:pPr>
              <w:jc w:val="center"/>
              <w:rPr>
                <w:rFonts w:ascii="仿宋_GB2312" w:eastAsia="仿宋_GB2312"/>
                <w:sz w:val="18"/>
                <w:szCs w:val="18"/>
              </w:rPr>
            </w:pPr>
          </w:p>
        </w:tc>
        <w:tc>
          <w:tcPr>
            <w:tcW w:w="3828" w:type="dxa"/>
            <w:shd w:val="clear" w:color="auto" w:fill="DBE5F1" w:themeFill="accent1" w:themeFillTint="33"/>
            <w:vAlign w:val="center"/>
          </w:tcPr>
          <w:p>
            <w:pPr>
              <w:rPr>
                <w:rFonts w:ascii="黑体" w:eastAsia="黑体" w:cs="Times New Roman" w:hAnsiTheme="minorEastAsia"/>
                <w:b/>
                <w:sz w:val="18"/>
                <w:szCs w:val="18"/>
              </w:rPr>
            </w:pPr>
            <w:r>
              <w:rPr>
                <w:rFonts w:hint="eastAsia" w:ascii="黑体" w:eastAsia="黑体" w:cs="Times New Roman" w:hAnsiTheme="minorEastAsia"/>
                <w:b/>
                <w:sz w:val="18"/>
                <w:szCs w:val="18"/>
              </w:rPr>
              <w:t>合计(不含跨境电商9610.1210进口、直播基地)</w:t>
            </w:r>
          </w:p>
        </w:tc>
        <w:tc>
          <w:tcPr>
            <w:tcW w:w="1134" w:type="dxa"/>
            <w:shd w:val="clear" w:color="auto" w:fill="DBE5F1" w:themeFill="accent1" w:themeFillTint="33"/>
            <w:vAlign w:val="center"/>
          </w:tcPr>
          <w:p>
            <w:pPr>
              <w:jc w:val="center"/>
              <w:rPr>
                <w:rFonts w:ascii="黑体" w:eastAsia="黑体" w:cs="宋体" w:hAnsiTheme="minorEastAsia"/>
                <w:b/>
                <w:sz w:val="18"/>
                <w:szCs w:val="18"/>
              </w:rPr>
            </w:pPr>
            <w:r>
              <w:rPr>
                <w:rFonts w:hint="eastAsia" w:ascii="黑体" w:eastAsia="黑体" w:cs="宋体" w:hAnsiTheme="minorEastAsia"/>
                <w:b/>
                <w:sz w:val="18"/>
                <w:szCs w:val="18"/>
              </w:rPr>
              <w:t>1817.25</w:t>
            </w:r>
          </w:p>
        </w:tc>
        <w:tc>
          <w:tcPr>
            <w:tcW w:w="1134" w:type="dxa"/>
            <w:shd w:val="clear" w:color="auto" w:fill="DBE5F1" w:themeFill="accent1" w:themeFillTint="33"/>
            <w:vAlign w:val="center"/>
          </w:tcPr>
          <w:p>
            <w:pPr>
              <w:jc w:val="center"/>
              <w:rPr>
                <w:rFonts w:ascii="黑体" w:eastAsia="黑体" w:cs="宋体" w:hAnsiTheme="minorEastAsia"/>
                <w:b/>
                <w:sz w:val="18"/>
                <w:szCs w:val="18"/>
              </w:rPr>
            </w:pPr>
            <w:r>
              <w:rPr>
                <w:rFonts w:hint="eastAsia" w:ascii="黑体" w:eastAsia="黑体" w:cs="宋体" w:hAnsiTheme="minorEastAsia"/>
                <w:b/>
                <w:sz w:val="18"/>
                <w:szCs w:val="18"/>
              </w:rPr>
              <w:t>2071.36</w:t>
            </w:r>
          </w:p>
        </w:tc>
        <w:tc>
          <w:tcPr>
            <w:tcW w:w="1134" w:type="dxa"/>
            <w:shd w:val="clear" w:color="auto" w:fill="DBE5F1" w:themeFill="accent1" w:themeFillTint="33"/>
            <w:vAlign w:val="center"/>
          </w:tcPr>
          <w:p>
            <w:pPr>
              <w:jc w:val="center"/>
              <w:rPr>
                <w:rFonts w:ascii="黑体" w:eastAsia="黑体" w:cs="宋体" w:hAnsiTheme="minorEastAsia"/>
                <w:b/>
                <w:sz w:val="18"/>
                <w:szCs w:val="18"/>
              </w:rPr>
            </w:pPr>
            <w:r>
              <w:rPr>
                <w:rFonts w:hint="eastAsia" w:ascii="黑体" w:eastAsia="黑体" w:cs="宋体" w:hAnsiTheme="minorEastAsia"/>
                <w:b/>
                <w:sz w:val="18"/>
                <w:szCs w:val="18"/>
              </w:rPr>
              <w:t xml:space="preserve">3400 </w:t>
            </w:r>
          </w:p>
        </w:tc>
        <w:tc>
          <w:tcPr>
            <w:tcW w:w="1276" w:type="dxa"/>
            <w:shd w:val="clear" w:color="auto" w:fill="DBE5F1" w:themeFill="accent1" w:themeFillTint="33"/>
            <w:vAlign w:val="center"/>
          </w:tcPr>
          <w:p>
            <w:pPr>
              <w:jc w:val="center"/>
              <w:rPr>
                <w:rFonts w:ascii="黑体" w:eastAsia="黑体" w:cs="宋体" w:hAnsiTheme="minorEastAsia"/>
                <w:b/>
                <w:sz w:val="18"/>
                <w:szCs w:val="18"/>
              </w:rPr>
            </w:pPr>
            <w:r>
              <w:rPr>
                <w:rFonts w:hint="eastAsia" w:ascii="黑体" w:eastAsia="黑体" w:cs="宋体" w:hAnsiTheme="minorEastAsia"/>
                <w:b/>
                <w:sz w:val="18"/>
                <w:szCs w:val="18"/>
              </w:rPr>
              <w:t>1375</w:t>
            </w:r>
          </w:p>
        </w:tc>
        <w:tc>
          <w:tcPr>
            <w:tcW w:w="1058" w:type="dxa"/>
            <w:shd w:val="clear" w:color="auto" w:fill="DBE5F1" w:themeFill="accent1" w:themeFillTint="33"/>
            <w:vAlign w:val="center"/>
          </w:tcPr>
          <w:p>
            <w:pPr>
              <w:jc w:val="center"/>
              <w:rPr>
                <w:rFonts w:ascii="黑体" w:eastAsia="黑体" w:cs="宋体" w:hAnsiTheme="minorEastAsia"/>
                <w:b/>
                <w:sz w:val="18"/>
                <w:szCs w:val="18"/>
              </w:rPr>
            </w:pPr>
            <w:r>
              <w:rPr>
                <w:rFonts w:hint="eastAsia" w:ascii="黑体" w:eastAsia="黑体" w:cs="宋体" w:hAnsiTheme="minorEastAsia"/>
                <w:b/>
                <w:sz w:val="18"/>
                <w:szCs w:val="18"/>
              </w:rPr>
              <w:t>-24.34%</w:t>
            </w:r>
          </w:p>
        </w:tc>
        <w:tc>
          <w:tcPr>
            <w:tcW w:w="708" w:type="dxa"/>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restart"/>
            <w:vAlign w:val="center"/>
          </w:tcPr>
          <w:p>
            <w:pPr>
              <w:jc w:val="center"/>
              <w:rPr>
                <w:rFonts w:ascii="仿宋_GB2312" w:eastAsia="仿宋_GB2312"/>
                <w:sz w:val="18"/>
                <w:szCs w:val="18"/>
              </w:rPr>
            </w:pPr>
            <w:r>
              <w:rPr>
                <w:rFonts w:hint="eastAsia" w:ascii="仿宋_GB2312" w:eastAsia="仿宋_GB2312"/>
                <w:sz w:val="18"/>
                <w:szCs w:val="18"/>
              </w:rPr>
              <w:t>会展</w:t>
            </w: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展览活动</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841.9</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1050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900</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800</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708" w:type="dxa"/>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组团参展</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697.2</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740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500</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400</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-38%</w:t>
            </w:r>
          </w:p>
        </w:tc>
        <w:tc>
          <w:tcPr>
            <w:tcW w:w="708" w:type="dxa"/>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会议论坛</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5.7</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restart"/>
            <w:vAlign w:val="center"/>
          </w:tcPr>
          <w:p>
            <w:pPr>
              <w:jc w:val="cente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线上展览</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506.6</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276"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eastAsia="仿宋_GB2312"/>
                <w:sz w:val="18"/>
                <w:szCs w:val="18"/>
              </w:rPr>
            </w:pPr>
          </w:p>
        </w:tc>
        <w:tc>
          <w:tcPr>
            <w:tcW w:w="3828" w:type="dxa"/>
            <w:shd w:val="clear" w:color="auto" w:fill="DBE5F1" w:themeFill="accent1" w:themeFillTint="33"/>
            <w:vAlign w:val="center"/>
          </w:tcPr>
          <w:p>
            <w:pPr>
              <w:rPr>
                <w:rFonts w:ascii="黑体" w:eastAsia="黑体" w:cs="Times New Roman" w:hAnsiTheme="minorEastAsia"/>
                <w:b/>
                <w:sz w:val="18"/>
                <w:szCs w:val="18"/>
              </w:rPr>
            </w:pPr>
            <w:r>
              <w:rPr>
                <w:rFonts w:hint="eastAsia" w:ascii="黑体" w:eastAsia="黑体" w:cs="Times New Roman" w:hAnsiTheme="minorEastAsia"/>
                <w:b/>
                <w:sz w:val="18"/>
                <w:szCs w:val="18"/>
              </w:rPr>
              <w:t>合计</w:t>
            </w:r>
          </w:p>
        </w:tc>
        <w:tc>
          <w:tcPr>
            <w:tcW w:w="1134" w:type="dxa"/>
            <w:shd w:val="clear" w:color="auto" w:fill="DBE5F1" w:themeFill="accent1" w:themeFillTint="33"/>
            <w:vAlign w:val="center"/>
          </w:tcPr>
          <w:p>
            <w:pPr>
              <w:jc w:val="center"/>
              <w:rPr>
                <w:rFonts w:ascii="黑体" w:eastAsia="黑体" w:cs="宋体" w:hAnsiTheme="minorEastAsia"/>
                <w:b/>
                <w:bCs/>
                <w:sz w:val="18"/>
                <w:szCs w:val="18"/>
              </w:rPr>
            </w:pPr>
            <w:r>
              <w:rPr>
                <w:rFonts w:hint="eastAsia" w:ascii="黑体" w:eastAsia="黑体" w:hAnsiTheme="minorEastAsia"/>
                <w:b/>
                <w:bCs/>
                <w:sz w:val="18"/>
                <w:szCs w:val="18"/>
              </w:rPr>
              <w:t>2051.4</w:t>
            </w:r>
          </w:p>
        </w:tc>
        <w:tc>
          <w:tcPr>
            <w:tcW w:w="1134" w:type="dxa"/>
            <w:shd w:val="clear" w:color="auto" w:fill="DBE5F1" w:themeFill="accent1" w:themeFillTint="33"/>
            <w:vAlign w:val="center"/>
          </w:tcPr>
          <w:p>
            <w:pPr>
              <w:jc w:val="center"/>
              <w:rPr>
                <w:rFonts w:ascii="黑体" w:eastAsia="黑体" w:cs="宋体" w:hAnsiTheme="minorEastAsia"/>
                <w:b/>
                <w:bCs/>
                <w:sz w:val="18"/>
                <w:szCs w:val="18"/>
              </w:rPr>
            </w:pPr>
            <w:r>
              <w:rPr>
                <w:rFonts w:hint="eastAsia" w:ascii="黑体" w:eastAsia="黑体" w:hAnsiTheme="minorEastAsia"/>
                <w:b/>
                <w:bCs/>
                <w:sz w:val="18"/>
                <w:szCs w:val="18"/>
              </w:rPr>
              <w:t>1800</w:t>
            </w:r>
          </w:p>
        </w:tc>
        <w:tc>
          <w:tcPr>
            <w:tcW w:w="1134" w:type="dxa"/>
            <w:shd w:val="clear" w:color="auto" w:fill="DBE5F1" w:themeFill="accent1" w:themeFillTint="33"/>
            <w:vAlign w:val="center"/>
          </w:tcPr>
          <w:p>
            <w:pPr>
              <w:jc w:val="center"/>
              <w:rPr>
                <w:rFonts w:ascii="黑体" w:eastAsia="黑体" w:cs="宋体" w:hAnsiTheme="minorEastAsia"/>
                <w:b/>
                <w:bCs/>
                <w:sz w:val="18"/>
                <w:szCs w:val="18"/>
              </w:rPr>
            </w:pPr>
            <w:r>
              <w:rPr>
                <w:rFonts w:hint="eastAsia" w:ascii="黑体" w:eastAsia="黑体" w:hAnsiTheme="minorEastAsia"/>
                <w:b/>
                <w:bCs/>
                <w:sz w:val="18"/>
                <w:szCs w:val="18"/>
              </w:rPr>
              <w:t>1400</w:t>
            </w:r>
          </w:p>
        </w:tc>
        <w:tc>
          <w:tcPr>
            <w:tcW w:w="1276" w:type="dxa"/>
            <w:shd w:val="clear" w:color="auto" w:fill="DBE5F1" w:themeFill="accent1" w:themeFillTint="33"/>
            <w:vAlign w:val="center"/>
          </w:tcPr>
          <w:p>
            <w:pPr>
              <w:jc w:val="center"/>
              <w:rPr>
                <w:rFonts w:ascii="黑体" w:eastAsia="黑体" w:cs="宋体" w:hAnsiTheme="minorEastAsia"/>
                <w:b/>
                <w:bCs/>
                <w:sz w:val="18"/>
                <w:szCs w:val="18"/>
              </w:rPr>
            </w:pPr>
            <w:r>
              <w:rPr>
                <w:rFonts w:hint="eastAsia" w:ascii="黑体" w:eastAsia="黑体" w:hAnsiTheme="minorEastAsia"/>
                <w:b/>
                <w:bCs/>
                <w:sz w:val="18"/>
                <w:szCs w:val="18"/>
              </w:rPr>
              <w:t>1200</w:t>
            </w:r>
          </w:p>
        </w:tc>
        <w:tc>
          <w:tcPr>
            <w:tcW w:w="1058" w:type="dxa"/>
            <w:shd w:val="clear" w:color="auto" w:fill="DBE5F1" w:themeFill="accent1" w:themeFillTint="33"/>
            <w:vAlign w:val="center"/>
          </w:tcPr>
          <w:p>
            <w:pPr>
              <w:jc w:val="center"/>
              <w:rPr>
                <w:rFonts w:ascii="黑体" w:eastAsia="黑体" w:cs="宋体" w:hAnsiTheme="minorEastAsia"/>
                <w:b/>
                <w:sz w:val="18"/>
                <w:szCs w:val="18"/>
              </w:rPr>
            </w:pPr>
            <w:r>
              <w:rPr>
                <w:rFonts w:hint="eastAsia" w:ascii="黑体" w:eastAsia="黑体" w:hAnsiTheme="minorEastAsia"/>
                <w:b/>
                <w:sz w:val="18"/>
                <w:szCs w:val="18"/>
              </w:rPr>
              <w:t>-41.5%</w:t>
            </w:r>
          </w:p>
        </w:tc>
        <w:tc>
          <w:tcPr>
            <w:tcW w:w="708" w:type="dxa"/>
            <w:vAlign w:val="center"/>
          </w:tcPr>
          <w:p>
            <w:pPr>
              <w:jc w:val="center"/>
              <w:rPr>
                <w:rFonts w:ascii="仿宋_GB2312" w:eastAsia="仿宋_GB2312" w:cs="宋体"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restart"/>
            <w:vAlign w:val="center"/>
          </w:tcPr>
          <w:p>
            <w:pPr>
              <w:jc w:val="center"/>
              <w:rPr>
                <w:rFonts w:ascii="仿宋_GB2312" w:eastAsia="仿宋_GB2312"/>
                <w:sz w:val="18"/>
                <w:szCs w:val="18"/>
              </w:rPr>
            </w:pPr>
            <w:r>
              <w:rPr>
                <w:rFonts w:hint="eastAsia" w:ascii="仿宋_GB2312" w:hAnsi="Calibri" w:eastAsia="仿宋_GB2312" w:cs="Times New Roman"/>
                <w:sz w:val="18"/>
                <w:szCs w:val="18"/>
              </w:rPr>
              <w:t>物流与口岸</w:t>
            </w:r>
          </w:p>
        </w:tc>
        <w:tc>
          <w:tcPr>
            <w:tcW w:w="3828" w:type="dxa"/>
            <w:vAlign w:val="center"/>
          </w:tcPr>
          <w:p>
            <w:pPr>
              <w:textAlignment w:val="baseline"/>
              <w:rPr>
                <w:rFonts w:ascii="仿宋_GB2312" w:eastAsia="仿宋_GB2312" w:cs="Times New Roman" w:hAnsiTheme="minorEastAsia"/>
                <w:sz w:val="18"/>
                <w:szCs w:val="18"/>
              </w:rPr>
            </w:pPr>
            <w:r>
              <w:rPr>
                <w:rFonts w:hint="eastAsia" w:ascii="仿宋_GB2312" w:eastAsia="仿宋_GB2312" w:cs="Times New Roman" w:hAnsiTheme="minorEastAsia"/>
                <w:spacing w:val="-6"/>
                <w:sz w:val="18"/>
                <w:szCs w:val="18"/>
              </w:rPr>
              <w:t>物流企业缴纳税费规模奖励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35</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75</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30</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-14.3%</w:t>
            </w:r>
          </w:p>
        </w:tc>
        <w:tc>
          <w:tcPr>
            <w:tcW w:w="708" w:type="dxa"/>
            <w:vAlign w:val="center"/>
          </w:tcPr>
          <w:p>
            <w:pPr>
              <w:jc w:val="center"/>
              <w:rPr>
                <w:rFonts w:ascii="仿宋_GB2312" w:eastAsia="仿宋_GB2312" w:cs="宋体"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textAlignment w:val="baseline"/>
              <w:rPr>
                <w:rFonts w:ascii="仿宋_GB2312" w:eastAsia="仿宋_GB2312" w:cs="Times New Roman" w:hAnsiTheme="minorEastAsia"/>
                <w:spacing w:val="-6"/>
                <w:sz w:val="18"/>
                <w:szCs w:val="18"/>
              </w:rPr>
            </w:pPr>
            <w:r>
              <w:rPr>
                <w:rFonts w:hint="eastAsia" w:ascii="仿宋_GB2312" w:eastAsia="仿宋_GB2312" w:cs="Times New Roman" w:hAnsiTheme="minorEastAsia"/>
                <w:sz w:val="18"/>
                <w:szCs w:val="18"/>
              </w:rPr>
              <w:t>购置运输车辆补助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63.4</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70.26</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35</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-44.8%</w:t>
            </w:r>
          </w:p>
        </w:tc>
        <w:tc>
          <w:tcPr>
            <w:tcW w:w="708" w:type="dxa"/>
            <w:vAlign w:val="center"/>
          </w:tcPr>
          <w:p>
            <w:pPr>
              <w:jc w:val="center"/>
              <w:rPr>
                <w:rFonts w:ascii="仿宋_GB2312" w:eastAsia="仿宋_GB2312" w:cs="宋体"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textAlignment w:val="baseline"/>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运输车辆吨位规模奖励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-33%</w:t>
            </w:r>
          </w:p>
        </w:tc>
        <w:tc>
          <w:tcPr>
            <w:tcW w:w="708" w:type="dxa"/>
            <w:vAlign w:val="center"/>
          </w:tcPr>
          <w:p>
            <w:pPr>
              <w:jc w:val="center"/>
              <w:rPr>
                <w:rFonts w:ascii="仿宋_GB2312" w:eastAsia="仿宋_GB2312" w:cs="宋体"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textAlignment w:val="baseline"/>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发挥试点示范带动效应</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60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30</w:t>
            </w:r>
          </w:p>
        </w:tc>
        <w:tc>
          <w:tcPr>
            <w:tcW w:w="1058" w:type="dxa"/>
            <w:vAlign w:val="center"/>
          </w:tcPr>
          <w:p>
            <w:pPr>
              <w:jc w:val="center"/>
              <w:rPr>
                <w:rFonts w:cs="宋体" w:asciiTheme="minorEastAsia" w:hAnsiTheme="minorEastAsia"/>
                <w:sz w:val="18"/>
                <w:szCs w:val="18"/>
              </w:rPr>
            </w:pPr>
          </w:p>
        </w:tc>
        <w:tc>
          <w:tcPr>
            <w:tcW w:w="708" w:type="dxa"/>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推动集装箱班轮公司落地箱管权限</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400</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400</w:t>
            </w:r>
          </w:p>
        </w:tc>
        <w:tc>
          <w:tcPr>
            <w:tcW w:w="1058" w:type="dxa"/>
            <w:vAlign w:val="center"/>
          </w:tcPr>
          <w:p>
            <w:pPr>
              <w:jc w:val="center"/>
              <w:rPr>
                <w:rFonts w:cs="宋体" w:asciiTheme="minorEastAsia" w:hAnsiTheme="minorEastAsia"/>
                <w:sz w:val="18"/>
                <w:szCs w:val="18"/>
              </w:rPr>
            </w:pPr>
          </w:p>
        </w:tc>
        <w:tc>
          <w:tcPr>
            <w:tcW w:w="708" w:type="dxa"/>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鼓励在义乌堆场提还箱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195.93</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140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500</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300</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53%</w:t>
            </w:r>
          </w:p>
        </w:tc>
        <w:tc>
          <w:tcPr>
            <w:tcW w:w="708" w:type="dxa"/>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指定口岸进口商品奖励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191.85</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1700.45</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430</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550</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186%</w:t>
            </w:r>
          </w:p>
        </w:tc>
        <w:tc>
          <w:tcPr>
            <w:tcW w:w="708" w:type="dxa"/>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集装箱海铁联运业务重箱补助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958.27</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600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1050</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1100</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25%</w:t>
            </w:r>
          </w:p>
        </w:tc>
        <w:tc>
          <w:tcPr>
            <w:tcW w:w="708" w:type="dxa"/>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拓宽航空物流通道</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300</w:t>
            </w:r>
          </w:p>
        </w:tc>
        <w:tc>
          <w:tcPr>
            <w:tcW w:w="1058" w:type="dxa"/>
            <w:vAlign w:val="center"/>
          </w:tcPr>
          <w:p>
            <w:pPr>
              <w:jc w:val="center"/>
              <w:rPr>
                <w:rFonts w:cs="宋体" w:asciiTheme="minorEastAsia" w:hAnsiTheme="minorEastAsia"/>
                <w:sz w:val="18"/>
                <w:szCs w:val="18"/>
              </w:rPr>
            </w:pPr>
          </w:p>
        </w:tc>
        <w:tc>
          <w:tcPr>
            <w:tcW w:w="708" w:type="dxa"/>
            <w:vMerge w:val="restart"/>
            <w:vAlign w:val="center"/>
          </w:tcPr>
          <w:p>
            <w:pPr>
              <w:jc w:val="center"/>
              <w:rPr>
                <w:rFonts w:ascii="仿宋_GB2312" w:eastAsia="仿宋_GB2312" w:hAnsiTheme="minorEastAsia"/>
                <w:sz w:val="18"/>
                <w:szCs w:val="18"/>
              </w:rPr>
            </w:pPr>
            <w:r>
              <w:rPr>
                <w:rFonts w:hint="eastAsia" w:ascii="仿宋_GB2312" w:eastAsia="仿宋_GB2312" w:cs="Times New Roman" w:hAnsiTheme="minorEastAsia"/>
                <w:sz w:val="18"/>
                <w:szCs w:val="18"/>
              </w:rPr>
              <w:t>新增条款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支持企业扩大经营规模（物流）</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10</w:t>
            </w:r>
          </w:p>
        </w:tc>
        <w:tc>
          <w:tcPr>
            <w:tcW w:w="1058" w:type="dxa"/>
            <w:vAlign w:val="center"/>
          </w:tcPr>
          <w:p>
            <w:pPr>
              <w:jc w:val="center"/>
              <w:rPr>
                <w:rFonts w:cs="Times New Roman" w:asciiTheme="minorEastAsia" w:hAnsiTheme="minorEastAsia"/>
                <w:sz w:val="18"/>
                <w:szCs w:val="18"/>
              </w:rPr>
            </w:pPr>
          </w:p>
        </w:tc>
        <w:tc>
          <w:tcPr>
            <w:tcW w:w="708" w:type="dxa"/>
            <w:vMerge w:val="continue"/>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eastAsia="仿宋_GB2312"/>
                <w:sz w:val="18"/>
                <w:szCs w:val="18"/>
              </w:rPr>
            </w:pPr>
          </w:p>
        </w:tc>
        <w:tc>
          <w:tcPr>
            <w:tcW w:w="3828" w:type="dxa"/>
            <w:vAlign w:val="center"/>
          </w:tcPr>
          <w:p>
            <w:pPr>
              <w:textAlignment w:val="baseline"/>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物流信息化发展</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49.56</w:t>
            </w:r>
          </w:p>
        </w:tc>
        <w:tc>
          <w:tcPr>
            <w:tcW w:w="1134" w:type="dxa"/>
            <w:tcBorders>
              <w:bottom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69.98</w:t>
            </w:r>
          </w:p>
        </w:tc>
        <w:tc>
          <w:tcPr>
            <w:tcW w:w="1134" w:type="dxa"/>
            <w:tcBorders>
              <w:bottom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restart"/>
            <w:vAlign w:val="center"/>
          </w:tcPr>
          <w:p>
            <w:pPr>
              <w:jc w:val="cente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textAlignment w:val="baseline"/>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城市物流配送</w:t>
            </w:r>
          </w:p>
        </w:tc>
        <w:tc>
          <w:tcPr>
            <w:tcW w:w="1134" w:type="dxa"/>
            <w:tcBorders>
              <w:righ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tcBorders>
              <w:lef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完善义乌“始发港”功能</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加大集装箱班轮公司义乌堆场空箱进场量</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300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在义乌堆场开展拆空还箱业务</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集装箱班轮公司设立经营性机构</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150</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集装箱班轮公司开展企业定制服务</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取得直接海运订舱代理资质</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200</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转运至指定口岸冷链运输补助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27.83</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269.1</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70</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保税物流中心报关补助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141.48</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220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转口贸易奖励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9.20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运输至保税物流中心运输补助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403.01</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350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年入库进口货值规模奖励</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2620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2100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保税仓仓库租金补助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220.96</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310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保税基础设施改造补助</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0</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rPr>
                <w:rFonts w:ascii="仿宋_GB2312" w:hAnsi="Calibri" w:eastAsia="仿宋_GB2312" w:cs="Times New Roman"/>
                <w:sz w:val="18"/>
                <w:szCs w:val="18"/>
              </w:rPr>
            </w:pPr>
          </w:p>
        </w:tc>
        <w:tc>
          <w:tcPr>
            <w:tcW w:w="3828" w:type="dxa"/>
            <w:vAlign w:val="center"/>
          </w:tcPr>
          <w:p>
            <w:pPr>
              <w:rPr>
                <w:rFonts w:ascii="仿宋_GB2312" w:eastAsia="仿宋_GB2312" w:cs="Times New Roman" w:hAnsiTheme="minorEastAsia"/>
                <w:sz w:val="18"/>
                <w:szCs w:val="18"/>
              </w:rPr>
            </w:pPr>
            <w:r>
              <w:rPr>
                <w:rFonts w:hint="eastAsia" w:ascii="仿宋_GB2312" w:eastAsia="仿宋_GB2312" w:cs="Times New Roman" w:hAnsiTheme="minorEastAsia"/>
                <w:sz w:val="18"/>
                <w:szCs w:val="18"/>
              </w:rPr>
              <w:t>外贸企业免除吊装移位仓储费用</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105.12</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178</w:t>
            </w:r>
          </w:p>
        </w:tc>
        <w:tc>
          <w:tcPr>
            <w:tcW w:w="113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50</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1058"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w:t>
            </w:r>
          </w:p>
        </w:tc>
        <w:tc>
          <w:tcPr>
            <w:tcW w:w="708" w:type="dxa"/>
            <w:vMerge w:val="continue"/>
            <w:vAlign w:val="center"/>
          </w:tcPr>
          <w:p>
            <w:pPr>
              <w:jc w:val="center"/>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4" w:type="dxa"/>
            <w:vMerge w:val="continue"/>
            <w:vAlign w:val="center"/>
          </w:tcPr>
          <w:p>
            <w:pPr>
              <w:jc w:val="center"/>
              <w:textAlignment w:val="baseline"/>
              <w:rPr>
                <w:rFonts w:ascii="仿宋_GB2312" w:hAnsi="Times New Roman" w:eastAsia="仿宋_GB2312" w:cs="Times New Roman"/>
                <w:sz w:val="18"/>
                <w:szCs w:val="18"/>
              </w:rPr>
            </w:pPr>
          </w:p>
        </w:tc>
        <w:tc>
          <w:tcPr>
            <w:tcW w:w="3828" w:type="dxa"/>
            <w:shd w:val="clear" w:color="auto" w:fill="DBE5F1" w:themeFill="accent1" w:themeFillTint="33"/>
            <w:vAlign w:val="center"/>
          </w:tcPr>
          <w:p>
            <w:pPr>
              <w:rPr>
                <w:rFonts w:ascii="黑体" w:eastAsia="黑体" w:cs="Times New Roman" w:hAnsiTheme="minorEastAsia"/>
                <w:b/>
                <w:sz w:val="18"/>
                <w:szCs w:val="18"/>
              </w:rPr>
            </w:pPr>
            <w:r>
              <w:rPr>
                <w:rFonts w:hint="eastAsia" w:ascii="黑体" w:eastAsia="黑体" w:cs="Times New Roman" w:hAnsiTheme="minorEastAsia"/>
                <w:b/>
                <w:sz w:val="18"/>
                <w:szCs w:val="18"/>
              </w:rPr>
              <w:t>合计</w:t>
            </w:r>
          </w:p>
        </w:tc>
        <w:tc>
          <w:tcPr>
            <w:tcW w:w="1134" w:type="dxa"/>
            <w:shd w:val="clear" w:color="auto" w:fill="DBE5F1" w:themeFill="accent1" w:themeFillTint="33"/>
            <w:vAlign w:val="center"/>
          </w:tcPr>
          <w:p>
            <w:pPr>
              <w:jc w:val="center"/>
              <w:rPr>
                <w:rFonts w:ascii="黑体" w:hAnsi="宋体" w:eastAsia="黑体" w:cs="宋体"/>
                <w:b/>
                <w:bCs/>
                <w:color w:val="000000"/>
                <w:sz w:val="18"/>
                <w:szCs w:val="18"/>
              </w:rPr>
            </w:pPr>
            <w:r>
              <w:rPr>
                <w:rFonts w:hint="eastAsia" w:ascii="黑体" w:eastAsia="黑体"/>
                <w:b/>
                <w:bCs/>
                <w:color w:val="000000"/>
                <w:sz w:val="18"/>
                <w:szCs w:val="18"/>
              </w:rPr>
              <w:t>5051.61</w:t>
            </w:r>
          </w:p>
        </w:tc>
        <w:tc>
          <w:tcPr>
            <w:tcW w:w="1134" w:type="dxa"/>
            <w:shd w:val="clear" w:color="auto" w:fill="DBE5F1" w:themeFill="accent1" w:themeFillTint="33"/>
            <w:vAlign w:val="center"/>
          </w:tcPr>
          <w:p>
            <w:pPr>
              <w:jc w:val="center"/>
              <w:rPr>
                <w:rFonts w:ascii="黑体" w:hAnsi="宋体" w:eastAsia="黑体" w:cs="宋体"/>
                <w:b/>
                <w:bCs/>
                <w:color w:val="000000"/>
                <w:sz w:val="18"/>
                <w:szCs w:val="18"/>
              </w:rPr>
            </w:pPr>
            <w:r>
              <w:rPr>
                <w:rFonts w:hint="eastAsia" w:ascii="黑体" w:eastAsia="黑体"/>
                <w:b/>
                <w:bCs/>
                <w:color w:val="000000"/>
                <w:sz w:val="18"/>
                <w:szCs w:val="18"/>
              </w:rPr>
              <w:t>6842.79</w:t>
            </w:r>
          </w:p>
        </w:tc>
        <w:tc>
          <w:tcPr>
            <w:tcW w:w="1134" w:type="dxa"/>
            <w:shd w:val="clear" w:color="auto" w:fill="DBE5F1" w:themeFill="accent1" w:themeFillTint="33"/>
            <w:vAlign w:val="center"/>
          </w:tcPr>
          <w:p>
            <w:pPr>
              <w:jc w:val="center"/>
              <w:rPr>
                <w:rFonts w:ascii="黑体" w:hAnsi="宋体" w:eastAsia="黑体" w:cs="宋体"/>
                <w:b/>
                <w:bCs/>
                <w:color w:val="000000"/>
                <w:sz w:val="18"/>
                <w:szCs w:val="18"/>
              </w:rPr>
            </w:pPr>
            <w:r>
              <w:rPr>
                <w:rFonts w:hint="eastAsia" w:ascii="黑体" w:eastAsia="黑体"/>
                <w:b/>
                <w:bCs/>
                <w:color w:val="000000"/>
                <w:sz w:val="18"/>
                <w:szCs w:val="18"/>
              </w:rPr>
              <w:t>2870</w:t>
            </w:r>
          </w:p>
        </w:tc>
        <w:tc>
          <w:tcPr>
            <w:tcW w:w="1276" w:type="dxa"/>
            <w:shd w:val="clear" w:color="auto" w:fill="DBE5F1" w:themeFill="accent1" w:themeFillTint="33"/>
            <w:vAlign w:val="center"/>
          </w:tcPr>
          <w:p>
            <w:pPr>
              <w:jc w:val="center"/>
              <w:rPr>
                <w:rFonts w:ascii="黑体" w:hAnsi="宋体" w:eastAsia="黑体" w:cs="宋体"/>
                <w:b/>
                <w:bCs/>
                <w:color w:val="000000"/>
                <w:sz w:val="18"/>
                <w:szCs w:val="18"/>
              </w:rPr>
            </w:pPr>
            <w:r>
              <w:rPr>
                <w:rFonts w:hint="eastAsia" w:ascii="黑体" w:eastAsia="黑体"/>
                <w:b/>
                <w:bCs/>
                <w:color w:val="000000"/>
                <w:sz w:val="18"/>
                <w:szCs w:val="18"/>
              </w:rPr>
              <w:t>2775</w:t>
            </w:r>
          </w:p>
        </w:tc>
        <w:tc>
          <w:tcPr>
            <w:tcW w:w="1058" w:type="dxa"/>
            <w:shd w:val="clear" w:color="auto" w:fill="DBE5F1" w:themeFill="accent1" w:themeFillTint="33"/>
            <w:vAlign w:val="center"/>
          </w:tcPr>
          <w:p>
            <w:pPr>
              <w:jc w:val="center"/>
              <w:rPr>
                <w:rFonts w:ascii="黑体" w:hAnsi="宋体" w:eastAsia="黑体" w:cs="宋体"/>
                <w:b/>
                <w:bCs/>
                <w:color w:val="000000"/>
                <w:sz w:val="18"/>
                <w:szCs w:val="18"/>
              </w:rPr>
            </w:pPr>
            <w:r>
              <w:rPr>
                <w:rFonts w:hint="eastAsia" w:ascii="黑体" w:eastAsia="黑体"/>
                <w:b/>
                <w:bCs/>
                <w:color w:val="000000"/>
                <w:sz w:val="18"/>
                <w:szCs w:val="18"/>
              </w:rPr>
              <w:t>-45.07%</w:t>
            </w:r>
          </w:p>
        </w:tc>
        <w:tc>
          <w:tcPr>
            <w:tcW w:w="708" w:type="dxa"/>
            <w:vAlign w:val="center"/>
          </w:tcPr>
          <w:p>
            <w:pPr>
              <w:jc w:val="center"/>
              <w:textAlignment w:val="baseline"/>
              <w:rPr>
                <w:rFonts w:ascii="仿宋_GB2312" w:eastAsia="仿宋_GB2312" w:cs="Times New Roman"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92" w:type="dxa"/>
            <w:gridSpan w:val="2"/>
            <w:shd w:val="clear" w:color="auto" w:fill="DBE5F1" w:themeFill="accent1" w:themeFillTint="33"/>
            <w:vAlign w:val="center"/>
          </w:tcPr>
          <w:p>
            <w:pPr>
              <w:jc w:val="left"/>
              <w:rPr>
                <w:rFonts w:ascii="黑体" w:hAnsi="黑体" w:eastAsia="黑体"/>
                <w:b/>
                <w:bCs/>
                <w:sz w:val="18"/>
                <w:szCs w:val="18"/>
              </w:rPr>
            </w:pPr>
            <w:r>
              <w:rPr>
                <w:rFonts w:hint="eastAsia" w:ascii="黑体" w:hAnsi="黑体" w:eastAsia="黑体"/>
                <w:b/>
                <w:bCs/>
                <w:sz w:val="18"/>
                <w:szCs w:val="18"/>
              </w:rPr>
              <w:t>总计</w:t>
            </w:r>
          </w:p>
        </w:tc>
        <w:tc>
          <w:tcPr>
            <w:tcW w:w="1134" w:type="dxa"/>
            <w:shd w:val="clear" w:color="auto" w:fill="DBE5F1" w:themeFill="accent1" w:themeFillTint="33"/>
            <w:vAlign w:val="center"/>
          </w:tcPr>
          <w:p>
            <w:pPr>
              <w:jc w:val="center"/>
              <w:rPr>
                <w:rFonts w:ascii="黑体" w:hAnsi="黑体" w:eastAsia="黑体"/>
                <w:b/>
                <w:bCs/>
                <w:sz w:val="18"/>
                <w:szCs w:val="18"/>
              </w:rPr>
            </w:pPr>
            <w:r>
              <w:rPr>
                <w:rFonts w:hint="eastAsia" w:ascii="黑体" w:hAnsi="黑体" w:eastAsia="黑体"/>
                <w:b/>
                <w:bCs/>
                <w:sz w:val="18"/>
                <w:szCs w:val="18"/>
              </w:rPr>
              <w:t>16216.26</w:t>
            </w:r>
          </w:p>
        </w:tc>
        <w:tc>
          <w:tcPr>
            <w:tcW w:w="1134" w:type="dxa"/>
            <w:shd w:val="clear" w:color="auto" w:fill="DBE5F1" w:themeFill="accent1" w:themeFillTint="33"/>
            <w:vAlign w:val="center"/>
          </w:tcPr>
          <w:p>
            <w:pPr>
              <w:jc w:val="center"/>
              <w:rPr>
                <w:rFonts w:ascii="黑体" w:hAnsi="黑体" w:eastAsia="黑体"/>
                <w:b/>
                <w:bCs/>
                <w:sz w:val="18"/>
                <w:szCs w:val="18"/>
              </w:rPr>
            </w:pPr>
            <w:r>
              <w:rPr>
                <w:rFonts w:hint="eastAsia" w:ascii="黑体" w:hAnsi="黑体" w:eastAsia="黑体"/>
                <w:b/>
                <w:bCs/>
                <w:sz w:val="18"/>
                <w:szCs w:val="18"/>
              </w:rPr>
              <w:t>33040.15</w:t>
            </w:r>
          </w:p>
        </w:tc>
        <w:tc>
          <w:tcPr>
            <w:tcW w:w="1134" w:type="dxa"/>
            <w:shd w:val="clear" w:color="auto" w:fill="DBE5F1" w:themeFill="accent1" w:themeFillTint="33"/>
            <w:vAlign w:val="center"/>
          </w:tcPr>
          <w:p>
            <w:pPr>
              <w:jc w:val="center"/>
              <w:rPr>
                <w:rFonts w:ascii="黑体" w:hAnsi="黑体" w:eastAsia="黑体"/>
                <w:b/>
                <w:bCs/>
                <w:sz w:val="18"/>
                <w:szCs w:val="18"/>
              </w:rPr>
            </w:pPr>
            <w:r>
              <w:rPr>
                <w:rFonts w:hint="eastAsia" w:ascii="黑体" w:hAnsi="黑体" w:eastAsia="黑体"/>
                <w:b/>
                <w:bCs/>
                <w:sz w:val="18"/>
                <w:szCs w:val="18"/>
              </w:rPr>
              <w:t xml:space="preserve">24620 </w:t>
            </w:r>
          </w:p>
        </w:tc>
        <w:tc>
          <w:tcPr>
            <w:tcW w:w="1276" w:type="dxa"/>
            <w:shd w:val="clear" w:color="auto" w:fill="DBE5F1" w:themeFill="accent1" w:themeFillTint="33"/>
            <w:vAlign w:val="center"/>
          </w:tcPr>
          <w:p>
            <w:pPr>
              <w:jc w:val="center"/>
              <w:rPr>
                <w:rFonts w:ascii="黑体" w:hAnsi="黑体" w:eastAsia="黑体"/>
                <w:b/>
                <w:bCs/>
                <w:sz w:val="18"/>
                <w:szCs w:val="18"/>
              </w:rPr>
            </w:pPr>
            <w:r>
              <w:rPr>
                <w:rFonts w:hint="eastAsia" w:ascii="黑体" w:hAnsi="黑体" w:eastAsia="黑体"/>
                <w:b/>
                <w:bCs/>
                <w:sz w:val="18"/>
                <w:szCs w:val="18"/>
              </w:rPr>
              <w:t>19300</w:t>
            </w:r>
          </w:p>
        </w:tc>
        <w:tc>
          <w:tcPr>
            <w:tcW w:w="1058" w:type="dxa"/>
            <w:shd w:val="clear" w:color="auto" w:fill="DBE5F1" w:themeFill="accent1" w:themeFillTint="33"/>
            <w:vAlign w:val="center"/>
          </w:tcPr>
          <w:p>
            <w:pPr>
              <w:jc w:val="center"/>
              <w:rPr>
                <w:rFonts w:ascii="黑体" w:hAnsi="黑体" w:eastAsia="黑体"/>
                <w:b/>
                <w:bCs/>
                <w:sz w:val="18"/>
                <w:szCs w:val="18"/>
              </w:rPr>
            </w:pPr>
            <w:r>
              <w:rPr>
                <w:rFonts w:hint="eastAsia" w:ascii="黑体" w:hAnsi="黑体" w:eastAsia="黑体"/>
                <w:b/>
                <w:bCs/>
                <w:sz w:val="18"/>
                <w:szCs w:val="18"/>
              </w:rPr>
              <w:t>19.02%</w:t>
            </w:r>
          </w:p>
        </w:tc>
        <w:tc>
          <w:tcPr>
            <w:tcW w:w="708" w:type="dxa"/>
            <w:vAlign w:val="center"/>
          </w:tcPr>
          <w:p>
            <w:pPr>
              <w:jc w:val="center"/>
              <w:rPr>
                <w:rFonts w:ascii="黑体" w:hAnsi="黑体"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92" w:type="dxa"/>
            <w:gridSpan w:val="2"/>
            <w:shd w:val="clear" w:color="auto" w:fill="DBE5F1" w:themeFill="accent1" w:themeFillTint="33"/>
            <w:vAlign w:val="center"/>
          </w:tcPr>
          <w:p>
            <w:pPr>
              <w:jc w:val="center"/>
              <w:rPr>
                <w:rFonts w:ascii="黑体" w:hAnsi="黑体" w:eastAsia="黑体"/>
                <w:b/>
                <w:bCs/>
                <w:sz w:val="18"/>
                <w:szCs w:val="18"/>
              </w:rPr>
            </w:pPr>
            <w:r>
              <w:rPr>
                <w:rFonts w:hint="eastAsia" w:ascii="黑体" w:hAnsi="黑体" w:eastAsia="黑体"/>
                <w:b/>
                <w:bCs/>
                <w:sz w:val="18"/>
                <w:szCs w:val="18"/>
              </w:rPr>
              <w:t>总计（不含跨境电商9610.1210进口、直播基地）</w:t>
            </w:r>
          </w:p>
        </w:tc>
        <w:tc>
          <w:tcPr>
            <w:tcW w:w="1134" w:type="dxa"/>
            <w:shd w:val="clear" w:color="auto" w:fill="DBE5F1" w:themeFill="accent1" w:themeFillTint="33"/>
            <w:vAlign w:val="center"/>
          </w:tcPr>
          <w:p>
            <w:pPr>
              <w:jc w:val="center"/>
              <w:rPr>
                <w:rFonts w:ascii="黑体" w:hAnsi="黑体" w:eastAsia="黑体"/>
                <w:b/>
                <w:bCs/>
                <w:sz w:val="18"/>
                <w:szCs w:val="18"/>
              </w:rPr>
            </w:pPr>
            <w:r>
              <w:rPr>
                <w:rFonts w:hint="eastAsia" w:ascii="黑体" w:hAnsi="黑体" w:eastAsia="黑体"/>
                <w:b/>
                <w:bCs/>
                <w:sz w:val="18"/>
                <w:szCs w:val="18"/>
              </w:rPr>
              <w:t>8920.26</w:t>
            </w:r>
          </w:p>
        </w:tc>
        <w:tc>
          <w:tcPr>
            <w:tcW w:w="1134" w:type="dxa"/>
            <w:shd w:val="clear" w:color="auto" w:fill="DBE5F1" w:themeFill="accent1" w:themeFillTint="33"/>
            <w:vAlign w:val="center"/>
          </w:tcPr>
          <w:p>
            <w:pPr>
              <w:jc w:val="center"/>
              <w:rPr>
                <w:rFonts w:ascii="黑体" w:hAnsi="黑体" w:eastAsia="黑体"/>
                <w:b/>
                <w:bCs/>
                <w:sz w:val="18"/>
                <w:szCs w:val="18"/>
              </w:rPr>
            </w:pPr>
            <w:r>
              <w:rPr>
                <w:rFonts w:hint="eastAsia" w:ascii="黑体" w:hAnsi="黑体" w:eastAsia="黑体"/>
                <w:b/>
                <w:bCs/>
                <w:sz w:val="18"/>
                <w:szCs w:val="18"/>
              </w:rPr>
              <w:t>10714.15</w:t>
            </w:r>
          </w:p>
        </w:tc>
        <w:tc>
          <w:tcPr>
            <w:tcW w:w="1134" w:type="dxa"/>
            <w:shd w:val="clear" w:color="auto" w:fill="DBE5F1" w:themeFill="accent1" w:themeFillTint="33"/>
            <w:vAlign w:val="center"/>
          </w:tcPr>
          <w:p>
            <w:pPr>
              <w:jc w:val="center"/>
              <w:rPr>
                <w:rFonts w:ascii="黑体" w:hAnsi="黑体" w:eastAsia="黑体"/>
                <w:b/>
                <w:bCs/>
                <w:sz w:val="18"/>
                <w:szCs w:val="18"/>
              </w:rPr>
            </w:pPr>
            <w:r>
              <w:rPr>
                <w:rFonts w:hint="eastAsia" w:ascii="黑体" w:hAnsi="黑体" w:eastAsia="黑体"/>
                <w:b/>
                <w:bCs/>
                <w:sz w:val="18"/>
                <w:szCs w:val="18"/>
              </w:rPr>
              <w:t xml:space="preserve">7670 </w:t>
            </w:r>
          </w:p>
        </w:tc>
        <w:tc>
          <w:tcPr>
            <w:tcW w:w="1276" w:type="dxa"/>
            <w:shd w:val="clear" w:color="auto" w:fill="DBE5F1" w:themeFill="accent1" w:themeFillTint="33"/>
            <w:vAlign w:val="center"/>
          </w:tcPr>
          <w:p>
            <w:pPr>
              <w:jc w:val="center"/>
              <w:rPr>
                <w:rFonts w:ascii="黑体" w:hAnsi="黑体" w:eastAsia="黑体"/>
                <w:b/>
                <w:bCs/>
                <w:sz w:val="18"/>
                <w:szCs w:val="18"/>
              </w:rPr>
            </w:pPr>
            <w:r>
              <w:rPr>
                <w:rFonts w:hint="eastAsia" w:ascii="黑体" w:hAnsi="黑体" w:eastAsia="黑体"/>
                <w:b/>
                <w:bCs/>
                <w:sz w:val="18"/>
                <w:szCs w:val="18"/>
              </w:rPr>
              <w:t>5350</w:t>
            </w:r>
          </w:p>
        </w:tc>
        <w:tc>
          <w:tcPr>
            <w:tcW w:w="1058" w:type="dxa"/>
            <w:shd w:val="clear" w:color="auto" w:fill="DBE5F1" w:themeFill="accent1" w:themeFillTint="33"/>
            <w:vAlign w:val="center"/>
          </w:tcPr>
          <w:p>
            <w:pPr>
              <w:jc w:val="center"/>
              <w:rPr>
                <w:rFonts w:ascii="黑体" w:hAnsi="黑体" w:eastAsia="黑体"/>
                <w:b/>
                <w:bCs/>
                <w:sz w:val="18"/>
                <w:szCs w:val="18"/>
              </w:rPr>
            </w:pPr>
            <w:r>
              <w:rPr>
                <w:rFonts w:hint="eastAsia" w:ascii="黑体" w:hAnsi="黑体" w:eastAsia="黑体"/>
                <w:b/>
                <w:bCs/>
                <w:sz w:val="18"/>
                <w:szCs w:val="18"/>
              </w:rPr>
              <w:t>-40.02%</w:t>
            </w:r>
          </w:p>
        </w:tc>
        <w:tc>
          <w:tcPr>
            <w:tcW w:w="708" w:type="dxa"/>
            <w:vAlign w:val="center"/>
          </w:tcPr>
          <w:p>
            <w:pPr>
              <w:jc w:val="center"/>
              <w:rPr>
                <w:rFonts w:ascii="黑体" w:hAnsi="黑体" w:eastAsia="黑体"/>
                <w:b/>
                <w:bCs/>
                <w:sz w:val="18"/>
                <w:szCs w:val="18"/>
              </w:rPr>
            </w:pPr>
          </w:p>
        </w:tc>
      </w:tr>
    </w:tbl>
    <w:p>
      <w:pPr>
        <w:jc w:val="center"/>
        <w:rPr>
          <w:rFonts w:ascii="黑体" w:hAnsi="黑体" w:eastAsia="黑体"/>
          <w:b/>
          <w:bCs/>
          <w:sz w:val="18"/>
          <w:szCs w:val="18"/>
        </w:rPr>
      </w:pPr>
    </w:p>
    <w:p>
      <w:pPr>
        <w:spacing w:line="580" w:lineRule="exact"/>
        <w:ind w:firstLine="640" w:firstLineChars="200"/>
        <w:rPr>
          <w:rFonts w:ascii="仿宋_GB2312" w:eastAsia="仿宋_GB2312"/>
          <w:sz w:val="32"/>
          <w:szCs w:val="32"/>
        </w:rPr>
      </w:pPr>
    </w:p>
    <w:sectPr>
      <w:footerReference r:id="rId3" w:type="default"/>
      <w:pgSz w:w="11906" w:h="16838"/>
      <w:pgMar w:top="1531" w:right="1361"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798938"/>
      <w:docPartObj>
        <w:docPartGallery w:val="autotext"/>
      </w:docPartObj>
    </w:sdtPr>
    <w:sdtContent>
      <w:p>
        <w:pPr>
          <w:pStyle w:val="2"/>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05"/>
    <w:rsid w:val="0000465C"/>
    <w:rsid w:val="00004EEE"/>
    <w:rsid w:val="00010167"/>
    <w:rsid w:val="000220A6"/>
    <w:rsid w:val="00026230"/>
    <w:rsid w:val="00032B38"/>
    <w:rsid w:val="00070FF7"/>
    <w:rsid w:val="000717B3"/>
    <w:rsid w:val="000730BF"/>
    <w:rsid w:val="00086A26"/>
    <w:rsid w:val="00086B16"/>
    <w:rsid w:val="00097D9E"/>
    <w:rsid w:val="000A0F5D"/>
    <w:rsid w:val="000A73B7"/>
    <w:rsid w:val="000D21EA"/>
    <w:rsid w:val="000E60F9"/>
    <w:rsid w:val="000F7257"/>
    <w:rsid w:val="00116878"/>
    <w:rsid w:val="00126A23"/>
    <w:rsid w:val="00126D61"/>
    <w:rsid w:val="00130318"/>
    <w:rsid w:val="00140055"/>
    <w:rsid w:val="00153C69"/>
    <w:rsid w:val="00155FC6"/>
    <w:rsid w:val="00160FDB"/>
    <w:rsid w:val="00172102"/>
    <w:rsid w:val="001829BF"/>
    <w:rsid w:val="001836F9"/>
    <w:rsid w:val="00183EBA"/>
    <w:rsid w:val="001A57E4"/>
    <w:rsid w:val="001D3468"/>
    <w:rsid w:val="001D727B"/>
    <w:rsid w:val="001E50C6"/>
    <w:rsid w:val="001E6B75"/>
    <w:rsid w:val="001F6D57"/>
    <w:rsid w:val="0021553C"/>
    <w:rsid w:val="002238D3"/>
    <w:rsid w:val="002277AB"/>
    <w:rsid w:val="0023013F"/>
    <w:rsid w:val="00231D39"/>
    <w:rsid w:val="00232F00"/>
    <w:rsid w:val="00237D29"/>
    <w:rsid w:val="00242BD3"/>
    <w:rsid w:val="0024401D"/>
    <w:rsid w:val="00253349"/>
    <w:rsid w:val="002535DB"/>
    <w:rsid w:val="00255041"/>
    <w:rsid w:val="002566E7"/>
    <w:rsid w:val="0026757B"/>
    <w:rsid w:val="00270067"/>
    <w:rsid w:val="00275B75"/>
    <w:rsid w:val="002837A8"/>
    <w:rsid w:val="002B10FD"/>
    <w:rsid w:val="002C5D45"/>
    <w:rsid w:val="002C664A"/>
    <w:rsid w:val="002E48DD"/>
    <w:rsid w:val="002F0C51"/>
    <w:rsid w:val="002F19D4"/>
    <w:rsid w:val="002F72AB"/>
    <w:rsid w:val="003001A5"/>
    <w:rsid w:val="00303CF9"/>
    <w:rsid w:val="00307B7A"/>
    <w:rsid w:val="00310216"/>
    <w:rsid w:val="0031222F"/>
    <w:rsid w:val="003147C3"/>
    <w:rsid w:val="00314CEA"/>
    <w:rsid w:val="003236A2"/>
    <w:rsid w:val="0034479E"/>
    <w:rsid w:val="00360C2B"/>
    <w:rsid w:val="00363869"/>
    <w:rsid w:val="00370CA1"/>
    <w:rsid w:val="00373432"/>
    <w:rsid w:val="00373D1B"/>
    <w:rsid w:val="003762EC"/>
    <w:rsid w:val="003911B6"/>
    <w:rsid w:val="003A1E3C"/>
    <w:rsid w:val="003B7C98"/>
    <w:rsid w:val="003D648C"/>
    <w:rsid w:val="003E319D"/>
    <w:rsid w:val="0040678D"/>
    <w:rsid w:val="00417F46"/>
    <w:rsid w:val="00421254"/>
    <w:rsid w:val="0042775D"/>
    <w:rsid w:val="00440772"/>
    <w:rsid w:val="00440A53"/>
    <w:rsid w:val="00442669"/>
    <w:rsid w:val="0046643C"/>
    <w:rsid w:val="0047121C"/>
    <w:rsid w:val="0047335C"/>
    <w:rsid w:val="00486B7C"/>
    <w:rsid w:val="004A5157"/>
    <w:rsid w:val="004C132D"/>
    <w:rsid w:val="004D483B"/>
    <w:rsid w:val="004F05D5"/>
    <w:rsid w:val="004F0D3A"/>
    <w:rsid w:val="00507423"/>
    <w:rsid w:val="00510FD4"/>
    <w:rsid w:val="00513959"/>
    <w:rsid w:val="0053268D"/>
    <w:rsid w:val="00532FF0"/>
    <w:rsid w:val="005358C8"/>
    <w:rsid w:val="00567149"/>
    <w:rsid w:val="005671C7"/>
    <w:rsid w:val="00567A3B"/>
    <w:rsid w:val="00567D2B"/>
    <w:rsid w:val="00572BEA"/>
    <w:rsid w:val="005773C8"/>
    <w:rsid w:val="00587EE7"/>
    <w:rsid w:val="00591702"/>
    <w:rsid w:val="005B1827"/>
    <w:rsid w:val="005B1CBB"/>
    <w:rsid w:val="005C0F39"/>
    <w:rsid w:val="005C3879"/>
    <w:rsid w:val="005D5A79"/>
    <w:rsid w:val="00603153"/>
    <w:rsid w:val="00607E19"/>
    <w:rsid w:val="006323C7"/>
    <w:rsid w:val="0063671B"/>
    <w:rsid w:val="00637355"/>
    <w:rsid w:val="00640C8E"/>
    <w:rsid w:val="0064493D"/>
    <w:rsid w:val="00655DB0"/>
    <w:rsid w:val="00655F8F"/>
    <w:rsid w:val="00664605"/>
    <w:rsid w:val="00665362"/>
    <w:rsid w:val="00673972"/>
    <w:rsid w:val="0067568C"/>
    <w:rsid w:val="0068087E"/>
    <w:rsid w:val="0068105F"/>
    <w:rsid w:val="006906D6"/>
    <w:rsid w:val="006A784D"/>
    <w:rsid w:val="006B3A65"/>
    <w:rsid w:val="006B4A88"/>
    <w:rsid w:val="006B5FAB"/>
    <w:rsid w:val="006B690C"/>
    <w:rsid w:val="006C6F97"/>
    <w:rsid w:val="006E3721"/>
    <w:rsid w:val="006F4CBC"/>
    <w:rsid w:val="007000BC"/>
    <w:rsid w:val="00717E7C"/>
    <w:rsid w:val="00721CE5"/>
    <w:rsid w:val="00732826"/>
    <w:rsid w:val="00732835"/>
    <w:rsid w:val="0073595E"/>
    <w:rsid w:val="00742F76"/>
    <w:rsid w:val="0075654F"/>
    <w:rsid w:val="00762358"/>
    <w:rsid w:val="0076374F"/>
    <w:rsid w:val="00764FC5"/>
    <w:rsid w:val="00767E6A"/>
    <w:rsid w:val="00771117"/>
    <w:rsid w:val="007779F5"/>
    <w:rsid w:val="00783F71"/>
    <w:rsid w:val="007876C2"/>
    <w:rsid w:val="00790777"/>
    <w:rsid w:val="007A296E"/>
    <w:rsid w:val="007B0520"/>
    <w:rsid w:val="007B6C70"/>
    <w:rsid w:val="007C35DE"/>
    <w:rsid w:val="007C6DB8"/>
    <w:rsid w:val="007D3937"/>
    <w:rsid w:val="007D7E6C"/>
    <w:rsid w:val="007E351E"/>
    <w:rsid w:val="007E4013"/>
    <w:rsid w:val="00807B68"/>
    <w:rsid w:val="00815D52"/>
    <w:rsid w:val="00821056"/>
    <w:rsid w:val="00825CB2"/>
    <w:rsid w:val="00832F0F"/>
    <w:rsid w:val="00835126"/>
    <w:rsid w:val="0084071A"/>
    <w:rsid w:val="008461F0"/>
    <w:rsid w:val="00856966"/>
    <w:rsid w:val="00861A10"/>
    <w:rsid w:val="00867AE0"/>
    <w:rsid w:val="00875693"/>
    <w:rsid w:val="00877C91"/>
    <w:rsid w:val="00890446"/>
    <w:rsid w:val="00895379"/>
    <w:rsid w:val="00895CC5"/>
    <w:rsid w:val="00897119"/>
    <w:rsid w:val="008A5793"/>
    <w:rsid w:val="008A58ED"/>
    <w:rsid w:val="008B0A33"/>
    <w:rsid w:val="008B3B7E"/>
    <w:rsid w:val="008B69DB"/>
    <w:rsid w:val="008C022E"/>
    <w:rsid w:val="008C7BA8"/>
    <w:rsid w:val="008E2DB8"/>
    <w:rsid w:val="008E3C29"/>
    <w:rsid w:val="008F77E4"/>
    <w:rsid w:val="009124AD"/>
    <w:rsid w:val="00912D9E"/>
    <w:rsid w:val="0093442E"/>
    <w:rsid w:val="00934710"/>
    <w:rsid w:val="00936BBA"/>
    <w:rsid w:val="00940399"/>
    <w:rsid w:val="00953760"/>
    <w:rsid w:val="009914E4"/>
    <w:rsid w:val="00993FF1"/>
    <w:rsid w:val="009A2985"/>
    <w:rsid w:val="009A3D29"/>
    <w:rsid w:val="009A4AA9"/>
    <w:rsid w:val="009B24A6"/>
    <w:rsid w:val="009B33F9"/>
    <w:rsid w:val="009C2F51"/>
    <w:rsid w:val="009D6414"/>
    <w:rsid w:val="009E35DF"/>
    <w:rsid w:val="009E4AD7"/>
    <w:rsid w:val="009E7CBC"/>
    <w:rsid w:val="009F050F"/>
    <w:rsid w:val="009F6D73"/>
    <w:rsid w:val="009F6E77"/>
    <w:rsid w:val="00A00222"/>
    <w:rsid w:val="00A046D3"/>
    <w:rsid w:val="00A05860"/>
    <w:rsid w:val="00A15D99"/>
    <w:rsid w:val="00A264A6"/>
    <w:rsid w:val="00A34695"/>
    <w:rsid w:val="00A346AB"/>
    <w:rsid w:val="00A373B4"/>
    <w:rsid w:val="00A41916"/>
    <w:rsid w:val="00A46CEF"/>
    <w:rsid w:val="00A47A97"/>
    <w:rsid w:val="00A56313"/>
    <w:rsid w:val="00A646DF"/>
    <w:rsid w:val="00A722B9"/>
    <w:rsid w:val="00A90A5E"/>
    <w:rsid w:val="00A926A8"/>
    <w:rsid w:val="00A972F2"/>
    <w:rsid w:val="00AC135D"/>
    <w:rsid w:val="00AC1F8F"/>
    <w:rsid w:val="00AE08E3"/>
    <w:rsid w:val="00B02712"/>
    <w:rsid w:val="00B10052"/>
    <w:rsid w:val="00B23A30"/>
    <w:rsid w:val="00B43367"/>
    <w:rsid w:val="00B53FF5"/>
    <w:rsid w:val="00B56CAE"/>
    <w:rsid w:val="00B72550"/>
    <w:rsid w:val="00B978CB"/>
    <w:rsid w:val="00BB4256"/>
    <w:rsid w:val="00BB6C84"/>
    <w:rsid w:val="00BC0036"/>
    <w:rsid w:val="00BC1456"/>
    <w:rsid w:val="00BD407F"/>
    <w:rsid w:val="00BD6C50"/>
    <w:rsid w:val="00BE2824"/>
    <w:rsid w:val="00BF3FA5"/>
    <w:rsid w:val="00C04929"/>
    <w:rsid w:val="00C11805"/>
    <w:rsid w:val="00C16706"/>
    <w:rsid w:val="00C21835"/>
    <w:rsid w:val="00C33C82"/>
    <w:rsid w:val="00C51E2F"/>
    <w:rsid w:val="00C61C02"/>
    <w:rsid w:val="00C65C46"/>
    <w:rsid w:val="00C67C9A"/>
    <w:rsid w:val="00C75724"/>
    <w:rsid w:val="00CB2304"/>
    <w:rsid w:val="00CC131A"/>
    <w:rsid w:val="00CC20DB"/>
    <w:rsid w:val="00CC454C"/>
    <w:rsid w:val="00CC5284"/>
    <w:rsid w:val="00CC5D87"/>
    <w:rsid w:val="00CD6420"/>
    <w:rsid w:val="00CE2353"/>
    <w:rsid w:val="00D01590"/>
    <w:rsid w:val="00D02FE7"/>
    <w:rsid w:val="00D04F54"/>
    <w:rsid w:val="00D142FA"/>
    <w:rsid w:val="00D15930"/>
    <w:rsid w:val="00D333B0"/>
    <w:rsid w:val="00D333DA"/>
    <w:rsid w:val="00D50168"/>
    <w:rsid w:val="00D558E6"/>
    <w:rsid w:val="00D62B8B"/>
    <w:rsid w:val="00D72866"/>
    <w:rsid w:val="00D82EFF"/>
    <w:rsid w:val="00D85F5F"/>
    <w:rsid w:val="00D86DA7"/>
    <w:rsid w:val="00D93FAA"/>
    <w:rsid w:val="00D964E7"/>
    <w:rsid w:val="00DC0E6C"/>
    <w:rsid w:val="00DC1996"/>
    <w:rsid w:val="00DC6E7F"/>
    <w:rsid w:val="00DD500B"/>
    <w:rsid w:val="00DE039B"/>
    <w:rsid w:val="00DE58E0"/>
    <w:rsid w:val="00E03289"/>
    <w:rsid w:val="00E0765E"/>
    <w:rsid w:val="00E21128"/>
    <w:rsid w:val="00E22AE3"/>
    <w:rsid w:val="00E23093"/>
    <w:rsid w:val="00E36AFD"/>
    <w:rsid w:val="00E43F6C"/>
    <w:rsid w:val="00E577C8"/>
    <w:rsid w:val="00E66DE7"/>
    <w:rsid w:val="00E922DD"/>
    <w:rsid w:val="00EA4112"/>
    <w:rsid w:val="00EC249B"/>
    <w:rsid w:val="00ED0C91"/>
    <w:rsid w:val="00ED4920"/>
    <w:rsid w:val="00ED70BD"/>
    <w:rsid w:val="00EE3D52"/>
    <w:rsid w:val="00EE5D83"/>
    <w:rsid w:val="00EF222A"/>
    <w:rsid w:val="00EF2BD9"/>
    <w:rsid w:val="00F05440"/>
    <w:rsid w:val="00F07F91"/>
    <w:rsid w:val="00F11379"/>
    <w:rsid w:val="00F13381"/>
    <w:rsid w:val="00F152C6"/>
    <w:rsid w:val="00F25129"/>
    <w:rsid w:val="00F31ECC"/>
    <w:rsid w:val="00F64985"/>
    <w:rsid w:val="00F67C21"/>
    <w:rsid w:val="00F9333F"/>
    <w:rsid w:val="00F970F5"/>
    <w:rsid w:val="00FA13D3"/>
    <w:rsid w:val="00FA24D5"/>
    <w:rsid w:val="00FB5AD0"/>
    <w:rsid w:val="00FC58F0"/>
    <w:rsid w:val="00FC77D6"/>
    <w:rsid w:val="00FD0408"/>
    <w:rsid w:val="00FD4475"/>
    <w:rsid w:val="00FE7979"/>
    <w:rsid w:val="00FF380D"/>
    <w:rsid w:val="5BBA3042"/>
    <w:rsid w:val="7ED03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Char Char1 Char"/>
    <w:basedOn w:val="1"/>
    <w:uiPriority w:val="0"/>
    <w:rPr>
      <w:rFonts w:ascii="仿宋_GB2312" w:hAnsi="Times New Roman" w:eastAsia="仿宋_GB2312" w:cs="Times New Roman"/>
      <w:b/>
      <w:sz w:val="32"/>
      <w:szCs w:val="32"/>
    </w:rPr>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2">
    <w:name w:val="Char Char1 Char1"/>
    <w:basedOn w:val="1"/>
    <w:qFormat/>
    <w:uiPriority w:val="0"/>
    <w:rPr>
      <w:rFonts w:ascii="仿宋_GB2312" w:hAnsi="Times New Roman" w:eastAsia="仿宋_GB2312" w:cs="Times New Roman"/>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4BF45-2547-477A-A50C-BC7E657EFD3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1780</Words>
  <Characters>10147</Characters>
  <Lines>84</Lines>
  <Paragraphs>23</Paragraphs>
  <TotalTime>35</TotalTime>
  <ScaleCrop>false</ScaleCrop>
  <LinksUpToDate>false</LinksUpToDate>
  <CharactersWithSpaces>11904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2021-10-20T02:07:00Z</dcterms:created>
  <dc:creator>匿名用户</dc:creator>
  <cp:lastModifiedBy>市场发展委</cp:lastModifiedBy>
  <cp:lastPrinted>2021-10-28T09:17:00Z</cp:lastPrinted>
  <dcterms:modified xsi:type="dcterms:W3CDTF">2021-11-02T03:46:44Z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