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520" w:lineRule="exact"/>
        <w:jc w:val="center"/>
        <w:rPr>
          <w:rFonts w:eastAsia="方正小标宋简体" w:cs="Times New Roman"/>
          <w:sz w:val="44"/>
          <w:szCs w:val="36"/>
        </w:rPr>
      </w:pPr>
      <w:bookmarkStart w:id="0" w:name="_Toc54869032"/>
      <w:bookmarkStart w:id="6" w:name="_GoBack"/>
      <w:r>
        <w:rPr>
          <w:rFonts w:hint="eastAsia" w:eastAsia="方正小标宋简体" w:cs="Times New Roman"/>
          <w:sz w:val="44"/>
          <w:szCs w:val="36"/>
        </w:rPr>
        <w:t>石壁水库水源地安全保障达标建设</w:t>
      </w:r>
    </w:p>
    <w:p>
      <w:pPr>
        <w:pStyle w:val="3"/>
        <w:numPr>
          <w:ilvl w:val="0"/>
          <w:numId w:val="0"/>
        </w:numPr>
        <w:spacing w:line="520" w:lineRule="exact"/>
        <w:jc w:val="center"/>
        <w:rPr>
          <w:rFonts w:eastAsia="方正小标宋简体" w:cs="Times New Roman"/>
          <w:sz w:val="44"/>
          <w:szCs w:val="36"/>
        </w:rPr>
      </w:pPr>
      <w:r>
        <w:rPr>
          <w:rFonts w:hint="eastAsia" w:eastAsia="方正小标宋简体" w:cs="Times New Roman"/>
          <w:sz w:val="44"/>
          <w:szCs w:val="36"/>
        </w:rPr>
        <w:t>实施方案</w:t>
      </w:r>
    </w:p>
    <w:bookmarkEnd w:id="6"/>
    <w:p>
      <w:pPr>
        <w:spacing w:line="520" w:lineRule="exact"/>
        <w:ind w:firstLine="560"/>
        <w:rPr>
          <w:rFonts w:eastAsia="宋体" w:cs="Times New Roman"/>
        </w:rPr>
      </w:pPr>
    </w:p>
    <w:p>
      <w:pPr>
        <w:spacing w:line="520" w:lineRule="exact"/>
        <w:ind w:firstLine="560"/>
        <w:rPr>
          <w:rFonts w:eastAsia="宋体" w:cs="Times New Roman"/>
        </w:rPr>
      </w:pPr>
      <w:r>
        <w:rPr>
          <w:rFonts w:hint="eastAsia" w:eastAsia="宋体" w:cs="Times New Roman"/>
        </w:rPr>
        <w:t>按照中共中央国务院关于加快水利改革发展的总体要求，大力推动饮用水水源地安全保障达标建设工作，切实加强饮用水安全保障工作，确保人民群众“有水喝、喝好水”，根据县级以上集中式饮用水水源地安全保障达标建设工作要求，结合诸暨市实际，制定本实施方案。</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r>
        <w:rPr>
          <w:rFonts w:hint="eastAsia" w:eastAsia="宋体" w:cs="Times New Roman"/>
          <w:kern w:val="2"/>
          <w:sz w:val="28"/>
          <w:szCs w:val="22"/>
        </w:rPr>
        <w:t>一、总体要求</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r>
        <w:rPr>
          <w:rFonts w:hint="eastAsia" w:eastAsia="宋体" w:cs="Times New Roman"/>
          <w:kern w:val="2"/>
          <w:sz w:val="28"/>
          <w:szCs w:val="22"/>
        </w:rPr>
        <w:t>（一）指导思想</w:t>
      </w:r>
      <w:bookmarkEnd w:id="0"/>
    </w:p>
    <w:p>
      <w:pPr>
        <w:spacing w:line="520" w:lineRule="exact"/>
        <w:ind w:firstLine="560"/>
      </w:pPr>
      <w:r>
        <w:t>以习近平新时代中国特色社会主义思想为指导，</w:t>
      </w:r>
      <w:r>
        <w:rPr>
          <w:rFonts w:hint="eastAsia"/>
        </w:rPr>
        <w:t>按照“节水优先、空间均衡、系统治理、两手发力”新时期治水方针，全面落实饮用水安全行政首长负责制，</w:t>
      </w:r>
      <w:r>
        <w:t>以</w:t>
      </w:r>
      <w:r>
        <w:rPr>
          <w:rFonts w:hint="eastAsia"/>
        </w:rPr>
        <w:t>“水量保证、水质合格、监控完备、制度健全”为目标，着力饮用水水源地综合治理，有效突破水源地保护区潜在污染源整治，强化水量水质</w:t>
      </w:r>
      <w:r>
        <w:t>安全监控</w:t>
      </w:r>
      <w:r>
        <w:rPr>
          <w:rFonts w:hint="eastAsia"/>
        </w:rPr>
        <w:t>支撑</w:t>
      </w:r>
      <w:r>
        <w:t>，</w:t>
      </w:r>
      <w:r>
        <w:rPr>
          <w:rFonts w:hint="eastAsia"/>
        </w:rPr>
        <w:t>加强</w:t>
      </w:r>
      <w:r>
        <w:t>饮用水水源地</w:t>
      </w:r>
      <w:r>
        <w:rPr>
          <w:rFonts w:hint="eastAsia"/>
        </w:rPr>
        <w:t>保护部门联动</w:t>
      </w:r>
      <w:r>
        <w:t>监管，</w:t>
      </w:r>
      <w:r>
        <w:rPr>
          <w:rFonts w:hint="eastAsia"/>
        </w:rPr>
        <w:t>大力</w:t>
      </w:r>
      <w:r>
        <w:t>改善</w:t>
      </w:r>
      <w:r>
        <w:rPr>
          <w:rFonts w:hint="eastAsia"/>
        </w:rPr>
        <w:t>饮用水</w:t>
      </w:r>
      <w:r>
        <w:t>水源地水质，</w:t>
      </w:r>
      <w:r>
        <w:rPr>
          <w:rFonts w:hint="eastAsia"/>
        </w:rPr>
        <w:t>充分</w:t>
      </w:r>
      <w:r>
        <w:t>保障</w:t>
      </w:r>
      <w:r>
        <w:rPr>
          <w:rFonts w:hint="eastAsia"/>
        </w:rPr>
        <w:t>区域</w:t>
      </w:r>
      <w:r>
        <w:t>城乡居民饮水安全，</w:t>
      </w:r>
      <w:r>
        <w:rPr>
          <w:rFonts w:hint="eastAsia"/>
        </w:rPr>
        <w:t>促进诸暨市经济社会可持续、高质量健康发展。</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bookmarkStart w:id="1" w:name="_Toc54869033"/>
      <w:r>
        <w:rPr>
          <w:rFonts w:hint="eastAsia" w:eastAsia="宋体" w:cs="Times New Roman"/>
          <w:kern w:val="2"/>
          <w:sz w:val="28"/>
          <w:szCs w:val="22"/>
        </w:rPr>
        <w:t>（二）基本原则</w:t>
      </w:r>
      <w:bookmarkEnd w:id="1"/>
    </w:p>
    <w:p>
      <w:pPr>
        <w:spacing w:line="520" w:lineRule="exact"/>
        <w:ind w:firstLine="560"/>
      </w:pPr>
      <w:r>
        <w:rPr>
          <w:rFonts w:hint="eastAsia"/>
        </w:rPr>
        <w:t>统筹规划、以人为本。坚持与区域经济社会发展规划、国土空间规划、“三线一单”生态环境分区管控方案、水资源保护规划、流域综合规划等相协调。坚持以人为本，把保障和改善群众饮水安全等民生问题作为根本出发点和落脚点，使广大人民群众放心饮用健康水。</w:t>
      </w:r>
    </w:p>
    <w:p>
      <w:pPr>
        <w:spacing w:line="520" w:lineRule="exact"/>
        <w:ind w:firstLine="560"/>
      </w:pPr>
      <w:r>
        <w:rPr>
          <w:rFonts w:hint="eastAsia"/>
        </w:rPr>
        <w:t>实事求是、因地制宜。坚持从实际出发，结合水源地现状实情，聚焦水源地安全短板，紧扣饮用水源保护的本质特征，提出具有指导性、可操作性和一定前瞻性的安全保障措施，切实增强目标的可达性和水源保护的实际效果。</w:t>
      </w:r>
    </w:p>
    <w:p>
      <w:pPr>
        <w:spacing w:line="520" w:lineRule="exact"/>
        <w:ind w:firstLine="560"/>
      </w:pPr>
      <w:r>
        <w:rPr>
          <w:rFonts w:hint="eastAsia"/>
        </w:rPr>
        <w:t>防治结合、建管并重。坚持工程措施与非工程性措施相结合，纵深推进水源地保护污染治理控制与技术改造工程，加强陆域与水域监控管理措施，重视点源治理与面源综合治理，做好源头控制与末端治理工作。</w:t>
      </w:r>
    </w:p>
    <w:p>
      <w:pPr>
        <w:spacing w:line="520" w:lineRule="exact"/>
        <w:ind w:firstLine="560"/>
      </w:pPr>
      <w:r>
        <w:rPr>
          <w:rFonts w:hint="eastAsia"/>
        </w:rPr>
        <w:t>凝聚合力、协调共建。坚持多部门协同推进水源地安全达标建设工作，进一步建立有效的部门联动及沟通协调机制，明确分工，聚力合作，做到饮用水水源地安全保障达标建设与集中式水源地规范化建设相结合，实现共商共建共享，统筹做好水源地建设管理和保护工作。</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bookmarkStart w:id="2" w:name="_Toc54869034"/>
      <w:r>
        <w:rPr>
          <w:rFonts w:hint="eastAsia" w:eastAsia="宋体" w:cs="Times New Roman"/>
          <w:kern w:val="2"/>
          <w:sz w:val="28"/>
          <w:szCs w:val="22"/>
        </w:rPr>
        <w:t>（三）总体目标</w:t>
      </w:r>
      <w:bookmarkEnd w:id="2"/>
    </w:p>
    <w:p>
      <w:pPr>
        <w:spacing w:line="520" w:lineRule="exact"/>
        <w:ind w:firstLine="560"/>
      </w:pPr>
      <w:r>
        <w:t>自2020年开始，开展</w:t>
      </w:r>
      <w:r>
        <w:rPr>
          <w:rFonts w:hint="eastAsia"/>
        </w:rPr>
        <w:t>石壁水库水源地</w:t>
      </w:r>
      <w:r>
        <w:t>安全保障达标建设，力争</w:t>
      </w:r>
      <w:r>
        <w:rPr>
          <w:szCs w:val="28"/>
        </w:rPr>
        <w:t>到2022年</w:t>
      </w:r>
      <w:r>
        <w:t>，通过工程措施和非工程措施，</w:t>
      </w:r>
      <w:r>
        <w:rPr>
          <w:szCs w:val="28"/>
        </w:rPr>
        <w:t>全面完成</w:t>
      </w:r>
      <w:r>
        <w:rPr>
          <w:rFonts w:hint="eastAsia"/>
          <w:szCs w:val="28"/>
        </w:rPr>
        <w:t>石壁水库</w:t>
      </w:r>
      <w:r>
        <w:rPr>
          <w:szCs w:val="28"/>
        </w:rPr>
        <w:t>饮用水水源地安全保障达标建设，</w:t>
      </w:r>
      <w:r>
        <w:t>使</w:t>
      </w:r>
      <w:r>
        <w:rPr>
          <w:rFonts w:hint="eastAsia"/>
        </w:rPr>
        <w:t>石壁水库水源地</w:t>
      </w:r>
      <w:r>
        <w:t>达</w:t>
      </w:r>
      <w:r>
        <w:rPr>
          <w:rFonts w:hint="eastAsia"/>
        </w:rPr>
        <w:t>到“水量保证、水质合格、监控完备、制度健全”的总体目标，</w:t>
      </w:r>
      <w:r>
        <w:t>水源地供水保证率达到95%以上，地表水饮用水水源地取水口供水水质</w:t>
      </w:r>
      <w:r>
        <w:rPr>
          <w:rFonts w:hint="eastAsia"/>
        </w:rPr>
        <w:t>稳定</w:t>
      </w:r>
      <w:r>
        <w:t>优于《地表水环境质</w:t>
      </w:r>
      <w:r>
        <w:rPr>
          <w:rFonts w:hint="eastAsia"/>
        </w:rPr>
        <w:t>量标准》（GB3838-2002）Ⅲ类标准，高效</w:t>
      </w:r>
      <w:r>
        <w:t>实现对水源地的安全监控和规范化管理</w:t>
      </w:r>
      <w:r>
        <w:rPr>
          <w:rFonts w:hint="eastAsia"/>
        </w:rPr>
        <w:t>。</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r>
        <w:rPr>
          <w:rFonts w:hint="eastAsia" w:eastAsia="宋体" w:cs="Times New Roman"/>
          <w:kern w:val="2"/>
          <w:sz w:val="28"/>
          <w:szCs w:val="22"/>
        </w:rPr>
        <w:t>二、聚焦饮水保供安全，全面推进水源地安全达标四大建设任务</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r>
        <w:rPr>
          <w:rFonts w:hint="eastAsia" w:eastAsia="宋体" w:cs="Times New Roman"/>
          <w:kern w:val="2"/>
          <w:sz w:val="28"/>
          <w:szCs w:val="22"/>
        </w:rPr>
        <w:t>（一）优化水量调用体系建设，确保水量安全可靠</w:t>
      </w:r>
    </w:p>
    <w:p>
      <w:pPr>
        <w:spacing w:line="520" w:lineRule="exact"/>
        <w:ind w:firstLine="562"/>
      </w:pPr>
      <w:r>
        <w:rPr>
          <w:rFonts w:hint="eastAsia"/>
          <w:b/>
          <w:bCs/>
        </w:rPr>
        <w:t>1</w:t>
      </w:r>
      <w:r>
        <w:rPr>
          <w:rFonts w:hint="eastAsia" w:eastAsia="宋体" w:cs="Times New Roman"/>
          <w:b/>
        </w:rPr>
        <w:t>.</w:t>
      </w:r>
      <w:r>
        <w:rPr>
          <w:rFonts w:hint="eastAsia" w:eastAsia="宋体"/>
          <w:b/>
          <w:bCs/>
        </w:rPr>
        <w:t>优化</w:t>
      </w:r>
      <w:r>
        <w:rPr>
          <w:rFonts w:hint="eastAsia"/>
          <w:b/>
          <w:bCs/>
        </w:rPr>
        <w:t>水量调度方案。</w:t>
      </w:r>
      <w:r>
        <w:rPr>
          <w:rFonts w:hint="eastAsia"/>
        </w:rPr>
        <w:t>按照现状用水</w:t>
      </w:r>
      <w:r>
        <w:t>需求</w:t>
      </w:r>
      <w:r>
        <w:rPr>
          <w:rFonts w:hint="eastAsia"/>
        </w:rPr>
        <w:t>、预测</w:t>
      </w:r>
      <w:r>
        <w:t>可供水量</w:t>
      </w:r>
      <w:r>
        <w:rPr>
          <w:rFonts w:hint="eastAsia"/>
        </w:rPr>
        <w:t>以及实际来水条件</w:t>
      </w:r>
      <w:r>
        <w:t>，</w:t>
      </w:r>
      <w:r>
        <w:rPr>
          <w:rFonts w:hint="eastAsia"/>
        </w:rPr>
        <w:t>充分结合陈蔡水库、石壁水库“一源一备、互为备用”的供水优势，开展陈蔡水库加固改造期间的石壁水库作为主水源的应急调度方案，做好开化江应急备用取水保证工作；陈蔡水库加固改造完成后，研究编制陈蔡石壁饮水保供联合调度方案，确保城南、</w:t>
      </w:r>
      <w:r>
        <w:t>城北</w:t>
      </w:r>
      <w:r>
        <w:rPr>
          <w:rFonts w:hint="eastAsia"/>
        </w:rPr>
        <w:t>、东白湖水厂的原水供应</w:t>
      </w:r>
      <w:r>
        <w:t>安全。</w:t>
      </w:r>
    </w:p>
    <w:p>
      <w:pPr>
        <w:spacing w:line="520" w:lineRule="exact"/>
        <w:ind w:firstLine="562"/>
      </w:pPr>
      <w:r>
        <w:rPr>
          <w:rFonts w:hint="eastAsia"/>
          <w:b/>
          <w:bCs/>
        </w:rPr>
        <w:t>2.优化供水管网工程。</w:t>
      </w:r>
      <w:r>
        <w:rPr>
          <w:rFonts w:hint="eastAsia"/>
        </w:rPr>
        <w:t>开展</w:t>
      </w:r>
      <w:r>
        <w:t>城乡供水管网改造，</w:t>
      </w:r>
      <w:r>
        <w:rPr>
          <w:rFonts w:hint="eastAsia"/>
        </w:rPr>
        <w:t>降低原水输水损失</w:t>
      </w:r>
      <w:r>
        <w:t>率</w:t>
      </w:r>
      <w:r>
        <w:rPr>
          <w:rFonts w:hint="eastAsia"/>
        </w:rPr>
        <w:t>和制成</w:t>
      </w:r>
      <w:r>
        <w:t>水供水管网</w:t>
      </w:r>
      <w:r>
        <w:rPr>
          <w:rFonts w:hint="eastAsia"/>
        </w:rPr>
        <w:t>漏损率，城市</w:t>
      </w:r>
      <w:r>
        <w:rPr>
          <w:color w:val="000000"/>
        </w:rPr>
        <w:t>公</w:t>
      </w:r>
      <w:r>
        <w:t>共供水管网漏损率控制在10%以内。</w:t>
      </w:r>
      <w:r>
        <w:rPr>
          <w:rFonts w:hint="eastAsia"/>
        </w:rPr>
        <w:t>实施开化江备用泵站自动化改造工程，在2020年正式启用备用泵房前，加装一套自控系统。实施东白湖</w:t>
      </w:r>
      <w:r>
        <w:t>水厂管网</w:t>
      </w:r>
      <w:r>
        <w:rPr>
          <w:rFonts w:hint="eastAsia"/>
        </w:rPr>
        <w:t>联通</w:t>
      </w:r>
      <w:r>
        <w:t>、泵站工程</w:t>
      </w:r>
      <w:r>
        <w:rPr>
          <w:rFonts w:hint="eastAsia"/>
        </w:rPr>
        <w:t>，启动新建城区至浬浦的供水主干管，新建一座加压泵站，规模为1.0万吨/天，确保新建城区供水能力满足要求。</w:t>
      </w:r>
    </w:p>
    <w:p>
      <w:pPr>
        <w:spacing w:line="520" w:lineRule="exact"/>
        <w:ind w:firstLine="562"/>
      </w:pPr>
      <w:r>
        <w:rPr>
          <w:rFonts w:hint="eastAsia"/>
          <w:b/>
          <w:bCs/>
        </w:rPr>
        <w:t>3.优化水源地互通管线风险源排查。</w:t>
      </w:r>
      <w:r>
        <w:rPr>
          <w:rFonts w:hint="eastAsia"/>
        </w:rPr>
        <w:t>进一步优化陈蔡石壁主管网互通运行后的管线风险源排查制度，落实专人专线，做好输水沿线风险源的检查和排除工作，加强管线的维修养护，发现问题及时</w:t>
      </w:r>
      <w:r>
        <w:t>处理</w:t>
      </w:r>
      <w:r>
        <w:rPr>
          <w:rFonts w:hint="eastAsia"/>
        </w:rPr>
        <w:t>到位，全面保障输水管线的供水安全。</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r>
        <w:rPr>
          <w:rFonts w:hint="eastAsia" w:eastAsia="宋体" w:cs="Times New Roman"/>
          <w:kern w:val="2"/>
          <w:sz w:val="28"/>
          <w:szCs w:val="22"/>
        </w:rPr>
        <w:t>（二）强化水质保护体系建设，确保水质安全达标</w:t>
      </w:r>
    </w:p>
    <w:p>
      <w:pPr>
        <w:spacing w:line="520" w:lineRule="exact"/>
        <w:ind w:firstLine="560" w:firstLineChars="0"/>
      </w:pPr>
      <w:r>
        <w:rPr>
          <w:rFonts w:hint="eastAsia"/>
          <w:b/>
          <w:bCs/>
        </w:rPr>
        <w:t>4.开展保护区围网建设。</w:t>
      </w:r>
      <w:r>
        <w:rPr>
          <w:rFonts w:hint="eastAsia"/>
        </w:rPr>
        <w:t>根据水源地一级保护区物理隔离要求，启动石壁水库一级保护区周边物理隔离围网建设工程，其中左岸建设</w:t>
      </w:r>
      <w:r>
        <w:t>围网</w:t>
      </w:r>
      <w:r>
        <w:rPr>
          <w:rFonts w:hint="eastAsia"/>
        </w:rPr>
        <w:t>长约</w:t>
      </w:r>
      <w:r>
        <w:t>4.41km，右岸</w:t>
      </w:r>
      <w:r>
        <w:rPr>
          <w:rFonts w:hint="eastAsia"/>
        </w:rPr>
        <w:t>建设</w:t>
      </w:r>
      <w:r>
        <w:t>围网</w:t>
      </w:r>
      <w:r>
        <w:rPr>
          <w:rFonts w:hint="eastAsia"/>
        </w:rPr>
        <w:t>长约</w:t>
      </w:r>
      <w:r>
        <w:t>3.58km</w:t>
      </w:r>
      <w:r>
        <w:rPr>
          <w:rFonts w:hint="eastAsia"/>
        </w:rPr>
        <w:t>，</w:t>
      </w:r>
      <w:r>
        <w:t>共</w:t>
      </w:r>
      <w:r>
        <w:rPr>
          <w:rFonts w:hint="eastAsia"/>
        </w:rPr>
        <w:t>建围网</w:t>
      </w:r>
      <w:r>
        <w:t>7.99km</w:t>
      </w:r>
      <w:r>
        <w:rPr>
          <w:rFonts w:hint="eastAsia"/>
        </w:rPr>
        <w:t>。</w:t>
      </w:r>
    </w:p>
    <w:p>
      <w:pPr>
        <w:spacing w:line="520" w:lineRule="exact"/>
        <w:ind w:firstLine="560" w:firstLineChars="0"/>
      </w:pPr>
      <w:r>
        <w:rPr>
          <w:rFonts w:hint="eastAsia"/>
          <w:b/>
          <w:bCs/>
        </w:rPr>
        <w:t>5.加大点面源污染治理。</w:t>
      </w:r>
      <w:r>
        <w:rPr>
          <w:rFonts w:hint="eastAsia"/>
        </w:rPr>
        <w:t>加快推进污水收集主管网和岭北镇截污纳管工程；针对保护区内镇村生活污染源，对现有农村处理终端进行提标改造，提高污水处理达标率；进一步加强库区农业面源污染管控，采取化肥使用定额管理、推广生态施肥技术、加大施用有机肥补贴、加强宣传培训等综合措施，全面削减保护区内农业面源污染入河量。</w:t>
      </w:r>
    </w:p>
    <w:p>
      <w:pPr>
        <w:spacing w:line="520" w:lineRule="exact"/>
        <w:ind w:firstLine="560" w:firstLineChars="0"/>
      </w:pPr>
      <w:r>
        <w:rPr>
          <w:rFonts w:hint="eastAsia"/>
          <w:b/>
          <w:bCs/>
        </w:rPr>
        <w:t>6.加强对保护区污染型企业的整治。</w:t>
      </w:r>
      <w:r>
        <w:rPr>
          <w:rFonts w:hint="eastAsia"/>
        </w:rPr>
        <w:t>进一步排查整治库区重点污染源，关闭或转改二级保护区内的诸暨市岭北龙妹豆制品加工厂等污染企业；对二级保护区内的采矿企业加强监管，对其生产作业可能造成的环境影响进行充分论证。</w:t>
      </w:r>
    </w:p>
    <w:p>
      <w:pPr>
        <w:spacing w:line="520" w:lineRule="exact"/>
        <w:ind w:firstLine="562"/>
      </w:pPr>
      <w:r>
        <w:rPr>
          <w:rFonts w:hint="eastAsia"/>
          <w:b/>
          <w:bCs/>
        </w:rPr>
        <w:t>7.落实保护区公路环境污染防治措施。</w:t>
      </w:r>
      <w:r>
        <w:rPr>
          <w:rFonts w:hint="eastAsia"/>
        </w:rPr>
        <w:t>完善保护区</w:t>
      </w:r>
      <w:r>
        <w:t>临水临崖</w:t>
      </w:r>
      <w:r>
        <w:rPr>
          <w:rFonts w:hint="eastAsia"/>
        </w:rPr>
        <w:t>防护栏和急弯陡坡路段交通</w:t>
      </w:r>
      <w:r>
        <w:t>标识牌</w:t>
      </w:r>
      <w:r>
        <w:rPr>
          <w:rFonts w:hint="eastAsia"/>
        </w:rPr>
        <w:t>的设置；</w:t>
      </w:r>
      <w:r>
        <w:t>在保护区和东阳市交接的村级道路上设置</w:t>
      </w:r>
      <w:r>
        <w:rPr>
          <w:rFonts w:hint="eastAsia"/>
        </w:rPr>
        <w:t>限高</w:t>
      </w:r>
      <w:r>
        <w:t>措施，</w:t>
      </w:r>
      <w:r>
        <w:rPr>
          <w:rFonts w:hint="eastAsia"/>
        </w:rPr>
        <w:t>避免大型货车通行</w:t>
      </w:r>
      <w:r>
        <w:t>；</w:t>
      </w:r>
      <w:r>
        <w:rPr>
          <w:rFonts w:hint="eastAsia"/>
        </w:rPr>
        <w:t>对</w:t>
      </w:r>
      <w:r>
        <w:t>石壁水库</w:t>
      </w:r>
      <w:r>
        <w:rPr>
          <w:rFonts w:hint="eastAsia"/>
        </w:rPr>
        <w:t>左岸311县道</w:t>
      </w:r>
      <w:r>
        <w:t>、右岸</w:t>
      </w:r>
      <w:r>
        <w:rPr>
          <w:rFonts w:hint="eastAsia"/>
        </w:rPr>
        <w:t>S22省道旁</w:t>
      </w:r>
      <w:r>
        <w:t>侧的导流沟</w:t>
      </w:r>
      <w:r>
        <w:rPr>
          <w:rFonts w:hint="eastAsia"/>
        </w:rPr>
        <w:t>实施</w:t>
      </w:r>
      <w:r>
        <w:t>定期</w:t>
      </w:r>
      <w:r>
        <w:rPr>
          <w:rFonts w:hint="eastAsia"/>
        </w:rPr>
        <w:t>巡查和堵塞段</w:t>
      </w:r>
      <w:r>
        <w:t>清理</w:t>
      </w:r>
      <w:r>
        <w:rPr>
          <w:rFonts w:hint="eastAsia"/>
        </w:rPr>
        <w:t>工作</w:t>
      </w:r>
      <w:r>
        <w:t>，</w:t>
      </w:r>
      <w:r>
        <w:rPr>
          <w:rFonts w:hint="eastAsia"/>
        </w:rPr>
        <w:t>并</w:t>
      </w:r>
      <w:r>
        <w:t>设置环境事故</w:t>
      </w:r>
      <w:r>
        <w:rPr>
          <w:rFonts w:hint="eastAsia"/>
        </w:rPr>
        <w:t>截污池；在新</w:t>
      </w:r>
      <w:r>
        <w:t>石</w:t>
      </w:r>
      <w:r>
        <w:rPr>
          <w:rFonts w:hint="eastAsia"/>
        </w:rPr>
        <w:t>东</w:t>
      </w:r>
      <w:r>
        <w:t>交通</w:t>
      </w:r>
      <w:r>
        <w:rPr>
          <w:rFonts w:hint="eastAsia"/>
        </w:rPr>
        <w:t>线上建设</w:t>
      </w:r>
      <w:r>
        <w:t>导流沟</w:t>
      </w:r>
      <w:r>
        <w:rPr>
          <w:rFonts w:hint="eastAsia"/>
        </w:rPr>
        <w:t>和</w:t>
      </w:r>
      <w:r>
        <w:t>环境事故</w:t>
      </w:r>
      <w:r>
        <w:rPr>
          <w:rFonts w:hint="eastAsia"/>
        </w:rPr>
        <w:t>截污池。</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r>
        <w:rPr>
          <w:rFonts w:hint="eastAsia" w:eastAsia="宋体" w:cs="Times New Roman"/>
          <w:kern w:val="2"/>
          <w:sz w:val="28"/>
          <w:szCs w:val="22"/>
        </w:rPr>
        <w:t>（三）亮化水源监控体系建设，确保水源安全稳定</w:t>
      </w:r>
    </w:p>
    <w:p>
      <w:pPr>
        <w:spacing w:line="520" w:lineRule="exact"/>
        <w:ind w:firstLine="562"/>
      </w:pPr>
      <w:r>
        <w:rPr>
          <w:rFonts w:hint="eastAsia"/>
          <w:b/>
          <w:bCs/>
        </w:rPr>
        <w:t>8.扩展库区监控系统。</w:t>
      </w:r>
      <w:r>
        <w:rPr>
          <w:rFonts w:hint="eastAsia"/>
        </w:rPr>
        <w:t>对库区水域、</w:t>
      </w:r>
      <w:r>
        <w:t>周边公路沿线</w:t>
      </w:r>
      <w:r>
        <w:rPr>
          <w:rFonts w:hint="eastAsia"/>
        </w:rPr>
        <w:t>、</w:t>
      </w:r>
      <w:r>
        <w:t>陡坡和急弯路段</w:t>
      </w:r>
      <w:r>
        <w:rPr>
          <w:rFonts w:hint="eastAsia"/>
        </w:rPr>
        <w:t>增设路面</w:t>
      </w:r>
      <w:r>
        <w:t>视频</w:t>
      </w:r>
      <w:r>
        <w:rPr>
          <w:rFonts w:hint="eastAsia"/>
        </w:rPr>
        <w:t>监控，将</w:t>
      </w:r>
      <w:r>
        <w:t>视频</w:t>
      </w:r>
      <w:r>
        <w:rPr>
          <w:rFonts w:hint="eastAsia"/>
        </w:rPr>
        <w:t>监控</w:t>
      </w:r>
      <w:r>
        <w:t>接入诸暨市公安局交警大队系统</w:t>
      </w:r>
      <w:r>
        <w:rPr>
          <w:rFonts w:hint="eastAsia"/>
        </w:rPr>
        <w:t>以及水库标准化管理系统，切实加强对临水涉违事件的监管。</w:t>
      </w:r>
    </w:p>
    <w:p>
      <w:pPr>
        <w:spacing w:line="520" w:lineRule="exact"/>
        <w:ind w:firstLine="562"/>
      </w:pPr>
      <w:r>
        <w:rPr>
          <w:rFonts w:hint="eastAsia"/>
          <w:b/>
          <w:bCs/>
        </w:rPr>
        <w:t>9.加频保护区巡查。</w:t>
      </w:r>
      <w:r>
        <w:rPr>
          <w:rFonts w:hint="eastAsia"/>
        </w:rPr>
        <w:t>石壁</w:t>
      </w:r>
      <w:r>
        <w:t>水库管理中心</w:t>
      </w:r>
      <w:r>
        <w:rPr>
          <w:rFonts w:hint="eastAsia"/>
        </w:rPr>
        <w:t>联合公安部门、交通部门、属地乡镇，加强</w:t>
      </w:r>
      <w:r>
        <w:t>巡查人员对一级保护区</w:t>
      </w:r>
      <w:r>
        <w:rPr>
          <w:rFonts w:hint="eastAsia"/>
        </w:rPr>
        <w:t>陆域开展</w:t>
      </w:r>
      <w:r>
        <w:t>逐日巡查，</w:t>
      </w:r>
      <w:r>
        <w:rPr>
          <w:rFonts w:hint="eastAsia"/>
        </w:rPr>
        <w:t>对</w:t>
      </w:r>
      <w:r>
        <w:t>二级保护区</w:t>
      </w:r>
      <w:r>
        <w:rPr>
          <w:rFonts w:hint="eastAsia"/>
        </w:rPr>
        <w:t>陆域</w:t>
      </w:r>
      <w:r>
        <w:t>实行不定期巡查</w:t>
      </w:r>
      <w:r>
        <w:rPr>
          <w:rFonts w:hint="eastAsia"/>
        </w:rPr>
        <w:t>，并</w:t>
      </w:r>
      <w:r>
        <w:t>做好</w:t>
      </w:r>
      <w:r>
        <w:rPr>
          <w:rFonts w:hint="eastAsia"/>
        </w:rPr>
        <w:t>相应</w:t>
      </w:r>
      <w:r>
        <w:t>巡查记录。</w:t>
      </w:r>
    </w:p>
    <w:p>
      <w:pPr>
        <w:spacing w:line="520" w:lineRule="exact"/>
        <w:ind w:firstLine="562"/>
      </w:pPr>
      <w:r>
        <w:rPr>
          <w:rFonts w:hint="eastAsia"/>
          <w:b/>
          <w:bCs/>
        </w:rPr>
        <w:t>10.设置生物预警池。</w:t>
      </w:r>
      <w:r>
        <w:rPr>
          <w:rFonts w:hint="eastAsia"/>
        </w:rPr>
        <w:t>加强取水口的保护管理，在取水口闸门口外5m半径处设置一圈漂浮围隔，围隔内设置生物预警池，并对生物状态进行实时视频监控。</w:t>
      </w:r>
    </w:p>
    <w:p>
      <w:pPr>
        <w:spacing w:line="520" w:lineRule="exact"/>
        <w:ind w:firstLine="562"/>
      </w:pPr>
      <w:r>
        <w:rPr>
          <w:rFonts w:hint="eastAsia"/>
          <w:b/>
          <w:bCs/>
        </w:rPr>
        <w:t>11.建立信息共享平台。</w:t>
      </w:r>
      <w:r>
        <w:rPr>
          <w:rFonts w:hint="eastAsia"/>
        </w:rPr>
        <w:t>建立各部门信息共享平台，实现石壁水库</w:t>
      </w:r>
      <w:r>
        <w:t>水量</w:t>
      </w:r>
      <w:r>
        <w:rPr>
          <w:rFonts w:hint="eastAsia"/>
        </w:rPr>
        <w:t>、</w:t>
      </w:r>
      <w:r>
        <w:t>水质</w:t>
      </w:r>
      <w:r>
        <w:rPr>
          <w:rFonts w:hint="eastAsia"/>
        </w:rPr>
        <w:t>信息的实时共享，</w:t>
      </w:r>
      <w:r>
        <w:t>提高信息化管理水平</w:t>
      </w:r>
      <w:r>
        <w:rPr>
          <w:rFonts w:hint="eastAsia"/>
        </w:rPr>
        <w:t>。</w:t>
      </w:r>
    </w:p>
    <w:p>
      <w:pPr>
        <w:pStyle w:val="2"/>
        <w:numPr>
          <w:ilvl w:val="0"/>
          <w:numId w:val="0"/>
        </w:numPr>
        <w:tabs>
          <w:tab w:val="left" w:pos="426"/>
        </w:tabs>
        <w:spacing w:before="0" w:after="0" w:line="520" w:lineRule="exact"/>
        <w:ind w:firstLine="562" w:firstLineChars="200"/>
        <w:rPr>
          <w:rFonts w:eastAsia="宋体" w:cs="Times New Roman"/>
          <w:kern w:val="2"/>
          <w:sz w:val="28"/>
          <w:szCs w:val="22"/>
        </w:rPr>
      </w:pPr>
      <w:r>
        <w:rPr>
          <w:rFonts w:hint="eastAsia" w:eastAsia="宋体" w:cs="Times New Roman"/>
          <w:kern w:val="2"/>
          <w:sz w:val="28"/>
          <w:szCs w:val="22"/>
        </w:rPr>
        <w:t>（四）细化水库管理体系建设，确保水库安全有序</w:t>
      </w:r>
    </w:p>
    <w:p>
      <w:pPr>
        <w:spacing w:line="520" w:lineRule="exact"/>
        <w:ind w:firstLine="562"/>
      </w:pPr>
      <w:r>
        <w:rPr>
          <w:rFonts w:hint="eastAsia"/>
          <w:b/>
          <w:bCs/>
        </w:rPr>
        <w:t>12.</w:t>
      </w:r>
      <w:r>
        <w:rPr>
          <w:rFonts w:hint="eastAsia"/>
          <w:b/>
          <w:bCs/>
          <w:lang w:eastAsia="zh-CN"/>
        </w:rPr>
        <w:t>加强</w:t>
      </w:r>
      <w:r>
        <w:rPr>
          <w:rFonts w:hint="eastAsia"/>
          <w:b/>
          <w:bCs/>
        </w:rPr>
        <w:t>长效管理工作。</w:t>
      </w:r>
      <w:r>
        <w:rPr>
          <w:rFonts w:hint="eastAsia"/>
        </w:rPr>
        <w:t>持续开展库区水域、水源保护区、重要水源实施等日常管理任务，</w:t>
      </w:r>
      <w:r>
        <w:t>包括</w:t>
      </w:r>
      <w:r>
        <w:rPr>
          <w:rFonts w:hint="eastAsia"/>
        </w:rPr>
        <w:t>巡逻船只</w:t>
      </w:r>
      <w:r>
        <w:t>养护</w:t>
      </w:r>
      <w:r>
        <w:rPr>
          <w:rFonts w:hint="eastAsia"/>
        </w:rPr>
        <w:t>、</w:t>
      </w:r>
      <w:r>
        <w:t>水面保洁、绿化养护、水面安保、水面巡逻、</w:t>
      </w:r>
      <w:r>
        <w:rPr>
          <w:rFonts w:hint="eastAsia"/>
        </w:rPr>
        <w:t>标识</w:t>
      </w:r>
      <w:r>
        <w:t>标牌维修等</w:t>
      </w:r>
      <w:r>
        <w:rPr>
          <w:rFonts w:hint="eastAsia"/>
        </w:rPr>
        <w:t>。</w:t>
      </w:r>
    </w:p>
    <w:p>
      <w:pPr>
        <w:spacing w:line="520" w:lineRule="exact"/>
        <w:ind w:firstLine="562"/>
      </w:pPr>
      <w:r>
        <w:rPr>
          <w:rFonts w:hint="eastAsia"/>
          <w:b/>
          <w:bCs/>
        </w:rPr>
        <w:t>13.提升应急管理工作。</w:t>
      </w:r>
      <w:r>
        <w:t>完善</w:t>
      </w:r>
      <w:r>
        <w:rPr>
          <w:rFonts w:hint="eastAsia"/>
        </w:rPr>
        <w:t>石壁水库管理中心应对油污</w:t>
      </w:r>
      <w:r>
        <w:t>污染的应急</w:t>
      </w:r>
      <w:r>
        <w:rPr>
          <w:rFonts w:hint="eastAsia"/>
        </w:rPr>
        <w:t>物资</w:t>
      </w:r>
      <w:r>
        <w:t>储备</w:t>
      </w:r>
      <w:r>
        <w:rPr>
          <w:rFonts w:hint="eastAsia"/>
        </w:rPr>
        <w:t>，定期开展水污染应急演练；对石壁水库饮用水水源保护区的污染源进行全面调查，建立风险源管理名录，完善危险化学品管理制度，加强对保护区内危险化学品运输管理，切实提升环境预警应急管理能力。</w:t>
      </w:r>
    </w:p>
    <w:p>
      <w:pPr>
        <w:ind w:firstLine="562"/>
        <w:rPr>
          <w:rFonts w:eastAsia="宋体" w:cs="Times New Roman"/>
          <w:b/>
          <w:bCs/>
        </w:rPr>
      </w:pPr>
      <w:r>
        <w:rPr>
          <w:rFonts w:hint="eastAsia" w:eastAsia="宋体" w:cs="Times New Roman"/>
          <w:b/>
          <w:bCs/>
        </w:rPr>
        <w:t>三、部门分工</w:t>
      </w:r>
    </w:p>
    <w:p>
      <w:pPr>
        <w:ind w:firstLine="562"/>
        <w:rPr>
          <w:shd w:val="clear" w:color="auto" w:fill="FFFFFF"/>
        </w:rPr>
      </w:pPr>
      <w:r>
        <w:rPr>
          <w:rFonts w:hint="eastAsia"/>
          <w:b/>
          <w:bCs/>
          <w:shd w:val="clear" w:color="auto" w:fill="FFFFFF"/>
        </w:rPr>
        <w:t>1.财政局：</w:t>
      </w:r>
      <w:r>
        <w:rPr>
          <w:rFonts w:hint="eastAsia"/>
          <w:shd w:val="clear" w:color="auto" w:fill="FFFFFF"/>
        </w:rPr>
        <w:t>负责加强饮用水水源地达标建设经费保障。</w:t>
      </w:r>
    </w:p>
    <w:p>
      <w:pPr>
        <w:ind w:firstLine="560"/>
        <w:rPr>
          <w:rFonts w:hint="eastAsia"/>
          <w:shd w:val="clear" w:color="auto" w:fill="FFFFFF"/>
        </w:rPr>
      </w:pPr>
      <w:r>
        <w:rPr>
          <w:rFonts w:hint="eastAsia"/>
          <w:b/>
          <w:bCs/>
          <w:shd w:val="clear" w:color="auto" w:fill="FFFFFF"/>
        </w:rPr>
        <w:t>2.发改局：</w:t>
      </w:r>
      <w:r>
        <w:t>负责将饮用水水源保护工作纳入国民经济与社会发展中长期规划和年度发展计划；</w:t>
      </w:r>
      <w:r>
        <w:rPr>
          <w:rFonts w:hint="eastAsia"/>
        </w:rPr>
        <w:t>按照</w:t>
      </w:r>
      <w:r>
        <w:t>饮用水水源保护的规定，做好项目审批把关工作。</w:t>
      </w:r>
    </w:p>
    <w:p>
      <w:pPr>
        <w:ind w:firstLine="562"/>
        <w:rPr>
          <w:shd w:val="clear" w:color="auto" w:fill="FFFFFF"/>
        </w:rPr>
      </w:pPr>
      <w:r>
        <w:rPr>
          <w:rFonts w:hint="eastAsia"/>
          <w:b/>
          <w:bCs/>
          <w:shd w:val="clear" w:color="auto" w:fill="FFFFFF"/>
        </w:rPr>
        <w:t>3.水利局：</w:t>
      </w:r>
      <w:r>
        <w:rPr>
          <w:rFonts w:hint="eastAsia"/>
          <w:shd w:val="clear" w:color="auto" w:fill="FFFFFF"/>
        </w:rPr>
        <w:t>负责本辖区内饮用水水源地保护规划及相关水源工程建设的具体工作，对饮用水水源地水库实施统一监督管理，做好饮用水源地的水土保持工作，防止水土流失。</w:t>
      </w:r>
    </w:p>
    <w:p>
      <w:pPr>
        <w:ind w:firstLine="562"/>
        <w:rPr>
          <w:shd w:val="clear" w:color="auto" w:fill="FFFFFF"/>
        </w:rPr>
      </w:pPr>
      <w:r>
        <w:rPr>
          <w:rFonts w:hint="eastAsia"/>
          <w:b/>
          <w:bCs/>
          <w:shd w:val="clear" w:color="auto" w:fill="FFFFFF"/>
        </w:rPr>
        <w:t>4.生态环境分局：</w:t>
      </w:r>
      <w:r>
        <w:rPr>
          <w:rFonts w:hint="eastAsia"/>
          <w:shd w:val="clear" w:color="auto" w:fill="FFFFFF"/>
        </w:rPr>
        <w:t>负责本辖区内饮用水水源保护区的划定及相关环境管理的具体工作，对饮用水水源污染防治实施统一监督管理，按照规范对水源地水质进行定期检测。</w:t>
      </w:r>
    </w:p>
    <w:p>
      <w:pPr>
        <w:ind w:firstLine="562"/>
        <w:rPr>
          <w:shd w:val="clear" w:color="auto" w:fill="FFFFFF"/>
        </w:rPr>
      </w:pPr>
      <w:r>
        <w:rPr>
          <w:rFonts w:hint="eastAsia"/>
          <w:b/>
          <w:bCs/>
          <w:shd w:val="clear" w:color="auto" w:fill="FFFFFF"/>
        </w:rPr>
        <w:t>5.交通运输局：</w:t>
      </w:r>
      <w:r>
        <w:rPr>
          <w:rFonts w:hint="eastAsia"/>
          <w:shd w:val="clear" w:color="auto" w:fill="FFFFFF"/>
        </w:rPr>
        <w:t>负责饮用水水源地临近路段的交通执法巡查工作和对饮用水源保护区伴行公路危险化学品运输工具的安全管理工作。</w:t>
      </w:r>
    </w:p>
    <w:p>
      <w:pPr>
        <w:ind w:firstLine="562"/>
        <w:rPr>
          <w:shd w:val="clear" w:color="auto" w:fill="FFFFFF"/>
        </w:rPr>
      </w:pPr>
      <w:r>
        <w:rPr>
          <w:rFonts w:hint="eastAsia"/>
          <w:b/>
          <w:bCs/>
          <w:shd w:val="clear" w:color="auto" w:fill="FFFFFF"/>
        </w:rPr>
        <w:t>6.农业农村局：</w:t>
      </w:r>
      <w:r>
        <w:rPr>
          <w:rFonts w:hint="eastAsia"/>
          <w:shd w:val="clear" w:color="auto" w:fill="FFFFFF"/>
        </w:rPr>
        <w:t>负责控制农药、化肥、农膜、禽畜粪便对饮用水源的污染；负责植被的保护和管理，控制保护区农田施用农药和禽畜粪便对饮用水源的污染。</w:t>
      </w:r>
    </w:p>
    <w:p>
      <w:pPr>
        <w:ind w:firstLine="562"/>
        <w:rPr>
          <w:b/>
          <w:bCs/>
          <w:shd w:val="clear" w:color="auto" w:fill="FFFFFF"/>
        </w:rPr>
      </w:pPr>
      <w:r>
        <w:rPr>
          <w:rFonts w:hint="eastAsia"/>
          <w:b/>
          <w:bCs/>
          <w:shd w:val="clear" w:color="auto" w:fill="FFFFFF"/>
        </w:rPr>
        <w:t>7.自然资源和规划局：</w:t>
      </w:r>
      <w:r>
        <w:rPr>
          <w:rFonts w:hint="eastAsia"/>
          <w:shd w:val="clear" w:color="auto" w:fill="FFFFFF"/>
        </w:rPr>
        <w:t>负责饮用水水源保护区内建设项目用地审批和矿产资源管理工作，依法查处违法用地和违法采矿行为，开展水源地保护生态涵养林的建设管理。</w:t>
      </w:r>
    </w:p>
    <w:p>
      <w:pPr>
        <w:ind w:firstLine="562"/>
        <w:rPr>
          <w:shd w:val="clear" w:color="auto" w:fill="FFFFFF"/>
        </w:rPr>
      </w:pPr>
      <w:r>
        <w:rPr>
          <w:rFonts w:hint="eastAsia"/>
          <w:b/>
          <w:bCs/>
          <w:shd w:val="clear" w:color="auto" w:fill="FFFFFF"/>
        </w:rPr>
        <w:t>8.水务集团：</w:t>
      </w:r>
      <w:r>
        <w:rPr>
          <w:rFonts w:hint="eastAsia"/>
          <w:shd w:val="clear" w:color="auto" w:fill="FFFFFF"/>
        </w:rPr>
        <w:t>负责对输水管线、污水主管网、农村生活污水处理终端的建设管理、巡查管护，做好供水管网、加压泵站、各水厂生产运维工作，保障全市供水优质安全。</w:t>
      </w:r>
    </w:p>
    <w:p>
      <w:pPr>
        <w:ind w:firstLine="562"/>
      </w:pPr>
      <w:r>
        <w:rPr>
          <w:rFonts w:hint="eastAsia"/>
          <w:b/>
          <w:bCs/>
          <w:shd w:val="clear" w:color="auto" w:fill="FFFFFF"/>
        </w:rPr>
        <w:t>9.属地乡镇：</w:t>
      </w:r>
      <w:r>
        <w:rPr>
          <w:rFonts w:hint="eastAsia"/>
          <w:shd w:val="clear" w:color="auto" w:fill="FFFFFF"/>
        </w:rPr>
        <w:t>负责</w:t>
      </w:r>
      <w:r>
        <w:rPr>
          <w:rFonts w:hint="eastAsia"/>
        </w:rPr>
        <w:t>抓好属地涉及水源保护区村庄的环境卫生、农家乐污染、垃圾乱倾倒、生活污水、农业面源污染以及其他污染的管控工作；开展水源地保护宣传工作。</w:t>
      </w:r>
    </w:p>
    <w:p>
      <w:pPr>
        <w:ind w:firstLine="562"/>
        <w:rPr>
          <w:rFonts w:eastAsia="宋体" w:cs="Times New Roman"/>
          <w:b/>
          <w:bCs/>
        </w:rPr>
      </w:pPr>
      <w:r>
        <w:rPr>
          <w:rFonts w:hint="eastAsia" w:eastAsia="宋体" w:cs="Times New Roman"/>
          <w:b/>
          <w:bCs/>
        </w:rPr>
        <w:t>四、保障措施</w:t>
      </w:r>
    </w:p>
    <w:p>
      <w:pPr>
        <w:ind w:firstLine="560"/>
      </w:pPr>
      <w:r>
        <w:rPr>
          <w:rFonts w:hint="eastAsia"/>
        </w:rPr>
        <w:t>（一）切实强化</w:t>
      </w:r>
      <w:r>
        <w:t>组织领导</w:t>
      </w:r>
      <w:r>
        <w:rPr>
          <w:rFonts w:hint="eastAsia"/>
        </w:rPr>
        <w:t>。</w:t>
      </w:r>
      <w:r>
        <w:t>加强</w:t>
      </w:r>
      <w:r>
        <w:rPr>
          <w:rFonts w:hint="eastAsia"/>
        </w:rPr>
        <w:t>政府</w:t>
      </w:r>
      <w:r>
        <w:t>对</w:t>
      </w:r>
      <w:r>
        <w:rPr>
          <w:rFonts w:hint="eastAsia"/>
        </w:rPr>
        <w:t>饮用水水源地安全达标建设的领导，建立健全水</w:t>
      </w:r>
      <w:r>
        <w:t>源</w:t>
      </w:r>
      <w:r>
        <w:rPr>
          <w:rFonts w:hint="eastAsia"/>
        </w:rPr>
        <w:t>地</w:t>
      </w:r>
      <w:r>
        <w:t>保护工作领导小组</w:t>
      </w:r>
      <w:r>
        <w:rPr>
          <w:rFonts w:hint="eastAsia"/>
        </w:rPr>
        <w:t>等组织机构机制，</w:t>
      </w:r>
      <w:r>
        <w:t>以工作责任制度、水质监测制度、监督检查制度和信息报告制度等为重点，进一步建立和完善石壁水库饮用水源保护工作制度体系</w:t>
      </w:r>
      <w:r>
        <w:rPr>
          <w:rFonts w:hint="eastAsia"/>
        </w:rPr>
        <w:t>，有效</w:t>
      </w:r>
      <w:r>
        <w:t>分解落实保护任务</w:t>
      </w:r>
      <w:r>
        <w:rPr>
          <w:rFonts w:hint="eastAsia"/>
        </w:rPr>
        <w:t>，</w:t>
      </w:r>
      <w:r>
        <w:t>促进饮用水源保护工作规范化、有序化开展。</w:t>
      </w:r>
    </w:p>
    <w:p>
      <w:pPr>
        <w:ind w:firstLine="560"/>
        <w:rPr>
          <w:rFonts w:ascii="Cambria" w:hAnsi="Cambria"/>
          <w:szCs w:val="32"/>
        </w:rPr>
      </w:pPr>
      <w:r>
        <w:rPr>
          <w:rFonts w:hint="eastAsia"/>
        </w:rPr>
        <w:t>（二）加大资金投入力度。</w:t>
      </w:r>
      <w:r>
        <w:rPr>
          <w:rFonts w:hint="eastAsia" w:ascii="Cambria" w:hAnsi="Cambria"/>
          <w:szCs w:val="32"/>
        </w:rPr>
        <w:t>落实水源地达标建设</w:t>
      </w:r>
      <w:r>
        <w:rPr>
          <w:rFonts w:ascii="Cambria" w:hAnsi="Cambria"/>
          <w:szCs w:val="32"/>
        </w:rPr>
        <w:t>专项资金</w:t>
      </w:r>
      <w:r>
        <w:rPr>
          <w:rFonts w:hint="eastAsia" w:ascii="Cambria" w:hAnsi="Cambria"/>
          <w:szCs w:val="32"/>
        </w:rPr>
        <w:t>，加大水源地安全达标建设</w:t>
      </w:r>
      <w:r>
        <w:rPr>
          <w:rFonts w:ascii="Cambria" w:hAnsi="Cambria"/>
          <w:szCs w:val="32"/>
        </w:rPr>
        <w:t>实施方案的支持力度。财政部门积极发挥财政职能作用，重点支持</w:t>
      </w:r>
      <w:r>
        <w:rPr>
          <w:rFonts w:hint="eastAsia" w:ascii="Cambria" w:hAnsi="Cambria"/>
          <w:szCs w:val="32"/>
        </w:rPr>
        <w:t>四大建设任务</w:t>
      </w:r>
      <w:r>
        <w:rPr>
          <w:rFonts w:ascii="Cambria" w:hAnsi="Cambria"/>
          <w:szCs w:val="32"/>
        </w:rPr>
        <w:t>，</w:t>
      </w:r>
      <w:r>
        <w:rPr>
          <w:rFonts w:hint="eastAsia"/>
        </w:rPr>
        <w:t>同时建立有效的资金专款专用监管制度，严格执行投资问效、追踪管理，</w:t>
      </w:r>
      <w:r>
        <w:rPr>
          <w:rFonts w:hint="eastAsia" w:ascii="Cambria" w:hAnsi="Cambria"/>
          <w:szCs w:val="32"/>
        </w:rPr>
        <w:t>确保及时、高效、质量保证完成各项达标任务</w:t>
      </w:r>
      <w:r>
        <w:rPr>
          <w:rFonts w:ascii="Cambria" w:hAnsi="Cambria"/>
          <w:szCs w:val="32"/>
        </w:rPr>
        <w:t>。</w:t>
      </w:r>
    </w:p>
    <w:p>
      <w:pPr>
        <w:pStyle w:val="3"/>
        <w:numPr>
          <w:ilvl w:val="0"/>
          <w:numId w:val="0"/>
        </w:numPr>
        <w:tabs>
          <w:tab w:val="left" w:pos="560"/>
        </w:tabs>
        <w:spacing w:before="0" w:line="520" w:lineRule="exact"/>
        <w:ind w:firstLine="560" w:firstLineChars="200"/>
        <w:rPr>
          <w:rFonts w:ascii="Cambria" w:hAnsi="Cambria" w:eastAsiaTheme="minorEastAsia" w:cstheme="minorBidi"/>
          <w:b w:val="0"/>
          <w:bCs w:val="0"/>
          <w:sz w:val="28"/>
        </w:rPr>
      </w:pPr>
      <w:r>
        <w:rPr>
          <w:rFonts w:hint="eastAsia" w:ascii="Cambria" w:hAnsi="Cambria" w:eastAsiaTheme="minorEastAsia" w:cstheme="minorBidi"/>
          <w:b w:val="0"/>
          <w:bCs w:val="0"/>
          <w:sz w:val="28"/>
        </w:rPr>
        <w:t>（三）加强监督考核制度。水源地安全达标建设纳入“最严格水资源管理”和“五水共治”考核，积极发挥人大、政府、上级主管部门、新闻媒体、社会公众、专家学者以及第三方评估机构在建设实施情况监督和考核中的作用，形成定期考核和定量评价的具体考核方案和指标体系，建立对考核相关问题整改效果的后评估机制。</w:t>
      </w:r>
    </w:p>
    <w:p>
      <w:pPr>
        <w:ind w:firstLine="560"/>
      </w:pPr>
      <w:r>
        <w:rPr>
          <w:rFonts w:hint="eastAsia"/>
        </w:rPr>
        <w:t>（四）完善部门协作制度。建立水源地保护相关</w:t>
      </w:r>
      <w:r>
        <w:t>部门间的联席会议和定期情况通报制度，将部门间的信息共享、联合执法以及协作责任予以制度化和常态化</w:t>
      </w:r>
      <w:r>
        <w:rPr>
          <w:rFonts w:hint="eastAsia"/>
        </w:rPr>
        <w:t>，保障水源地保护工作长效化、规范化开展</w:t>
      </w:r>
      <w:r>
        <w:t>。</w:t>
      </w:r>
    </w:p>
    <w:p>
      <w:pPr>
        <w:spacing w:after="120" w:line="520" w:lineRule="exact"/>
        <w:ind w:firstLine="56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624" w:footer="567" w:gutter="0"/>
          <w:pgNumType w:start="1"/>
          <w:cols w:space="425" w:num="1"/>
          <w:docGrid w:type="lines" w:linePitch="381" w:charSpace="0"/>
        </w:sectPr>
      </w:pPr>
    </w:p>
    <w:p>
      <w:pPr>
        <w:pStyle w:val="2"/>
        <w:numPr>
          <w:ilvl w:val="0"/>
          <w:numId w:val="0"/>
        </w:numPr>
        <w:spacing w:line="520" w:lineRule="exact"/>
        <w:ind w:left="425" w:hanging="425"/>
      </w:pPr>
      <w:bookmarkStart w:id="3" w:name="_Toc54869050"/>
      <w:r>
        <w:rPr>
          <w:rFonts w:hint="eastAsia"/>
        </w:rPr>
        <w:t>附表 石壁水库水源地安全保障达标建设实施任务清单表</w:t>
      </w:r>
      <w:bookmarkEnd w:id="3"/>
    </w:p>
    <w:tbl>
      <w:tblPr>
        <w:tblStyle w:val="1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624"/>
        <w:gridCol w:w="3115"/>
        <w:gridCol w:w="3277"/>
        <w:gridCol w:w="2061"/>
        <w:gridCol w:w="825"/>
        <w:gridCol w:w="712"/>
        <w:gridCol w:w="689"/>
        <w:gridCol w:w="1131"/>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242" w:type="pct"/>
            <w:vMerge w:val="restart"/>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bookmarkStart w:id="4" w:name="_Hlk54357699"/>
            <w:r>
              <w:rPr>
                <w:rFonts w:eastAsia="宋体" w:cs="Times New Roman"/>
                <w:b/>
                <w:bCs/>
                <w:color w:val="000000"/>
                <w:kern w:val="0"/>
                <w:sz w:val="21"/>
                <w:szCs w:val="21"/>
              </w:rPr>
              <w:t>类别</w:t>
            </w:r>
          </w:p>
        </w:tc>
        <w:tc>
          <w:tcPr>
            <w:tcW w:w="220" w:type="pct"/>
            <w:vMerge w:val="restart"/>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序号</w:t>
            </w:r>
          </w:p>
        </w:tc>
        <w:tc>
          <w:tcPr>
            <w:tcW w:w="1099" w:type="pct"/>
            <w:vMerge w:val="restart"/>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项目名称</w:t>
            </w:r>
          </w:p>
        </w:tc>
        <w:tc>
          <w:tcPr>
            <w:tcW w:w="1156" w:type="pct"/>
            <w:vMerge w:val="restart"/>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实施内容</w:t>
            </w:r>
          </w:p>
        </w:tc>
        <w:tc>
          <w:tcPr>
            <w:tcW w:w="727" w:type="pct"/>
            <w:vMerge w:val="restart"/>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r>
              <w:rPr>
                <w:rFonts w:hint="eastAsia" w:eastAsia="宋体" w:cs="Times New Roman"/>
                <w:b/>
                <w:bCs/>
                <w:color w:val="000000"/>
                <w:kern w:val="0"/>
                <w:sz w:val="21"/>
                <w:szCs w:val="21"/>
              </w:rPr>
              <w:t>责任</w:t>
            </w:r>
            <w:r>
              <w:rPr>
                <w:rFonts w:eastAsia="宋体" w:cs="Times New Roman"/>
                <w:b/>
                <w:bCs/>
                <w:color w:val="000000"/>
                <w:kern w:val="0"/>
                <w:sz w:val="21"/>
                <w:szCs w:val="21"/>
              </w:rPr>
              <w:t>单位</w:t>
            </w:r>
          </w:p>
        </w:tc>
        <w:tc>
          <w:tcPr>
            <w:tcW w:w="785" w:type="pct"/>
            <w:gridSpan w:val="3"/>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r>
              <w:rPr>
                <w:rFonts w:hint="eastAsia" w:eastAsia="宋体" w:cs="Times New Roman"/>
                <w:b/>
                <w:bCs/>
                <w:color w:val="000000"/>
                <w:kern w:val="0"/>
                <w:sz w:val="21"/>
                <w:szCs w:val="21"/>
              </w:rPr>
              <w:t>实施</w:t>
            </w:r>
            <w:r>
              <w:rPr>
                <w:rFonts w:eastAsia="宋体" w:cs="Times New Roman"/>
                <w:b/>
                <w:bCs/>
                <w:color w:val="000000"/>
                <w:kern w:val="0"/>
                <w:sz w:val="21"/>
                <w:szCs w:val="21"/>
              </w:rPr>
              <w:t>时间</w:t>
            </w:r>
          </w:p>
        </w:tc>
        <w:tc>
          <w:tcPr>
            <w:tcW w:w="399" w:type="pct"/>
            <w:vMerge w:val="restart"/>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投资</w:t>
            </w:r>
          </w:p>
          <w:p>
            <w:pPr>
              <w:widowControl/>
              <w:spacing w:line="52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(万元）</w:t>
            </w:r>
          </w:p>
        </w:tc>
        <w:tc>
          <w:tcPr>
            <w:tcW w:w="368" w:type="pct"/>
            <w:vMerge w:val="restart"/>
            <w:shd w:val="clear" w:color="auto" w:fill="auto"/>
            <w:vAlign w:val="center"/>
          </w:tcPr>
          <w:p>
            <w:pPr>
              <w:widowControl/>
              <w:spacing w:line="520" w:lineRule="exact"/>
              <w:ind w:firstLine="0" w:firstLineChars="0"/>
              <w:jc w:val="center"/>
              <w:rPr>
                <w:rFonts w:eastAsia="宋体" w:cs="Times New Roman"/>
                <w:b/>
                <w:bCs/>
                <w:color w:val="000000"/>
                <w:kern w:val="0"/>
                <w:sz w:val="21"/>
                <w:szCs w:val="21"/>
              </w:rPr>
            </w:pPr>
            <w:r>
              <w:rPr>
                <w:rFonts w:hint="eastAsia" w:eastAsia="宋体" w:cs="Times New Roman"/>
                <w:b/>
                <w:bCs/>
                <w:color w:val="000000"/>
                <w:kern w:val="0"/>
                <w:sz w:val="21"/>
                <w:szCs w:val="21"/>
              </w:rPr>
              <w:t>任务</w:t>
            </w:r>
          </w:p>
          <w:p>
            <w:pPr>
              <w:widowControl/>
              <w:spacing w:line="520" w:lineRule="exact"/>
              <w:ind w:firstLine="0" w:firstLineChars="0"/>
              <w:jc w:val="center"/>
              <w:rPr>
                <w:rFonts w:eastAsia="宋体" w:cs="Times New Roman"/>
                <w:b/>
                <w:bCs/>
                <w:color w:val="000000"/>
                <w:kern w:val="0"/>
                <w:sz w:val="21"/>
                <w:szCs w:val="21"/>
              </w:rPr>
            </w:pPr>
            <w:r>
              <w:rPr>
                <w:rFonts w:hint="eastAsia" w:eastAsia="宋体" w:cs="Times New Roman"/>
                <w:b/>
                <w:bCs/>
                <w:color w:val="000000"/>
                <w:kern w:val="0"/>
                <w:sz w:val="21"/>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242" w:type="pct"/>
            <w:vMerge w:val="continue"/>
            <w:shd w:val="clear" w:color="auto" w:fill="auto"/>
            <w:vAlign w:val="center"/>
          </w:tcPr>
          <w:p>
            <w:pPr>
              <w:widowControl/>
              <w:spacing w:line="520" w:lineRule="exact"/>
              <w:ind w:firstLine="0" w:firstLineChars="0"/>
              <w:jc w:val="left"/>
              <w:rPr>
                <w:rFonts w:eastAsia="宋体" w:cs="Times New Roman"/>
                <w:b/>
                <w:bCs/>
                <w:color w:val="000000"/>
                <w:kern w:val="0"/>
                <w:sz w:val="20"/>
                <w:szCs w:val="20"/>
              </w:rPr>
            </w:pPr>
          </w:p>
        </w:tc>
        <w:tc>
          <w:tcPr>
            <w:tcW w:w="220" w:type="pct"/>
            <w:vMerge w:val="continue"/>
            <w:shd w:val="clear" w:color="auto" w:fill="auto"/>
            <w:vAlign w:val="center"/>
          </w:tcPr>
          <w:p>
            <w:pPr>
              <w:widowControl/>
              <w:spacing w:line="520" w:lineRule="exact"/>
              <w:ind w:firstLine="0" w:firstLineChars="0"/>
              <w:jc w:val="center"/>
              <w:rPr>
                <w:rFonts w:eastAsia="宋体" w:cs="Times New Roman"/>
                <w:b/>
                <w:bCs/>
                <w:color w:val="000000"/>
                <w:kern w:val="0"/>
                <w:sz w:val="20"/>
                <w:szCs w:val="20"/>
              </w:rPr>
            </w:pPr>
          </w:p>
        </w:tc>
        <w:tc>
          <w:tcPr>
            <w:tcW w:w="1099" w:type="pct"/>
            <w:vMerge w:val="continue"/>
            <w:shd w:val="clear" w:color="auto" w:fill="auto"/>
            <w:vAlign w:val="center"/>
          </w:tcPr>
          <w:p>
            <w:pPr>
              <w:widowControl/>
              <w:spacing w:line="520" w:lineRule="exact"/>
              <w:ind w:firstLine="0" w:firstLineChars="0"/>
              <w:jc w:val="left"/>
              <w:rPr>
                <w:rFonts w:eastAsia="宋体" w:cs="Times New Roman"/>
                <w:b/>
                <w:bCs/>
                <w:color w:val="000000"/>
                <w:kern w:val="0"/>
                <w:sz w:val="20"/>
                <w:szCs w:val="20"/>
              </w:rPr>
            </w:pPr>
          </w:p>
        </w:tc>
        <w:tc>
          <w:tcPr>
            <w:tcW w:w="1156" w:type="pct"/>
            <w:vMerge w:val="continue"/>
            <w:shd w:val="clear" w:color="auto" w:fill="auto"/>
            <w:vAlign w:val="center"/>
          </w:tcPr>
          <w:p>
            <w:pPr>
              <w:widowControl/>
              <w:spacing w:line="520" w:lineRule="exact"/>
              <w:ind w:firstLine="0" w:firstLineChars="0"/>
              <w:jc w:val="left"/>
              <w:rPr>
                <w:rFonts w:eastAsia="宋体" w:cs="Times New Roman"/>
                <w:b/>
                <w:bCs/>
                <w:color w:val="000000"/>
                <w:kern w:val="0"/>
                <w:sz w:val="20"/>
                <w:szCs w:val="20"/>
              </w:rPr>
            </w:pPr>
          </w:p>
        </w:tc>
        <w:tc>
          <w:tcPr>
            <w:tcW w:w="727" w:type="pct"/>
            <w:vMerge w:val="continue"/>
            <w:shd w:val="clear" w:color="auto" w:fill="auto"/>
            <w:vAlign w:val="center"/>
          </w:tcPr>
          <w:p>
            <w:pPr>
              <w:widowControl/>
              <w:spacing w:line="520" w:lineRule="exact"/>
              <w:ind w:firstLine="0" w:firstLineChars="0"/>
              <w:jc w:val="center"/>
              <w:rPr>
                <w:rFonts w:eastAsia="宋体" w:cs="Times New Roman"/>
                <w:b/>
                <w:bCs/>
                <w:color w:val="000000"/>
                <w:kern w:val="0"/>
                <w:sz w:val="20"/>
                <w:szCs w:val="20"/>
              </w:rPr>
            </w:pPr>
          </w:p>
        </w:tc>
        <w:tc>
          <w:tcPr>
            <w:tcW w:w="291" w:type="pct"/>
            <w:shd w:val="clear" w:color="auto" w:fill="auto"/>
            <w:vAlign w:val="center"/>
          </w:tcPr>
          <w:p>
            <w:pPr>
              <w:widowControl/>
              <w:spacing w:line="520" w:lineRule="exact"/>
              <w:ind w:firstLine="0" w:firstLineChars="0"/>
              <w:jc w:val="center"/>
              <w:rPr>
                <w:rFonts w:eastAsia="宋体" w:cs="Times New Roman"/>
                <w:b/>
                <w:bCs/>
                <w:color w:val="000000"/>
                <w:kern w:val="0"/>
                <w:sz w:val="20"/>
                <w:szCs w:val="20"/>
              </w:rPr>
            </w:pPr>
            <w:r>
              <w:rPr>
                <w:rFonts w:eastAsia="宋体" w:cs="Times New Roman"/>
                <w:b/>
                <w:bCs/>
                <w:color w:val="000000"/>
                <w:kern w:val="0"/>
                <w:sz w:val="20"/>
                <w:szCs w:val="20"/>
              </w:rPr>
              <w:t>2020</w:t>
            </w:r>
          </w:p>
        </w:tc>
        <w:tc>
          <w:tcPr>
            <w:tcW w:w="251" w:type="pct"/>
            <w:shd w:val="clear" w:color="auto" w:fill="auto"/>
            <w:vAlign w:val="center"/>
          </w:tcPr>
          <w:p>
            <w:pPr>
              <w:widowControl/>
              <w:spacing w:line="520" w:lineRule="exact"/>
              <w:ind w:firstLine="0" w:firstLineChars="0"/>
              <w:jc w:val="center"/>
              <w:rPr>
                <w:rFonts w:eastAsia="宋体" w:cs="Times New Roman"/>
                <w:b/>
                <w:bCs/>
                <w:color w:val="000000"/>
                <w:kern w:val="0"/>
                <w:sz w:val="20"/>
                <w:szCs w:val="20"/>
              </w:rPr>
            </w:pPr>
            <w:r>
              <w:rPr>
                <w:rFonts w:eastAsia="宋体" w:cs="Times New Roman"/>
                <w:b/>
                <w:bCs/>
                <w:color w:val="000000"/>
                <w:kern w:val="0"/>
                <w:sz w:val="20"/>
                <w:szCs w:val="20"/>
              </w:rPr>
              <w:t>2021</w:t>
            </w:r>
          </w:p>
        </w:tc>
        <w:tc>
          <w:tcPr>
            <w:tcW w:w="243" w:type="pct"/>
            <w:shd w:val="clear" w:color="auto" w:fill="auto"/>
            <w:vAlign w:val="center"/>
          </w:tcPr>
          <w:p>
            <w:pPr>
              <w:widowControl/>
              <w:spacing w:line="520" w:lineRule="exact"/>
              <w:ind w:firstLine="0" w:firstLineChars="0"/>
              <w:jc w:val="center"/>
              <w:rPr>
                <w:rFonts w:eastAsia="宋体" w:cs="Times New Roman"/>
                <w:b/>
                <w:bCs/>
                <w:color w:val="000000"/>
                <w:kern w:val="0"/>
                <w:sz w:val="20"/>
                <w:szCs w:val="20"/>
              </w:rPr>
            </w:pPr>
            <w:r>
              <w:rPr>
                <w:rFonts w:eastAsia="宋体" w:cs="Times New Roman"/>
                <w:b/>
                <w:bCs/>
                <w:color w:val="000000"/>
                <w:kern w:val="0"/>
                <w:sz w:val="20"/>
                <w:szCs w:val="20"/>
              </w:rPr>
              <w:t>2022</w:t>
            </w:r>
          </w:p>
        </w:tc>
        <w:tc>
          <w:tcPr>
            <w:tcW w:w="399" w:type="pct"/>
            <w:vMerge w:val="continue"/>
            <w:shd w:val="clear" w:color="auto" w:fill="auto"/>
            <w:vAlign w:val="center"/>
          </w:tcPr>
          <w:p>
            <w:pPr>
              <w:widowControl/>
              <w:spacing w:line="520" w:lineRule="exact"/>
              <w:ind w:firstLine="0" w:firstLineChars="0"/>
              <w:jc w:val="center"/>
              <w:rPr>
                <w:rFonts w:eastAsia="宋体" w:cs="Times New Roman"/>
                <w:b/>
                <w:bCs/>
                <w:color w:val="000000"/>
                <w:kern w:val="0"/>
                <w:sz w:val="20"/>
                <w:szCs w:val="20"/>
              </w:rPr>
            </w:pPr>
          </w:p>
        </w:tc>
        <w:tc>
          <w:tcPr>
            <w:tcW w:w="368" w:type="pct"/>
            <w:vMerge w:val="continue"/>
            <w:shd w:val="clear" w:color="auto" w:fill="auto"/>
            <w:vAlign w:val="center"/>
          </w:tcPr>
          <w:p>
            <w:pPr>
              <w:widowControl/>
              <w:spacing w:line="520" w:lineRule="exact"/>
              <w:ind w:firstLine="0" w:firstLineChars="0"/>
              <w:jc w:val="center"/>
              <w:rPr>
                <w:rFonts w:eastAsia="宋体" w:cs="Times New Roman"/>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42" w:type="pct"/>
            <w:vMerge w:val="restar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水量保障</w:t>
            </w: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1</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完善水量调度方案</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陈蔡水库加固期间，完善石壁水库供水应急调度方案；陈蔡水库加固完成后，完善供水联合调度方案</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市水利局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　</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30</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2</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开化江备用泵站自动化改造</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加装一套自控系统</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水务集团</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23</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3</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东白湖水厂管网联通、泵站工程</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修建一根城区至浬浦的供水主干管，规划管径为DN500，并规划一座规模1.0万吨/天的加压泵站</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水务集团</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1500</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4</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水源地互通管线风险源检查</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全面检查石壁水库水源地输水沿线风险源情况</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水务集团</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20</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42" w:type="pct"/>
            <w:vMerge w:val="restar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水质保障</w:t>
            </w: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5</w:t>
            </w:r>
          </w:p>
        </w:tc>
        <w:tc>
          <w:tcPr>
            <w:tcW w:w="1099"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保护区围网建设</w:t>
            </w:r>
          </w:p>
        </w:tc>
        <w:tc>
          <w:tcPr>
            <w:tcW w:w="1156"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一级保护区全封闭围网建设</w:t>
            </w:r>
          </w:p>
        </w:tc>
        <w:tc>
          <w:tcPr>
            <w:tcW w:w="727"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水务集团</w:t>
            </w:r>
            <w:r>
              <w:rPr>
                <w:rFonts w:hint="eastAsia" w:eastAsia="宋体" w:cs="Times New Roman"/>
                <w:color w:val="000000"/>
                <w:kern w:val="0"/>
                <w:sz w:val="20"/>
                <w:szCs w:val="20"/>
              </w:rPr>
              <w:t>、</w:t>
            </w:r>
            <w:r>
              <w:rPr>
                <w:rFonts w:eastAsia="宋体" w:cs="Times New Roman"/>
                <w:color w:val="000000"/>
                <w:kern w:val="0"/>
                <w:sz w:val="20"/>
                <w:szCs w:val="20"/>
              </w:rPr>
              <w:t>市水利局</w:t>
            </w:r>
          </w:p>
        </w:tc>
        <w:tc>
          <w:tcPr>
            <w:tcW w:w="29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p>
        </w:tc>
        <w:tc>
          <w:tcPr>
            <w:tcW w:w="25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43"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399"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70</w:t>
            </w:r>
          </w:p>
        </w:tc>
        <w:tc>
          <w:tcPr>
            <w:tcW w:w="368" w:type="pct"/>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6</w:t>
            </w:r>
          </w:p>
        </w:tc>
        <w:tc>
          <w:tcPr>
            <w:tcW w:w="1099"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石壁水库饮用水源地岭北镇截污纳管工程</w:t>
            </w:r>
          </w:p>
        </w:tc>
        <w:tc>
          <w:tcPr>
            <w:tcW w:w="1156"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新建污水管道约40km</w:t>
            </w:r>
          </w:p>
        </w:tc>
        <w:tc>
          <w:tcPr>
            <w:tcW w:w="727"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水务集团</w:t>
            </w:r>
          </w:p>
        </w:tc>
        <w:tc>
          <w:tcPr>
            <w:tcW w:w="29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　</w:t>
            </w:r>
          </w:p>
        </w:tc>
        <w:tc>
          <w:tcPr>
            <w:tcW w:w="25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43"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完成</w:t>
            </w:r>
          </w:p>
        </w:tc>
        <w:tc>
          <w:tcPr>
            <w:tcW w:w="399"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6000</w:t>
            </w:r>
          </w:p>
        </w:tc>
        <w:tc>
          <w:tcPr>
            <w:tcW w:w="368" w:type="pct"/>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7</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珍稀树种基地项目</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建设珍贵树种基地100亩</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市自然资源规划局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　</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　</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31.5</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8</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石壁水库保护区农业面源治理</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保护区内实施农业肥料用量定额管理、推广生态施肥技术、加大施用有机肥补贴、加强宣传培训</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市农业农村局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100</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9</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拆除、关闭排污企业</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拆除、关闭二级保护区内排污企业，加强库区环保措施改造提升</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绍兴市生态环境局诸暨分局、岭北镇、陈宅镇</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10</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库区沿线公路环境污染防治措施</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建设临水临崖防护栏设置，急弯陡坡路段标识牌设置；</w:t>
            </w:r>
          </w:p>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道路上增设设置限高措施；</w:t>
            </w:r>
          </w:p>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针对库区沿线导流沟堵塞，开展定期清堵；石东交通线上设置导流沟；左岸311县道、右岸S22省道旁侧、石东交通线上设置环境事故</w:t>
            </w:r>
            <w:bookmarkStart w:id="5" w:name="_Hlk54729974"/>
            <w:r>
              <w:rPr>
                <w:rFonts w:hint="eastAsia" w:eastAsia="宋体" w:cs="Times New Roman"/>
                <w:color w:val="000000"/>
                <w:kern w:val="0"/>
                <w:sz w:val="20"/>
                <w:szCs w:val="20"/>
              </w:rPr>
              <w:t>污染收集池</w:t>
            </w:r>
            <w:bookmarkEnd w:id="5"/>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市交通运输局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100</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11</w:t>
            </w:r>
          </w:p>
        </w:tc>
        <w:tc>
          <w:tcPr>
            <w:tcW w:w="1099"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水面保洁</w:t>
            </w:r>
          </w:p>
        </w:tc>
        <w:tc>
          <w:tcPr>
            <w:tcW w:w="1156"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水面垃圾打捞等</w:t>
            </w:r>
          </w:p>
        </w:tc>
        <w:tc>
          <w:tcPr>
            <w:tcW w:w="727"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市水利局</w:t>
            </w:r>
          </w:p>
        </w:tc>
        <w:tc>
          <w:tcPr>
            <w:tcW w:w="29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5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43"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399"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104.4</w:t>
            </w:r>
          </w:p>
        </w:tc>
        <w:tc>
          <w:tcPr>
            <w:tcW w:w="368" w:type="pct"/>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维护类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12</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标识标牌</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水质保护、安全生产、标准化管理类标识标牌新建维护费用</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市水利局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40.5</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维护类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42" w:type="pct"/>
            <w:vMerge w:val="restar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监控保障</w:t>
            </w: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13</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完善保护区路面监控设施</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增加保护区沿线路面上的监控设施，将监控设施接入公安系统</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市交通运输局、市公安局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100</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14</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完善保护区巡查制度</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一级保护区陆域实现逐日巡查</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市水利局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15</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船只维护、购买</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水源巡查，船只维护和购买</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市水利局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162</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维护类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16</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安保服务</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保安</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市水利局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100.8</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维护类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17</w:t>
            </w:r>
          </w:p>
        </w:tc>
        <w:tc>
          <w:tcPr>
            <w:tcW w:w="1099"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建立进水口围隔及生物预警池</w:t>
            </w:r>
          </w:p>
        </w:tc>
        <w:tc>
          <w:tcPr>
            <w:tcW w:w="1156"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在进水口设置外围围隔，同时在内侧设置生物预警池</w:t>
            </w:r>
          </w:p>
        </w:tc>
        <w:tc>
          <w:tcPr>
            <w:tcW w:w="727"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市水利局</w:t>
            </w:r>
          </w:p>
        </w:tc>
        <w:tc>
          <w:tcPr>
            <w:tcW w:w="29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实施</w:t>
            </w:r>
          </w:p>
        </w:tc>
        <w:tc>
          <w:tcPr>
            <w:tcW w:w="251"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完成</w:t>
            </w:r>
          </w:p>
        </w:tc>
        <w:tc>
          <w:tcPr>
            <w:tcW w:w="243" w:type="pct"/>
            <w:shd w:val="clear" w:color="auto" w:fill="auto"/>
            <w:vAlign w:val="center"/>
          </w:tcPr>
          <w:p>
            <w:pPr>
              <w:widowControl/>
              <w:spacing w:line="240" w:lineRule="auto"/>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　</w:t>
            </w:r>
          </w:p>
        </w:tc>
        <w:tc>
          <w:tcPr>
            <w:tcW w:w="399" w:type="pct"/>
            <w:shd w:val="clear" w:color="auto" w:fill="auto"/>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50</w:t>
            </w:r>
          </w:p>
        </w:tc>
        <w:tc>
          <w:tcPr>
            <w:tcW w:w="368" w:type="pct"/>
            <w:vAlign w:val="center"/>
          </w:tcPr>
          <w:p>
            <w:pPr>
              <w:widowControl/>
              <w:spacing w:line="240" w:lineRule="auto"/>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18</w:t>
            </w:r>
          </w:p>
        </w:tc>
        <w:tc>
          <w:tcPr>
            <w:tcW w:w="1099"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加强信息共享</w:t>
            </w:r>
          </w:p>
        </w:tc>
        <w:tc>
          <w:tcPr>
            <w:tcW w:w="1156"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加强绍兴市生态环境局诸暨分局、市水利局、</w:t>
            </w:r>
            <w:r>
              <w:rPr>
                <w:rFonts w:hint="eastAsia" w:eastAsia="宋体" w:cs="Times New Roman"/>
                <w:color w:val="000000"/>
                <w:kern w:val="0"/>
                <w:sz w:val="20"/>
                <w:szCs w:val="20"/>
              </w:rPr>
              <w:t>水务</w:t>
            </w:r>
            <w:r>
              <w:rPr>
                <w:rFonts w:eastAsia="宋体" w:cs="Times New Roman"/>
                <w:color w:val="000000"/>
                <w:kern w:val="0"/>
                <w:sz w:val="20"/>
                <w:szCs w:val="20"/>
              </w:rPr>
              <w:t>集团</w:t>
            </w:r>
            <w:r>
              <w:rPr>
                <w:rFonts w:hint="eastAsia" w:eastAsia="宋体" w:cs="Times New Roman"/>
                <w:color w:val="000000"/>
                <w:kern w:val="0"/>
                <w:sz w:val="20"/>
                <w:szCs w:val="20"/>
              </w:rPr>
              <w:t>水量</w:t>
            </w:r>
            <w:r>
              <w:rPr>
                <w:rFonts w:eastAsia="宋体" w:cs="Times New Roman"/>
                <w:color w:val="000000"/>
                <w:kern w:val="0"/>
                <w:sz w:val="20"/>
                <w:szCs w:val="20"/>
              </w:rPr>
              <w:t>、水质数据的共享</w:t>
            </w:r>
          </w:p>
        </w:tc>
        <w:tc>
          <w:tcPr>
            <w:tcW w:w="727"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绍兴市生态环境局诸暨分局、市水利局</w:t>
            </w:r>
            <w:r>
              <w:rPr>
                <w:rFonts w:hint="eastAsia" w:eastAsia="宋体" w:cs="Times New Roman"/>
                <w:color w:val="000000"/>
                <w:kern w:val="0"/>
                <w:sz w:val="20"/>
                <w:szCs w:val="20"/>
              </w:rPr>
              <w:t>、水务</w:t>
            </w:r>
            <w:r>
              <w:rPr>
                <w:rFonts w:eastAsia="宋体" w:cs="Times New Roman"/>
                <w:color w:val="000000"/>
                <w:kern w:val="0"/>
                <w:sz w:val="20"/>
                <w:szCs w:val="20"/>
              </w:rPr>
              <w:t>集团</w:t>
            </w:r>
          </w:p>
        </w:tc>
        <w:tc>
          <w:tcPr>
            <w:tcW w:w="29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5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完成</w:t>
            </w:r>
          </w:p>
        </w:tc>
        <w:tc>
          <w:tcPr>
            <w:tcW w:w="243"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　</w:t>
            </w:r>
          </w:p>
        </w:tc>
        <w:tc>
          <w:tcPr>
            <w:tcW w:w="399"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w:t>
            </w:r>
          </w:p>
        </w:tc>
        <w:tc>
          <w:tcPr>
            <w:tcW w:w="368" w:type="pct"/>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242" w:type="pct"/>
            <w:vMerge w:val="continue"/>
            <w:vAlign w:val="center"/>
          </w:tcPr>
          <w:p>
            <w:pPr>
              <w:widowControl/>
              <w:spacing w:line="520" w:lineRule="exact"/>
              <w:ind w:firstLine="0" w:firstLineChars="0"/>
              <w:jc w:val="left"/>
              <w:rPr>
                <w:rFonts w:eastAsia="宋体" w:cs="Times New Roman"/>
                <w:color w:val="000000"/>
                <w:kern w:val="0"/>
                <w:sz w:val="20"/>
                <w:szCs w:val="20"/>
              </w:rPr>
            </w:pP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19</w:t>
            </w:r>
          </w:p>
        </w:tc>
        <w:tc>
          <w:tcPr>
            <w:tcW w:w="1099"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水面监控租赁</w:t>
            </w:r>
          </w:p>
        </w:tc>
        <w:tc>
          <w:tcPr>
            <w:tcW w:w="1156"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库面广电监控租赁</w:t>
            </w:r>
          </w:p>
        </w:tc>
        <w:tc>
          <w:tcPr>
            <w:tcW w:w="727"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市水利局</w:t>
            </w:r>
          </w:p>
        </w:tc>
        <w:tc>
          <w:tcPr>
            <w:tcW w:w="29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5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43"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399"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151.65</w:t>
            </w:r>
          </w:p>
        </w:tc>
        <w:tc>
          <w:tcPr>
            <w:tcW w:w="368" w:type="pct"/>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维护类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42"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管理保障</w:t>
            </w: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20</w:t>
            </w:r>
          </w:p>
        </w:tc>
        <w:tc>
          <w:tcPr>
            <w:tcW w:w="1099"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石壁水库水源地环境污染事故应急能力建设</w:t>
            </w:r>
          </w:p>
        </w:tc>
        <w:tc>
          <w:tcPr>
            <w:tcW w:w="1156"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制定石壁水库水源地跨部门环境污染应急预案的编制；完善应急物资储备；建立石壁水库保护区风险管理名录</w:t>
            </w:r>
          </w:p>
        </w:tc>
        <w:tc>
          <w:tcPr>
            <w:tcW w:w="727"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水务</w:t>
            </w:r>
            <w:r>
              <w:rPr>
                <w:rFonts w:eastAsia="宋体" w:cs="Times New Roman"/>
                <w:color w:val="000000"/>
                <w:kern w:val="0"/>
                <w:sz w:val="20"/>
                <w:szCs w:val="20"/>
              </w:rPr>
              <w:t>集团、绍兴市生态环境局诸暨分局</w:t>
            </w:r>
            <w:r>
              <w:rPr>
                <w:rFonts w:hint="eastAsia" w:eastAsia="宋体" w:cs="Times New Roman"/>
                <w:color w:val="000000"/>
                <w:kern w:val="0"/>
                <w:sz w:val="20"/>
                <w:szCs w:val="20"/>
              </w:rPr>
              <w:t>、</w:t>
            </w:r>
            <w:r>
              <w:rPr>
                <w:rFonts w:eastAsia="宋体" w:cs="Times New Roman"/>
                <w:color w:val="000000"/>
                <w:kern w:val="0"/>
                <w:sz w:val="20"/>
                <w:szCs w:val="20"/>
              </w:rPr>
              <w:t>市水利局</w:t>
            </w:r>
          </w:p>
        </w:tc>
        <w:tc>
          <w:tcPr>
            <w:tcW w:w="29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实施</w:t>
            </w:r>
          </w:p>
        </w:tc>
        <w:tc>
          <w:tcPr>
            <w:tcW w:w="25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完成</w:t>
            </w:r>
          </w:p>
        </w:tc>
        <w:tc>
          <w:tcPr>
            <w:tcW w:w="243"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eastAsia="宋体" w:cs="Times New Roman"/>
                <w:color w:val="000000"/>
                <w:kern w:val="0"/>
                <w:sz w:val="20"/>
                <w:szCs w:val="20"/>
              </w:rPr>
              <w:t>　</w:t>
            </w:r>
          </w:p>
        </w:tc>
        <w:tc>
          <w:tcPr>
            <w:tcW w:w="399"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100</w:t>
            </w:r>
          </w:p>
        </w:tc>
        <w:tc>
          <w:tcPr>
            <w:tcW w:w="368" w:type="pct"/>
            <w:vAlign w:val="center"/>
          </w:tcPr>
          <w:p>
            <w:pPr>
              <w:widowControl/>
              <w:spacing w:line="520" w:lineRule="exact"/>
              <w:ind w:firstLine="0" w:firstLineChars="0"/>
              <w:jc w:val="center"/>
              <w:rPr>
                <w:rFonts w:eastAsia="宋体" w:cs="Times New Roman"/>
                <w:color w:val="000000"/>
                <w:kern w:val="0"/>
                <w:sz w:val="20"/>
                <w:szCs w:val="20"/>
              </w:rPr>
            </w:pPr>
            <w:r>
              <w:rPr>
                <w:rFonts w:hint="eastAsia" w:eastAsia="宋体" w:cs="Times New Roman"/>
                <w:color w:val="000000"/>
                <w:kern w:val="0"/>
                <w:sz w:val="20"/>
                <w:szCs w:val="20"/>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42"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r>
              <w:rPr>
                <w:rFonts w:hint="eastAsia" w:eastAsia="宋体" w:cs="Times New Roman"/>
                <w:color w:val="000000"/>
                <w:kern w:val="0"/>
                <w:sz w:val="20"/>
                <w:szCs w:val="20"/>
              </w:rPr>
              <w:t>总计</w:t>
            </w:r>
          </w:p>
        </w:tc>
        <w:tc>
          <w:tcPr>
            <w:tcW w:w="220"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p>
        </w:tc>
        <w:tc>
          <w:tcPr>
            <w:tcW w:w="1099"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p>
        </w:tc>
        <w:tc>
          <w:tcPr>
            <w:tcW w:w="1156"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p>
        </w:tc>
        <w:tc>
          <w:tcPr>
            <w:tcW w:w="727"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p>
        </w:tc>
        <w:tc>
          <w:tcPr>
            <w:tcW w:w="29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p>
        </w:tc>
        <w:tc>
          <w:tcPr>
            <w:tcW w:w="251"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p>
        </w:tc>
        <w:tc>
          <w:tcPr>
            <w:tcW w:w="243" w:type="pct"/>
            <w:shd w:val="clear" w:color="auto" w:fill="auto"/>
            <w:vAlign w:val="center"/>
          </w:tcPr>
          <w:p>
            <w:pPr>
              <w:widowControl/>
              <w:spacing w:line="520" w:lineRule="exact"/>
              <w:ind w:firstLine="0" w:firstLineChars="0"/>
              <w:jc w:val="left"/>
              <w:rPr>
                <w:rFonts w:eastAsia="宋体" w:cs="Times New Roman"/>
                <w:color w:val="000000"/>
                <w:kern w:val="0"/>
                <w:sz w:val="20"/>
                <w:szCs w:val="20"/>
              </w:rPr>
            </w:pPr>
          </w:p>
        </w:tc>
        <w:tc>
          <w:tcPr>
            <w:tcW w:w="399" w:type="pct"/>
            <w:shd w:val="clear" w:color="auto" w:fill="auto"/>
            <w:vAlign w:val="center"/>
          </w:tcPr>
          <w:p>
            <w:pPr>
              <w:widowControl/>
              <w:spacing w:line="520" w:lineRule="exact"/>
              <w:ind w:firstLine="0" w:firstLineChars="0"/>
              <w:jc w:val="center"/>
              <w:rPr>
                <w:rFonts w:eastAsia="宋体" w:cs="Times New Roman"/>
                <w:color w:val="000000"/>
                <w:kern w:val="0"/>
                <w:sz w:val="20"/>
                <w:szCs w:val="20"/>
              </w:rPr>
            </w:pPr>
            <w:r>
              <w:rPr>
                <w:rFonts w:eastAsia="宋体" w:cs="Times New Roman"/>
                <w:color w:val="000000"/>
                <w:kern w:val="0"/>
                <w:sz w:val="20"/>
                <w:szCs w:val="20"/>
              </w:rPr>
              <w:t>8684</w:t>
            </w:r>
          </w:p>
        </w:tc>
        <w:tc>
          <w:tcPr>
            <w:tcW w:w="368" w:type="pct"/>
            <w:vAlign w:val="center"/>
          </w:tcPr>
          <w:p>
            <w:pPr>
              <w:widowControl/>
              <w:spacing w:line="520" w:lineRule="exact"/>
              <w:ind w:firstLine="0" w:firstLineChars="0"/>
              <w:jc w:val="center"/>
              <w:rPr>
                <w:rFonts w:eastAsia="宋体" w:cs="Times New Roman"/>
                <w:color w:val="000000"/>
                <w:kern w:val="0"/>
                <w:sz w:val="20"/>
                <w:szCs w:val="20"/>
              </w:rPr>
            </w:pPr>
          </w:p>
        </w:tc>
      </w:tr>
      <w:bookmarkEnd w:id="4"/>
    </w:tbl>
    <w:p>
      <w:pPr>
        <w:spacing w:line="520" w:lineRule="exact"/>
        <w:ind w:firstLine="0" w:firstLineChars="0"/>
      </w:pPr>
    </w:p>
    <w:sectPr>
      <w:footerReference r:id="rId9" w:type="default"/>
      <w:pgSz w:w="16838" w:h="11906" w:orient="landscape"/>
      <w:pgMar w:top="1800" w:right="1440" w:bottom="1800" w:left="1440" w:header="624" w:footer="567"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08B883C1-F7AB-4252-8418-F5F7A0B10B55}"/>
  </w:font>
  <w:font w:name="Cambria">
    <w:panose1 w:val="02040503050406030204"/>
    <w:charset w:val="00"/>
    <w:family w:val="roman"/>
    <w:pitch w:val="default"/>
    <w:sig w:usb0="E00002FF" w:usb1="400004FF" w:usb2="00000000" w:usb3="00000000" w:csb0="2000019F" w:csb1="00000000"/>
    <w:embedRegular r:id="rId2" w:fontKey="{0CBBBD1E-DE09-4079-8909-081C9F497C5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nThickSmallGap" w:color="auto" w:sz="18" w:space="1"/>
      </w:pBdr>
      <w:ind w:firstLine="0" w:firstLineChars="0"/>
      <w:jc w:val="center"/>
    </w:pPr>
    <w:r>
      <w:fldChar w:fldCharType="begin"/>
    </w:r>
    <w:r>
      <w:instrText xml:space="preserve">PAGE   \* MERGEFORMAT</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nThickSmallGap" w:color="auto" w:sz="18" w:space="1"/>
      </w:pBdr>
      <w:ind w:firstLine="0" w:firstLineChars="0"/>
      <w:jc w:val="center"/>
    </w:pPr>
    <w:r>
      <w:fldChar w:fldCharType="begin"/>
    </w:r>
    <w:r>
      <w:instrText xml:space="preserve">PAGE   \* MERGEFORMAT</w:instrText>
    </w:r>
    <w:r>
      <w:fldChar w:fldCharType="separate"/>
    </w:r>
    <w:r>
      <w:rPr>
        <w:lang w:val="zh-CN"/>
      </w:rP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A03"/>
    <w:multiLevelType w:val="multilevel"/>
    <w:tmpl w:val="08C10A03"/>
    <w:lvl w:ilvl="0" w:tentative="0">
      <w:start w:val="1"/>
      <w:numFmt w:val="chineseCountingThousand"/>
      <w:pStyle w:val="2"/>
      <w:suff w:val="space"/>
      <w:lvlText w:val="%1、"/>
      <w:lvlJc w:val="left"/>
      <w:pPr>
        <w:ind w:left="425" w:hanging="425"/>
      </w:pPr>
      <w:rPr>
        <w:rFonts w:hint="eastAsia" w:ascii="Times New Roman" w:hAnsi="Times New Roman"/>
        <w:b/>
        <w:bCs/>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pStyle w:val="3"/>
      <w:suff w:val="space"/>
      <w:lvlText w:val="%2（%1）"/>
      <w:lvlJc w:val="left"/>
      <w:pPr>
        <w:ind w:left="567" w:hanging="567"/>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4"/>
      <w:suff w:val="space"/>
      <w:lvlText w:val="%1.%2.%3"/>
      <w:lvlJc w:val="left"/>
      <w:pPr>
        <w:ind w:left="709" w:hanging="709"/>
      </w:pPr>
      <w:rPr>
        <w:rFonts w:hint="eastAsia" w:ascii="Times New Roman" w:hAnsi="Times New Roman"/>
        <w:b/>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suff w:val="space"/>
      <w:lvlText w:val="%1.%2.%3.%4."/>
      <w:lvlJc w:val="left"/>
      <w:pPr>
        <w:ind w:left="0" w:firstLine="0"/>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attachedTemplate r:id="rId1"/>
  <w:trackRevisions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C5"/>
    <w:rsid w:val="0000327A"/>
    <w:rsid w:val="0000717B"/>
    <w:rsid w:val="00010BF9"/>
    <w:rsid w:val="00056830"/>
    <w:rsid w:val="00064B44"/>
    <w:rsid w:val="000B38AA"/>
    <w:rsid w:val="000D0C62"/>
    <w:rsid w:val="000D1BB7"/>
    <w:rsid w:val="000D72E1"/>
    <w:rsid w:val="000E33AD"/>
    <w:rsid w:val="00127129"/>
    <w:rsid w:val="00167E60"/>
    <w:rsid w:val="00187F96"/>
    <w:rsid w:val="001C38DC"/>
    <w:rsid w:val="001C6072"/>
    <w:rsid w:val="00236433"/>
    <w:rsid w:val="002434A6"/>
    <w:rsid w:val="0025707C"/>
    <w:rsid w:val="0027534D"/>
    <w:rsid w:val="00292C52"/>
    <w:rsid w:val="002B5E66"/>
    <w:rsid w:val="002E76EF"/>
    <w:rsid w:val="003512E8"/>
    <w:rsid w:val="00366578"/>
    <w:rsid w:val="003A0D51"/>
    <w:rsid w:val="003B247B"/>
    <w:rsid w:val="003D4ECF"/>
    <w:rsid w:val="003D78D2"/>
    <w:rsid w:val="003F4A36"/>
    <w:rsid w:val="00404EAE"/>
    <w:rsid w:val="00415C55"/>
    <w:rsid w:val="004413C5"/>
    <w:rsid w:val="0044191F"/>
    <w:rsid w:val="004434AF"/>
    <w:rsid w:val="004459C5"/>
    <w:rsid w:val="00474C49"/>
    <w:rsid w:val="004850A3"/>
    <w:rsid w:val="004D0E9A"/>
    <w:rsid w:val="004D1460"/>
    <w:rsid w:val="004F7458"/>
    <w:rsid w:val="0052426E"/>
    <w:rsid w:val="0053511A"/>
    <w:rsid w:val="00540B38"/>
    <w:rsid w:val="00552702"/>
    <w:rsid w:val="00556362"/>
    <w:rsid w:val="00566602"/>
    <w:rsid w:val="005D6E02"/>
    <w:rsid w:val="005F21E9"/>
    <w:rsid w:val="00614CAB"/>
    <w:rsid w:val="00662263"/>
    <w:rsid w:val="006A1D23"/>
    <w:rsid w:val="006C09FF"/>
    <w:rsid w:val="006C0ABA"/>
    <w:rsid w:val="006D0C2D"/>
    <w:rsid w:val="006E0065"/>
    <w:rsid w:val="006E7ED6"/>
    <w:rsid w:val="007009FE"/>
    <w:rsid w:val="0077033F"/>
    <w:rsid w:val="00783185"/>
    <w:rsid w:val="007855D0"/>
    <w:rsid w:val="007B443F"/>
    <w:rsid w:val="007B55D5"/>
    <w:rsid w:val="007D2285"/>
    <w:rsid w:val="00817E13"/>
    <w:rsid w:val="00853F08"/>
    <w:rsid w:val="0085631E"/>
    <w:rsid w:val="008738D9"/>
    <w:rsid w:val="008A71CB"/>
    <w:rsid w:val="008C1BDF"/>
    <w:rsid w:val="008C3A63"/>
    <w:rsid w:val="009265B6"/>
    <w:rsid w:val="00935F71"/>
    <w:rsid w:val="00941187"/>
    <w:rsid w:val="00951D37"/>
    <w:rsid w:val="00974DC7"/>
    <w:rsid w:val="0099389A"/>
    <w:rsid w:val="009A2676"/>
    <w:rsid w:val="00A00D2F"/>
    <w:rsid w:val="00A05210"/>
    <w:rsid w:val="00A536B0"/>
    <w:rsid w:val="00AA0EA6"/>
    <w:rsid w:val="00AE47BC"/>
    <w:rsid w:val="00B20067"/>
    <w:rsid w:val="00B44A6C"/>
    <w:rsid w:val="00B46363"/>
    <w:rsid w:val="00B64D99"/>
    <w:rsid w:val="00B853F0"/>
    <w:rsid w:val="00BA6CC5"/>
    <w:rsid w:val="00BC53B6"/>
    <w:rsid w:val="00BF4927"/>
    <w:rsid w:val="00C03247"/>
    <w:rsid w:val="00C10620"/>
    <w:rsid w:val="00C12A35"/>
    <w:rsid w:val="00C211B1"/>
    <w:rsid w:val="00C339A2"/>
    <w:rsid w:val="00C34DE6"/>
    <w:rsid w:val="00C621EC"/>
    <w:rsid w:val="00C64CBF"/>
    <w:rsid w:val="00C9172F"/>
    <w:rsid w:val="00CA20B8"/>
    <w:rsid w:val="00CE373E"/>
    <w:rsid w:val="00D15CDD"/>
    <w:rsid w:val="00D20F29"/>
    <w:rsid w:val="00D23FC1"/>
    <w:rsid w:val="00D31E38"/>
    <w:rsid w:val="00D53BE7"/>
    <w:rsid w:val="00D84B78"/>
    <w:rsid w:val="00D91097"/>
    <w:rsid w:val="00D97D4E"/>
    <w:rsid w:val="00DA0FA3"/>
    <w:rsid w:val="00DA6F1C"/>
    <w:rsid w:val="00DA71DA"/>
    <w:rsid w:val="00DD279B"/>
    <w:rsid w:val="00DE66F3"/>
    <w:rsid w:val="00E17D6F"/>
    <w:rsid w:val="00E218E8"/>
    <w:rsid w:val="00E30EA7"/>
    <w:rsid w:val="00E766FC"/>
    <w:rsid w:val="00F030E8"/>
    <w:rsid w:val="00F25C3E"/>
    <w:rsid w:val="00FB52EA"/>
    <w:rsid w:val="00FC69A8"/>
    <w:rsid w:val="00FF4003"/>
    <w:rsid w:val="09C510B2"/>
    <w:rsid w:val="190066AA"/>
    <w:rsid w:val="43AF6982"/>
    <w:rsid w:val="471560EF"/>
    <w:rsid w:val="6557640C"/>
    <w:rsid w:val="73DB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Theme="minorEastAsia" w:cstheme="minorBidi"/>
      <w:kern w:val="2"/>
      <w:sz w:val="28"/>
      <w:szCs w:val="22"/>
      <w:lang w:val="en-US" w:eastAsia="zh-CN" w:bidi="ar-SA"/>
    </w:rPr>
  </w:style>
  <w:style w:type="paragraph" w:styleId="2">
    <w:name w:val="heading 1"/>
    <w:basedOn w:val="1"/>
    <w:next w:val="1"/>
    <w:link w:val="19"/>
    <w:qFormat/>
    <w:uiPriority w:val="9"/>
    <w:pPr>
      <w:keepNext/>
      <w:keepLines/>
      <w:numPr>
        <w:ilvl w:val="0"/>
        <w:numId w:val="1"/>
      </w:numPr>
      <w:spacing w:before="120" w:after="120" w:line="578" w:lineRule="auto"/>
      <w:outlineLvl w:val="0"/>
    </w:pPr>
    <w:rPr>
      <w:b/>
      <w:bCs/>
      <w:kern w:val="44"/>
      <w:sz w:val="32"/>
      <w:szCs w:val="44"/>
    </w:rPr>
  </w:style>
  <w:style w:type="paragraph" w:styleId="3">
    <w:name w:val="heading 2"/>
    <w:basedOn w:val="1"/>
    <w:next w:val="1"/>
    <w:link w:val="20"/>
    <w:unhideWhenUsed/>
    <w:qFormat/>
    <w:uiPriority w:val="9"/>
    <w:pPr>
      <w:keepNext/>
      <w:keepLines/>
      <w:numPr>
        <w:ilvl w:val="1"/>
        <w:numId w:val="1"/>
      </w:numPr>
      <w:spacing w:before="120" w:after="120" w:line="415" w:lineRule="auto"/>
      <w:outlineLvl w:val="1"/>
    </w:pPr>
    <w:rPr>
      <w:rFonts w:asciiTheme="majorHAnsi" w:hAnsiTheme="majorHAnsi" w:eastAsiaTheme="majorEastAsia" w:cstheme="majorBidi"/>
      <w:b/>
      <w:bCs/>
      <w:sz w:val="30"/>
      <w:szCs w:val="32"/>
    </w:rPr>
  </w:style>
  <w:style w:type="paragraph" w:styleId="4">
    <w:name w:val="heading 3"/>
    <w:next w:val="1"/>
    <w:link w:val="21"/>
    <w:unhideWhenUsed/>
    <w:qFormat/>
    <w:uiPriority w:val="9"/>
    <w:pPr>
      <w:keepNext/>
      <w:keepLines/>
      <w:numPr>
        <w:ilvl w:val="2"/>
        <w:numId w:val="1"/>
      </w:numPr>
      <w:spacing w:before="260" w:after="260" w:line="415" w:lineRule="auto"/>
      <w:outlineLvl w:val="2"/>
    </w:pPr>
    <w:rPr>
      <w:rFonts w:ascii="Times New Roman" w:hAnsi="Times New Roman" w:eastAsiaTheme="minorEastAsia" w:cstheme="minorBidi"/>
      <w:b/>
      <w:bCs/>
      <w:kern w:val="2"/>
      <w:sz w:val="28"/>
      <w:szCs w:val="32"/>
      <w:lang w:val="en-US" w:eastAsia="zh-CN" w:bidi="ar-SA"/>
    </w:rPr>
  </w:style>
  <w:style w:type="paragraph" w:styleId="5">
    <w:name w:val="heading 4"/>
    <w:next w:val="1"/>
    <w:link w:val="22"/>
    <w:unhideWhenUsed/>
    <w:qFormat/>
    <w:uiPriority w:val="9"/>
    <w:pPr>
      <w:keepNext/>
      <w:keepLines/>
      <w:numPr>
        <w:ilvl w:val="3"/>
        <w:numId w:val="1"/>
      </w:numPr>
      <w:spacing w:before="280" w:after="290" w:line="377" w:lineRule="auto"/>
      <w:outlineLvl w:val="3"/>
    </w:pPr>
    <w:rPr>
      <w:rFonts w:ascii="Times New Roman" w:hAnsi="Times New Roman" w:eastAsiaTheme="majorEastAsia" w:cstheme="majorBidi"/>
      <w:bCs/>
      <w:kern w:val="2"/>
      <w:sz w:val="28"/>
      <w:szCs w:val="28"/>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toc 3"/>
    <w:basedOn w:val="1"/>
    <w:next w:val="1"/>
    <w:unhideWhenUsed/>
    <w:uiPriority w:val="39"/>
    <w:pPr>
      <w:ind w:left="840" w:leftChars="400"/>
    </w:pPr>
  </w:style>
  <w:style w:type="paragraph" w:styleId="7">
    <w:name w:val="Balloon Text"/>
    <w:basedOn w:val="1"/>
    <w:link w:val="25"/>
    <w:semiHidden/>
    <w:unhideWhenUsed/>
    <w:qFormat/>
    <w:uiPriority w:val="99"/>
    <w:pPr>
      <w:spacing w:line="240" w:lineRule="auto"/>
    </w:pPr>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tabs>
        <w:tab w:val="right" w:leader="dot" w:pos="8296"/>
      </w:tabs>
      <w:ind w:firstLine="562"/>
    </w:pPr>
    <w:rPr>
      <w:b/>
      <w:bCs/>
    </w:rPr>
  </w:style>
  <w:style w:type="paragraph" w:styleId="11">
    <w:name w:val="toc 2"/>
    <w:basedOn w:val="1"/>
    <w:next w:val="1"/>
    <w:unhideWhenUsed/>
    <w:uiPriority w:val="39"/>
    <w:pPr>
      <w:ind w:left="420" w:leftChars="200"/>
    </w:pPr>
  </w:style>
  <w:style w:type="paragraph" w:styleId="12">
    <w:name w:val="Normal (Web)"/>
    <w:basedOn w:val="1"/>
    <w:semiHidden/>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3">
    <w:name w:val="Title"/>
    <w:basedOn w:val="4"/>
    <w:next w:val="1"/>
    <w:link w:val="23"/>
    <w:qFormat/>
    <w:uiPriority w:val="10"/>
    <w:pPr>
      <w:widowControl w:val="0"/>
      <w:spacing w:before="240" w:after="60"/>
      <w:jc w:val="center"/>
      <w:outlineLvl w:val="0"/>
    </w:pPr>
    <w:rPr>
      <w:rFonts w:eastAsia="宋体" w:cstheme="majorBidi"/>
      <w:b w:val="0"/>
      <w:bCs w:val="0"/>
      <w:sz w:val="30"/>
    </w:r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页眉 字符"/>
    <w:basedOn w:val="15"/>
    <w:link w:val="9"/>
    <w:uiPriority w:val="99"/>
    <w:rPr>
      <w:sz w:val="18"/>
      <w:szCs w:val="18"/>
    </w:rPr>
  </w:style>
  <w:style w:type="character" w:customStyle="1" w:styleId="18">
    <w:name w:val="页脚 字符"/>
    <w:basedOn w:val="15"/>
    <w:link w:val="8"/>
    <w:uiPriority w:val="99"/>
    <w:rPr>
      <w:sz w:val="18"/>
      <w:szCs w:val="18"/>
    </w:rPr>
  </w:style>
  <w:style w:type="character" w:customStyle="1" w:styleId="19">
    <w:name w:val="标题 1 字符"/>
    <w:basedOn w:val="15"/>
    <w:link w:val="2"/>
    <w:qFormat/>
    <w:uiPriority w:val="9"/>
    <w:rPr>
      <w:rFonts w:ascii="Times New Roman" w:hAnsi="Times New Roman"/>
      <w:b/>
      <w:bCs/>
      <w:kern w:val="44"/>
      <w:sz w:val="32"/>
      <w:szCs w:val="44"/>
    </w:rPr>
  </w:style>
  <w:style w:type="character" w:customStyle="1" w:styleId="20">
    <w:name w:val="标题 2 字符"/>
    <w:basedOn w:val="15"/>
    <w:link w:val="3"/>
    <w:uiPriority w:val="9"/>
    <w:rPr>
      <w:rFonts w:asciiTheme="majorHAnsi" w:hAnsiTheme="majorHAnsi" w:eastAsiaTheme="majorEastAsia" w:cstheme="majorBidi"/>
      <w:b/>
      <w:bCs/>
      <w:sz w:val="30"/>
      <w:szCs w:val="32"/>
    </w:rPr>
  </w:style>
  <w:style w:type="character" w:customStyle="1" w:styleId="21">
    <w:name w:val="标题 3 字符"/>
    <w:basedOn w:val="15"/>
    <w:link w:val="4"/>
    <w:uiPriority w:val="9"/>
    <w:rPr>
      <w:rFonts w:ascii="Times New Roman" w:hAnsi="Times New Roman"/>
      <w:b/>
      <w:bCs/>
      <w:sz w:val="28"/>
      <w:szCs w:val="32"/>
    </w:rPr>
  </w:style>
  <w:style w:type="character" w:customStyle="1" w:styleId="22">
    <w:name w:val="标题 4 字符"/>
    <w:basedOn w:val="15"/>
    <w:link w:val="5"/>
    <w:uiPriority w:val="9"/>
    <w:rPr>
      <w:rFonts w:ascii="Times New Roman" w:hAnsi="Times New Roman" w:eastAsiaTheme="majorEastAsia" w:cstheme="majorBidi"/>
      <w:bCs/>
      <w:sz w:val="28"/>
      <w:szCs w:val="28"/>
    </w:rPr>
  </w:style>
  <w:style w:type="character" w:customStyle="1" w:styleId="23">
    <w:name w:val="标题 字符"/>
    <w:basedOn w:val="15"/>
    <w:link w:val="13"/>
    <w:uiPriority w:val="10"/>
    <w:rPr>
      <w:rFonts w:ascii="Times New Roman" w:hAnsi="Times New Roman" w:eastAsia="宋体" w:cstheme="majorBidi"/>
      <w:sz w:val="30"/>
      <w:szCs w:val="32"/>
    </w:rPr>
  </w:style>
  <w:style w:type="paragraph" w:styleId="24">
    <w:name w:val="List Paragraph"/>
    <w:basedOn w:val="1"/>
    <w:qFormat/>
    <w:uiPriority w:val="34"/>
    <w:pPr>
      <w:ind w:firstLine="420"/>
    </w:pPr>
  </w:style>
  <w:style w:type="character" w:customStyle="1" w:styleId="25">
    <w:name w:val="批注框文本 字符"/>
    <w:basedOn w:val="15"/>
    <w:link w:val="7"/>
    <w:semiHidden/>
    <w:uiPriority w:val="99"/>
    <w:rPr>
      <w:rFonts w:ascii="Times New Roman" w:hAnsi="Times New Roman"/>
      <w:sz w:val="18"/>
      <w:szCs w:val="18"/>
    </w:rPr>
  </w:style>
  <w:style w:type="paragraph" w:customStyle="1" w:styleId="26">
    <w:name w:val="图"/>
    <w:basedOn w:val="1"/>
    <w:link w:val="28"/>
    <w:qFormat/>
    <w:uiPriority w:val="0"/>
    <w:pPr>
      <w:ind w:firstLine="0" w:firstLineChars="0"/>
      <w:jc w:val="center"/>
    </w:pPr>
    <w:rPr>
      <w:b/>
      <w:sz w:val="24"/>
    </w:rPr>
  </w:style>
  <w:style w:type="paragraph" w:customStyle="1" w:styleId="27">
    <w:name w:val="表"/>
    <w:basedOn w:val="1"/>
    <w:link w:val="29"/>
    <w:qFormat/>
    <w:uiPriority w:val="0"/>
    <w:pPr>
      <w:ind w:firstLine="0" w:firstLineChars="0"/>
      <w:jc w:val="center"/>
    </w:pPr>
    <w:rPr>
      <w:b/>
      <w:sz w:val="24"/>
    </w:rPr>
  </w:style>
  <w:style w:type="character" w:customStyle="1" w:styleId="28">
    <w:name w:val="图 Char"/>
    <w:basedOn w:val="15"/>
    <w:link w:val="26"/>
    <w:uiPriority w:val="0"/>
    <w:rPr>
      <w:rFonts w:ascii="Times New Roman" w:hAnsi="Times New Roman"/>
      <w:b/>
      <w:sz w:val="24"/>
    </w:rPr>
  </w:style>
  <w:style w:type="character" w:customStyle="1" w:styleId="29">
    <w:name w:val="表 Char"/>
    <w:basedOn w:val="15"/>
    <w:link w:val="27"/>
    <w:uiPriority w:val="0"/>
    <w:rPr>
      <w:rFonts w:ascii="Times New Roman" w:hAnsi="Times New Roman"/>
      <w:b/>
      <w:sz w:val="24"/>
    </w:rPr>
  </w:style>
  <w:style w:type="paragraph" w:customStyle="1" w:styleId="30">
    <w:name w:val="TOC 标题1"/>
    <w:basedOn w:val="2"/>
    <w:next w:val="1"/>
    <w:unhideWhenUsed/>
    <w:qFormat/>
    <w:uiPriority w:val="39"/>
    <w:pPr>
      <w:numPr>
        <w:numId w:val="0"/>
      </w:numPr>
      <w:spacing w:before="240" w:after="0" w:line="259" w:lineRule="auto"/>
      <w:outlineLvl w:val="9"/>
    </w:pPr>
    <w:rPr>
      <w:rFonts w:asciiTheme="majorHAnsi" w:hAnsiTheme="majorHAnsi" w:eastAsiaTheme="majorEastAsia" w:cstheme="majorBidi"/>
      <w:b w:val="0"/>
      <w:bCs w:val="0"/>
      <w:color w:val="2E75B6"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25253;&#21578;&#27169;&#26495;&#26679;&#24335;&#12304;&#23553;&#38754;-&#20869;&#23481;&#1230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2AED3-4B5F-4402-B0BE-98D7F12E5040}">
  <ds:schemaRefs/>
</ds:datastoreItem>
</file>

<file path=docProps/app.xml><?xml version="1.0" encoding="utf-8"?>
<Properties xmlns="http://schemas.openxmlformats.org/officeDocument/2006/extended-properties" xmlns:vt="http://schemas.openxmlformats.org/officeDocument/2006/docPropsVTypes">
  <Template>报告模板样式【封面-内容】</Template>
  <Company>Microsoft</Company>
  <Pages>10</Pages>
  <Words>774</Words>
  <Characters>4412</Characters>
  <Lines>36</Lines>
  <Paragraphs>10</Paragraphs>
  <TotalTime>18</TotalTime>
  <ScaleCrop>false</ScaleCrop>
  <LinksUpToDate>false</LinksUpToDate>
  <CharactersWithSpaces>5176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2020-11-11T13:46:00Z</dcterms:created>
  <dc:creator>jiyuyu</dc:creator>
  <cp:lastModifiedBy>楠</cp:lastModifiedBy>
  <cp:lastPrinted>2019-12-22T13:09:00Z</cp:lastPrinted>
  <dcterms:modified xsi:type="dcterms:W3CDTF">2020-11-15T12:34:21Z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