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spacing w:val="-20"/>
          <w:sz w:val="44"/>
          <w:szCs w:val="44"/>
        </w:rPr>
        <w:t>关于对《</w:t>
      </w:r>
      <w:r>
        <w:rPr>
          <w:rFonts w:hint="eastAsia" w:ascii="方正小标宋简体" w:hAnsi="方正小标宋简体" w:eastAsia="方正小标宋简体" w:cs="方正小标宋简体"/>
          <w:b/>
          <w:sz w:val="44"/>
          <w:szCs w:val="44"/>
        </w:rPr>
        <w:t>金义新区（金东区）工业企业亩均效益综合评价办法（2021年修订）</w:t>
      </w:r>
      <w:r>
        <w:rPr>
          <w:rFonts w:hint="eastAsia" w:ascii="方正小标宋简体" w:hAnsi="方正小标宋简体" w:eastAsia="方正小标宋简体" w:cs="方正小标宋简体"/>
          <w:color w:val="000000"/>
          <w:spacing w:val="-20"/>
          <w:sz w:val="44"/>
          <w:szCs w:val="44"/>
        </w:rPr>
        <w:t>》（送审稿）的</w:t>
      </w:r>
      <w:r>
        <w:rPr>
          <w:rFonts w:hint="eastAsia" w:ascii="方正小标宋简体" w:hAnsi="方正小标宋简体" w:eastAsia="方正小标宋简体" w:cs="方正小标宋简体"/>
          <w:sz w:val="44"/>
          <w:szCs w:val="44"/>
        </w:rPr>
        <w:t>起草说明</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rPr>
      </w:pPr>
    </w:p>
    <w:p>
      <w:pPr>
        <w:numPr>
          <w:ilvl w:val="0"/>
          <w:numId w:val="1"/>
        </w:numPr>
        <w:spacing w:line="600" w:lineRule="exact"/>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制定本文件的必要性和可行性</w:t>
      </w:r>
    </w:p>
    <w:p>
      <w:pPr>
        <w:numPr>
          <w:ilvl w:val="0"/>
          <w:numId w:val="0"/>
        </w:numPr>
        <w:spacing w:line="600" w:lineRule="exact"/>
        <w:jc w:val="left"/>
        <w:rPr>
          <w:rFonts w:hint="eastAsia" w:ascii="仿宋_GB2312" w:eastAsia="仿宋"/>
          <w:sz w:val="32"/>
          <w:szCs w:val="32"/>
          <w:lang w:val="en-US" w:eastAsia="zh-CN"/>
        </w:rPr>
      </w:pPr>
      <w:r>
        <w:rPr>
          <w:rFonts w:hint="eastAsia" w:ascii="仿宋_GB2312" w:eastAsia="仿宋_GB2312"/>
          <w:sz w:val="32"/>
          <w:szCs w:val="32"/>
          <w:lang w:val="en-US" w:eastAsia="zh-CN"/>
        </w:rPr>
        <w:t xml:space="preserve">    </w:t>
      </w:r>
      <w:r>
        <w:rPr>
          <w:rFonts w:ascii="Times New Roman" w:hAnsi="Times New Roman" w:eastAsia="仿宋" w:cs="Times New Roman"/>
          <w:sz w:val="32"/>
          <w:szCs w:val="32"/>
        </w:rPr>
        <w:t>为深化“亩均论英雄”改革，推进资源要素市场化配置，不断提高全要素生产率，推动</w:t>
      </w:r>
      <w:r>
        <w:rPr>
          <w:rFonts w:hint="eastAsia" w:ascii="Times New Roman" w:hAnsi="Times New Roman" w:eastAsia="仿宋" w:cs="Times New Roman"/>
          <w:sz w:val="32"/>
          <w:szCs w:val="32"/>
        </w:rPr>
        <w:t>全</w:t>
      </w:r>
      <w:r>
        <w:rPr>
          <w:rFonts w:ascii="Times New Roman" w:hAnsi="Times New Roman" w:eastAsia="仿宋" w:cs="Times New Roman"/>
          <w:sz w:val="32"/>
          <w:szCs w:val="32"/>
        </w:rPr>
        <w:t>区工业经济实现高质量发展</w:t>
      </w:r>
      <w:r>
        <w:rPr>
          <w:rFonts w:hint="eastAsia" w:ascii="Times New Roman" w:hAnsi="Times New Roman" w:eastAsia="仿宋" w:cs="Times New Roman"/>
          <w:sz w:val="32"/>
          <w:szCs w:val="32"/>
          <w:lang w:eastAsia="zh-CN"/>
        </w:rPr>
        <w:t>。</w:t>
      </w:r>
    </w:p>
    <w:p>
      <w:pPr>
        <w:numPr>
          <w:ilvl w:val="0"/>
          <w:numId w:val="1"/>
        </w:numPr>
        <w:spacing w:line="600" w:lineRule="exact"/>
        <w:ind w:left="0" w:leftChars="0"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制定本文件的法律和政策依据</w:t>
      </w:r>
    </w:p>
    <w:p>
      <w:pPr>
        <w:ind w:firstLine="640" w:firstLineChars="200"/>
        <w:rPr>
          <w:rFonts w:hint="default" w:ascii="仿宋_GB2312" w:eastAsia="仿宋_GB2312"/>
          <w:sz w:val="32"/>
          <w:szCs w:val="32"/>
          <w:lang w:val="en-US" w:eastAsia="zh-CN"/>
        </w:rPr>
      </w:pPr>
      <w:r>
        <w:rPr>
          <w:rFonts w:ascii="Times New Roman" w:hAnsi="Times New Roman" w:eastAsia="仿宋" w:cs="Times New Roman"/>
          <w:sz w:val="32"/>
          <w:szCs w:val="32"/>
        </w:rPr>
        <w:t>根据《浙江省人民政府关于深化“亩均论英雄”改革的指导意见》（浙政发〔2018〕5号）、《浙江省人民政府办公厅关于深化制造业企业资源要素优化配置改革的若干意见》（浙政办发〔2019〕62号）、《金华市人民政府办公室关于深化金华市区工业企业亩均效益综合评价工作的指导意见的通知》（金政办发〔2020〕20号）等文件精神，结合我区实际，制定本评价办法。</w:t>
      </w:r>
    </w:p>
    <w:p>
      <w:pPr>
        <w:spacing w:line="600" w:lineRule="exact"/>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三、本文件拟解决的主要问题以及拟采取的主要措施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1.拟解决的主要问题</w:t>
      </w:r>
      <w:r>
        <w:rPr>
          <w:rFonts w:hint="eastAsia" w:ascii="仿宋_GB2312" w:eastAsia="仿宋_GB2312"/>
          <w:sz w:val="32"/>
          <w:szCs w:val="32"/>
          <w:lang w:eastAsia="zh-CN"/>
        </w:rPr>
        <w:t>：明确金义新区（金东区）</w:t>
      </w:r>
      <w:r>
        <w:rPr>
          <w:rFonts w:hint="eastAsia" w:ascii="仿宋_GB2312" w:eastAsia="仿宋_GB2312"/>
          <w:sz w:val="32"/>
          <w:szCs w:val="32"/>
          <w:lang w:val="en-US" w:eastAsia="zh-CN"/>
        </w:rPr>
        <w:t>2020年度亩均效益综合评价工作的</w:t>
      </w:r>
      <w:r>
        <w:rPr>
          <w:rFonts w:hint="eastAsia" w:ascii="仿宋_GB2312" w:eastAsia="仿宋_GB2312"/>
          <w:sz w:val="32"/>
          <w:szCs w:val="32"/>
          <w:lang w:eastAsia="zh-CN"/>
        </w:rPr>
        <w:t>评价对象、评价指标、计分办法、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分类设置、数据审核流程及动态管理、结果应用、</w:t>
      </w:r>
      <w:r>
        <w:rPr>
          <w:rFonts w:hint="eastAsia" w:ascii="仿宋_GB2312" w:eastAsia="仿宋_GB2312"/>
          <w:sz w:val="32"/>
          <w:szCs w:val="32"/>
        </w:rPr>
        <w:t>豁免差别化情况</w:t>
      </w:r>
      <w:r>
        <w:rPr>
          <w:rFonts w:hint="eastAsia" w:ascii="仿宋_GB2312" w:eastAsia="仿宋_GB2312"/>
          <w:sz w:val="32"/>
          <w:szCs w:val="32"/>
          <w:lang w:eastAsia="zh-CN"/>
        </w:rPr>
        <w:t>、实施时间。</w:t>
      </w:r>
    </w:p>
    <w:p>
      <w:pPr>
        <w:numPr>
          <w:ilvl w:val="0"/>
          <w:numId w:val="2"/>
        </w:numPr>
        <w:spacing w:line="600" w:lineRule="exact"/>
        <w:ind w:firstLine="640" w:firstLineChars="200"/>
        <w:jc w:val="left"/>
        <w:rPr>
          <w:rFonts w:ascii="Times New Roman" w:hAnsi="Times New Roman" w:eastAsia="黑体" w:cs="Times New Roman"/>
          <w:sz w:val="32"/>
          <w:szCs w:val="32"/>
        </w:rPr>
      </w:pPr>
      <w:r>
        <w:rPr>
          <w:rFonts w:hint="eastAsia" w:ascii="仿宋_GB2312" w:eastAsia="仿宋_GB2312"/>
          <w:sz w:val="32"/>
          <w:szCs w:val="32"/>
        </w:rPr>
        <w:t>拟采取的主要措施</w:t>
      </w:r>
      <w:r>
        <w:rPr>
          <w:rFonts w:hint="eastAsia" w:ascii="仿宋_GB2312" w:eastAsia="仿宋_GB2312"/>
          <w:sz w:val="32"/>
          <w:szCs w:val="32"/>
          <w:lang w:eastAsia="zh-CN"/>
        </w:rPr>
        <w:t>：</w:t>
      </w:r>
    </w:p>
    <w:p>
      <w:pPr>
        <w:numPr>
          <w:ilvl w:val="0"/>
          <w:numId w:val="0"/>
        </w:numPr>
        <w:spacing w:line="600" w:lineRule="exact"/>
        <w:jc w:val="left"/>
        <w:rPr>
          <w:rFonts w:ascii="Times New Roman" w:hAnsi="Times New Roman" w:eastAsia="黑体" w:cs="Times New Roman"/>
          <w:sz w:val="32"/>
          <w:szCs w:val="32"/>
        </w:rPr>
      </w:pPr>
      <w:r>
        <w:rPr>
          <w:rFonts w:hint="eastAsia" w:ascii="仿宋_GB2312" w:eastAsia="仿宋_GB2312"/>
          <w:sz w:val="32"/>
          <w:szCs w:val="32"/>
          <w:lang w:val="en-US" w:eastAsia="zh-CN"/>
        </w:rPr>
        <w:t xml:space="preserve">  （1）</w:t>
      </w:r>
      <w:r>
        <w:rPr>
          <w:rFonts w:ascii="Times New Roman" w:hAnsi="Times New Roman" w:eastAsia="黑体" w:cs="Times New Roman"/>
          <w:sz w:val="32"/>
          <w:szCs w:val="32"/>
        </w:rPr>
        <w:t>评价对象</w:t>
      </w:r>
    </w:p>
    <w:p>
      <w:pPr>
        <w:ind w:firstLine="640" w:firstLineChars="200"/>
        <w:rPr>
          <w:rFonts w:ascii="Times New Roman" w:hAnsi="Times New Roman" w:eastAsia="仿宋" w:cs="Times New Roman"/>
          <w:sz w:val="32"/>
          <w:szCs w:val="32"/>
        </w:rPr>
      </w:pPr>
      <w:r>
        <w:rPr>
          <w:rFonts w:ascii="Times New Roman" w:hAnsi="Times New Roman" w:eastAsia="楷体" w:cs="Times New Roman"/>
          <w:sz w:val="32"/>
          <w:szCs w:val="32"/>
        </w:rPr>
        <w:t>（一）规模以上工业企业</w:t>
      </w:r>
      <w:r>
        <w:rPr>
          <w:rFonts w:hint="eastAsia" w:ascii="Times New Roman" w:hAnsi="Times New Roman" w:eastAsia="楷体" w:cs="Times New Roman"/>
          <w:sz w:val="32"/>
          <w:szCs w:val="32"/>
          <w:lang w:eastAsia="zh-CN"/>
        </w:rPr>
        <w:t>。</w:t>
      </w:r>
      <w:r>
        <w:rPr>
          <w:rFonts w:ascii="Times New Roman" w:hAnsi="Times New Roman" w:eastAsia="仿宋" w:cs="Times New Roman"/>
          <w:sz w:val="32"/>
          <w:szCs w:val="32"/>
        </w:rPr>
        <w:t>除采矿业，以及电力、燃气、水的生产和供应业外，规模以上工业企业全部列入评价。</w:t>
      </w:r>
    </w:p>
    <w:p>
      <w:pPr>
        <w:ind w:firstLine="640" w:firstLineChars="200"/>
        <w:rPr>
          <w:rFonts w:ascii="Times New Roman" w:hAnsi="Times New Roman" w:eastAsia="仿宋" w:cs="Times New Roman"/>
          <w:sz w:val="32"/>
          <w:szCs w:val="32"/>
        </w:rPr>
      </w:pPr>
      <w:r>
        <w:rPr>
          <w:rFonts w:ascii="Times New Roman" w:hAnsi="Times New Roman" w:eastAsia="楷体" w:cs="Times New Roman"/>
          <w:sz w:val="32"/>
          <w:szCs w:val="32"/>
        </w:rPr>
        <w:t>（二）规模以下工业企业</w:t>
      </w:r>
      <w:r>
        <w:rPr>
          <w:rFonts w:hint="eastAsia" w:ascii="Times New Roman" w:hAnsi="Times New Roman" w:eastAsia="楷体" w:cs="Times New Roman"/>
          <w:sz w:val="32"/>
          <w:szCs w:val="32"/>
          <w:lang w:eastAsia="zh-CN"/>
        </w:rPr>
        <w:t>。</w:t>
      </w:r>
      <w:r>
        <w:rPr>
          <w:rFonts w:ascii="Times New Roman" w:hAnsi="Times New Roman" w:eastAsia="仿宋" w:cs="Times New Roman"/>
          <w:sz w:val="32"/>
          <w:szCs w:val="32"/>
        </w:rPr>
        <w:t>1、拥有土地使用权面积在3亩（含）以上的企业；2、实际使用土地面积在3亩（含）以上的企业，包括租用生产用房的企业</w:t>
      </w:r>
      <w:r>
        <w:rPr>
          <w:rFonts w:hint="eastAsia" w:ascii="Times New Roman" w:hAnsi="Times New Roman" w:eastAsia="仿宋" w:cs="Times New Roman"/>
          <w:sz w:val="32"/>
          <w:szCs w:val="32"/>
        </w:rPr>
        <w:t>。</w:t>
      </w:r>
    </w:p>
    <w:p>
      <w:pPr>
        <w:ind w:firstLine="640" w:firstLineChars="200"/>
        <w:rPr>
          <w:rFonts w:ascii="Times New Roman" w:hAnsi="Times New Roman" w:eastAsia="仿宋" w:cs="Times New Roman"/>
          <w:sz w:val="32"/>
          <w:szCs w:val="32"/>
        </w:rPr>
      </w:pPr>
      <w:r>
        <w:rPr>
          <w:rFonts w:hint="eastAsia" w:ascii="Times New Roman" w:hAnsi="Times New Roman" w:eastAsia="黑体" w:cs="Times New Roman"/>
          <w:sz w:val="32"/>
          <w:szCs w:val="32"/>
          <w:lang w:eastAsia="zh-CN"/>
        </w:rPr>
        <w:t>（</w:t>
      </w:r>
      <w:r>
        <w:rPr>
          <w:rFonts w:hint="eastAsia" w:ascii="Times New Roman" w:hAnsi="Times New Roman" w:eastAsia="黑体" w:cs="Times New Roman"/>
          <w:sz w:val="32"/>
          <w:szCs w:val="32"/>
          <w:lang w:val="en-US" w:eastAsia="zh-CN"/>
        </w:rPr>
        <w:t>2</w:t>
      </w:r>
      <w:r>
        <w:rPr>
          <w:rFonts w:hint="eastAsia" w:ascii="Times New Roman" w:hAnsi="Times New Roman" w:eastAsia="黑体" w:cs="Times New Roman"/>
          <w:sz w:val="32"/>
          <w:szCs w:val="32"/>
          <w:lang w:eastAsia="zh-CN"/>
        </w:rPr>
        <w:t>）</w:t>
      </w:r>
      <w:r>
        <w:rPr>
          <w:rFonts w:ascii="Times New Roman" w:hAnsi="Times New Roman" w:eastAsia="黑体" w:cs="Times New Roman"/>
          <w:sz w:val="32"/>
          <w:szCs w:val="32"/>
        </w:rPr>
        <w:t>评价指标</w:t>
      </w:r>
    </w:p>
    <w:p>
      <w:pPr>
        <w:ind w:firstLine="640" w:firstLineChars="200"/>
        <w:rPr>
          <w:rFonts w:ascii="Times New Roman" w:hAnsi="Times New Roman" w:eastAsia="仿宋" w:cs="Times New Roman"/>
          <w:sz w:val="32"/>
          <w:szCs w:val="32"/>
        </w:rPr>
      </w:pPr>
      <w:r>
        <w:rPr>
          <w:rFonts w:ascii="Times New Roman" w:hAnsi="Times New Roman" w:eastAsia="楷体" w:cs="Times New Roman"/>
          <w:sz w:val="32"/>
          <w:szCs w:val="32"/>
        </w:rPr>
        <w:t>（一）规模以上工业企业评价指标</w:t>
      </w:r>
      <w:r>
        <w:rPr>
          <w:rFonts w:hint="eastAsia" w:ascii="Times New Roman" w:hAnsi="Times New Roman" w:eastAsia="楷体" w:cs="Times New Roman"/>
          <w:sz w:val="32"/>
          <w:szCs w:val="32"/>
          <w:lang w:eastAsia="zh-CN"/>
        </w:rPr>
        <w:t>。</w:t>
      </w:r>
      <w:r>
        <w:rPr>
          <w:rFonts w:ascii="Times New Roman" w:hAnsi="Times New Roman" w:eastAsia="仿宋" w:cs="Times New Roman"/>
          <w:sz w:val="32"/>
          <w:szCs w:val="32"/>
        </w:rPr>
        <w:t>亩均税收、亩均工业增加值、单位能耗工业增加值、单位排放工业增加值、研究与试验发展经费支出占主营业务收入比重、全员劳动生产率。</w:t>
      </w:r>
    </w:p>
    <w:p>
      <w:pPr>
        <w:ind w:firstLine="640" w:firstLineChars="200"/>
        <w:rPr>
          <w:rFonts w:ascii="Times New Roman" w:hAnsi="Times New Roman" w:eastAsia="仿宋" w:cs="Times New Roman"/>
          <w:sz w:val="32"/>
          <w:szCs w:val="32"/>
        </w:rPr>
      </w:pPr>
      <w:r>
        <w:rPr>
          <w:rFonts w:ascii="Times New Roman" w:hAnsi="Times New Roman" w:eastAsia="楷体" w:cs="Times New Roman"/>
          <w:sz w:val="32"/>
          <w:szCs w:val="32"/>
        </w:rPr>
        <w:t>（二）规模以下工业企业评价指标</w:t>
      </w:r>
      <w:r>
        <w:rPr>
          <w:rFonts w:hint="eastAsia" w:ascii="Times New Roman" w:hAnsi="Times New Roman" w:eastAsia="楷体" w:cs="Times New Roman"/>
          <w:sz w:val="32"/>
          <w:szCs w:val="32"/>
          <w:lang w:eastAsia="zh-CN"/>
        </w:rPr>
        <w:t>。</w:t>
      </w:r>
      <w:r>
        <w:rPr>
          <w:rFonts w:ascii="Times New Roman" w:hAnsi="Times New Roman" w:eastAsia="仿宋" w:cs="Times New Roman"/>
          <w:sz w:val="32"/>
          <w:szCs w:val="32"/>
        </w:rPr>
        <w:t>亩均税收、亩均销售收入、单位用电税收。</w:t>
      </w:r>
    </w:p>
    <w:p>
      <w:pPr>
        <w:ind w:firstLine="640" w:firstLineChars="200"/>
        <w:rPr>
          <w:rFonts w:ascii="Times New Roman" w:hAnsi="Times New Roman" w:eastAsia="仿宋" w:cs="Times New Roman"/>
          <w:sz w:val="32"/>
          <w:szCs w:val="32"/>
        </w:rPr>
      </w:pPr>
      <w:r>
        <w:rPr>
          <w:rFonts w:hint="eastAsia" w:ascii="Times New Roman" w:hAnsi="Times New Roman" w:eastAsia="黑体" w:cs="Times New Roman"/>
          <w:sz w:val="32"/>
          <w:szCs w:val="32"/>
          <w:lang w:eastAsia="zh-CN"/>
        </w:rPr>
        <w:t>（</w:t>
      </w:r>
      <w:r>
        <w:rPr>
          <w:rFonts w:hint="eastAsia" w:ascii="Times New Roman" w:hAnsi="Times New Roman" w:eastAsia="黑体" w:cs="Times New Roman"/>
          <w:sz w:val="32"/>
          <w:szCs w:val="32"/>
          <w:lang w:val="en-US" w:eastAsia="zh-CN"/>
        </w:rPr>
        <w:t>3</w:t>
      </w:r>
      <w:r>
        <w:rPr>
          <w:rFonts w:hint="eastAsia" w:ascii="Times New Roman" w:hAnsi="Times New Roman" w:eastAsia="黑体" w:cs="Times New Roman"/>
          <w:sz w:val="32"/>
          <w:szCs w:val="32"/>
          <w:lang w:eastAsia="zh-CN"/>
        </w:rPr>
        <w:t>）</w:t>
      </w:r>
      <w:r>
        <w:rPr>
          <w:rFonts w:ascii="Times New Roman" w:hAnsi="Times New Roman" w:eastAsia="黑体" w:cs="Times New Roman"/>
          <w:sz w:val="32"/>
          <w:szCs w:val="32"/>
        </w:rPr>
        <w:t>计分办法</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规模以上和规模以下企业按其评价指标分别计分。对评价年度首次列入规模以上企业的，给予</w:t>
      </w:r>
      <w:r>
        <w:rPr>
          <w:rFonts w:hint="eastAsia" w:ascii="Times New Roman" w:hAnsi="Times New Roman" w:eastAsia="仿宋" w:cs="Times New Roman"/>
          <w:sz w:val="32"/>
          <w:szCs w:val="32"/>
        </w:rPr>
        <w:t>连续</w:t>
      </w:r>
      <w:r>
        <w:rPr>
          <w:rFonts w:ascii="Times New Roman" w:hAnsi="Times New Roman" w:eastAsia="仿宋" w:cs="Times New Roman"/>
          <w:sz w:val="32"/>
          <w:szCs w:val="32"/>
        </w:rPr>
        <w:t>两年特别保护期，两年内可申请继续作为规模以下企业进行评价。企业综合评价得分为单项指标数据得分之和乘以修正系数，再加上加分项。单项指标得分为该指标评价年度的数据除以基准值再乘以权重。</w:t>
      </w:r>
    </w:p>
    <w:p>
      <w:pPr>
        <w:ind w:firstLine="640" w:firstLineChars="200"/>
        <w:rPr>
          <w:rFonts w:ascii="Times New Roman" w:hAnsi="Times New Roman" w:eastAsia="仿宋" w:cs="Times New Roman"/>
          <w:sz w:val="32"/>
          <w:szCs w:val="32"/>
        </w:rPr>
      </w:pPr>
      <w:r>
        <w:rPr>
          <w:rFonts w:ascii="Times New Roman" w:hAnsi="Times New Roman" w:eastAsia="楷体" w:cs="Times New Roman"/>
          <w:sz w:val="32"/>
          <w:szCs w:val="32"/>
        </w:rPr>
        <w:t>（一）指标权重设置</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综合评价得分采用百分制。</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规模以上工业企业：亩均税收占35%，亩均工业增加值占25%，单位能耗工业增加值占10%，单位排放增加值占10%，研究与试验发展经费支出占主营业务收入比重占10%，全员劳动生产率占10%。</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规模以下工业企业：亩均税收占70%，亩均销售收入占20%，单位用电税收占10%。</w:t>
      </w:r>
    </w:p>
    <w:p>
      <w:pPr>
        <w:ind w:firstLine="640" w:firstLineChars="200"/>
        <w:rPr>
          <w:rFonts w:ascii="Times New Roman" w:hAnsi="Times New Roman" w:eastAsia="仿宋" w:cs="Times New Roman"/>
          <w:sz w:val="32"/>
          <w:szCs w:val="32"/>
        </w:rPr>
      </w:pPr>
      <w:r>
        <w:rPr>
          <w:rFonts w:ascii="Times New Roman" w:hAnsi="Times New Roman" w:eastAsia="楷体" w:cs="Times New Roman"/>
          <w:sz w:val="32"/>
          <w:szCs w:val="32"/>
        </w:rPr>
        <w:t>（二）指标基准值设置</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规模以上工业企业：亩均税收</w:t>
      </w:r>
      <w:r>
        <w:rPr>
          <w:rFonts w:hint="eastAsia" w:ascii="Times New Roman" w:hAnsi="Times New Roman" w:eastAsia="仿宋" w:cs="Times New Roman"/>
          <w:sz w:val="32"/>
          <w:szCs w:val="32"/>
        </w:rPr>
        <w:t>19</w:t>
      </w:r>
      <w:r>
        <w:rPr>
          <w:rFonts w:ascii="Times New Roman" w:hAnsi="Times New Roman" w:eastAsia="仿宋" w:cs="Times New Roman"/>
          <w:sz w:val="32"/>
          <w:szCs w:val="32"/>
        </w:rPr>
        <w:t>万元/亩，亩均工业增加值</w:t>
      </w:r>
      <w:r>
        <w:rPr>
          <w:rFonts w:hint="eastAsia" w:ascii="Times New Roman" w:hAnsi="Times New Roman" w:eastAsia="仿宋" w:cs="Times New Roman"/>
          <w:sz w:val="32"/>
          <w:szCs w:val="32"/>
        </w:rPr>
        <w:t>80</w:t>
      </w:r>
      <w:r>
        <w:rPr>
          <w:rFonts w:ascii="Times New Roman" w:hAnsi="Times New Roman" w:eastAsia="仿宋" w:cs="Times New Roman"/>
          <w:sz w:val="32"/>
          <w:szCs w:val="32"/>
        </w:rPr>
        <w:t>万元/亩，单位能耗工业增加值3万元/吨标煤</w:t>
      </w:r>
      <w:r>
        <w:rPr>
          <w:rFonts w:hint="eastAsia" w:ascii="Times New Roman" w:hAnsi="Times New Roman" w:eastAsia="仿宋" w:cs="Times New Roman"/>
          <w:sz w:val="32"/>
          <w:szCs w:val="32"/>
        </w:rPr>
        <w:t>，</w:t>
      </w:r>
      <w:r>
        <w:rPr>
          <w:rFonts w:ascii="Times New Roman" w:hAnsi="Times New Roman" w:eastAsia="仿宋" w:cs="Times New Roman"/>
          <w:sz w:val="32"/>
          <w:szCs w:val="32"/>
        </w:rPr>
        <w:t>单位排放增加值350万元/吨，研究与试验发展经费支出占主营业务收入比重3%，全员劳动生产率20万元/人</w:t>
      </w:r>
      <w:r>
        <w:rPr>
          <w:rFonts w:ascii="Times New Roman" w:hAnsi="Times New Roman" w:eastAsia="宋体" w:cs="Times New Roman"/>
          <w:sz w:val="32"/>
          <w:szCs w:val="32"/>
        </w:rPr>
        <w:t>•</w:t>
      </w:r>
      <w:r>
        <w:rPr>
          <w:rFonts w:ascii="Times New Roman" w:hAnsi="Times New Roman" w:eastAsia="仿宋" w:cs="Times New Roman"/>
          <w:sz w:val="32"/>
          <w:szCs w:val="32"/>
        </w:rPr>
        <w:t>年。</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规模以下工业企业：亩均税收4万元/亩，亩均销售收入50万元/亩，单位用电税收1.5万元/万千瓦时。</w:t>
      </w:r>
    </w:p>
    <w:p>
      <w:pPr>
        <w:ind w:firstLine="640" w:firstLineChars="200"/>
        <w:rPr>
          <w:rFonts w:ascii="Times New Roman" w:hAnsi="Times New Roman" w:eastAsia="仿宋" w:cs="Times New Roman"/>
          <w:sz w:val="32"/>
          <w:szCs w:val="32"/>
        </w:rPr>
      </w:pPr>
      <w:r>
        <w:rPr>
          <w:rFonts w:ascii="Times New Roman" w:hAnsi="Times New Roman" w:eastAsia="楷体" w:cs="Times New Roman"/>
          <w:sz w:val="32"/>
          <w:szCs w:val="32"/>
        </w:rPr>
        <w:t>（三）计分规则</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单项指标最高得分为基本分的1.5倍，最低为0分。企业某项指标为负值或空缺的，该项得分为0分，其中主要污染物排放指标为0，且销售收入不为0的，单位排放工业增加值指标按基本分的1.5倍赋分。存在环境违法行为，受到行政处罚的，单位排放工业增加值指标得分为0分。</w:t>
      </w:r>
    </w:p>
    <w:p>
      <w:pPr>
        <w:ind w:firstLine="640" w:firstLineChars="200"/>
        <w:rPr>
          <w:rFonts w:ascii="Times New Roman" w:hAnsi="Times New Roman" w:eastAsia="仿宋" w:cs="Times New Roman"/>
          <w:sz w:val="32"/>
          <w:szCs w:val="32"/>
        </w:rPr>
      </w:pPr>
      <w:r>
        <w:rPr>
          <w:rFonts w:ascii="Times New Roman" w:hAnsi="Times New Roman" w:eastAsia="楷体" w:cs="Times New Roman"/>
          <w:sz w:val="32"/>
          <w:szCs w:val="32"/>
        </w:rPr>
        <w:t>（四）修正系数</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税收超500万元的企业给予一定修正系数，单项得分相加后乘以修正系数，按照500万元（含）—1000万元、1000万元（含）—</w:t>
      </w:r>
      <w:r>
        <w:rPr>
          <w:rFonts w:hint="eastAsia" w:ascii="Times New Roman" w:hAnsi="Times New Roman" w:eastAsia="仿宋" w:cs="Times New Roman"/>
          <w:sz w:val="32"/>
          <w:szCs w:val="32"/>
        </w:rPr>
        <w:t>3</w:t>
      </w:r>
      <w:r>
        <w:rPr>
          <w:rFonts w:ascii="Times New Roman" w:hAnsi="Times New Roman" w:eastAsia="仿宋" w:cs="Times New Roman"/>
          <w:sz w:val="32"/>
          <w:szCs w:val="32"/>
        </w:rPr>
        <w:t>000万元、</w:t>
      </w:r>
      <w:r>
        <w:rPr>
          <w:rFonts w:hint="eastAsia" w:ascii="Times New Roman" w:hAnsi="Times New Roman" w:eastAsia="仿宋" w:cs="Times New Roman"/>
          <w:sz w:val="32"/>
          <w:szCs w:val="32"/>
        </w:rPr>
        <w:t>3</w:t>
      </w:r>
      <w:r>
        <w:rPr>
          <w:rFonts w:ascii="Times New Roman" w:hAnsi="Times New Roman" w:eastAsia="仿宋" w:cs="Times New Roman"/>
          <w:sz w:val="32"/>
          <w:szCs w:val="32"/>
        </w:rPr>
        <w:t>000万元（含）—</w:t>
      </w:r>
      <w:r>
        <w:rPr>
          <w:rFonts w:hint="eastAsia" w:ascii="Times New Roman" w:hAnsi="Times New Roman" w:eastAsia="仿宋" w:cs="Times New Roman"/>
          <w:sz w:val="32"/>
          <w:szCs w:val="32"/>
        </w:rPr>
        <w:t>5</w:t>
      </w:r>
      <w:r>
        <w:rPr>
          <w:rFonts w:ascii="Times New Roman" w:hAnsi="Times New Roman" w:eastAsia="仿宋" w:cs="Times New Roman"/>
          <w:sz w:val="32"/>
          <w:szCs w:val="32"/>
        </w:rPr>
        <w:t>000万元、</w:t>
      </w:r>
      <w:r>
        <w:rPr>
          <w:rFonts w:hint="eastAsia" w:ascii="Times New Roman" w:hAnsi="Times New Roman" w:eastAsia="仿宋" w:cs="Times New Roman"/>
          <w:sz w:val="32"/>
          <w:szCs w:val="32"/>
        </w:rPr>
        <w:t>5</w:t>
      </w:r>
      <w:r>
        <w:rPr>
          <w:rFonts w:ascii="Times New Roman" w:hAnsi="Times New Roman" w:eastAsia="仿宋" w:cs="Times New Roman"/>
          <w:sz w:val="32"/>
          <w:szCs w:val="32"/>
        </w:rPr>
        <w:t>000万元（含）—</w:t>
      </w:r>
      <w:r>
        <w:rPr>
          <w:rFonts w:hint="eastAsia" w:ascii="Times New Roman" w:hAnsi="Times New Roman" w:eastAsia="仿宋" w:cs="Times New Roman"/>
          <w:sz w:val="32"/>
          <w:szCs w:val="32"/>
        </w:rPr>
        <w:t>1亿</w:t>
      </w:r>
      <w:r>
        <w:rPr>
          <w:rFonts w:ascii="Times New Roman" w:hAnsi="Times New Roman" w:eastAsia="仿宋" w:cs="Times New Roman"/>
          <w:sz w:val="32"/>
          <w:szCs w:val="32"/>
        </w:rPr>
        <w:t>元、</w:t>
      </w:r>
      <w:r>
        <w:rPr>
          <w:rFonts w:hint="eastAsia" w:ascii="Times New Roman" w:hAnsi="Times New Roman" w:eastAsia="仿宋" w:cs="Times New Roman"/>
          <w:sz w:val="32"/>
          <w:szCs w:val="32"/>
        </w:rPr>
        <w:t>1亿元</w:t>
      </w:r>
      <w:r>
        <w:rPr>
          <w:rFonts w:ascii="Times New Roman" w:hAnsi="Times New Roman" w:eastAsia="仿宋" w:cs="Times New Roman"/>
          <w:sz w:val="32"/>
          <w:szCs w:val="32"/>
        </w:rPr>
        <w:t>（含）以上等级别分别给予1.1、1.2、1.3、1.4、1.5的系数。</w:t>
      </w:r>
    </w:p>
    <w:p>
      <w:pPr>
        <w:ind w:firstLine="640" w:firstLineChars="200"/>
        <w:rPr>
          <w:rFonts w:ascii="Times New Roman" w:hAnsi="Times New Roman" w:eastAsia="仿宋" w:cs="Times New Roman"/>
          <w:sz w:val="32"/>
          <w:szCs w:val="32"/>
        </w:rPr>
      </w:pPr>
      <w:r>
        <w:rPr>
          <w:rFonts w:ascii="Times New Roman" w:hAnsi="Times New Roman" w:eastAsia="楷体" w:cs="Times New Roman"/>
          <w:sz w:val="32"/>
          <w:szCs w:val="32"/>
        </w:rPr>
        <w:t>（五）加分</w:t>
      </w:r>
      <w:r>
        <w:rPr>
          <w:rFonts w:hint="eastAsia" w:ascii="Times New Roman" w:hAnsi="Times New Roman" w:eastAsia="楷体" w:cs="Times New Roman"/>
          <w:sz w:val="32"/>
          <w:szCs w:val="32"/>
        </w:rPr>
        <w:t>项</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加分项分为以下四类，同类别内的事项加分按就高不重复不累计进行计分；所有加分项的加分不列入系数修正。</w:t>
      </w:r>
    </w:p>
    <w:p>
      <w:pPr>
        <w:ind w:firstLine="640" w:firstLineChars="200"/>
        <w:rPr>
          <w:rFonts w:ascii="Times New Roman" w:hAnsi="Times New Roman" w:eastAsia="仿宋" w:cs="Times New Roman"/>
          <w:sz w:val="32"/>
          <w:szCs w:val="32"/>
        </w:rPr>
      </w:pPr>
      <w:r>
        <w:rPr>
          <w:rFonts w:ascii="Times New Roman" w:hAnsi="Times New Roman" w:eastAsia="楷体" w:cs="Times New Roman"/>
          <w:sz w:val="32"/>
          <w:szCs w:val="32"/>
        </w:rPr>
        <w:t>1、亩均税收超额加分。</w:t>
      </w:r>
      <w:r>
        <w:rPr>
          <w:rFonts w:ascii="Times New Roman" w:hAnsi="Times New Roman" w:eastAsia="仿宋" w:cs="Times New Roman"/>
          <w:sz w:val="32"/>
          <w:szCs w:val="32"/>
        </w:rPr>
        <w:t>亩均税收超过</w:t>
      </w:r>
      <w:r>
        <w:rPr>
          <w:rFonts w:hint="eastAsia" w:ascii="Times New Roman" w:hAnsi="Times New Roman" w:eastAsia="仿宋" w:cs="Times New Roman"/>
          <w:sz w:val="32"/>
          <w:szCs w:val="32"/>
        </w:rPr>
        <w:t>28.5</w:t>
      </w:r>
      <w:r>
        <w:rPr>
          <w:rFonts w:ascii="Times New Roman" w:hAnsi="Times New Roman" w:eastAsia="仿宋" w:cs="Times New Roman"/>
          <w:sz w:val="32"/>
          <w:szCs w:val="32"/>
        </w:rPr>
        <w:t>万元/亩的规模以上工业企业，亩均税收超过6万元/亩的规模以下工业企业，每增加1万元/亩加0.4分，最高加10分。</w:t>
      </w:r>
    </w:p>
    <w:p>
      <w:pPr>
        <w:ind w:firstLine="640" w:firstLineChars="200"/>
        <w:rPr>
          <w:rFonts w:ascii="Times New Roman" w:hAnsi="Times New Roman" w:eastAsia="仿宋" w:cs="Times New Roman"/>
          <w:sz w:val="32"/>
          <w:szCs w:val="32"/>
        </w:rPr>
      </w:pPr>
      <w:r>
        <w:rPr>
          <w:rFonts w:ascii="Times New Roman" w:hAnsi="Times New Roman" w:eastAsia="楷体" w:cs="Times New Roman"/>
          <w:sz w:val="32"/>
          <w:szCs w:val="32"/>
        </w:rPr>
        <w:t>2、</w:t>
      </w:r>
      <w:r>
        <w:rPr>
          <w:rFonts w:hint="eastAsia" w:ascii="Times New Roman" w:hAnsi="Times New Roman" w:eastAsia="楷体" w:cs="Times New Roman"/>
          <w:sz w:val="32"/>
          <w:szCs w:val="32"/>
        </w:rPr>
        <w:t>人才创新类</w:t>
      </w:r>
      <w:r>
        <w:rPr>
          <w:rFonts w:ascii="Times New Roman" w:hAnsi="Times New Roman" w:eastAsia="楷体" w:cs="Times New Roman"/>
          <w:sz w:val="32"/>
          <w:szCs w:val="32"/>
        </w:rPr>
        <w:t>加分。</w:t>
      </w:r>
      <w:r>
        <w:rPr>
          <w:rFonts w:ascii="Times New Roman" w:hAnsi="Times New Roman" w:eastAsia="仿宋" w:cs="Times New Roman"/>
          <w:sz w:val="32"/>
          <w:szCs w:val="32"/>
        </w:rPr>
        <w:t>对于</w:t>
      </w:r>
      <w:r>
        <w:rPr>
          <w:rFonts w:hint="eastAsia" w:ascii="Times New Roman" w:hAnsi="Times New Roman" w:eastAsia="仿宋" w:cs="Times New Roman"/>
          <w:sz w:val="32"/>
          <w:szCs w:val="32"/>
        </w:rPr>
        <w:t>有效期内的国家高新技术、省级以上“首台套”企业，</w:t>
      </w:r>
      <w:r>
        <w:rPr>
          <w:rFonts w:ascii="Times New Roman" w:hAnsi="Times New Roman" w:eastAsia="仿宋" w:cs="Times New Roman"/>
          <w:sz w:val="32"/>
          <w:szCs w:val="32"/>
        </w:rPr>
        <w:t>当年列入省重大产业项目和省技术改造重点项目的企业，建有省级及以上（重点）企业研究院、高新技术研发中心及企业技术中心的企业，</w:t>
      </w:r>
      <w:r>
        <w:rPr>
          <w:rFonts w:hint="eastAsia" w:ascii="Times New Roman" w:hAnsi="Times New Roman" w:eastAsia="仿宋" w:cs="Times New Roman"/>
          <w:sz w:val="32"/>
          <w:szCs w:val="32"/>
        </w:rPr>
        <w:t>拥有“千人计划”、“万人计划”等高层次人才的企业，</w:t>
      </w:r>
      <w:r>
        <w:rPr>
          <w:rFonts w:ascii="Times New Roman" w:hAnsi="Times New Roman" w:eastAsia="仿宋" w:cs="Times New Roman"/>
          <w:sz w:val="32"/>
          <w:szCs w:val="32"/>
        </w:rPr>
        <w:t>加</w:t>
      </w:r>
      <w:r>
        <w:rPr>
          <w:rFonts w:hint="eastAsia" w:ascii="Times New Roman" w:hAnsi="Times New Roman" w:eastAsia="仿宋" w:cs="Times New Roman"/>
          <w:sz w:val="32"/>
          <w:szCs w:val="32"/>
          <w:u w:val="double"/>
        </w:rPr>
        <w:t>10</w:t>
      </w:r>
      <w:r>
        <w:rPr>
          <w:rFonts w:ascii="Times New Roman" w:hAnsi="Times New Roman" w:eastAsia="仿宋" w:cs="Times New Roman"/>
          <w:sz w:val="32"/>
          <w:szCs w:val="32"/>
        </w:rPr>
        <w:t>分。</w:t>
      </w:r>
      <w:r>
        <w:rPr>
          <w:rFonts w:hint="eastAsia" w:ascii="Times New Roman" w:hAnsi="Times New Roman" w:eastAsia="仿宋" w:cs="Times New Roman"/>
          <w:sz w:val="32"/>
          <w:szCs w:val="32"/>
        </w:rPr>
        <w:t>五金工量具、塑棉制品、建筑建材、食品加工四大传统制造业及信创产业、智能家居、汽车核心零部件及配件三大重点培育行业的企业，在评价年度内实施市级以上重点技改或“两化融合”项目的，加5分。</w:t>
      </w:r>
    </w:p>
    <w:p>
      <w:pPr>
        <w:ind w:firstLine="640" w:firstLineChars="200"/>
        <w:rPr>
          <w:rFonts w:ascii="Times New Roman" w:hAnsi="Times New Roman" w:eastAsia="仿宋" w:cs="Times New Roman"/>
          <w:sz w:val="32"/>
          <w:szCs w:val="32"/>
        </w:rPr>
      </w:pPr>
      <w:r>
        <w:rPr>
          <w:rFonts w:ascii="Times New Roman" w:hAnsi="Times New Roman" w:eastAsia="楷体" w:cs="Times New Roman"/>
          <w:sz w:val="32"/>
          <w:szCs w:val="32"/>
        </w:rPr>
        <w:t>3、</w:t>
      </w:r>
      <w:r>
        <w:rPr>
          <w:rFonts w:hint="eastAsia" w:ascii="Times New Roman" w:hAnsi="Times New Roman" w:eastAsia="楷体" w:cs="Times New Roman"/>
          <w:sz w:val="32"/>
          <w:szCs w:val="32"/>
        </w:rPr>
        <w:t>培育壮大类</w:t>
      </w:r>
      <w:r>
        <w:rPr>
          <w:rFonts w:ascii="Times New Roman" w:hAnsi="Times New Roman" w:eastAsia="楷体" w:cs="Times New Roman"/>
          <w:sz w:val="32"/>
          <w:szCs w:val="32"/>
        </w:rPr>
        <w:t>加分。</w:t>
      </w:r>
      <w:r>
        <w:rPr>
          <w:rFonts w:hint="eastAsia" w:ascii="Times New Roman" w:hAnsi="Times New Roman" w:eastAsia="仿宋" w:cs="Times New Roman"/>
          <w:sz w:val="32"/>
          <w:szCs w:val="32"/>
        </w:rPr>
        <w:t>对</w:t>
      </w:r>
      <w:r>
        <w:rPr>
          <w:rFonts w:ascii="Times New Roman" w:hAnsi="Times New Roman" w:eastAsia="仿宋" w:cs="Times New Roman"/>
          <w:sz w:val="32"/>
          <w:szCs w:val="32"/>
        </w:rPr>
        <w:t>通过</w:t>
      </w:r>
      <w:r>
        <w:rPr>
          <w:rFonts w:hint="eastAsia" w:ascii="Times New Roman" w:hAnsi="Times New Roman" w:eastAsia="仿宋" w:cs="Times New Roman"/>
          <w:sz w:val="32"/>
          <w:szCs w:val="32"/>
        </w:rPr>
        <w:t>省级</w:t>
      </w:r>
      <w:r>
        <w:rPr>
          <w:rFonts w:ascii="Times New Roman" w:hAnsi="Times New Roman" w:eastAsia="仿宋" w:cs="Times New Roman"/>
          <w:sz w:val="32"/>
          <w:szCs w:val="32"/>
        </w:rPr>
        <w:t>认定的小微企业园</w:t>
      </w:r>
      <w:r>
        <w:rPr>
          <w:rFonts w:hint="eastAsia" w:ascii="Times New Roman" w:hAnsi="Times New Roman" w:eastAsia="仿宋" w:cs="Times New Roman"/>
          <w:sz w:val="32"/>
          <w:szCs w:val="32"/>
        </w:rPr>
        <w:t>、省级孵化器（众创空间），从认定当年起连续三年每年加15分；</w:t>
      </w:r>
      <w:r>
        <w:rPr>
          <w:rFonts w:ascii="Times New Roman" w:hAnsi="Times New Roman" w:eastAsia="仿宋" w:cs="Times New Roman"/>
          <w:sz w:val="32"/>
          <w:szCs w:val="32"/>
        </w:rPr>
        <w:t>评价年度</w:t>
      </w:r>
      <w:r>
        <w:rPr>
          <w:rFonts w:hint="eastAsia" w:ascii="Times New Roman" w:hAnsi="Times New Roman" w:eastAsia="仿宋" w:cs="Times New Roman"/>
          <w:sz w:val="32"/>
          <w:szCs w:val="32"/>
        </w:rPr>
        <w:t>当年“小升规”的</w:t>
      </w:r>
      <w:r>
        <w:rPr>
          <w:rFonts w:ascii="Times New Roman" w:hAnsi="Times New Roman" w:eastAsia="仿宋" w:cs="Times New Roman"/>
          <w:sz w:val="32"/>
          <w:szCs w:val="32"/>
        </w:rPr>
        <w:t>企业</w:t>
      </w:r>
      <w:r>
        <w:rPr>
          <w:rFonts w:hint="eastAsia" w:ascii="Times New Roman" w:hAnsi="Times New Roman" w:eastAsia="仿宋" w:cs="Times New Roman"/>
          <w:sz w:val="32"/>
          <w:szCs w:val="32"/>
        </w:rPr>
        <w:t>加10分（申请列入规下企业评价的该项不加分）；对</w:t>
      </w:r>
      <w:r>
        <w:rPr>
          <w:rFonts w:ascii="Times New Roman" w:hAnsi="Times New Roman" w:eastAsia="仿宋" w:cs="Times New Roman"/>
          <w:sz w:val="32"/>
          <w:szCs w:val="32"/>
        </w:rPr>
        <w:t>小微企业园入园企业，</w:t>
      </w:r>
      <w:r>
        <w:rPr>
          <w:rFonts w:hint="eastAsia" w:ascii="Times New Roman" w:hAnsi="Times New Roman" w:eastAsia="仿宋" w:cs="Times New Roman"/>
          <w:sz w:val="32"/>
          <w:szCs w:val="32"/>
        </w:rPr>
        <w:t>从入园当年起连续二年每年加5分。</w:t>
      </w:r>
      <w:r>
        <w:rPr>
          <w:rFonts w:ascii="Times New Roman" w:hAnsi="Times New Roman" w:eastAsia="仿宋" w:cs="Times New Roman"/>
          <w:sz w:val="32"/>
          <w:szCs w:val="32"/>
        </w:rPr>
        <w:t xml:space="preserve"> </w:t>
      </w:r>
    </w:p>
    <w:p>
      <w:pPr>
        <w:ind w:firstLine="640" w:firstLineChars="200"/>
        <w:rPr>
          <w:rFonts w:ascii="Times New Roman" w:hAnsi="Times New Roman" w:eastAsia="仿宋" w:cs="Times New Roman"/>
          <w:sz w:val="32"/>
          <w:szCs w:val="32"/>
        </w:rPr>
      </w:pPr>
      <w:r>
        <w:rPr>
          <w:rFonts w:ascii="Times New Roman" w:hAnsi="Times New Roman" w:eastAsia="楷体" w:cs="Times New Roman"/>
          <w:sz w:val="32"/>
          <w:szCs w:val="32"/>
        </w:rPr>
        <w:t>4、企业荣誉</w:t>
      </w:r>
      <w:r>
        <w:rPr>
          <w:rFonts w:hint="eastAsia" w:ascii="Times New Roman" w:hAnsi="Times New Roman" w:eastAsia="楷体" w:cs="Times New Roman"/>
          <w:sz w:val="32"/>
          <w:szCs w:val="32"/>
        </w:rPr>
        <w:t>类</w:t>
      </w:r>
      <w:r>
        <w:rPr>
          <w:rFonts w:ascii="Times New Roman" w:hAnsi="Times New Roman" w:eastAsia="楷体" w:cs="Times New Roman"/>
          <w:sz w:val="32"/>
          <w:szCs w:val="32"/>
        </w:rPr>
        <w:t>加分。</w:t>
      </w:r>
      <w:r>
        <w:rPr>
          <w:rFonts w:ascii="Times New Roman" w:hAnsi="Times New Roman" w:eastAsia="仿宋" w:cs="Times New Roman"/>
          <w:sz w:val="32"/>
          <w:szCs w:val="32"/>
        </w:rPr>
        <w:t>评价年度内</w:t>
      </w:r>
      <w:r>
        <w:rPr>
          <w:rFonts w:hint="eastAsia" w:ascii="Times New Roman" w:hAnsi="Times New Roman" w:eastAsia="仿宋" w:cs="Times New Roman"/>
          <w:sz w:val="32"/>
          <w:szCs w:val="32"/>
        </w:rPr>
        <w:t>获评省、市、区政府质量奖的企业分别加20分、10分、5分；评价年度内</w:t>
      </w:r>
      <w:r>
        <w:rPr>
          <w:rFonts w:ascii="Times New Roman" w:hAnsi="Times New Roman" w:eastAsia="仿宋" w:cs="Times New Roman"/>
          <w:sz w:val="32"/>
          <w:szCs w:val="32"/>
        </w:rPr>
        <w:t>获</w:t>
      </w:r>
      <w:r>
        <w:rPr>
          <w:rFonts w:hint="eastAsia" w:ascii="Times New Roman" w:hAnsi="Times New Roman" w:eastAsia="仿宋" w:cs="Times New Roman"/>
          <w:sz w:val="32"/>
          <w:szCs w:val="32"/>
        </w:rPr>
        <w:t>评</w:t>
      </w:r>
      <w:r>
        <w:rPr>
          <w:rFonts w:ascii="Times New Roman" w:hAnsi="Times New Roman" w:eastAsia="仿宋" w:cs="Times New Roman"/>
          <w:sz w:val="32"/>
          <w:szCs w:val="32"/>
        </w:rPr>
        <w:t>专精特新“小巨人”、上市的企业，加20分</w:t>
      </w:r>
      <w:r>
        <w:rPr>
          <w:rFonts w:hint="eastAsia" w:ascii="Times New Roman" w:hAnsi="Times New Roman" w:eastAsia="仿宋" w:cs="Times New Roman"/>
          <w:sz w:val="32"/>
          <w:szCs w:val="32"/>
        </w:rPr>
        <w:t>；评价年度内</w:t>
      </w:r>
      <w:r>
        <w:rPr>
          <w:rFonts w:ascii="Times New Roman" w:hAnsi="Times New Roman" w:eastAsia="仿宋" w:cs="Times New Roman"/>
          <w:sz w:val="32"/>
          <w:szCs w:val="32"/>
        </w:rPr>
        <w:t>获评省级隐形冠军</w:t>
      </w:r>
      <w:r>
        <w:rPr>
          <w:rFonts w:hint="eastAsia" w:ascii="Times New Roman" w:hAnsi="Times New Roman" w:eastAsia="仿宋" w:cs="Times New Roman"/>
          <w:sz w:val="32"/>
          <w:szCs w:val="32"/>
        </w:rPr>
        <w:t>企业（有效期内）、绿色工厂</w:t>
      </w:r>
      <w:r>
        <w:rPr>
          <w:rFonts w:ascii="Times New Roman" w:hAnsi="Times New Roman" w:eastAsia="仿宋" w:cs="Times New Roman"/>
          <w:sz w:val="32"/>
          <w:szCs w:val="32"/>
        </w:rPr>
        <w:t>的企业</w:t>
      </w:r>
      <w:r>
        <w:rPr>
          <w:rFonts w:hint="eastAsia" w:ascii="Times New Roman" w:hAnsi="Times New Roman" w:eastAsia="仿宋" w:cs="Times New Roman"/>
          <w:sz w:val="32"/>
          <w:szCs w:val="32"/>
        </w:rPr>
        <w:t>、浙江制造精品企业、</w:t>
      </w:r>
      <w:r>
        <w:rPr>
          <w:rFonts w:ascii="Times New Roman" w:hAnsi="Times New Roman" w:eastAsia="仿宋" w:cs="Times New Roman"/>
          <w:sz w:val="32"/>
          <w:szCs w:val="32"/>
        </w:rPr>
        <w:t>“品字标”品牌、</w:t>
      </w:r>
      <w:r>
        <w:rPr>
          <w:rFonts w:hint="eastAsia" w:ascii="Times New Roman" w:hAnsi="Times New Roman" w:eastAsia="仿宋" w:cs="Times New Roman"/>
          <w:sz w:val="32"/>
          <w:szCs w:val="32"/>
        </w:rPr>
        <w:t>国家知识产权示范企业、国家“两化融合”管理体系试点企业、省“两化融合”试点企业和五星级小微企业园</w:t>
      </w:r>
      <w:r>
        <w:rPr>
          <w:rFonts w:ascii="Times New Roman" w:hAnsi="Times New Roman" w:eastAsia="仿宋" w:cs="Times New Roman"/>
          <w:sz w:val="32"/>
          <w:szCs w:val="32"/>
        </w:rPr>
        <w:t>，加1</w:t>
      </w:r>
      <w:r>
        <w:rPr>
          <w:rFonts w:hint="eastAsia" w:ascii="Times New Roman" w:hAnsi="Times New Roman" w:eastAsia="仿宋" w:cs="Times New Roman"/>
          <w:sz w:val="32"/>
          <w:szCs w:val="32"/>
        </w:rPr>
        <w:t>0</w:t>
      </w:r>
      <w:r>
        <w:rPr>
          <w:rFonts w:ascii="Times New Roman" w:hAnsi="Times New Roman" w:eastAsia="仿宋" w:cs="Times New Roman"/>
          <w:sz w:val="32"/>
          <w:szCs w:val="32"/>
        </w:rPr>
        <w:t>分</w:t>
      </w:r>
      <w:r>
        <w:rPr>
          <w:rFonts w:hint="eastAsia" w:ascii="Times New Roman" w:hAnsi="Times New Roman" w:eastAsia="仿宋" w:cs="Times New Roman"/>
          <w:sz w:val="32"/>
          <w:szCs w:val="32"/>
        </w:rPr>
        <w:t>；评价年度内获评</w:t>
      </w:r>
      <w:r>
        <w:rPr>
          <w:rFonts w:ascii="Times New Roman" w:hAnsi="Times New Roman" w:eastAsia="仿宋" w:cs="Times New Roman"/>
          <w:sz w:val="32"/>
          <w:szCs w:val="32"/>
        </w:rPr>
        <w:t>省上云标杆、</w:t>
      </w:r>
      <w:r>
        <w:rPr>
          <w:rFonts w:hint="eastAsia" w:ascii="Times New Roman" w:hAnsi="Times New Roman" w:eastAsia="仿宋" w:cs="Times New Roman"/>
          <w:sz w:val="32"/>
          <w:szCs w:val="32"/>
        </w:rPr>
        <w:t>通过省级清洁生产审核</w:t>
      </w:r>
      <w:r>
        <w:rPr>
          <w:rFonts w:ascii="Times New Roman" w:hAnsi="Times New Roman" w:eastAsia="仿宋" w:cs="Times New Roman"/>
          <w:sz w:val="32"/>
          <w:szCs w:val="32"/>
        </w:rPr>
        <w:t>的企业，加</w:t>
      </w:r>
      <w:r>
        <w:rPr>
          <w:rFonts w:hint="eastAsia" w:ascii="Times New Roman" w:hAnsi="Times New Roman" w:eastAsia="仿宋" w:cs="Times New Roman"/>
          <w:sz w:val="32"/>
          <w:szCs w:val="32"/>
        </w:rPr>
        <w:t>5</w:t>
      </w:r>
      <w:r>
        <w:rPr>
          <w:rFonts w:ascii="Times New Roman" w:hAnsi="Times New Roman" w:eastAsia="仿宋" w:cs="Times New Roman"/>
          <w:sz w:val="32"/>
          <w:szCs w:val="32"/>
        </w:rPr>
        <w:t>分。</w:t>
      </w:r>
    </w:p>
    <w:p>
      <w:pPr>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w:t>
      </w:r>
      <w:r>
        <w:rPr>
          <w:rFonts w:hint="eastAsia" w:ascii="Times New Roman" w:hAnsi="Times New Roman" w:eastAsia="黑体" w:cs="Times New Roman"/>
          <w:sz w:val="32"/>
          <w:szCs w:val="32"/>
          <w:lang w:val="en-US" w:eastAsia="zh-CN"/>
        </w:rPr>
        <w:t>4</w:t>
      </w:r>
      <w:r>
        <w:rPr>
          <w:rFonts w:hint="eastAsia" w:ascii="Times New Roman" w:hAnsi="Times New Roman" w:eastAsia="黑体" w:cs="Times New Roman"/>
          <w:sz w:val="32"/>
          <w:szCs w:val="32"/>
          <w:lang w:eastAsia="zh-CN"/>
        </w:rPr>
        <w:t>）</w:t>
      </w:r>
      <w:r>
        <w:rPr>
          <w:rFonts w:ascii="Times New Roman" w:hAnsi="Times New Roman" w:eastAsia="黑体" w:cs="Times New Roman"/>
          <w:sz w:val="32"/>
          <w:szCs w:val="32"/>
        </w:rPr>
        <w:t>分类设置</w:t>
      </w:r>
    </w:p>
    <w:p>
      <w:pPr>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（一）分类类别和比例</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根据评价年度企业监测评价数据，纳入评价的所有企业按照规模以上、规模以下两个类别分别计算企业绩效综合评价得分，然后按汽车及其他运输设备、机械电子、金属制品及非金属矿物制品业、橡塑及文娱用品类、纺织服装和其他制造业等六大行业，规模以上、规模以下分别分类排序，在行业中划分A、B、C、D四类。</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1、A类（重点发展类）：指资源占用产出高、经营效益好、转型发展成效明显的企业。综合评价得分行业排名规模以上前20%（含）和规模以下前3%（含）的企业。</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 B类（鼓励提升类）：指资源占用产出较高、经营效益较好，但转型发展水平有待进一步提升的企业。综合评价得分行业排名规模以上20%—70%（含）和规模以下3%—48%（含）的企业。</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 C类（帮扶整治类）：指资源利用效率偏低、综合效益不佳，需要重点帮扶、重点整治的企业。综合评价得分行业排名规模以上70%—97%（含）和规模以下48%—90%（含）的企业。</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D类（淘汰关停类）：指国家、省有关产业政策明令禁止或淘汰的企业，污染物排放、安全生产、能耗限额等不达标且整改无望或整改后仍不达标的企业，以及其他依法淘汰关停的企业。综合评价得分行业排名规模以上后3%</w:t>
      </w:r>
      <w:r>
        <w:rPr>
          <w:rFonts w:hint="eastAsia" w:ascii="Times New Roman" w:hAnsi="Times New Roman" w:eastAsia="仿宋" w:cs="Times New Roman"/>
          <w:sz w:val="32"/>
          <w:szCs w:val="32"/>
        </w:rPr>
        <w:t>—5%</w:t>
      </w:r>
      <w:r>
        <w:rPr>
          <w:rFonts w:ascii="Times New Roman" w:hAnsi="Times New Roman" w:eastAsia="仿宋" w:cs="Times New Roman"/>
          <w:sz w:val="32"/>
          <w:szCs w:val="32"/>
        </w:rPr>
        <w:t>的企业和规模以下后10%的企业。</w:t>
      </w:r>
    </w:p>
    <w:p>
      <w:pPr>
        <w:ind w:firstLine="640" w:firstLineChars="200"/>
        <w:rPr>
          <w:rFonts w:ascii="Times New Roman" w:hAnsi="Times New Roman" w:eastAsia="仿宋" w:cs="Times New Roman"/>
          <w:sz w:val="32"/>
          <w:szCs w:val="32"/>
        </w:rPr>
      </w:pPr>
      <w:r>
        <w:rPr>
          <w:rFonts w:ascii="Times New Roman" w:hAnsi="Times New Roman" w:eastAsia="楷体" w:cs="Times New Roman"/>
          <w:sz w:val="32"/>
          <w:szCs w:val="32"/>
        </w:rPr>
        <w:t>（二）特别调整规则</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1、定档</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（1）直接定A类。首次通过出让获得工业用地使用权的企业，自取得土地使用权证（以土地出让合同所载时间为准）起的3个评价年度内（建设期加1年过渡期），且</w:t>
      </w:r>
      <w:r>
        <w:rPr>
          <w:rFonts w:hint="eastAsia" w:ascii="Times New Roman" w:hAnsi="Times New Roman" w:eastAsia="仿宋" w:cs="Times New Roman"/>
          <w:sz w:val="32"/>
          <w:szCs w:val="32"/>
        </w:rPr>
        <w:t>列入省级以上</w:t>
      </w:r>
      <w:r>
        <w:rPr>
          <w:rFonts w:ascii="Times New Roman" w:hAnsi="Times New Roman" w:eastAsia="仿宋" w:cs="Times New Roman"/>
          <w:sz w:val="32"/>
          <w:szCs w:val="32"/>
        </w:rPr>
        <w:t>重大产业项目投资企业。</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（2）直接定B类。首次通过出让获得工业用地使用权的企业，自取得土地使用权证（以土地出让合同所载时间为准）起的3个评价年度内（建设期加1年过渡期）的企业。</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评价年度内</w:t>
      </w:r>
      <w:r>
        <w:rPr>
          <w:rFonts w:ascii="Times New Roman" w:hAnsi="Times New Roman" w:eastAsia="仿宋" w:cs="Times New Roman"/>
          <w:sz w:val="32"/>
          <w:szCs w:val="32"/>
        </w:rPr>
        <w:t>通过企业之间转让（以合同签定时间为准）或法院拍卖（以司法裁定书出具时间为准）获得工业用地使用权的企业。</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以上均由企业提出申请，提供相关材料。</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（3）直接定D类。企业登记工业用地面积超过20亩</w:t>
      </w:r>
      <w:r>
        <w:rPr>
          <w:rFonts w:hint="eastAsia" w:ascii="Times New Roman" w:hAnsi="Times New Roman" w:eastAsia="仿宋" w:cs="Times New Roman"/>
          <w:sz w:val="32"/>
          <w:szCs w:val="32"/>
        </w:rPr>
        <w:t>（含）</w:t>
      </w:r>
      <w:r>
        <w:rPr>
          <w:rFonts w:ascii="Times New Roman" w:hAnsi="Times New Roman" w:eastAsia="仿宋" w:cs="Times New Roman"/>
          <w:sz w:val="32"/>
          <w:szCs w:val="32"/>
        </w:rPr>
        <w:t>，且</w:t>
      </w:r>
      <w:r>
        <w:rPr>
          <w:rFonts w:hint="eastAsia" w:ascii="Times New Roman" w:hAnsi="Times New Roman" w:eastAsia="仿宋" w:cs="Times New Roman"/>
          <w:sz w:val="32"/>
          <w:szCs w:val="32"/>
        </w:rPr>
        <w:t>从当前</w:t>
      </w:r>
      <w:r>
        <w:rPr>
          <w:rFonts w:ascii="Times New Roman" w:hAnsi="Times New Roman" w:eastAsia="仿宋" w:cs="Times New Roman"/>
          <w:sz w:val="32"/>
          <w:szCs w:val="32"/>
        </w:rPr>
        <w:t>评价年度</w:t>
      </w:r>
      <w:r>
        <w:rPr>
          <w:rFonts w:hint="eastAsia" w:ascii="Times New Roman" w:hAnsi="Times New Roman" w:eastAsia="仿宋" w:cs="Times New Roman"/>
          <w:sz w:val="32"/>
          <w:szCs w:val="32"/>
        </w:rPr>
        <w:t>起</w:t>
      </w:r>
      <w:r>
        <w:rPr>
          <w:rFonts w:ascii="Times New Roman" w:hAnsi="Times New Roman" w:eastAsia="仿宋" w:cs="Times New Roman"/>
          <w:sz w:val="32"/>
          <w:szCs w:val="32"/>
        </w:rPr>
        <w:t>连续</w:t>
      </w:r>
      <w:r>
        <w:rPr>
          <w:rFonts w:hint="eastAsia" w:ascii="Times New Roman" w:hAnsi="Times New Roman" w:eastAsia="仿宋" w:cs="Times New Roman"/>
          <w:sz w:val="32"/>
          <w:szCs w:val="32"/>
        </w:rPr>
        <w:t>前</w:t>
      </w:r>
      <w:r>
        <w:rPr>
          <w:rFonts w:ascii="Times New Roman" w:hAnsi="Times New Roman" w:eastAsia="仿宋" w:cs="Times New Roman"/>
          <w:sz w:val="32"/>
          <w:szCs w:val="32"/>
        </w:rPr>
        <w:t>3</w:t>
      </w:r>
      <w:r>
        <w:rPr>
          <w:rFonts w:hint="eastAsia" w:ascii="Times New Roman" w:hAnsi="Times New Roman" w:eastAsia="仿宋" w:cs="Times New Roman"/>
          <w:sz w:val="32"/>
          <w:szCs w:val="32"/>
        </w:rPr>
        <w:t>年</w:t>
      </w:r>
      <w:r>
        <w:rPr>
          <w:rFonts w:ascii="Times New Roman" w:hAnsi="Times New Roman" w:eastAsia="仿宋" w:cs="Times New Roman"/>
          <w:sz w:val="32"/>
          <w:szCs w:val="32"/>
        </w:rPr>
        <w:t>均未上规的企业，直接列为D类（全资或控股的子公司已经是规上企业，且已申请合并评价并纳入规上企业评价的除外）</w:t>
      </w:r>
      <w:r>
        <w:rPr>
          <w:rFonts w:hint="eastAsia" w:ascii="Times New Roman" w:hAnsi="Times New Roman" w:eastAsia="仿宋" w:cs="Times New Roman"/>
          <w:sz w:val="32"/>
          <w:szCs w:val="32"/>
        </w:rPr>
        <w:t>。投资“标准地”项目的企业，根据土地出让合同和投资建设协议约定指标，连续两年，亩均税收指标未达到约定标准50%，或其他2个及以上指标未达到约定标准50%的。二次流转准入项目的企业，根据集约节约用地补充合同和投资协议约定指标，亩均税收指标未达到约定标准50%，或其他2个及以上指标未达到约定标准50%的。当年被列入信用黑名单企业。</w:t>
      </w:r>
      <w:r>
        <w:rPr>
          <w:rFonts w:ascii="Times New Roman" w:hAnsi="Times New Roman" w:eastAsia="仿宋" w:cs="Times New Roman"/>
          <w:sz w:val="32"/>
          <w:szCs w:val="32"/>
        </w:rPr>
        <w:t>按照《浙江省淘汰落后生产能力指导目录（2012年本）》及金华市淘汰落后产能相关标准，需实施企业整体关停淘汰的企业。</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直接定档的</w:t>
      </w:r>
      <w:r>
        <w:rPr>
          <w:rFonts w:hint="eastAsia" w:ascii="Times New Roman" w:hAnsi="Times New Roman" w:eastAsia="仿宋" w:cs="Times New Roman"/>
          <w:sz w:val="32"/>
          <w:szCs w:val="32"/>
        </w:rPr>
        <w:t>类别</w:t>
      </w:r>
      <w:r>
        <w:rPr>
          <w:rFonts w:ascii="Times New Roman" w:hAnsi="Times New Roman" w:eastAsia="仿宋" w:cs="Times New Roman"/>
          <w:sz w:val="32"/>
          <w:szCs w:val="32"/>
        </w:rPr>
        <w:t>占用该</w:t>
      </w:r>
      <w:r>
        <w:rPr>
          <w:rFonts w:hint="eastAsia" w:ascii="Times New Roman" w:hAnsi="Times New Roman" w:eastAsia="仿宋" w:cs="Times New Roman"/>
          <w:sz w:val="32"/>
          <w:szCs w:val="32"/>
        </w:rPr>
        <w:t>类评价结果类别</w:t>
      </w:r>
      <w:r>
        <w:rPr>
          <w:rFonts w:ascii="Times New Roman" w:hAnsi="Times New Roman" w:eastAsia="仿宋" w:cs="Times New Roman"/>
          <w:sz w:val="32"/>
          <w:szCs w:val="32"/>
        </w:rPr>
        <w:t>比例</w:t>
      </w:r>
      <w:r>
        <w:rPr>
          <w:rFonts w:hint="eastAsia" w:ascii="Times New Roman" w:hAnsi="Times New Roman" w:eastAsia="仿宋" w:cs="Times New Roman"/>
          <w:sz w:val="32"/>
          <w:szCs w:val="32"/>
        </w:rPr>
        <w:t>，直接定档的类别默认排在该类别最前面，相同直接定档的类别按评价得分排序，超出该类别比列的直接定档类别按评价得分排序进行降档。直接定档不受限档限制。</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2、限档</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有下列情况之一的</w:t>
      </w:r>
      <w:r>
        <w:rPr>
          <w:rFonts w:ascii="Times New Roman" w:hAnsi="Times New Roman" w:eastAsia="仿宋" w:cs="Times New Roman"/>
          <w:sz w:val="32"/>
          <w:szCs w:val="32"/>
        </w:rPr>
        <w:t>不列入A类</w:t>
      </w:r>
      <w:r>
        <w:rPr>
          <w:rFonts w:hint="eastAsia" w:ascii="Times New Roman" w:hAnsi="Times New Roman" w:eastAsia="仿宋" w:cs="Times New Roman"/>
          <w:sz w:val="32"/>
          <w:szCs w:val="32"/>
        </w:rPr>
        <w:t>：</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（1）评价年度</w:t>
      </w:r>
      <w:r>
        <w:rPr>
          <w:rFonts w:ascii="Times New Roman" w:hAnsi="Times New Roman" w:eastAsia="仿宋" w:cs="Times New Roman"/>
          <w:sz w:val="32"/>
          <w:szCs w:val="32"/>
        </w:rPr>
        <w:t>纳税300万元以下</w:t>
      </w:r>
      <w:r>
        <w:rPr>
          <w:rFonts w:hint="eastAsia" w:ascii="Times New Roman" w:hAnsi="Times New Roman" w:eastAsia="仿宋" w:cs="Times New Roman"/>
          <w:sz w:val="32"/>
          <w:szCs w:val="32"/>
        </w:rPr>
        <w:t>的（除总投资5亿元以上重大产业项目外）；</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（2）亩均税收低于3万元的规上企业和低于1万元的规下企业不列入A类；</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w:t>
      </w:r>
      <w:r>
        <w:rPr>
          <w:rFonts w:ascii="Times New Roman" w:hAnsi="Times New Roman" w:eastAsia="仿宋" w:cs="Times New Roman"/>
          <w:sz w:val="32"/>
          <w:szCs w:val="32"/>
        </w:rPr>
        <w:t>拥有土地使用权的企业，其</w:t>
      </w:r>
      <w:r>
        <w:rPr>
          <w:rFonts w:hint="eastAsia" w:ascii="Times New Roman" w:hAnsi="Times New Roman" w:eastAsia="仿宋" w:cs="Times New Roman"/>
          <w:sz w:val="32"/>
          <w:szCs w:val="32"/>
        </w:rPr>
        <w:t>土地</w:t>
      </w:r>
      <w:r>
        <w:rPr>
          <w:rFonts w:ascii="Times New Roman" w:hAnsi="Times New Roman" w:eastAsia="仿宋" w:cs="Times New Roman"/>
          <w:sz w:val="32"/>
          <w:szCs w:val="32"/>
        </w:rPr>
        <w:t>出租面积大于20%的</w:t>
      </w:r>
      <w:r>
        <w:rPr>
          <w:rFonts w:hint="eastAsia" w:ascii="Times New Roman" w:hAnsi="Times New Roman" w:eastAsia="仿宋" w:cs="Times New Roman"/>
          <w:sz w:val="32"/>
          <w:szCs w:val="32"/>
        </w:rPr>
        <w:t>；</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（4）</w:t>
      </w:r>
      <w:r>
        <w:rPr>
          <w:rFonts w:ascii="Times New Roman" w:hAnsi="Times New Roman" w:eastAsia="仿宋" w:cs="Times New Roman"/>
          <w:sz w:val="32"/>
          <w:szCs w:val="32"/>
        </w:rPr>
        <w:t>评价年度</w:t>
      </w:r>
      <w:r>
        <w:rPr>
          <w:rFonts w:hint="eastAsia" w:ascii="Times New Roman" w:hAnsi="Times New Roman" w:eastAsia="仿宋" w:cs="Times New Roman"/>
          <w:sz w:val="32"/>
          <w:szCs w:val="32"/>
        </w:rPr>
        <w:t>内</w:t>
      </w:r>
      <w:r>
        <w:rPr>
          <w:rFonts w:ascii="Times New Roman" w:hAnsi="Times New Roman" w:eastAsia="仿宋" w:cs="Times New Roman"/>
          <w:sz w:val="32"/>
          <w:szCs w:val="32"/>
        </w:rPr>
        <w:t>发生生产安全事故、重大环境责任事故和重大食品安全事故的</w:t>
      </w:r>
      <w:r>
        <w:rPr>
          <w:rFonts w:hint="eastAsia" w:ascii="Times New Roman" w:hAnsi="Times New Roman" w:eastAsia="仿宋" w:cs="Times New Roman"/>
          <w:sz w:val="32"/>
          <w:szCs w:val="32"/>
        </w:rPr>
        <w:t>；</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（5）未</w:t>
      </w:r>
      <w:r>
        <w:rPr>
          <w:rFonts w:ascii="Times New Roman" w:hAnsi="Times New Roman" w:eastAsia="仿宋" w:cs="Times New Roman"/>
          <w:sz w:val="32"/>
          <w:szCs w:val="32"/>
        </w:rPr>
        <w:t>达到投资协议约定</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亩均税收</w:t>
      </w:r>
      <w:r>
        <w:rPr>
          <w:rFonts w:hint="eastAsia" w:ascii="Times New Roman" w:hAnsi="Times New Roman" w:eastAsia="仿宋" w:cs="Times New Roman"/>
          <w:sz w:val="32"/>
          <w:szCs w:val="32"/>
        </w:rPr>
        <w:t>指标的</w:t>
      </w:r>
      <w:r>
        <w:rPr>
          <w:rFonts w:ascii="Times New Roman" w:hAnsi="Times New Roman" w:eastAsia="仿宋" w:cs="Times New Roman"/>
          <w:sz w:val="32"/>
          <w:szCs w:val="32"/>
        </w:rPr>
        <w:t>企业</w:t>
      </w:r>
      <w:r>
        <w:rPr>
          <w:rFonts w:hint="eastAsia" w:ascii="Times New Roman" w:hAnsi="Times New Roman" w:eastAsia="仿宋" w:cs="Times New Roman"/>
          <w:sz w:val="32"/>
          <w:szCs w:val="32"/>
        </w:rPr>
        <w:t>；</w:t>
      </w:r>
      <w:r>
        <w:rPr>
          <w:rFonts w:ascii="Times New Roman" w:hAnsi="Times New Roman" w:eastAsia="仿宋" w:cs="Times New Roman"/>
          <w:sz w:val="32"/>
          <w:szCs w:val="32"/>
        </w:rPr>
        <w:t>若为投资“标准地”</w:t>
      </w:r>
      <w:r>
        <w:rPr>
          <w:rFonts w:hint="eastAsia" w:ascii="Times New Roman" w:hAnsi="Times New Roman" w:eastAsia="仿宋" w:cs="Times New Roman"/>
          <w:sz w:val="32"/>
          <w:szCs w:val="32"/>
        </w:rPr>
        <w:t>项目</w:t>
      </w:r>
      <w:r>
        <w:rPr>
          <w:rFonts w:ascii="Times New Roman" w:hAnsi="Times New Roman" w:eastAsia="仿宋" w:cs="Times New Roman"/>
          <w:sz w:val="32"/>
          <w:szCs w:val="32"/>
        </w:rPr>
        <w:t>的企业，土地出让合同和投资建设协议</w:t>
      </w:r>
      <w:r>
        <w:rPr>
          <w:rFonts w:hint="eastAsia" w:ascii="Times New Roman" w:hAnsi="Times New Roman" w:eastAsia="仿宋" w:cs="Times New Roman"/>
          <w:sz w:val="32"/>
          <w:szCs w:val="32"/>
        </w:rPr>
        <w:t>中</w:t>
      </w:r>
      <w:r>
        <w:rPr>
          <w:rFonts w:ascii="Times New Roman" w:hAnsi="Times New Roman" w:eastAsia="仿宋" w:cs="Times New Roman"/>
          <w:sz w:val="32"/>
          <w:szCs w:val="32"/>
        </w:rPr>
        <w:t>任何一项指标未达到约定标准</w:t>
      </w:r>
      <w:r>
        <w:rPr>
          <w:rFonts w:hint="eastAsia" w:ascii="Times New Roman" w:hAnsi="Times New Roman" w:eastAsia="仿宋" w:cs="Times New Roman"/>
          <w:sz w:val="32"/>
          <w:szCs w:val="32"/>
        </w:rPr>
        <w:t>的；</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（6）评价年度当年纳税信用等级为D的企业；</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（7）</w:t>
      </w:r>
      <w:r>
        <w:rPr>
          <w:rFonts w:ascii="Times New Roman" w:hAnsi="Times New Roman" w:eastAsia="仿宋" w:cs="Times New Roman"/>
          <w:sz w:val="32"/>
          <w:szCs w:val="32"/>
        </w:rPr>
        <w:t>不符合产业发展导向的企业。</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因</w:t>
      </w:r>
      <w:r>
        <w:rPr>
          <w:rFonts w:ascii="Times New Roman" w:hAnsi="Times New Roman" w:eastAsia="仿宋" w:cs="Times New Roman"/>
          <w:sz w:val="32"/>
          <w:szCs w:val="32"/>
        </w:rPr>
        <w:t>限档不列入A类</w:t>
      </w:r>
      <w:r>
        <w:rPr>
          <w:rFonts w:hint="eastAsia" w:ascii="Times New Roman" w:hAnsi="Times New Roman" w:eastAsia="仿宋" w:cs="Times New Roman"/>
          <w:sz w:val="32"/>
          <w:szCs w:val="32"/>
        </w:rPr>
        <w:t>的</w:t>
      </w:r>
      <w:r>
        <w:rPr>
          <w:rFonts w:ascii="Times New Roman" w:hAnsi="Times New Roman" w:eastAsia="仿宋" w:cs="Times New Roman"/>
          <w:sz w:val="32"/>
          <w:szCs w:val="32"/>
        </w:rPr>
        <w:t>企业</w:t>
      </w:r>
      <w:r>
        <w:rPr>
          <w:rFonts w:hint="eastAsia" w:ascii="Times New Roman" w:hAnsi="Times New Roman" w:eastAsia="仿宋" w:cs="Times New Roman"/>
          <w:sz w:val="32"/>
          <w:szCs w:val="32"/>
        </w:rPr>
        <w:t>按评价得分列入</w:t>
      </w:r>
      <w:r>
        <w:rPr>
          <w:rFonts w:ascii="Times New Roman" w:hAnsi="Times New Roman" w:eastAsia="仿宋" w:cs="Times New Roman"/>
          <w:sz w:val="32"/>
          <w:szCs w:val="32"/>
        </w:rPr>
        <w:t>B类等级</w:t>
      </w:r>
      <w:r>
        <w:rPr>
          <w:rFonts w:hint="eastAsia" w:ascii="Times New Roman" w:hAnsi="Times New Roman" w:eastAsia="仿宋" w:cs="Times New Roman"/>
          <w:sz w:val="32"/>
          <w:szCs w:val="32"/>
        </w:rPr>
        <w:t>中排序</w:t>
      </w:r>
      <w:r>
        <w:rPr>
          <w:rFonts w:ascii="Times New Roman" w:hAnsi="Times New Roman" w:eastAsia="仿宋" w:cs="Times New Roman"/>
          <w:sz w:val="32"/>
          <w:szCs w:val="32"/>
        </w:rPr>
        <w:t>，占用B类</w:t>
      </w:r>
      <w:r>
        <w:rPr>
          <w:rFonts w:hint="eastAsia" w:ascii="Times New Roman" w:hAnsi="Times New Roman" w:eastAsia="仿宋" w:cs="Times New Roman"/>
          <w:sz w:val="32"/>
          <w:szCs w:val="32"/>
        </w:rPr>
        <w:t>类别</w:t>
      </w:r>
      <w:r>
        <w:rPr>
          <w:rFonts w:ascii="Times New Roman" w:hAnsi="Times New Roman" w:eastAsia="仿宋" w:cs="Times New Roman"/>
          <w:sz w:val="32"/>
          <w:szCs w:val="32"/>
        </w:rPr>
        <w:t>比例。</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3、豁免</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符合下列条件之一不列入</w:t>
      </w:r>
      <w:r>
        <w:rPr>
          <w:rFonts w:ascii="Times New Roman" w:hAnsi="Times New Roman" w:eastAsia="仿宋" w:cs="Times New Roman"/>
          <w:sz w:val="32"/>
          <w:szCs w:val="32"/>
        </w:rPr>
        <w:t>D类</w:t>
      </w:r>
      <w:r>
        <w:rPr>
          <w:rFonts w:hint="eastAsia" w:ascii="Times New Roman" w:hAnsi="Times New Roman" w:eastAsia="仿宋" w:cs="Times New Roman"/>
          <w:sz w:val="32"/>
          <w:szCs w:val="32"/>
        </w:rPr>
        <w:t>：</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（1）有效期内的国家高新技术企业；</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（2）当年列入省重大产业项目和省技术改造重点项目的企业；</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（3）省级及以上（重点）企业研究院、高新技术研发中心、企业技术中心及产业创新服务综合体所在的企业；</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（4）获评政府质量奖企业；</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（5）农业龙头企业；</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（6）获评“品字标”品牌、国家知识产权示范企业。</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豁免不适用于合并评价的企业，</w:t>
      </w:r>
      <w:r>
        <w:rPr>
          <w:rFonts w:hint="eastAsia" w:ascii="Times New Roman" w:hAnsi="Times New Roman" w:eastAsia="仿宋" w:cs="Times New Roman"/>
          <w:sz w:val="32"/>
          <w:szCs w:val="32"/>
        </w:rPr>
        <w:t>因</w:t>
      </w:r>
      <w:r>
        <w:rPr>
          <w:rFonts w:ascii="Times New Roman" w:hAnsi="Times New Roman" w:eastAsia="仿宋" w:cs="Times New Roman"/>
          <w:sz w:val="32"/>
          <w:szCs w:val="32"/>
        </w:rPr>
        <w:t>豁免</w:t>
      </w:r>
      <w:r>
        <w:rPr>
          <w:rFonts w:hint="eastAsia" w:ascii="Times New Roman" w:hAnsi="Times New Roman" w:eastAsia="仿宋" w:cs="Times New Roman"/>
          <w:sz w:val="32"/>
          <w:szCs w:val="32"/>
        </w:rPr>
        <w:t>不列入</w:t>
      </w:r>
      <w:r>
        <w:rPr>
          <w:rFonts w:ascii="Times New Roman" w:hAnsi="Times New Roman" w:eastAsia="仿宋" w:cs="Times New Roman"/>
          <w:sz w:val="32"/>
          <w:szCs w:val="32"/>
        </w:rPr>
        <w:t>D类的企业</w:t>
      </w:r>
      <w:r>
        <w:rPr>
          <w:rFonts w:hint="eastAsia" w:ascii="Times New Roman" w:hAnsi="Times New Roman" w:eastAsia="仿宋" w:cs="Times New Roman"/>
          <w:sz w:val="32"/>
          <w:szCs w:val="32"/>
        </w:rPr>
        <w:t>列入C类等级中按评价得分排序，占用C类类别比例。</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4</w:t>
      </w:r>
      <w:r>
        <w:rPr>
          <w:rFonts w:ascii="Times New Roman" w:hAnsi="Times New Roman" w:eastAsia="仿宋" w:cs="Times New Roman"/>
          <w:sz w:val="32"/>
          <w:szCs w:val="32"/>
        </w:rPr>
        <w:t>、合并</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企业集团下属制造业企业（集团控股公司和全资子公司）要求合并评价的，由集团公司提出申请，经金东区深化“亩均论英雄”改革领导小组办公室（以下简称“区亩均办”）确认后，按集团公司合并会计报表口径进行合并评价。集团公司参股企业仍以纳税主体为单位进行评价。企业下属无独立法人资格的分公司（制造业）要求合并评价的，由企业总公司提出申请，经区亩均办确认后，进行合并评价。</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在同一产权所有人（共同产权所有人或集团公司）的同一块土地上，注册有多个工业企业（制造业）法人单位，且投资人之间存在夫妻或直系亲属关系（控股关系或同属一个集团公司控股），要求合并评价的，由企业提出申请，经所在乡镇街道审核同意的，经区亩均办确认后进行合并评价。</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被合并企业按照合并评价企业的评价等级享受相应政策。合并只适用于金东区企业之间，不适用于跨区企业间的合并。</w:t>
      </w:r>
    </w:p>
    <w:p>
      <w:pPr>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w:t>
      </w:r>
      <w:r>
        <w:rPr>
          <w:rFonts w:hint="eastAsia" w:ascii="Times New Roman" w:hAnsi="Times New Roman" w:eastAsia="黑体" w:cs="Times New Roman"/>
          <w:sz w:val="32"/>
          <w:szCs w:val="32"/>
          <w:lang w:val="en-US" w:eastAsia="zh-CN"/>
        </w:rPr>
        <w:t>5</w:t>
      </w:r>
      <w:r>
        <w:rPr>
          <w:rFonts w:hint="eastAsia" w:ascii="Times New Roman" w:hAnsi="Times New Roman" w:eastAsia="黑体" w:cs="Times New Roman"/>
          <w:sz w:val="32"/>
          <w:szCs w:val="32"/>
          <w:lang w:eastAsia="zh-CN"/>
        </w:rPr>
        <w:t>）</w:t>
      </w:r>
      <w:r>
        <w:rPr>
          <w:rFonts w:ascii="Times New Roman" w:hAnsi="Times New Roman" w:eastAsia="黑体" w:cs="Times New Roman"/>
          <w:sz w:val="32"/>
          <w:szCs w:val="32"/>
        </w:rPr>
        <w:t>数据审核流程及动态管理</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按照“谁主管、谁统计、谁负责”的原则，加强数据统计、核实和上报等工作，确保数据准确。区统计局负责核实规模以上企业综合能耗、工业增加值、研究与试验发展经费支出、年平均职工人数，提供年度行业增加值率、规上企业名单及其主营业务行业代码、首次升规企业名单等数据；区税务局负责提供企业缴纳税收、销售收入</w:t>
      </w:r>
      <w:r>
        <w:rPr>
          <w:rFonts w:hint="eastAsia" w:ascii="Times New Roman" w:hAnsi="Times New Roman" w:eastAsia="仿宋" w:cs="Times New Roman"/>
          <w:sz w:val="32"/>
          <w:szCs w:val="32"/>
        </w:rPr>
        <w:t>、纳税信用等级</w:t>
      </w:r>
      <w:r>
        <w:rPr>
          <w:rFonts w:ascii="Times New Roman" w:hAnsi="Times New Roman" w:eastAsia="仿宋" w:cs="Times New Roman"/>
          <w:sz w:val="32"/>
          <w:szCs w:val="32"/>
        </w:rPr>
        <w:t>等数据；区金融办提供挂牌上市企业名单；区自然资源和规划分局负责提供企业用地数据；区生态环境分局负责提供企业排放数据、环境违法行为当年受行政处罚的企业名单、评价年度发生重大环境责任事故的企业名单；区供电局负责提供企业用电量数据；区市场监管局负责提供企业基础信息、评价年度内发生重大食品安全事故的企业名单、获得政府质量奖企业名单、</w:t>
      </w:r>
      <w:r>
        <w:rPr>
          <w:rFonts w:hint="eastAsia" w:ascii="Times New Roman" w:hAnsi="Times New Roman" w:eastAsia="仿宋" w:cs="Times New Roman"/>
          <w:sz w:val="32"/>
          <w:szCs w:val="32"/>
        </w:rPr>
        <w:t>“品字标”品牌、国家知识产权示范企业</w:t>
      </w:r>
      <w:r>
        <w:rPr>
          <w:rFonts w:ascii="Times New Roman" w:hAnsi="Times New Roman" w:eastAsia="仿宋" w:cs="Times New Roman"/>
          <w:sz w:val="32"/>
          <w:szCs w:val="32"/>
        </w:rPr>
        <w:t>名单；区发改局提供评价年度当年列入省重大产业项目清单，提供“标准地”投产满一年的企业名单及投资建设协议约定指标的履约情况；区科技局负责提供评价年度末仍在有效期内的国家高新技术企业名单，市级及以上企业研发（技术）中心、重点企业研究院、重点实验室所在企业清单，省级及以上（重点）企业研究院、工程技术研究中心、制造业创新中心、高新技术研发中心、企业技术中心及产业创新服务综合体等创新平台或载体清单；区应急管理局提供评价年度内发生生产安全事故的企业；区农业农村局提供评价年度末仍在有效期内的农业龙头企业名单；区委组织部提供拥有“千人计划”、“万人计划”等高层次人才的企业名单；区民政局和公安分局分别核实合并企业中股东之间是否存在夫妻关系和直系亲属关系；区经商局负责对区有关部门提供的各项指标数据进行汇总和评价分类。区有关部门于评价年度4月底前将上一年度（即评价年度）相关数据提供给区经商局。涉及其它调整事项的由区有关部门认定和提供。企业不按时登录评价系统确认、上报评价数据，导致评价结果差错引起的后果，由企业自行承担。</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根据企业每年综合评价结果，对A、B、C、D类企业分类实行动态管理，原则上在每年6月底前按照企业上一年度（即评价年度）数据进行评价，并按评价得分调整分类。强化公开公示，企业综合评价结果确定前应经区政府审定，并公开公示。</w:t>
      </w:r>
    </w:p>
    <w:p>
      <w:pPr>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w:t>
      </w:r>
      <w:r>
        <w:rPr>
          <w:rFonts w:hint="eastAsia" w:ascii="Times New Roman" w:hAnsi="Times New Roman" w:eastAsia="黑体" w:cs="Times New Roman"/>
          <w:sz w:val="32"/>
          <w:szCs w:val="32"/>
          <w:lang w:val="en-US" w:eastAsia="zh-CN"/>
        </w:rPr>
        <w:t>6</w:t>
      </w:r>
      <w:r>
        <w:rPr>
          <w:rFonts w:hint="eastAsia" w:ascii="Times New Roman" w:hAnsi="Times New Roman" w:eastAsia="黑体" w:cs="Times New Roman"/>
          <w:sz w:val="32"/>
          <w:szCs w:val="32"/>
          <w:lang w:eastAsia="zh-CN"/>
        </w:rPr>
        <w:t>）</w:t>
      </w:r>
      <w:r>
        <w:rPr>
          <w:rFonts w:ascii="Times New Roman" w:hAnsi="Times New Roman" w:eastAsia="黑体" w:cs="Times New Roman"/>
          <w:sz w:val="32"/>
          <w:szCs w:val="32"/>
        </w:rPr>
        <w:t>结果应用</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对综合评价确定的A、B、C、D类企业，分别实施用地、用电、用能、用水、信贷资金等资源要素差别化配置，在财政扶持政策、税收减免、评优、推荐先进、子女入学等方面予以应用，具体由区有关部门组织实施。</w:t>
      </w:r>
    </w:p>
    <w:p>
      <w:pPr>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（一）A类企业</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1.优先进行项目核准备案，优先保障用地需求和申报省重点产业项目。</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2.支持企业实施兼并重组。</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3.优先保障用电、用水和新增用能需求。</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4.优先保障建设项目新增排污总量指标，优先支持企业排污权指标质押贷款。</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5.2021年12月31日前，按100%减免城镇土地使用税，对纳税主体与土地使用权证名称不一致的，不予减征。政策期满，按有关规定另行确定减免比例。</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6.重点保障信贷需求，金融机构在企业信用评级、贷款授信和利率优惠中给予优先支持，在出口信用保险政策享受方面给予倾斜。</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对年薪30万元（含）以上的人才，按规定缴纳税收后，按照其年度工资薪金30（含）—40万元、40（含）—50万元、50万元（含）以上三个档次，在不超过个人贡献度的前提下，分别按年度工资薪金2%、3%、4%比例给予奖励。</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8.优先申报国家、省政策扶持项目，以及市政府质量奖和各级各类名牌产品和商标。</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9.优先推荐企业负责人参加各级各类先进评选，优先组织其参加政府组织的学习考察和招商引资等活动。</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10.各类财政扶持政策按100%比率享受。</w:t>
      </w:r>
    </w:p>
    <w:p>
      <w:pPr>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（二）B类企业</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1.鼓励企业在符合城市、土地利用总体规划和产业规划的前提下进行土地“二次开发”，但不得用于房地产开发。</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2.充分利用现有土地、厂房、设备资源实施“零增地”技改，对内涵提升类技术改造、研究开发项目予以优先立项。</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3.在用地、用水、用能、融资等方面给予支持。</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4.实施有序用电管理时给予适当支持。</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5.优先参与用能指标和污染物排放总量指标交易。</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6.2021年12月31日前，按80%减免城镇土地使用税。对纳税主体与土地使用权证名称不一致的，不予减征。政策期满，按有关规定另行确定减免比例。</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对年薪30万元（含）以上的人才，按规定缴纳税收后，按照其年度工资薪金30（含）—40万元、40（含）—50万元、50万元（含）以上三个档次，在不超过个人贡献度的前提下，分别按年度工资薪金1.6%、2.4%、3.2%比例奖励。</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8.各类财政扶持政策按95%比率享受。省级及以上专项资金分配,以及省级及以上文件明确要求地方配套资金的,淘汰落后、环保督察整改等涉及的补偿性资金、分布式光伏补助等与工业性生产经营活动不相关的补助资金，均不纳入差别化政策实施范围。</w:t>
      </w:r>
    </w:p>
    <w:p>
      <w:pPr>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（三）C类企业</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1.除技术改造以外，原则上不得增加用能和污染物排放总量指标。</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2.列为有序用电管理限电对象。</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3.2021年12月31日前，城镇土地使用税不予减免。</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4.从严控制信用评级、贷款投放，以及财政应急周转资金使用政策。</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各类财政扶持政策按80%比率享受。省级及以上专项资金分配,以及省级及以上文件明确要求地方配套资金的,淘汰落后、环保督察整改等涉及的补偿性资金、分布式光伏补助等与工业性生产经营活动不相关的补助资金，均不纳入差别化政策实施范围。</w:t>
      </w:r>
    </w:p>
    <w:p>
      <w:pPr>
        <w:ind w:firstLine="640" w:firstLineChars="200"/>
        <w:rPr>
          <w:rFonts w:ascii="Times New Roman" w:hAnsi="Times New Roman" w:eastAsia="仿宋" w:cs="Times New Roman"/>
          <w:sz w:val="32"/>
          <w:szCs w:val="32"/>
        </w:rPr>
      </w:pPr>
      <w:r>
        <w:rPr>
          <w:rFonts w:ascii="Times New Roman" w:hAnsi="Times New Roman" w:eastAsia="楷体" w:cs="Times New Roman"/>
          <w:sz w:val="32"/>
          <w:szCs w:val="32"/>
        </w:rPr>
        <w:t>（四）D类企业</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实施差别化电价，按每千瓦时提高0.2元执行；连续2年被评为D类的，每千瓦时提高0.3元。若承租企业无用电户号的，对所在地块上的出租企业（评价为非D类）实行差别化电价，按每千瓦时提高0.1元执行，同一地块上的承租企业连续2年被评为D类的，则对出租企业按每千瓦时提高0.15元执行。</w:t>
      </w:r>
      <w:r>
        <w:rPr>
          <w:rFonts w:hint="eastAsia" w:ascii="Times New Roman" w:hAnsi="Times New Roman" w:eastAsia="仿宋" w:cs="Times New Roman"/>
          <w:sz w:val="32"/>
          <w:szCs w:val="32"/>
        </w:rPr>
        <w:t>在同一宗地上的所有用电户号都纳入实施差别化电价。</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实施差别化水价，供水价格按现行标准每立方米提高1元；连续2年被评为D类的，每立方米提高2元。若承租企业无用水户号的，对地块上的出租企业（评价为非D类）实行差别化水价，按每立方米提高0.5元执行，同一地块上的承租企业连续2年被评为D类的，则对出租企业按每立方米提高1元执行。</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3.2021年12月31日前，城镇土地使用税不予减免。</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w:t>
      </w:r>
      <w:r>
        <w:rPr>
          <w:rFonts w:hint="eastAsia" w:ascii="Times New Roman" w:hAnsi="Times New Roman" w:eastAsia="仿宋" w:cs="Times New Roman"/>
          <w:sz w:val="32"/>
          <w:szCs w:val="32"/>
        </w:rPr>
        <w:t>.</w:t>
      </w:r>
      <w:r>
        <w:rPr>
          <w:rFonts w:ascii="Times New Roman" w:hAnsi="Times New Roman" w:eastAsia="仿宋" w:cs="Times New Roman"/>
          <w:sz w:val="32"/>
          <w:szCs w:val="32"/>
        </w:rPr>
        <w:t>不得享受财政应急周转资金使用政策。</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w:t>
      </w:r>
      <w:r>
        <w:rPr>
          <w:rFonts w:hint="eastAsia" w:ascii="Times New Roman" w:hAnsi="Times New Roman" w:eastAsia="仿宋" w:cs="Times New Roman"/>
          <w:sz w:val="32"/>
          <w:szCs w:val="32"/>
        </w:rPr>
        <w:t>.</w:t>
      </w:r>
      <w:r>
        <w:rPr>
          <w:rFonts w:ascii="Times New Roman" w:hAnsi="Times New Roman" w:eastAsia="仿宋" w:cs="Times New Roman"/>
          <w:sz w:val="32"/>
          <w:szCs w:val="32"/>
        </w:rPr>
        <w:t>原则上不得享受省以下其他各类税费优惠政策（社会保险费除外）和财政扶持政策。省级及以上专项资金分配,以及省级及以上文件明确要求地方配套资金的,淘汰落后、环保督察整改等涉及的补偿性资金、分布式光伏补助等与工业性生产经营活动不相关的补助资金，均不纳入差别化政策实施范围。</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w:t>
      </w:r>
      <w:r>
        <w:rPr>
          <w:rFonts w:hint="eastAsia" w:ascii="Times New Roman" w:hAnsi="Times New Roman" w:eastAsia="仿宋" w:cs="Times New Roman"/>
          <w:sz w:val="32"/>
          <w:szCs w:val="32"/>
        </w:rPr>
        <w:t>.</w:t>
      </w:r>
      <w:r>
        <w:rPr>
          <w:rFonts w:ascii="Times New Roman" w:hAnsi="Times New Roman" w:eastAsia="仿宋" w:cs="Times New Roman"/>
          <w:sz w:val="32"/>
          <w:szCs w:val="32"/>
        </w:rPr>
        <w:t>列为有序用电和节能管理首先限电对象，不得参与电力直接交易试点。</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w:t>
      </w:r>
      <w:r>
        <w:rPr>
          <w:rFonts w:hint="eastAsia" w:ascii="Times New Roman" w:hAnsi="Times New Roman" w:eastAsia="仿宋" w:cs="Times New Roman"/>
          <w:sz w:val="32"/>
          <w:szCs w:val="32"/>
        </w:rPr>
        <w:t>.</w:t>
      </w:r>
      <w:r>
        <w:rPr>
          <w:rFonts w:ascii="Times New Roman" w:hAnsi="Times New Roman" w:eastAsia="仿宋" w:cs="Times New Roman"/>
          <w:sz w:val="32"/>
          <w:szCs w:val="32"/>
        </w:rPr>
        <w:t>鼓励D类企业与优质企业兼并重组，或主动关停退出。对于主动关停退出的企业，给予适当补偿和腾出用地、排污、用能指标奖励。</w:t>
      </w:r>
    </w:p>
    <w:p>
      <w:pPr>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w:t>
      </w:r>
      <w:r>
        <w:rPr>
          <w:rFonts w:hint="eastAsia" w:ascii="Times New Roman" w:hAnsi="Times New Roman" w:eastAsia="黑体" w:cs="Times New Roman"/>
          <w:sz w:val="32"/>
          <w:szCs w:val="32"/>
          <w:lang w:val="en-US" w:eastAsia="zh-CN"/>
        </w:rPr>
        <w:t>7</w:t>
      </w:r>
      <w:r>
        <w:rPr>
          <w:rFonts w:hint="eastAsia" w:ascii="Times New Roman" w:hAnsi="Times New Roman" w:eastAsia="黑体" w:cs="Times New Roman"/>
          <w:sz w:val="32"/>
          <w:szCs w:val="32"/>
          <w:lang w:eastAsia="zh-CN"/>
        </w:rPr>
        <w:t>）</w:t>
      </w:r>
      <w:r>
        <w:rPr>
          <w:rFonts w:ascii="Times New Roman" w:hAnsi="Times New Roman" w:eastAsia="黑体" w:cs="Times New Roman"/>
          <w:sz w:val="32"/>
          <w:szCs w:val="32"/>
        </w:rPr>
        <w:t>豁免差别化情况</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w:t>
      </w:r>
      <w:r>
        <w:rPr>
          <w:rFonts w:hint="eastAsia" w:ascii="Times New Roman" w:hAnsi="Times New Roman" w:eastAsia="仿宋" w:cs="Times New Roman"/>
          <w:sz w:val="32"/>
          <w:szCs w:val="32"/>
        </w:rPr>
        <w:t>.</w:t>
      </w:r>
      <w:r>
        <w:rPr>
          <w:rFonts w:ascii="Times New Roman" w:hAnsi="Times New Roman" w:eastAsia="仿宋" w:cs="Times New Roman"/>
          <w:sz w:val="32"/>
          <w:szCs w:val="32"/>
        </w:rPr>
        <w:t>有对外出租的企业业主名下地块上所有的工业企业，其亩均税收合并计算后达到全区评价年度所有企业亩均税收平均值</w:t>
      </w:r>
      <w:r>
        <w:rPr>
          <w:rFonts w:hint="eastAsia" w:ascii="Times New Roman" w:hAnsi="Times New Roman" w:eastAsia="仿宋" w:cs="Times New Roman"/>
          <w:sz w:val="32"/>
          <w:szCs w:val="32"/>
        </w:rPr>
        <w:t>（含）</w:t>
      </w:r>
      <w:r>
        <w:rPr>
          <w:rFonts w:ascii="Times New Roman" w:hAnsi="Times New Roman" w:eastAsia="仿宋" w:cs="Times New Roman"/>
          <w:sz w:val="32"/>
          <w:szCs w:val="32"/>
        </w:rPr>
        <w:t>以上的，依申请可不执行差别化水电价政策。合并计算亩均税收企业认定标准：</w:t>
      </w:r>
      <w:r>
        <w:rPr>
          <w:rFonts w:hint="eastAsia" w:ascii="宋体" w:hAnsi="宋体" w:eastAsia="宋体" w:cs="宋体"/>
          <w:sz w:val="32"/>
          <w:szCs w:val="32"/>
        </w:rPr>
        <w:t>①</w:t>
      </w:r>
      <w:r>
        <w:rPr>
          <w:rFonts w:ascii="Times New Roman" w:hAnsi="Times New Roman" w:eastAsia="仿宋" w:cs="Times New Roman"/>
          <w:sz w:val="32"/>
          <w:szCs w:val="32"/>
        </w:rPr>
        <w:t>存在合法的租赁关系，租赁合同、租金发票等要素齐全，在评价启动核减土地面积阶段已进行系统申报，经审核后进行面积调整的；</w:t>
      </w:r>
      <w:r>
        <w:rPr>
          <w:rFonts w:hint="eastAsia" w:ascii="宋体" w:hAnsi="宋体" w:eastAsia="宋体" w:cs="宋体"/>
          <w:sz w:val="32"/>
          <w:szCs w:val="32"/>
        </w:rPr>
        <w:t>②</w:t>
      </w:r>
      <w:r>
        <w:rPr>
          <w:rFonts w:ascii="Times New Roman" w:hAnsi="Times New Roman" w:eastAsia="仿宋" w:cs="Times New Roman"/>
          <w:sz w:val="32"/>
          <w:szCs w:val="32"/>
        </w:rPr>
        <w:t>承租方企业不存在多处用地情况（包括已经超过建设期的自有土地、承租多个企业出租的生产用房）；</w:t>
      </w:r>
      <w:r>
        <w:rPr>
          <w:rFonts w:hint="eastAsia" w:ascii="宋体" w:hAnsi="宋体" w:eastAsia="宋体" w:cs="宋体"/>
          <w:sz w:val="32"/>
          <w:szCs w:val="32"/>
        </w:rPr>
        <w:t>③</w:t>
      </w:r>
      <w:r>
        <w:rPr>
          <w:rFonts w:ascii="Times New Roman" w:hAnsi="Times New Roman" w:eastAsia="仿宋" w:cs="Times New Roman"/>
          <w:sz w:val="32"/>
          <w:szCs w:val="32"/>
        </w:rPr>
        <w:t>评价年度12月31日前，该承租企业的注册经营地在出租企业工业用地范围内，且税收在金东区缴纳（在出让合同约定建设期内的首次供地的企业除外）；</w:t>
      </w:r>
      <w:r>
        <w:rPr>
          <w:rFonts w:hint="eastAsia" w:ascii="宋体" w:hAnsi="宋体" w:eastAsia="宋体" w:cs="宋体"/>
          <w:sz w:val="32"/>
          <w:szCs w:val="32"/>
        </w:rPr>
        <w:t>④</w:t>
      </w:r>
      <w:r>
        <w:rPr>
          <w:rFonts w:ascii="Times New Roman" w:hAnsi="Times New Roman" w:eastAsia="仿宋" w:cs="Times New Roman"/>
          <w:sz w:val="32"/>
          <w:szCs w:val="32"/>
        </w:rPr>
        <w:t>市场监管部门登记的主营业务行业分类必须为制造业，或经核实后属于制造业的。</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w:t>
      </w:r>
      <w:r>
        <w:rPr>
          <w:rFonts w:hint="eastAsia" w:ascii="Times New Roman" w:hAnsi="Times New Roman" w:eastAsia="仿宋" w:cs="Times New Roman"/>
          <w:sz w:val="32"/>
          <w:szCs w:val="32"/>
        </w:rPr>
        <w:t>.</w:t>
      </w:r>
      <w:r>
        <w:rPr>
          <w:rFonts w:ascii="Times New Roman" w:hAnsi="Times New Roman" w:eastAsia="仿宋" w:cs="Times New Roman"/>
          <w:sz w:val="32"/>
          <w:szCs w:val="32"/>
        </w:rPr>
        <w:t>评价年度及前一年度“小升规”的企业，依申请可暂缓实施资源要素差别化价格政策。</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3.D类企业“小升规”的，依申请从“小升规”的次月可停止执行差别化水电价政策。</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4.</w:t>
      </w:r>
      <w:r>
        <w:rPr>
          <w:rFonts w:ascii="Times New Roman" w:hAnsi="Times New Roman" w:eastAsia="仿宋" w:cs="Times New Roman"/>
          <w:sz w:val="32"/>
          <w:szCs w:val="32"/>
        </w:rPr>
        <w:t>D类企业土地使用权已被司法拍卖，自司法裁定书下达之日起，依申请可停止执行差别化水电价政策。超过1年未完成土地过户手续的，继续执行差别化水电价政策。</w:t>
      </w:r>
    </w:p>
    <w:p>
      <w:pPr>
        <w:ind w:firstLine="640" w:firstLineChars="200"/>
        <w:rPr>
          <w:rFonts w:hint="default" w:ascii="仿宋_GB2312" w:eastAsia="仿宋_GB2312"/>
          <w:sz w:val="32"/>
          <w:szCs w:val="32"/>
          <w:lang w:val="en-US" w:eastAsia="zh-CN"/>
        </w:rPr>
      </w:pPr>
      <w:r>
        <w:rPr>
          <w:rFonts w:hint="eastAsia" w:ascii="Times New Roman" w:hAnsi="Times New Roman" w:eastAsia="仿宋" w:cs="Times New Roman"/>
          <w:sz w:val="32"/>
          <w:szCs w:val="32"/>
        </w:rPr>
        <w:t>5.</w:t>
      </w:r>
      <w:r>
        <w:rPr>
          <w:rFonts w:ascii="Times New Roman" w:hAnsi="Times New Roman" w:eastAsia="仿宋" w:cs="Times New Roman"/>
          <w:sz w:val="32"/>
          <w:szCs w:val="32"/>
        </w:rPr>
        <w:t>D类企业土地使用权已进行市场化交易转让，自转让过户完成后，依申请可停止执行差别化水电价政策。</w:t>
      </w:r>
    </w:p>
    <w:p>
      <w:pPr>
        <w:spacing w:line="600" w:lineRule="exact"/>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四、起草过程</w:t>
      </w:r>
    </w:p>
    <w:p>
      <w:pPr>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1、调研论证情况。文件</w:t>
      </w:r>
      <w:r>
        <w:rPr>
          <w:rFonts w:hint="eastAsia" w:ascii="仿宋_GB2312" w:eastAsia="仿宋_GB2312"/>
          <w:sz w:val="32"/>
          <w:szCs w:val="32"/>
          <w:lang w:val="en-US" w:eastAsia="zh-CN"/>
        </w:rPr>
        <w:t>2021</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w:t>
      </w:r>
      <w:r>
        <w:rPr>
          <w:rFonts w:hint="eastAsia" w:ascii="仿宋_GB2312" w:eastAsia="仿宋_GB2312"/>
          <w:sz w:val="32"/>
          <w:szCs w:val="32"/>
        </w:rPr>
        <w:t>日由</w:t>
      </w:r>
      <w:r>
        <w:rPr>
          <w:rFonts w:hint="eastAsia" w:ascii="仿宋_GB2312" w:eastAsia="仿宋_GB2312"/>
          <w:sz w:val="32"/>
          <w:szCs w:val="32"/>
          <w:lang w:eastAsia="zh-CN"/>
        </w:rPr>
        <w:t>金华市金东区经济商务局</w:t>
      </w:r>
      <w:r>
        <w:rPr>
          <w:rFonts w:hint="eastAsia" w:ascii="仿宋_GB2312" w:eastAsia="仿宋_GB2312"/>
          <w:sz w:val="32"/>
          <w:szCs w:val="32"/>
        </w:rPr>
        <w:t>进行必要性、可行性等内容的调研论证</w:t>
      </w:r>
      <w:r>
        <w:rPr>
          <w:rFonts w:hint="eastAsia" w:ascii="仿宋_GB2312" w:eastAsia="仿宋_GB2312"/>
          <w:sz w:val="32"/>
          <w:szCs w:val="32"/>
          <w:lang w:eastAsia="zh-CN"/>
        </w:rPr>
        <w:t>。</w:t>
      </w:r>
      <w:r>
        <w:rPr>
          <w:rFonts w:hint="eastAsia" w:ascii="仿宋_GB2312" w:eastAsia="仿宋_GB2312"/>
          <w:sz w:val="32"/>
          <w:szCs w:val="32"/>
          <w:lang w:val="en-US" w:eastAsia="zh-CN"/>
        </w:rPr>
        <w:t>2021</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2</w:t>
      </w:r>
      <w:r>
        <w:rPr>
          <w:rFonts w:hint="eastAsia" w:ascii="仿宋_GB2312" w:eastAsia="仿宋_GB2312"/>
          <w:sz w:val="32"/>
          <w:szCs w:val="32"/>
        </w:rPr>
        <w:t>日征求相关部门意见，收到意见</w:t>
      </w:r>
      <w:r>
        <w:rPr>
          <w:rFonts w:hint="eastAsia" w:ascii="仿宋_GB2312" w:eastAsia="仿宋_GB2312"/>
          <w:sz w:val="32"/>
          <w:szCs w:val="32"/>
          <w:lang w:val="en-US" w:eastAsia="zh-CN"/>
        </w:rPr>
        <w:t>3</w:t>
      </w:r>
      <w:r>
        <w:rPr>
          <w:rFonts w:hint="eastAsia" w:ascii="仿宋_GB2312" w:eastAsia="仿宋_GB2312"/>
          <w:sz w:val="32"/>
          <w:szCs w:val="32"/>
        </w:rPr>
        <w:t>条，采纳</w:t>
      </w:r>
      <w:r>
        <w:rPr>
          <w:rFonts w:hint="eastAsia" w:ascii="仿宋_GB2312" w:eastAsia="仿宋_GB2312"/>
          <w:sz w:val="32"/>
          <w:szCs w:val="32"/>
          <w:lang w:val="en-US" w:eastAsia="zh-CN"/>
        </w:rPr>
        <w:t>3</w:t>
      </w:r>
      <w:r>
        <w:rPr>
          <w:rFonts w:hint="eastAsia" w:ascii="仿宋_GB2312" w:eastAsia="仿宋_GB2312"/>
          <w:sz w:val="32"/>
          <w:szCs w:val="32"/>
        </w:rPr>
        <w:t>条，不采纳</w:t>
      </w:r>
      <w:r>
        <w:rPr>
          <w:rFonts w:hint="eastAsia" w:ascii="仿宋_GB2312" w:eastAsia="仿宋_GB2312"/>
          <w:sz w:val="32"/>
          <w:szCs w:val="32"/>
          <w:lang w:val="en-US" w:eastAsia="zh-CN"/>
        </w:rPr>
        <w:t>0</w:t>
      </w:r>
      <w:r>
        <w:rPr>
          <w:rFonts w:hint="eastAsia" w:ascii="仿宋_GB2312" w:eastAsia="仿宋_GB2312"/>
          <w:sz w:val="32"/>
          <w:szCs w:val="32"/>
        </w:rPr>
        <w:t>条</w:t>
      </w:r>
      <w:r>
        <w:rPr>
          <w:rFonts w:hint="eastAsia" w:ascii="仿宋_GB2312" w:eastAsia="仿宋_GB2312"/>
          <w:sz w:val="32"/>
          <w:szCs w:val="32"/>
          <w:lang w:eastAsia="zh-CN"/>
        </w:rPr>
        <w:t>。</w:t>
      </w:r>
      <w:r>
        <w:rPr>
          <w:rFonts w:hint="eastAsia" w:ascii="仿宋_GB2312" w:eastAsia="仿宋_GB2312"/>
          <w:sz w:val="32"/>
          <w:szCs w:val="32"/>
        </w:rPr>
        <w:t>（</w:t>
      </w:r>
      <w:r>
        <w:rPr>
          <w:rFonts w:hint="eastAsia" w:ascii="仿宋_GB2312" w:eastAsia="仿宋_GB2312"/>
          <w:sz w:val="32"/>
          <w:szCs w:val="32"/>
          <w:lang w:eastAsia="zh-CN"/>
        </w:rPr>
        <w:t>增加国家知识产权示范企业加分，增加省级孵化器（众创空间）加分，评价年度纳税信用等级为</w:t>
      </w:r>
      <w:r>
        <w:rPr>
          <w:rFonts w:hint="eastAsia" w:ascii="仿宋_GB2312" w:eastAsia="仿宋_GB2312"/>
          <w:sz w:val="32"/>
          <w:szCs w:val="32"/>
          <w:lang w:val="en-US" w:eastAsia="zh-CN"/>
        </w:rPr>
        <w:t>D的不得列入A类</w:t>
      </w:r>
      <w:r>
        <w:rPr>
          <w:rFonts w:hint="eastAsia" w:ascii="仿宋_GB2312" w:eastAsia="仿宋_GB2312"/>
          <w:sz w:val="32"/>
          <w:szCs w:val="32"/>
        </w:rPr>
        <w:t xml:space="preserve">）。 </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2、征求意见情况。</w:t>
      </w:r>
      <w:r>
        <w:rPr>
          <w:rFonts w:hint="eastAsia" w:ascii="仿宋_GB2312" w:eastAsia="仿宋_GB2312"/>
          <w:sz w:val="32"/>
          <w:szCs w:val="32"/>
          <w:lang w:val="en-US" w:eastAsia="zh-CN"/>
        </w:rPr>
        <w:t>2021</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9</w:t>
      </w:r>
      <w:r>
        <w:rPr>
          <w:rFonts w:hint="eastAsia" w:ascii="仿宋_GB2312" w:eastAsia="仿宋_GB2312"/>
          <w:sz w:val="32"/>
          <w:szCs w:val="32"/>
        </w:rPr>
        <w:t>日在区政府门户网站公开征求意见，收到意见</w:t>
      </w:r>
      <w:r>
        <w:rPr>
          <w:rFonts w:hint="eastAsia" w:ascii="仿宋_GB2312" w:eastAsia="仿宋_GB2312"/>
          <w:sz w:val="32"/>
          <w:szCs w:val="32"/>
          <w:lang w:val="en-US" w:eastAsia="zh-CN"/>
        </w:rPr>
        <w:t>0</w:t>
      </w:r>
      <w:r>
        <w:rPr>
          <w:rFonts w:hint="eastAsia" w:ascii="仿宋_GB2312" w:eastAsia="仿宋_GB2312"/>
          <w:sz w:val="32"/>
          <w:szCs w:val="32"/>
        </w:rPr>
        <w:t>条，采纳</w:t>
      </w:r>
      <w:r>
        <w:rPr>
          <w:rFonts w:hint="eastAsia" w:ascii="仿宋_GB2312" w:eastAsia="仿宋_GB2312"/>
          <w:sz w:val="32"/>
          <w:szCs w:val="32"/>
          <w:lang w:val="en-US" w:eastAsia="zh-CN"/>
        </w:rPr>
        <w:t>0</w:t>
      </w:r>
      <w:r>
        <w:rPr>
          <w:rFonts w:hint="eastAsia" w:ascii="仿宋_GB2312" w:eastAsia="仿宋_GB2312"/>
          <w:sz w:val="32"/>
          <w:szCs w:val="32"/>
        </w:rPr>
        <w:t>条，不采纳</w:t>
      </w:r>
      <w:r>
        <w:rPr>
          <w:rFonts w:hint="eastAsia" w:ascii="仿宋_GB2312" w:eastAsia="仿宋_GB2312"/>
          <w:sz w:val="32"/>
          <w:szCs w:val="32"/>
          <w:lang w:val="en-US" w:eastAsia="zh-CN"/>
        </w:rPr>
        <w:t>0</w:t>
      </w:r>
      <w:r>
        <w:rPr>
          <w:rFonts w:hint="eastAsia" w:ascii="仿宋_GB2312" w:eastAsia="仿宋_GB2312"/>
          <w:sz w:val="32"/>
          <w:szCs w:val="32"/>
        </w:rPr>
        <w:t>条。</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3、本部门对文件的法制审查情况</w:t>
      </w:r>
      <w:bookmarkStart w:id="0" w:name="_GoBack"/>
      <w:bookmarkEnd w:id="0"/>
      <w:r>
        <w:rPr>
          <w:rFonts w:hint="eastAsia" w:ascii="仿宋_GB2312" w:eastAsia="仿宋_GB2312"/>
          <w:sz w:val="32"/>
          <w:szCs w:val="32"/>
        </w:rPr>
        <w:t>。文件</w:t>
      </w:r>
      <w:r>
        <w:rPr>
          <w:rFonts w:hint="eastAsia" w:ascii="仿宋_GB2312" w:eastAsia="仿宋_GB2312"/>
          <w:sz w:val="32"/>
          <w:szCs w:val="32"/>
          <w:lang w:val="en-US" w:eastAsia="zh-CN"/>
        </w:rPr>
        <w:t>2021</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21</w:t>
      </w:r>
      <w:r>
        <w:rPr>
          <w:rFonts w:hint="eastAsia" w:ascii="仿宋_GB2312" w:eastAsia="仿宋_GB2312"/>
          <w:sz w:val="32"/>
          <w:szCs w:val="32"/>
        </w:rPr>
        <w:t>日已经由本机关法制部门审核（法制部门审核意见附后）。</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4、法律顾问的法律审查意见。</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5、文件的施行日期是</w:t>
      </w:r>
      <w:r>
        <w:rPr>
          <w:rFonts w:hint="eastAsia" w:ascii="仿宋_GB2312" w:eastAsia="仿宋_GB2312"/>
          <w:sz w:val="32"/>
          <w:szCs w:val="32"/>
          <w:lang w:eastAsia="zh-CN"/>
        </w:rPr>
        <w:t>自公布之日起</w:t>
      </w:r>
      <w:r>
        <w:rPr>
          <w:rFonts w:hint="eastAsia" w:ascii="仿宋_GB2312" w:eastAsia="仿宋_GB2312"/>
          <w:sz w:val="32"/>
          <w:szCs w:val="32"/>
        </w:rPr>
        <w:t>。</w:t>
      </w:r>
    </w:p>
    <w:p>
      <w:pPr>
        <w:spacing w:line="360" w:lineRule="exact"/>
        <w:ind w:firstLine="640" w:firstLineChars="200"/>
        <w:jc w:val="center"/>
        <w:rPr>
          <w:rFonts w:hint="eastAsia" w:ascii="仿宋_GB2312" w:eastAsia="仿宋_GB2312"/>
          <w:sz w:val="32"/>
          <w:szCs w:val="32"/>
        </w:rPr>
      </w:pPr>
      <w:r>
        <w:rPr>
          <w:rFonts w:hint="eastAsia" w:ascii="仿宋_GB2312" w:eastAsia="仿宋_GB2312"/>
          <w:sz w:val="32"/>
          <w:szCs w:val="32"/>
        </w:rPr>
        <w:t xml:space="preserve">         </w:t>
      </w:r>
    </w:p>
    <w:p>
      <w:pPr>
        <w:spacing w:line="360" w:lineRule="exact"/>
        <w:ind w:firstLine="640" w:firstLineChars="200"/>
        <w:jc w:val="center"/>
        <w:rPr>
          <w:rFonts w:hint="eastAsia" w:ascii="仿宋_GB2312" w:eastAsia="仿宋_GB2312"/>
          <w:sz w:val="32"/>
          <w:szCs w:val="32"/>
          <w:lang w:eastAsia="zh-CN"/>
        </w:rPr>
      </w:pPr>
      <w:r>
        <w:rPr>
          <w:rFonts w:hint="eastAsia" w:ascii="仿宋_GB2312" w:eastAsia="仿宋_GB2312"/>
          <w:sz w:val="32"/>
          <w:szCs w:val="32"/>
        </w:rPr>
        <w:t xml:space="preserve">                起草部门：</w:t>
      </w:r>
      <w:r>
        <w:rPr>
          <w:rFonts w:hint="eastAsia" w:ascii="仿宋_GB2312" w:eastAsia="仿宋_GB2312"/>
          <w:sz w:val="32"/>
          <w:szCs w:val="32"/>
          <w:lang w:eastAsia="zh-CN"/>
        </w:rPr>
        <w:t>金华市金东区经济商务局</w:t>
      </w:r>
    </w:p>
    <w:p>
      <w:pPr>
        <w:spacing w:line="360" w:lineRule="exact"/>
        <w:ind w:firstLine="640" w:firstLineChars="200"/>
        <w:jc w:val="cente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2021</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21</w:t>
      </w:r>
      <w:r>
        <w:rPr>
          <w:rFonts w:hint="eastAsia" w:ascii="仿宋_GB2312" w:eastAsia="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727505"/>
    <w:multiLevelType w:val="singleLevel"/>
    <w:tmpl w:val="AC727505"/>
    <w:lvl w:ilvl="0" w:tentative="0">
      <w:start w:val="1"/>
      <w:numFmt w:val="chineseCounting"/>
      <w:suff w:val="nothing"/>
      <w:lvlText w:val="%1、"/>
      <w:lvlJc w:val="left"/>
      <w:rPr>
        <w:rFonts w:hint="eastAsia"/>
      </w:rPr>
    </w:lvl>
  </w:abstractNum>
  <w:abstractNum w:abstractNumId="1">
    <w:nsid w:val="BA20D212"/>
    <w:multiLevelType w:val="singleLevel"/>
    <w:tmpl w:val="BA20D212"/>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44BE9"/>
    <w:rsid w:val="000A5A93"/>
    <w:rsid w:val="001E326D"/>
    <w:rsid w:val="001F782C"/>
    <w:rsid w:val="00224EAC"/>
    <w:rsid w:val="002A05A3"/>
    <w:rsid w:val="00354756"/>
    <w:rsid w:val="00370136"/>
    <w:rsid w:val="00395960"/>
    <w:rsid w:val="00431133"/>
    <w:rsid w:val="00490F62"/>
    <w:rsid w:val="005C6C58"/>
    <w:rsid w:val="00632397"/>
    <w:rsid w:val="007C4C0D"/>
    <w:rsid w:val="0084329B"/>
    <w:rsid w:val="008F2E8B"/>
    <w:rsid w:val="009523AF"/>
    <w:rsid w:val="009A7D92"/>
    <w:rsid w:val="00A37E9E"/>
    <w:rsid w:val="00AC7A40"/>
    <w:rsid w:val="00AD2EC0"/>
    <w:rsid w:val="00BF1306"/>
    <w:rsid w:val="00C70EEB"/>
    <w:rsid w:val="00DA0787"/>
    <w:rsid w:val="00F358D2"/>
    <w:rsid w:val="00F44BE9"/>
    <w:rsid w:val="00FE174B"/>
    <w:rsid w:val="281E1E46"/>
    <w:rsid w:val="285671E3"/>
    <w:rsid w:val="2EFE3547"/>
    <w:rsid w:val="3907283E"/>
    <w:rsid w:val="40535F98"/>
    <w:rsid w:val="48EA446A"/>
    <w:rsid w:val="55F0420E"/>
    <w:rsid w:val="5A9C3C3C"/>
    <w:rsid w:val="704D2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 w:type="paragraph" w:customStyle="1" w:styleId="9">
    <w:name w:val="p0"/>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65</Words>
  <Characters>377</Characters>
  <Lines>3</Lines>
  <Paragraphs>1</Paragraphs>
  <TotalTime>33</TotalTime>
  <ScaleCrop>false</ScaleCrop>
  <LinksUpToDate>false</LinksUpToDate>
  <CharactersWithSpaces>441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2018-08-28T09:13:00Z</dcterms:created>
  <dc:creator>金丽超</dc:creator>
  <cp:lastModifiedBy>Administrator</cp:lastModifiedBy>
  <dcterms:modified xsi:type="dcterms:W3CDTF">2021-04-21T06:55:07Z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0569D89226DF4D5D81B174247F2AF9A1</vt:lpwstr>
  </property>
</Properties>
</file>