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8" w:lineRule="exact"/>
        <w:jc w:val="left"/>
        <w:textAlignment w:val="auto"/>
        <w:rPr>
          <w:rFonts w:hint="eastAsia" w:ascii="黑体" w:hAnsi="黑体" w:eastAsia="黑体" w:cs="黑体"/>
          <w:spacing w:val="-4"/>
          <w:sz w:val="32"/>
          <w:szCs w:val="32"/>
          <w:lang w:val="en-US" w:eastAsia="zh-CN"/>
        </w:rPr>
      </w:pPr>
      <w:r>
        <w:rPr>
          <w:rFonts w:hint="eastAsia" w:ascii="黑体" w:hAnsi="黑体" w:eastAsia="黑体" w:cs="黑体"/>
          <w:spacing w:val="-4"/>
          <w:sz w:val="32"/>
          <w:szCs w:val="32"/>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78" w:lineRule="exact"/>
        <w:jc w:val="left"/>
        <w:textAlignment w:val="auto"/>
        <w:rPr>
          <w:rFonts w:hint="default" w:ascii="黑体" w:hAnsi="黑体" w:eastAsia="黑体" w:cs="黑体"/>
          <w:spacing w:val="-4"/>
          <w:sz w:val="32"/>
          <w:szCs w:val="32"/>
          <w:lang w:val="en-US" w:eastAsia="zh-CN"/>
        </w:rPr>
      </w:pPr>
    </w:p>
    <w:p>
      <w:pPr>
        <w:keepNext w:val="0"/>
        <w:keepLines w:val="0"/>
        <w:pageBreakBefore w:val="0"/>
        <w:kinsoku/>
        <w:wordWrap/>
        <w:overflowPunct/>
        <w:topLinePunct w:val="0"/>
        <w:autoSpaceDE/>
        <w:autoSpaceDN/>
        <w:bidi w:val="0"/>
        <w:spacing w:line="578" w:lineRule="exact"/>
        <w:jc w:val="center"/>
        <w:textAlignment w:val="auto"/>
        <w:rPr>
          <w:rFonts w:hint="eastAsia" w:ascii="华文中宋" w:hAnsi="华文中宋" w:eastAsia="华文中宋" w:cs="华文中宋"/>
          <w:sz w:val="36"/>
          <w:szCs w:val="36"/>
        </w:rPr>
      </w:pPr>
      <w:r>
        <w:rPr>
          <w:rFonts w:hint="eastAsia" w:ascii="华文中宋" w:hAnsi="华文中宋" w:eastAsia="华文中宋" w:cs="华文中宋"/>
          <w:sz w:val="36"/>
          <w:szCs w:val="36"/>
        </w:rPr>
        <w:t>拟继续保留有效的规范性文件</w:t>
      </w:r>
    </w:p>
    <w:p>
      <w:pPr>
        <w:widowControl/>
        <w:spacing w:line="578" w:lineRule="exact"/>
        <w:jc w:val="center"/>
        <w:rPr>
          <w:rFonts w:hint="eastAsia" w:ascii="黑体" w:hAnsi="黑体" w:eastAsia="黑体" w:cs="宋体"/>
          <w:kern w:val="0"/>
          <w:sz w:val="32"/>
          <w:szCs w:val="32"/>
        </w:rPr>
      </w:pPr>
    </w:p>
    <w:tbl>
      <w:tblPr>
        <w:tblStyle w:val="2"/>
        <w:tblW w:w="8458" w:type="dxa"/>
        <w:jc w:val="center"/>
        <w:tblLayout w:type="fixed"/>
        <w:tblCellMar>
          <w:top w:w="0" w:type="dxa"/>
          <w:left w:w="108" w:type="dxa"/>
          <w:bottom w:w="0" w:type="dxa"/>
          <w:right w:w="108" w:type="dxa"/>
        </w:tblCellMar>
      </w:tblPr>
      <w:tblGrid>
        <w:gridCol w:w="909"/>
        <w:gridCol w:w="3979"/>
        <w:gridCol w:w="1845"/>
        <w:gridCol w:w="1725"/>
      </w:tblGrid>
      <w:tr>
        <w:tblPrEx>
          <w:tblCellMar>
            <w:top w:w="0" w:type="dxa"/>
            <w:left w:w="108" w:type="dxa"/>
            <w:bottom w:w="0" w:type="dxa"/>
            <w:right w:w="108" w:type="dxa"/>
          </w:tblCellMar>
        </w:tblPrEx>
        <w:trPr>
          <w:trHeight w:val="600" w:hRule="atLeast"/>
          <w:jc w:val="center"/>
        </w:trPr>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78" w:lineRule="exact"/>
              <w:jc w:val="center"/>
              <w:rPr>
                <w:rFonts w:ascii="黑体" w:hAnsi="黑体" w:eastAsia="黑体" w:cs="宋体"/>
                <w:kern w:val="0"/>
                <w:sz w:val="24"/>
              </w:rPr>
            </w:pPr>
            <w:r>
              <w:rPr>
                <w:rFonts w:hint="eastAsia" w:ascii="黑体" w:hAnsi="黑体" w:eastAsia="黑体" w:cs="宋体"/>
                <w:kern w:val="0"/>
                <w:sz w:val="24"/>
              </w:rPr>
              <w:t>序号</w:t>
            </w:r>
          </w:p>
        </w:tc>
        <w:tc>
          <w:tcPr>
            <w:tcW w:w="3979" w:type="dxa"/>
            <w:tcBorders>
              <w:top w:val="single" w:color="000000" w:sz="4" w:space="0"/>
              <w:left w:val="nil"/>
              <w:bottom w:val="single" w:color="000000" w:sz="4" w:space="0"/>
              <w:right w:val="single" w:color="000000" w:sz="4" w:space="0"/>
            </w:tcBorders>
            <w:shd w:val="clear" w:color="auto" w:fill="auto"/>
            <w:vAlign w:val="center"/>
          </w:tcPr>
          <w:p>
            <w:pPr>
              <w:widowControl/>
              <w:spacing w:line="578" w:lineRule="exact"/>
              <w:jc w:val="center"/>
              <w:rPr>
                <w:rFonts w:ascii="黑体" w:hAnsi="黑体" w:eastAsia="黑体" w:cs="宋体"/>
                <w:kern w:val="0"/>
                <w:sz w:val="24"/>
              </w:rPr>
            </w:pPr>
            <w:r>
              <w:rPr>
                <w:rFonts w:hint="eastAsia" w:ascii="黑体" w:hAnsi="黑体" w:eastAsia="黑体" w:cs="宋体"/>
                <w:kern w:val="0"/>
                <w:sz w:val="24"/>
              </w:rPr>
              <w:t>名  称</w:t>
            </w:r>
          </w:p>
        </w:tc>
        <w:tc>
          <w:tcPr>
            <w:tcW w:w="1845" w:type="dxa"/>
            <w:tcBorders>
              <w:top w:val="single" w:color="000000" w:sz="4" w:space="0"/>
              <w:left w:val="nil"/>
              <w:bottom w:val="single" w:color="000000" w:sz="4" w:space="0"/>
              <w:right w:val="single" w:color="000000" w:sz="4" w:space="0"/>
            </w:tcBorders>
            <w:shd w:val="clear" w:color="auto" w:fill="auto"/>
            <w:vAlign w:val="center"/>
          </w:tcPr>
          <w:p>
            <w:pPr>
              <w:widowControl/>
              <w:spacing w:line="578" w:lineRule="exact"/>
              <w:jc w:val="center"/>
              <w:rPr>
                <w:rFonts w:ascii="黑体" w:hAnsi="黑体" w:eastAsia="黑体" w:cs="宋体"/>
                <w:kern w:val="0"/>
                <w:sz w:val="24"/>
              </w:rPr>
            </w:pPr>
            <w:r>
              <w:rPr>
                <w:rFonts w:hint="eastAsia" w:ascii="黑体" w:hAnsi="黑体" w:eastAsia="黑体" w:cs="宋体"/>
                <w:kern w:val="0"/>
                <w:sz w:val="24"/>
              </w:rPr>
              <w:t>文  号</w:t>
            </w:r>
          </w:p>
        </w:tc>
        <w:tc>
          <w:tcPr>
            <w:tcW w:w="1725" w:type="dxa"/>
            <w:tcBorders>
              <w:top w:val="single" w:color="000000" w:sz="4" w:space="0"/>
              <w:left w:val="nil"/>
              <w:bottom w:val="single" w:color="000000" w:sz="4" w:space="0"/>
              <w:right w:val="single" w:color="000000" w:sz="4" w:space="0"/>
            </w:tcBorders>
            <w:shd w:val="clear" w:color="auto" w:fill="auto"/>
            <w:vAlign w:val="center"/>
          </w:tcPr>
          <w:p>
            <w:pPr>
              <w:widowControl/>
              <w:spacing w:line="578" w:lineRule="exact"/>
              <w:jc w:val="center"/>
              <w:rPr>
                <w:rFonts w:ascii="黑体" w:hAnsi="黑体" w:eastAsia="黑体" w:cs="宋体"/>
                <w:kern w:val="0"/>
                <w:sz w:val="24"/>
              </w:rPr>
            </w:pPr>
            <w:r>
              <w:rPr>
                <w:rFonts w:hint="eastAsia" w:ascii="黑体" w:hAnsi="黑体" w:eastAsia="黑体" w:cs="宋体"/>
                <w:kern w:val="0"/>
                <w:sz w:val="24"/>
              </w:rPr>
              <w:t>清理意见</w:t>
            </w:r>
          </w:p>
        </w:tc>
      </w:tr>
      <w:tr>
        <w:tblPrEx>
          <w:tblCellMar>
            <w:top w:w="0" w:type="dxa"/>
            <w:left w:w="108" w:type="dxa"/>
            <w:bottom w:w="0" w:type="dxa"/>
            <w:right w:w="108" w:type="dxa"/>
          </w:tblCellMar>
        </w:tblPrEx>
        <w:trPr>
          <w:trHeight w:val="60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1</w:t>
            </w:r>
          </w:p>
        </w:tc>
        <w:tc>
          <w:tcPr>
            <w:tcW w:w="397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关于印发《宁波市水利工程项目标后管理办法（试行）》的通知</w:t>
            </w:r>
          </w:p>
        </w:tc>
        <w:tc>
          <w:tcPr>
            <w:tcW w:w="1845"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甬水利〔2013〕89号</w:t>
            </w:r>
          </w:p>
        </w:tc>
        <w:tc>
          <w:tcPr>
            <w:tcW w:w="1725"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2</w:t>
            </w:r>
          </w:p>
        </w:tc>
        <w:tc>
          <w:tcPr>
            <w:tcW w:w="3979" w:type="dxa"/>
            <w:tcBorders>
              <w:top w:val="nil"/>
              <w:left w:val="nil"/>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关于全市水利工程建设项目实行廉政合同管理的通知（试行）</w:t>
            </w:r>
          </w:p>
        </w:tc>
        <w:tc>
          <w:tcPr>
            <w:tcW w:w="1845" w:type="dxa"/>
            <w:tcBorders>
              <w:top w:val="nil"/>
              <w:left w:val="nil"/>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甬水建〔2014〕6号</w:t>
            </w:r>
          </w:p>
        </w:tc>
        <w:tc>
          <w:tcPr>
            <w:tcW w:w="1725" w:type="dxa"/>
            <w:tcBorders>
              <w:top w:val="nil"/>
              <w:left w:val="nil"/>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3</w:t>
            </w:r>
          </w:p>
        </w:tc>
        <w:tc>
          <w:tcPr>
            <w:tcW w:w="3979" w:type="dxa"/>
            <w:tcBorders>
              <w:top w:val="nil"/>
              <w:left w:val="nil"/>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关于印发《宁波市水利科技项目管理办法（试行）》的通知</w:t>
            </w:r>
          </w:p>
        </w:tc>
        <w:tc>
          <w:tcPr>
            <w:tcW w:w="1845" w:type="dxa"/>
            <w:tcBorders>
              <w:top w:val="nil"/>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甬水利〔2014〕74号</w:t>
            </w:r>
          </w:p>
        </w:tc>
        <w:tc>
          <w:tcPr>
            <w:tcW w:w="1725" w:type="dxa"/>
            <w:tcBorders>
              <w:top w:val="nil"/>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4</w:t>
            </w:r>
          </w:p>
        </w:tc>
        <w:tc>
          <w:tcPr>
            <w:tcW w:w="3979" w:type="dxa"/>
            <w:tcBorders>
              <w:top w:val="nil"/>
              <w:left w:val="nil"/>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关于《印发宁波市水利建设市场信用信息管理暂行办法》的通知</w:t>
            </w:r>
          </w:p>
        </w:tc>
        <w:tc>
          <w:tcPr>
            <w:tcW w:w="1845" w:type="dxa"/>
            <w:tcBorders>
              <w:top w:val="nil"/>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甬水建〔2014〕71号</w:t>
            </w:r>
          </w:p>
        </w:tc>
        <w:tc>
          <w:tcPr>
            <w:tcW w:w="1725" w:type="dxa"/>
            <w:tcBorders>
              <w:top w:val="nil"/>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5</w:t>
            </w:r>
          </w:p>
        </w:tc>
        <w:tc>
          <w:tcPr>
            <w:tcW w:w="3979" w:type="dxa"/>
            <w:tcBorders>
              <w:top w:val="nil"/>
              <w:left w:val="nil"/>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关于印发《宁波市大中型闸泵工程管理规定（试行）》的通知</w:t>
            </w:r>
          </w:p>
        </w:tc>
        <w:tc>
          <w:tcPr>
            <w:tcW w:w="1845" w:type="dxa"/>
            <w:tcBorders>
              <w:top w:val="nil"/>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甬水建〔2014〕109号</w:t>
            </w:r>
          </w:p>
        </w:tc>
        <w:tc>
          <w:tcPr>
            <w:tcW w:w="1725" w:type="dxa"/>
            <w:tcBorders>
              <w:top w:val="nil"/>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6</w:t>
            </w:r>
          </w:p>
        </w:tc>
        <w:tc>
          <w:tcPr>
            <w:tcW w:w="3979" w:type="dxa"/>
            <w:tcBorders>
              <w:top w:val="nil"/>
              <w:left w:val="nil"/>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关于印发《宁波市水利建设市场主体信用动态评价管理办法（试行）》的通知</w:t>
            </w:r>
          </w:p>
        </w:tc>
        <w:tc>
          <w:tcPr>
            <w:tcW w:w="1845" w:type="dxa"/>
            <w:tcBorders>
              <w:top w:val="nil"/>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甬水建〔2015〕56号</w:t>
            </w:r>
          </w:p>
        </w:tc>
        <w:tc>
          <w:tcPr>
            <w:tcW w:w="1725" w:type="dxa"/>
            <w:tcBorders>
              <w:top w:val="nil"/>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7</w:t>
            </w:r>
          </w:p>
        </w:tc>
        <w:tc>
          <w:tcPr>
            <w:tcW w:w="3979" w:type="dxa"/>
            <w:tcBorders>
              <w:top w:val="nil"/>
              <w:left w:val="nil"/>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关于印发《宁波市水利建设市场主体信用动态评价结果应用管理办法(试行)》的通知</w:t>
            </w:r>
          </w:p>
        </w:tc>
        <w:tc>
          <w:tcPr>
            <w:tcW w:w="1845" w:type="dxa"/>
            <w:tcBorders>
              <w:top w:val="nil"/>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甬水建〔2015〕57号</w:t>
            </w:r>
          </w:p>
        </w:tc>
        <w:tc>
          <w:tcPr>
            <w:tcW w:w="1725" w:type="dxa"/>
            <w:tcBorders>
              <w:top w:val="nil"/>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8</w:t>
            </w:r>
          </w:p>
        </w:tc>
        <w:tc>
          <w:tcPr>
            <w:tcW w:w="3979" w:type="dxa"/>
            <w:tcBorders>
              <w:top w:val="nil"/>
              <w:left w:val="nil"/>
              <w:bottom w:val="single" w:color="000000" w:sz="4" w:space="0"/>
              <w:right w:val="single" w:color="000000"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关于印发《宁波市水利建设项目工程总承包指导意见》的通知</w:t>
            </w:r>
          </w:p>
        </w:tc>
        <w:tc>
          <w:tcPr>
            <w:tcW w:w="1845" w:type="dxa"/>
            <w:tcBorders>
              <w:top w:val="nil"/>
              <w:left w:val="nil"/>
              <w:bottom w:val="single" w:color="000000" w:sz="4" w:space="0"/>
              <w:right w:val="single" w:color="000000"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甬水建〔2015〕104号</w:t>
            </w:r>
          </w:p>
        </w:tc>
        <w:tc>
          <w:tcPr>
            <w:tcW w:w="1725" w:type="dxa"/>
            <w:tcBorders>
              <w:top w:val="nil"/>
              <w:left w:val="nil"/>
              <w:bottom w:val="single" w:color="000000" w:sz="4" w:space="0"/>
              <w:right w:val="single" w:color="000000"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9</w:t>
            </w:r>
          </w:p>
        </w:tc>
        <w:tc>
          <w:tcPr>
            <w:tcW w:w="397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关于印发宁波市地方性水法规规章设立的行政处罚事项裁量权实施标准的通知</w:t>
            </w:r>
          </w:p>
        </w:tc>
        <w:tc>
          <w:tcPr>
            <w:tcW w:w="184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甬水政〔2016〕44号</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10</w:t>
            </w:r>
          </w:p>
        </w:tc>
        <w:tc>
          <w:tcPr>
            <w:tcW w:w="397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宁波市水利系统专家库管理办法（试行）</w:t>
            </w:r>
          </w:p>
        </w:tc>
        <w:tc>
          <w:tcPr>
            <w:tcW w:w="184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甬水利〔2018〕75号</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11</w:t>
            </w:r>
          </w:p>
        </w:tc>
        <w:tc>
          <w:tcPr>
            <w:tcW w:w="397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宁波市水利局关于推行“区域水评+涉水标准”改革的指导意见</w:t>
            </w:r>
          </w:p>
        </w:tc>
        <w:tc>
          <w:tcPr>
            <w:tcW w:w="184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甬水利〔2018〕80号</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12</w:t>
            </w:r>
          </w:p>
        </w:tc>
        <w:tc>
          <w:tcPr>
            <w:tcW w:w="397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宁波市水利局 宁波市住房和城乡建设局 宁波市自然资源和规划局关于划定城镇排水与污水处理设施保护范围的通知</w:t>
            </w:r>
          </w:p>
        </w:tc>
        <w:tc>
          <w:tcPr>
            <w:tcW w:w="184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甬排水〔2019〕6号</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13</w:t>
            </w:r>
          </w:p>
        </w:tc>
        <w:tc>
          <w:tcPr>
            <w:tcW w:w="39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关于印发宁波市中心城区中高层住宅二次供水管理指导意见的通知</w:t>
            </w:r>
          </w:p>
        </w:tc>
        <w:tc>
          <w:tcPr>
            <w:tcW w:w="184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甬水资〔2019〕9号</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14</w:t>
            </w:r>
          </w:p>
        </w:tc>
        <w:tc>
          <w:tcPr>
            <w:tcW w:w="39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宁波市水利局关于修订宁波市水利建设市场主体施工、设计、监理企业信用动态评价标准的通知</w:t>
            </w:r>
          </w:p>
        </w:tc>
        <w:tc>
          <w:tcPr>
            <w:tcW w:w="184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甬水建安〔2020〕5号</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15</w:t>
            </w:r>
          </w:p>
        </w:tc>
        <w:tc>
          <w:tcPr>
            <w:tcW w:w="39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关于印发《宁波市水利建设工程担保管理办法》的通知</w:t>
            </w:r>
          </w:p>
        </w:tc>
        <w:tc>
          <w:tcPr>
            <w:tcW w:w="184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甬水建安〔2020〕6号</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16</w:t>
            </w:r>
          </w:p>
        </w:tc>
        <w:tc>
          <w:tcPr>
            <w:tcW w:w="39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关于印发宁波市水利水务监督规定（试行）的通知</w:t>
            </w:r>
          </w:p>
        </w:tc>
        <w:tc>
          <w:tcPr>
            <w:tcW w:w="184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甬水利〔2021〕16号</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17</w:t>
            </w:r>
          </w:p>
        </w:tc>
        <w:tc>
          <w:tcPr>
            <w:tcW w:w="39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《宁波市城市公共供水计划用水管理实施细则（试行）》</w:t>
            </w:r>
          </w:p>
        </w:tc>
        <w:tc>
          <w:tcPr>
            <w:tcW w:w="184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甬水资〔2020〕10号</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18</w:t>
            </w:r>
          </w:p>
        </w:tc>
        <w:tc>
          <w:tcPr>
            <w:tcW w:w="39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宁波市水利局宁波市财政局宁波市发展和改革委员会关于征收宁波市中心城区自备水源用户污水处理费的通知</w:t>
            </w:r>
          </w:p>
        </w:tc>
        <w:tc>
          <w:tcPr>
            <w:tcW w:w="184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甬水利〔2021〕14号</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r>
        <w:tblPrEx>
          <w:tblCellMar>
            <w:top w:w="0" w:type="dxa"/>
            <w:left w:w="108" w:type="dxa"/>
            <w:bottom w:w="0" w:type="dxa"/>
            <w:right w:w="108" w:type="dxa"/>
          </w:tblCellMar>
        </w:tblPrEx>
        <w:trPr>
          <w:trHeight w:val="600" w:hRule="atLeast"/>
          <w:jc w:val="center"/>
        </w:trPr>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19</w:t>
            </w:r>
          </w:p>
        </w:tc>
        <w:tc>
          <w:tcPr>
            <w:tcW w:w="39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关于印发《宁波市水利专业工程师、高级工程师职务任职资格评审工作实施办法》的通知</w:t>
            </w:r>
          </w:p>
        </w:tc>
        <w:tc>
          <w:tcPr>
            <w:tcW w:w="184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甬水利〔2021〕17号</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98" w:lineRule="exact"/>
              <w:jc w:val="center"/>
              <w:rPr>
                <w:rFonts w:ascii="仿宋_GB2312" w:hAnsi="Times New Roman" w:eastAsia="仿宋_GB2312" w:cs="Times New Roman"/>
                <w:spacing w:val="-4"/>
                <w:sz w:val="28"/>
                <w:szCs w:val="28"/>
              </w:rPr>
            </w:pPr>
            <w:r>
              <w:rPr>
                <w:rFonts w:hint="eastAsia" w:ascii="仿宋_GB2312" w:hAnsi="Times New Roman" w:eastAsia="仿宋_GB2312" w:cs="Times New Roman"/>
                <w:spacing w:val="-4"/>
                <w:sz w:val="28"/>
                <w:szCs w:val="28"/>
              </w:rPr>
              <w:t>保留有效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90828"/>
    <w:rsid w:val="13690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2021-08-18T01:52:00Z</dcterms:created>
  <dc:creator>Administrator</dc:creator>
  <cp:lastModifiedBy>Administrator</cp:lastModifiedBy>
  <dcterms:modified xsi:type="dcterms:W3CDTF">2021-08-18T01:52:33Z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D50C710A351B4034849102324AFB6229</vt:lpwstr>
  </property>
</Properties>
</file>