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auto"/>
        </w:rPr>
      </w:pPr>
      <w:bookmarkStart w:id="33" w:name="_GoBack"/>
    </w:p>
    <w:p>
      <w:pPr>
        <w:spacing w:line="560" w:lineRule="exact"/>
        <w:jc w:val="center"/>
        <w:rPr>
          <w:rFonts w:ascii="Times New Roman" w:hAnsi="Times New Roman" w:eastAsia="方正小标宋简体" w:cs="Times New Roman"/>
          <w:color w:val="auto"/>
          <w:sz w:val="36"/>
          <w:szCs w:val="44"/>
        </w:rPr>
      </w:pPr>
    </w:p>
    <w:p>
      <w:pPr>
        <w:spacing w:line="560" w:lineRule="exact"/>
        <w:jc w:val="center"/>
        <w:rPr>
          <w:rFonts w:ascii="Times New Roman" w:hAnsi="Times New Roman" w:eastAsia="方正小标宋简体" w:cs="Times New Roman"/>
          <w:color w:val="auto"/>
          <w:sz w:val="36"/>
          <w:szCs w:val="44"/>
        </w:rPr>
      </w:pPr>
    </w:p>
    <w:p>
      <w:pPr>
        <w:spacing w:line="560" w:lineRule="exact"/>
        <w:jc w:val="center"/>
        <w:rPr>
          <w:rFonts w:ascii="Times New Roman" w:hAnsi="Times New Roman" w:eastAsia="方正小标宋简体" w:cs="Times New Roman"/>
          <w:color w:val="auto"/>
          <w:sz w:val="40"/>
          <w:szCs w:val="48"/>
        </w:rPr>
      </w:pPr>
    </w:p>
    <w:p>
      <w:pPr>
        <w:spacing w:line="560" w:lineRule="exact"/>
        <w:jc w:val="center"/>
        <w:rPr>
          <w:rFonts w:hint="eastAsia" w:ascii="黑体" w:hAnsi="黑体" w:eastAsia="黑体" w:cs="黑体"/>
          <w:color w:val="auto"/>
          <w:sz w:val="40"/>
          <w:szCs w:val="48"/>
        </w:rPr>
      </w:pPr>
      <w:r>
        <w:rPr>
          <w:rFonts w:hint="eastAsia" w:ascii="黑体" w:hAnsi="黑体" w:eastAsia="黑体" w:cs="黑体"/>
          <w:color w:val="auto"/>
          <w:sz w:val="40"/>
          <w:szCs w:val="48"/>
        </w:rPr>
        <w:t>诸暨市“杭绍同城”三年行动计划</w:t>
      </w:r>
    </w:p>
    <w:p>
      <w:pPr>
        <w:spacing w:line="560" w:lineRule="exact"/>
        <w:jc w:val="center"/>
        <w:rPr>
          <w:rFonts w:hint="eastAsia" w:ascii="黑体" w:hAnsi="黑体" w:eastAsia="黑体" w:cs="黑体"/>
          <w:color w:val="auto"/>
          <w:sz w:val="40"/>
          <w:szCs w:val="48"/>
        </w:rPr>
      </w:pPr>
      <w:r>
        <w:rPr>
          <w:rFonts w:hint="eastAsia" w:ascii="黑体" w:hAnsi="黑体" w:eastAsia="黑体" w:cs="黑体"/>
          <w:color w:val="auto"/>
          <w:sz w:val="40"/>
          <w:szCs w:val="48"/>
        </w:rPr>
        <w:t>（2023-2025年）</w:t>
      </w:r>
    </w:p>
    <w:p>
      <w:pPr>
        <w:pStyle w:val="2"/>
        <w:jc w:val="center"/>
        <w:rPr>
          <w:rFonts w:hint="eastAsia" w:ascii="楷体_GB2312" w:hAnsi="楷体_GB2312" w:eastAsia="楷体_GB2312" w:cs="楷体_GB2312"/>
          <w:color w:val="auto"/>
          <w:sz w:val="40"/>
          <w:szCs w:val="48"/>
          <w:lang w:eastAsia="zh-CN"/>
        </w:rPr>
      </w:pPr>
      <w:r>
        <w:rPr>
          <w:rFonts w:hint="eastAsia" w:ascii="楷体_GB2312" w:hAnsi="楷体_GB2312" w:eastAsia="楷体_GB2312" w:cs="楷体_GB2312"/>
          <w:color w:val="auto"/>
          <w:sz w:val="40"/>
          <w:szCs w:val="48"/>
          <w:lang w:eastAsia="zh-CN"/>
        </w:rPr>
        <w:t>（</w:t>
      </w:r>
      <w:r>
        <w:rPr>
          <w:rFonts w:hint="eastAsia" w:ascii="楷体_GB2312" w:hAnsi="楷体_GB2312" w:eastAsia="楷体_GB2312" w:cs="楷体_GB2312"/>
          <w:color w:val="auto"/>
          <w:sz w:val="40"/>
          <w:szCs w:val="48"/>
          <w:lang w:val="en-US" w:eastAsia="zh-CN"/>
        </w:rPr>
        <w:t>征求意见稿</w:t>
      </w:r>
      <w:r>
        <w:rPr>
          <w:rFonts w:hint="eastAsia" w:ascii="楷体_GB2312" w:hAnsi="楷体_GB2312" w:eastAsia="楷体_GB2312" w:cs="楷体_GB2312"/>
          <w:color w:val="auto"/>
          <w:sz w:val="40"/>
          <w:szCs w:val="48"/>
          <w:lang w:eastAsia="zh-CN"/>
        </w:rPr>
        <w:t>）</w:t>
      </w:r>
    </w:p>
    <w:p>
      <w:pPr>
        <w:pStyle w:val="3"/>
        <w:rPr>
          <w:rFonts w:hint="eastAsia" w:ascii="楷体_GB2312" w:hAnsi="楷体_GB2312" w:eastAsia="楷体_GB2312" w:cs="楷体_GB2312"/>
          <w:color w:val="auto"/>
          <w:sz w:val="40"/>
          <w:szCs w:val="48"/>
          <w:lang w:eastAsia="zh-CN"/>
        </w:rPr>
      </w:pPr>
    </w:p>
    <w:p>
      <w:pPr>
        <w:rPr>
          <w:rFonts w:hint="eastAsia" w:ascii="楷体_GB2312" w:hAnsi="楷体_GB2312" w:eastAsia="楷体_GB2312" w:cs="楷体_GB2312"/>
          <w:color w:val="auto"/>
          <w:sz w:val="40"/>
          <w:szCs w:val="48"/>
          <w:lang w:eastAsia="zh-CN"/>
        </w:rPr>
      </w:pPr>
    </w:p>
    <w:p>
      <w:pPr>
        <w:pStyle w:val="2"/>
        <w:rPr>
          <w:rFonts w:hint="eastAsia" w:ascii="楷体_GB2312" w:hAnsi="楷体_GB2312" w:eastAsia="楷体_GB2312" w:cs="楷体_GB2312"/>
          <w:color w:val="auto"/>
          <w:sz w:val="40"/>
          <w:szCs w:val="48"/>
          <w:lang w:eastAsia="zh-CN"/>
        </w:rPr>
      </w:pPr>
    </w:p>
    <w:p>
      <w:pPr>
        <w:pStyle w:val="3"/>
        <w:rPr>
          <w:rFonts w:hint="eastAsia" w:ascii="楷体_GB2312" w:hAnsi="楷体_GB2312" w:eastAsia="楷体_GB2312" w:cs="楷体_GB2312"/>
          <w:color w:val="auto"/>
          <w:sz w:val="40"/>
          <w:szCs w:val="48"/>
          <w:lang w:eastAsia="zh-CN"/>
        </w:rPr>
      </w:pPr>
    </w:p>
    <w:p>
      <w:pPr>
        <w:rPr>
          <w:rFonts w:hint="eastAsia" w:ascii="楷体_GB2312" w:hAnsi="楷体_GB2312" w:eastAsia="楷体_GB2312" w:cs="楷体_GB2312"/>
          <w:color w:val="auto"/>
          <w:sz w:val="40"/>
          <w:szCs w:val="48"/>
          <w:lang w:eastAsia="zh-CN"/>
        </w:rPr>
      </w:pPr>
    </w:p>
    <w:p>
      <w:pPr>
        <w:pStyle w:val="2"/>
        <w:rPr>
          <w:rFonts w:hint="eastAsia" w:ascii="楷体_GB2312" w:hAnsi="楷体_GB2312" w:eastAsia="楷体_GB2312" w:cs="楷体_GB2312"/>
          <w:color w:val="auto"/>
          <w:sz w:val="40"/>
          <w:szCs w:val="48"/>
          <w:lang w:eastAsia="zh-CN"/>
        </w:rPr>
      </w:pPr>
    </w:p>
    <w:p>
      <w:pPr>
        <w:pStyle w:val="3"/>
        <w:rPr>
          <w:rFonts w:hint="eastAsia" w:ascii="楷体_GB2312" w:hAnsi="楷体_GB2312" w:eastAsia="楷体_GB2312" w:cs="楷体_GB2312"/>
          <w:color w:val="auto"/>
          <w:sz w:val="40"/>
          <w:szCs w:val="48"/>
          <w:lang w:eastAsia="zh-CN"/>
        </w:rPr>
      </w:pPr>
    </w:p>
    <w:p>
      <w:pPr>
        <w:rPr>
          <w:rFonts w:hint="eastAsia" w:ascii="楷体_GB2312" w:hAnsi="楷体_GB2312" w:eastAsia="楷体_GB2312" w:cs="楷体_GB2312"/>
          <w:color w:val="auto"/>
          <w:sz w:val="40"/>
          <w:szCs w:val="48"/>
          <w:lang w:eastAsia="zh-CN"/>
        </w:rPr>
      </w:pPr>
    </w:p>
    <w:p>
      <w:pPr>
        <w:pStyle w:val="2"/>
        <w:rPr>
          <w:rFonts w:hint="eastAsia" w:ascii="楷体_GB2312" w:hAnsi="楷体_GB2312" w:eastAsia="楷体_GB2312" w:cs="楷体_GB2312"/>
          <w:color w:val="auto"/>
          <w:sz w:val="40"/>
          <w:szCs w:val="48"/>
          <w:lang w:eastAsia="zh-CN"/>
        </w:rPr>
      </w:pPr>
    </w:p>
    <w:p>
      <w:pPr>
        <w:pStyle w:val="3"/>
        <w:rPr>
          <w:rFonts w:hint="eastAsia" w:ascii="楷体_GB2312" w:hAnsi="楷体_GB2312" w:eastAsia="楷体_GB2312" w:cs="楷体_GB2312"/>
          <w:color w:val="auto"/>
          <w:sz w:val="40"/>
          <w:szCs w:val="48"/>
          <w:lang w:eastAsia="zh-CN"/>
        </w:rPr>
      </w:pPr>
    </w:p>
    <w:p>
      <w:pPr>
        <w:jc w:val="cente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诸暨市发展和改革局</w:t>
      </w:r>
    </w:p>
    <w:p>
      <w:pPr>
        <w:pStyle w:val="2"/>
        <w:jc w:val="cente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杭州之江经济信息研究院</w:t>
      </w:r>
    </w:p>
    <w:p>
      <w:pPr>
        <w:pStyle w:val="3"/>
        <w:ind w:left="0" w:leftChars="0" w:firstLine="0" w:firstLineChars="0"/>
        <w:jc w:val="cente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2022年</w:t>
      </w:r>
      <w:r>
        <w:rPr>
          <w:rFonts w:hint="eastAsia" w:ascii="Times New Roman" w:hAnsi="Times New Roman" w:eastAsia="黑体" w:cs="Times New Roman"/>
          <w:color w:val="auto"/>
          <w:sz w:val="32"/>
          <w:szCs w:val="32"/>
          <w:lang w:val="en-US" w:eastAsia="zh-CN"/>
        </w:rPr>
        <w:t>10</w:t>
      </w:r>
      <w:r>
        <w:rPr>
          <w:rFonts w:hint="default" w:ascii="Times New Roman" w:hAnsi="Times New Roman" w:eastAsia="黑体" w:cs="Times New Roman"/>
          <w:color w:val="auto"/>
          <w:sz w:val="32"/>
          <w:szCs w:val="32"/>
          <w:lang w:val="en-US" w:eastAsia="zh-CN"/>
        </w:rPr>
        <w:t>月</w:t>
      </w:r>
    </w:p>
    <w:p>
      <w:pPr>
        <w:pStyle w:val="2"/>
        <w:rPr>
          <w:rFonts w:ascii="Times New Roman" w:hAnsi="Times New Roman" w:eastAsia="方正小标宋简体" w:cs="Times New Roman"/>
          <w:color w:val="auto"/>
          <w:sz w:val="36"/>
          <w:szCs w:val="44"/>
        </w:rPr>
      </w:pPr>
    </w:p>
    <w:p>
      <w:pPr>
        <w:pStyle w:val="3"/>
        <w:rPr>
          <w:rFonts w:ascii="Times New Roman" w:hAnsi="Times New Roman" w:eastAsia="方正小标宋简体" w:cs="Times New Roman"/>
          <w:color w:val="auto"/>
          <w:sz w:val="36"/>
          <w:szCs w:val="44"/>
        </w:rPr>
      </w:pPr>
    </w:p>
    <w:p>
      <w:pPr>
        <w:spacing w:line="560" w:lineRule="exact"/>
        <w:ind w:firstLine="640" w:firstLineChars="200"/>
        <w:rPr>
          <w:rFonts w:ascii="Times New Roman" w:hAnsi="Times New Roman" w:eastAsia="仿宋_GB2312" w:cs="Times New Roman"/>
          <w:color w:val="auto"/>
          <w:sz w:val="32"/>
          <w:szCs w:val="32"/>
        </w:rPr>
        <w:sectPr>
          <w:pgSz w:w="11906" w:h="16838"/>
          <w:pgMar w:top="1440" w:right="1800" w:bottom="1440" w:left="1800" w:header="851" w:footer="992" w:gutter="0"/>
          <w:pgNumType w:fmt="upperRoman" w:start="1"/>
          <w:cols w:space="425" w:num="1"/>
          <w:docGrid w:type="lines" w:linePitch="312" w:charSpace="0"/>
        </w:sectPr>
      </w:pPr>
    </w:p>
    <w:sdt>
      <w:sdtPr>
        <w:rPr>
          <w:rFonts w:ascii="宋体" w:hAnsi="宋体" w:eastAsia="宋体" w:cstheme="minorBidi"/>
          <w:b/>
          <w:bCs/>
          <w:color w:val="auto"/>
          <w:kern w:val="2"/>
          <w:sz w:val="32"/>
          <w:szCs w:val="40"/>
          <w:lang w:val="en-US" w:eastAsia="zh-CN" w:bidi="ar-SA"/>
        </w:rPr>
        <w:id w:val="147481159"/>
        <w15:color w:val="DBDBDB"/>
        <w:docPartObj>
          <w:docPartGallery w:val="Table of Contents"/>
          <w:docPartUnique/>
        </w:docPartObj>
      </w:sdtPr>
      <w:sdtEndPr>
        <w:rPr>
          <w:rFonts w:ascii="Times New Roman" w:hAnsi="Times New Roman" w:eastAsia="仿宋_GB2312" w:cs="Times New Roman"/>
          <w:b/>
          <w:bCs/>
          <w:color w:val="auto"/>
          <w:kern w:val="2"/>
          <w:sz w:val="21"/>
          <w:szCs w:val="32"/>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rPr>
              <w:b/>
              <w:bCs/>
              <w:color w:val="auto"/>
              <w:sz w:val="32"/>
              <w:szCs w:val="40"/>
            </w:rPr>
          </w:pPr>
          <w:r>
            <w:rPr>
              <w:rFonts w:ascii="宋体" w:hAnsi="宋体" w:eastAsia="宋体"/>
              <w:b/>
              <w:bCs/>
              <w:color w:val="auto"/>
              <w:sz w:val="32"/>
              <w:szCs w:val="40"/>
            </w:rPr>
            <w:t>目</w:t>
          </w:r>
          <w:r>
            <w:rPr>
              <w:rFonts w:hint="eastAsia" w:ascii="宋体" w:hAnsi="宋体" w:eastAsia="宋体"/>
              <w:b/>
              <w:bCs/>
              <w:color w:val="auto"/>
              <w:sz w:val="32"/>
              <w:szCs w:val="40"/>
              <w:lang w:val="en-US" w:eastAsia="zh-CN"/>
            </w:rPr>
            <w:t xml:space="preserve"> </w:t>
          </w:r>
          <w:r>
            <w:rPr>
              <w:rFonts w:ascii="宋体" w:hAnsi="宋体" w:eastAsia="宋体"/>
              <w:b/>
              <w:bCs/>
              <w:color w:val="auto"/>
              <w:sz w:val="32"/>
              <w:szCs w:val="40"/>
            </w:rPr>
            <w:t>录</w:t>
          </w:r>
        </w:p>
        <w:p>
          <w:pPr>
            <w:pStyle w:val="29"/>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b/>
              <w:color w:val="auto"/>
              <w:sz w:val="28"/>
              <w:szCs w:val="28"/>
            </w:rPr>
          </w:pPr>
          <w:r>
            <w:rPr>
              <w:rFonts w:hint="eastAsia" w:ascii="宋体" w:hAnsi="宋体" w:eastAsia="宋体" w:cs="宋体"/>
              <w:color w:val="auto"/>
              <w:sz w:val="48"/>
              <w:szCs w:val="48"/>
            </w:rPr>
            <w:fldChar w:fldCharType="begin"/>
          </w:r>
          <w:r>
            <w:rPr>
              <w:rFonts w:hint="eastAsia" w:ascii="宋体" w:hAnsi="宋体" w:eastAsia="宋体" w:cs="宋体"/>
              <w:color w:val="auto"/>
              <w:sz w:val="48"/>
              <w:szCs w:val="48"/>
            </w:rPr>
            <w:instrText xml:space="preserve">TOC \o "1-2" \h \u </w:instrText>
          </w:r>
          <w:r>
            <w:rPr>
              <w:rFonts w:hint="eastAsia" w:ascii="宋体" w:hAnsi="宋体" w:eastAsia="宋体" w:cs="宋体"/>
              <w:color w:val="auto"/>
              <w:sz w:val="48"/>
              <w:szCs w:val="48"/>
            </w:rPr>
            <w:fldChar w:fldCharType="separate"/>
          </w:r>
          <w:r>
            <w:rPr>
              <w:rFonts w:hint="eastAsia" w:ascii="宋体" w:hAnsi="宋体" w:eastAsia="宋体" w:cs="宋体"/>
              <w:b/>
              <w:color w:val="auto"/>
              <w:sz w:val="28"/>
              <w:szCs w:val="48"/>
            </w:rPr>
            <w:fldChar w:fldCharType="begin"/>
          </w:r>
          <w:r>
            <w:rPr>
              <w:rFonts w:hint="eastAsia" w:ascii="宋体" w:hAnsi="宋体" w:eastAsia="宋体" w:cs="宋体"/>
              <w:b/>
              <w:color w:val="auto"/>
              <w:sz w:val="28"/>
              <w:szCs w:val="48"/>
            </w:rPr>
            <w:instrText xml:space="preserve"> HYPERLINK \l _Toc21961 </w:instrText>
          </w:r>
          <w:r>
            <w:rPr>
              <w:rFonts w:hint="eastAsia" w:ascii="宋体" w:hAnsi="宋体" w:eastAsia="宋体" w:cs="宋体"/>
              <w:b/>
              <w:color w:val="auto"/>
              <w:sz w:val="28"/>
              <w:szCs w:val="48"/>
            </w:rPr>
            <w:fldChar w:fldCharType="separate"/>
          </w:r>
          <w:r>
            <w:rPr>
              <w:rFonts w:hint="eastAsia" w:ascii="宋体" w:hAnsi="宋体" w:eastAsia="宋体" w:cs="宋体"/>
              <w:b/>
              <w:color w:val="auto"/>
              <w:sz w:val="28"/>
              <w:szCs w:val="28"/>
            </w:rPr>
            <w:t>一、行动背景</w:t>
          </w:r>
          <w:r>
            <w:rPr>
              <w:rFonts w:hint="eastAsia" w:ascii="宋体" w:hAnsi="宋体" w:eastAsia="宋体" w:cs="宋体"/>
              <w:b/>
              <w:color w:val="auto"/>
              <w:sz w:val="28"/>
              <w:szCs w:val="28"/>
            </w:rPr>
            <w:tab/>
          </w:r>
          <w:r>
            <w:rPr>
              <w:rFonts w:hint="eastAsia" w:ascii="宋体" w:hAnsi="宋体" w:eastAsia="宋体" w:cs="宋体"/>
              <w:b/>
              <w:color w:val="auto"/>
              <w:sz w:val="28"/>
              <w:szCs w:val="28"/>
            </w:rPr>
            <w:fldChar w:fldCharType="begin"/>
          </w:r>
          <w:r>
            <w:rPr>
              <w:rFonts w:hint="eastAsia" w:ascii="宋体" w:hAnsi="宋体" w:eastAsia="宋体" w:cs="宋体"/>
              <w:b/>
              <w:color w:val="auto"/>
              <w:sz w:val="28"/>
              <w:szCs w:val="28"/>
            </w:rPr>
            <w:instrText xml:space="preserve"> PAGEREF _Toc21961 \h </w:instrText>
          </w:r>
          <w:r>
            <w:rPr>
              <w:rFonts w:hint="eastAsia" w:ascii="宋体" w:hAnsi="宋体" w:eastAsia="宋体" w:cs="宋体"/>
              <w:b/>
              <w:color w:val="auto"/>
              <w:sz w:val="28"/>
              <w:szCs w:val="28"/>
            </w:rPr>
            <w:fldChar w:fldCharType="separate"/>
          </w:r>
          <w:r>
            <w:rPr>
              <w:rFonts w:hint="eastAsia" w:ascii="宋体" w:hAnsi="宋体" w:eastAsia="宋体" w:cs="宋体"/>
              <w:b/>
              <w:color w:val="auto"/>
              <w:sz w:val="28"/>
              <w:szCs w:val="28"/>
            </w:rPr>
            <w:t>- 1 -</w:t>
          </w:r>
          <w:r>
            <w:rPr>
              <w:rFonts w:hint="eastAsia" w:ascii="宋体" w:hAnsi="宋体" w:eastAsia="宋体" w:cs="宋体"/>
              <w:b/>
              <w:color w:val="auto"/>
              <w:sz w:val="28"/>
              <w:szCs w:val="28"/>
            </w:rPr>
            <w:fldChar w:fldCharType="end"/>
          </w:r>
          <w:r>
            <w:rPr>
              <w:rFonts w:hint="eastAsia" w:ascii="宋体" w:hAnsi="宋体" w:eastAsia="宋体" w:cs="宋体"/>
              <w:b/>
              <w:color w:val="auto"/>
              <w:sz w:val="28"/>
              <w:szCs w:val="48"/>
            </w:rPr>
            <w:fldChar w:fldCharType="end"/>
          </w:r>
        </w:p>
        <w:p>
          <w:pPr>
            <w:pStyle w:val="30"/>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48"/>
            </w:rPr>
            <w:fldChar w:fldCharType="begin"/>
          </w:r>
          <w:r>
            <w:rPr>
              <w:rFonts w:hint="eastAsia" w:ascii="宋体" w:hAnsi="宋体" w:eastAsia="宋体" w:cs="宋体"/>
              <w:color w:val="auto"/>
              <w:sz w:val="28"/>
              <w:szCs w:val="48"/>
            </w:rPr>
            <w:instrText xml:space="preserve"> HYPERLINK \l _Toc28310 </w:instrText>
          </w:r>
          <w:r>
            <w:rPr>
              <w:rFonts w:hint="eastAsia" w:ascii="宋体" w:hAnsi="宋体" w:eastAsia="宋体" w:cs="宋体"/>
              <w:color w:val="auto"/>
              <w:sz w:val="28"/>
              <w:szCs w:val="48"/>
            </w:rPr>
            <w:fldChar w:fldCharType="separate"/>
          </w:r>
          <w:r>
            <w:rPr>
              <w:rFonts w:hint="eastAsia" w:ascii="宋体" w:hAnsi="宋体" w:eastAsia="宋体" w:cs="宋体"/>
              <w:color w:val="auto"/>
              <w:sz w:val="28"/>
              <w:szCs w:val="48"/>
            </w:rPr>
            <w:t>（一）行动基础</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_Toc28310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- 1 -</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48"/>
            </w:rPr>
            <w:fldChar w:fldCharType="end"/>
          </w:r>
        </w:p>
        <w:p>
          <w:pPr>
            <w:pStyle w:val="30"/>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48"/>
            </w:rPr>
            <w:fldChar w:fldCharType="begin"/>
          </w:r>
          <w:r>
            <w:rPr>
              <w:rFonts w:hint="eastAsia" w:ascii="宋体" w:hAnsi="宋体" w:eastAsia="宋体" w:cs="宋体"/>
              <w:color w:val="auto"/>
              <w:sz w:val="28"/>
              <w:szCs w:val="48"/>
            </w:rPr>
            <w:instrText xml:space="preserve"> HYPERLINK \l _Toc17871 </w:instrText>
          </w:r>
          <w:r>
            <w:rPr>
              <w:rFonts w:hint="eastAsia" w:ascii="宋体" w:hAnsi="宋体" w:eastAsia="宋体" w:cs="宋体"/>
              <w:color w:val="auto"/>
              <w:sz w:val="28"/>
              <w:szCs w:val="48"/>
            </w:rPr>
            <w:fldChar w:fldCharType="separate"/>
          </w:r>
          <w:r>
            <w:rPr>
              <w:rFonts w:hint="eastAsia" w:ascii="宋体" w:hAnsi="宋体" w:eastAsia="宋体" w:cs="宋体"/>
              <w:color w:val="auto"/>
              <w:sz w:val="28"/>
              <w:szCs w:val="28"/>
            </w:rPr>
            <w:t>（二）机遇挑战</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_Toc17871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- 3 -</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48"/>
            </w:rPr>
            <w:fldChar w:fldCharType="end"/>
          </w:r>
        </w:p>
        <w:p>
          <w:pPr>
            <w:pStyle w:val="29"/>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b/>
              <w:color w:val="auto"/>
              <w:sz w:val="28"/>
              <w:szCs w:val="28"/>
            </w:rPr>
          </w:pPr>
          <w:r>
            <w:rPr>
              <w:rFonts w:hint="eastAsia" w:ascii="宋体" w:hAnsi="宋体" w:eastAsia="宋体" w:cs="宋体"/>
              <w:b/>
              <w:color w:val="auto"/>
              <w:sz w:val="28"/>
              <w:szCs w:val="48"/>
            </w:rPr>
            <w:fldChar w:fldCharType="begin"/>
          </w:r>
          <w:r>
            <w:rPr>
              <w:rFonts w:hint="eastAsia" w:ascii="宋体" w:hAnsi="宋体" w:eastAsia="宋体" w:cs="宋体"/>
              <w:b/>
              <w:color w:val="auto"/>
              <w:sz w:val="28"/>
              <w:szCs w:val="48"/>
            </w:rPr>
            <w:instrText xml:space="preserve"> HYPERLINK \l _Toc15347 </w:instrText>
          </w:r>
          <w:r>
            <w:rPr>
              <w:rFonts w:hint="eastAsia" w:ascii="宋体" w:hAnsi="宋体" w:eastAsia="宋体" w:cs="宋体"/>
              <w:b/>
              <w:color w:val="auto"/>
              <w:sz w:val="28"/>
              <w:szCs w:val="48"/>
            </w:rPr>
            <w:fldChar w:fldCharType="separate"/>
          </w:r>
          <w:r>
            <w:rPr>
              <w:rFonts w:hint="eastAsia" w:ascii="宋体" w:hAnsi="宋体" w:eastAsia="宋体" w:cs="宋体"/>
              <w:b/>
              <w:color w:val="auto"/>
              <w:sz w:val="28"/>
              <w:szCs w:val="28"/>
            </w:rPr>
            <w:t>二、总体要求</w:t>
          </w:r>
          <w:r>
            <w:rPr>
              <w:rFonts w:hint="eastAsia" w:ascii="宋体" w:hAnsi="宋体" w:eastAsia="宋体" w:cs="宋体"/>
              <w:b/>
              <w:color w:val="auto"/>
              <w:sz w:val="28"/>
              <w:szCs w:val="28"/>
            </w:rPr>
            <w:tab/>
          </w:r>
          <w:r>
            <w:rPr>
              <w:rFonts w:hint="eastAsia" w:ascii="宋体" w:hAnsi="宋体" w:eastAsia="宋体" w:cs="宋体"/>
              <w:b/>
              <w:color w:val="auto"/>
              <w:sz w:val="28"/>
              <w:szCs w:val="28"/>
            </w:rPr>
            <w:fldChar w:fldCharType="begin"/>
          </w:r>
          <w:r>
            <w:rPr>
              <w:rFonts w:hint="eastAsia" w:ascii="宋体" w:hAnsi="宋体" w:eastAsia="宋体" w:cs="宋体"/>
              <w:b/>
              <w:color w:val="auto"/>
              <w:sz w:val="28"/>
              <w:szCs w:val="28"/>
            </w:rPr>
            <w:instrText xml:space="preserve"> PAGEREF _Toc15347 \h </w:instrText>
          </w:r>
          <w:r>
            <w:rPr>
              <w:rFonts w:hint="eastAsia" w:ascii="宋体" w:hAnsi="宋体" w:eastAsia="宋体" w:cs="宋体"/>
              <w:b/>
              <w:color w:val="auto"/>
              <w:sz w:val="28"/>
              <w:szCs w:val="28"/>
            </w:rPr>
            <w:fldChar w:fldCharType="separate"/>
          </w:r>
          <w:r>
            <w:rPr>
              <w:rFonts w:hint="eastAsia" w:ascii="宋体" w:hAnsi="宋体" w:eastAsia="宋体" w:cs="宋体"/>
              <w:b/>
              <w:color w:val="auto"/>
              <w:sz w:val="28"/>
              <w:szCs w:val="28"/>
            </w:rPr>
            <w:t>- 4 -</w:t>
          </w:r>
          <w:r>
            <w:rPr>
              <w:rFonts w:hint="eastAsia" w:ascii="宋体" w:hAnsi="宋体" w:eastAsia="宋体" w:cs="宋体"/>
              <w:b/>
              <w:color w:val="auto"/>
              <w:sz w:val="28"/>
              <w:szCs w:val="28"/>
            </w:rPr>
            <w:fldChar w:fldCharType="end"/>
          </w:r>
          <w:r>
            <w:rPr>
              <w:rFonts w:hint="eastAsia" w:ascii="宋体" w:hAnsi="宋体" w:eastAsia="宋体" w:cs="宋体"/>
              <w:b/>
              <w:color w:val="auto"/>
              <w:sz w:val="28"/>
              <w:szCs w:val="48"/>
            </w:rPr>
            <w:fldChar w:fldCharType="end"/>
          </w:r>
        </w:p>
        <w:p>
          <w:pPr>
            <w:pStyle w:val="30"/>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48"/>
            </w:rPr>
            <w:fldChar w:fldCharType="begin"/>
          </w:r>
          <w:r>
            <w:rPr>
              <w:rFonts w:hint="eastAsia" w:ascii="宋体" w:hAnsi="宋体" w:eastAsia="宋体" w:cs="宋体"/>
              <w:color w:val="auto"/>
              <w:sz w:val="28"/>
              <w:szCs w:val="48"/>
            </w:rPr>
            <w:instrText xml:space="preserve"> HYPERLINK \l _Toc1034 </w:instrText>
          </w:r>
          <w:r>
            <w:rPr>
              <w:rFonts w:hint="eastAsia" w:ascii="宋体" w:hAnsi="宋体" w:eastAsia="宋体" w:cs="宋体"/>
              <w:color w:val="auto"/>
              <w:sz w:val="28"/>
              <w:szCs w:val="48"/>
            </w:rPr>
            <w:fldChar w:fldCharType="separate"/>
          </w:r>
          <w:r>
            <w:rPr>
              <w:rFonts w:hint="eastAsia" w:ascii="宋体" w:hAnsi="宋体" w:eastAsia="宋体" w:cs="宋体"/>
              <w:color w:val="auto"/>
              <w:sz w:val="28"/>
              <w:szCs w:val="28"/>
            </w:rPr>
            <w:t>（一）指导思想</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_Toc1034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- 5 -</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48"/>
            </w:rPr>
            <w:fldChar w:fldCharType="end"/>
          </w:r>
        </w:p>
        <w:p>
          <w:pPr>
            <w:pStyle w:val="30"/>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48"/>
            </w:rPr>
            <w:fldChar w:fldCharType="begin"/>
          </w:r>
          <w:r>
            <w:rPr>
              <w:rFonts w:hint="eastAsia" w:ascii="宋体" w:hAnsi="宋体" w:eastAsia="宋体" w:cs="宋体"/>
              <w:color w:val="auto"/>
              <w:sz w:val="28"/>
              <w:szCs w:val="48"/>
            </w:rPr>
            <w:instrText xml:space="preserve"> HYPERLINK \l _Toc4715 </w:instrText>
          </w:r>
          <w:r>
            <w:rPr>
              <w:rFonts w:hint="eastAsia" w:ascii="宋体" w:hAnsi="宋体" w:eastAsia="宋体" w:cs="宋体"/>
              <w:color w:val="auto"/>
              <w:sz w:val="28"/>
              <w:szCs w:val="48"/>
            </w:rPr>
            <w:fldChar w:fldCharType="separate"/>
          </w:r>
          <w:r>
            <w:rPr>
              <w:rFonts w:hint="eastAsia" w:ascii="宋体" w:hAnsi="宋体" w:eastAsia="宋体" w:cs="宋体"/>
              <w:color w:val="auto"/>
              <w:sz w:val="28"/>
              <w:szCs w:val="28"/>
            </w:rPr>
            <w:t>（二）基本原则</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_Toc4715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- 5 -</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48"/>
            </w:rPr>
            <w:fldChar w:fldCharType="end"/>
          </w:r>
        </w:p>
        <w:p>
          <w:pPr>
            <w:pStyle w:val="30"/>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48"/>
            </w:rPr>
            <w:fldChar w:fldCharType="begin"/>
          </w:r>
          <w:r>
            <w:rPr>
              <w:rFonts w:hint="eastAsia" w:ascii="宋体" w:hAnsi="宋体" w:eastAsia="宋体" w:cs="宋体"/>
              <w:color w:val="auto"/>
              <w:sz w:val="28"/>
              <w:szCs w:val="48"/>
            </w:rPr>
            <w:instrText xml:space="preserve"> HYPERLINK \l _Toc16588 </w:instrText>
          </w:r>
          <w:r>
            <w:rPr>
              <w:rFonts w:hint="eastAsia" w:ascii="宋体" w:hAnsi="宋体" w:eastAsia="宋体" w:cs="宋体"/>
              <w:color w:val="auto"/>
              <w:sz w:val="28"/>
              <w:szCs w:val="48"/>
            </w:rPr>
            <w:fldChar w:fldCharType="separate"/>
          </w:r>
          <w:r>
            <w:rPr>
              <w:rFonts w:hint="eastAsia" w:ascii="宋体" w:hAnsi="宋体" w:eastAsia="宋体" w:cs="宋体"/>
              <w:color w:val="auto"/>
              <w:sz w:val="28"/>
              <w:szCs w:val="28"/>
            </w:rPr>
            <w:t>（三）发展目标</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_Toc16588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- 6 -</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48"/>
            </w:rPr>
            <w:fldChar w:fldCharType="end"/>
          </w:r>
        </w:p>
        <w:p>
          <w:pPr>
            <w:pStyle w:val="29"/>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b/>
              <w:color w:val="auto"/>
              <w:sz w:val="28"/>
              <w:szCs w:val="28"/>
            </w:rPr>
          </w:pPr>
          <w:r>
            <w:rPr>
              <w:rFonts w:hint="eastAsia" w:ascii="宋体" w:hAnsi="宋体" w:eastAsia="宋体" w:cs="宋体"/>
              <w:b/>
              <w:color w:val="auto"/>
              <w:sz w:val="28"/>
              <w:szCs w:val="48"/>
            </w:rPr>
            <w:fldChar w:fldCharType="begin"/>
          </w:r>
          <w:r>
            <w:rPr>
              <w:rFonts w:hint="eastAsia" w:ascii="宋体" w:hAnsi="宋体" w:eastAsia="宋体" w:cs="宋体"/>
              <w:b/>
              <w:color w:val="auto"/>
              <w:sz w:val="28"/>
              <w:szCs w:val="48"/>
            </w:rPr>
            <w:instrText xml:space="preserve"> HYPERLINK \l _Toc16593 </w:instrText>
          </w:r>
          <w:r>
            <w:rPr>
              <w:rFonts w:hint="eastAsia" w:ascii="宋体" w:hAnsi="宋体" w:eastAsia="宋体" w:cs="宋体"/>
              <w:b/>
              <w:color w:val="auto"/>
              <w:sz w:val="28"/>
              <w:szCs w:val="48"/>
            </w:rPr>
            <w:fldChar w:fldCharType="separate"/>
          </w:r>
          <w:r>
            <w:rPr>
              <w:rFonts w:hint="eastAsia" w:ascii="宋体" w:hAnsi="宋体" w:eastAsia="宋体" w:cs="宋体"/>
              <w:b/>
              <w:color w:val="auto"/>
              <w:sz w:val="28"/>
              <w:szCs w:val="28"/>
            </w:rPr>
            <w:t>三、重点任务</w:t>
          </w:r>
          <w:r>
            <w:rPr>
              <w:rFonts w:hint="eastAsia" w:ascii="宋体" w:hAnsi="宋体" w:eastAsia="宋体" w:cs="宋体"/>
              <w:b/>
              <w:color w:val="auto"/>
              <w:sz w:val="28"/>
              <w:szCs w:val="28"/>
            </w:rPr>
            <w:tab/>
          </w:r>
          <w:r>
            <w:rPr>
              <w:rFonts w:hint="eastAsia" w:ascii="宋体" w:hAnsi="宋体" w:eastAsia="宋体" w:cs="宋体"/>
              <w:b/>
              <w:color w:val="auto"/>
              <w:sz w:val="28"/>
              <w:szCs w:val="28"/>
            </w:rPr>
            <w:fldChar w:fldCharType="begin"/>
          </w:r>
          <w:r>
            <w:rPr>
              <w:rFonts w:hint="eastAsia" w:ascii="宋体" w:hAnsi="宋体" w:eastAsia="宋体" w:cs="宋体"/>
              <w:b/>
              <w:color w:val="auto"/>
              <w:sz w:val="28"/>
              <w:szCs w:val="28"/>
            </w:rPr>
            <w:instrText xml:space="preserve"> PAGEREF _Toc16593 \h </w:instrText>
          </w:r>
          <w:r>
            <w:rPr>
              <w:rFonts w:hint="eastAsia" w:ascii="宋体" w:hAnsi="宋体" w:eastAsia="宋体" w:cs="宋体"/>
              <w:b/>
              <w:color w:val="auto"/>
              <w:sz w:val="28"/>
              <w:szCs w:val="28"/>
            </w:rPr>
            <w:fldChar w:fldCharType="separate"/>
          </w:r>
          <w:r>
            <w:rPr>
              <w:rFonts w:hint="eastAsia" w:ascii="宋体" w:hAnsi="宋体" w:eastAsia="宋体" w:cs="宋体"/>
              <w:b/>
              <w:color w:val="auto"/>
              <w:sz w:val="28"/>
              <w:szCs w:val="28"/>
            </w:rPr>
            <w:t>- 7 -</w:t>
          </w:r>
          <w:r>
            <w:rPr>
              <w:rFonts w:hint="eastAsia" w:ascii="宋体" w:hAnsi="宋体" w:eastAsia="宋体" w:cs="宋体"/>
              <w:b/>
              <w:color w:val="auto"/>
              <w:sz w:val="28"/>
              <w:szCs w:val="28"/>
            </w:rPr>
            <w:fldChar w:fldCharType="end"/>
          </w:r>
          <w:r>
            <w:rPr>
              <w:rFonts w:hint="eastAsia" w:ascii="宋体" w:hAnsi="宋体" w:eastAsia="宋体" w:cs="宋体"/>
              <w:b/>
              <w:color w:val="auto"/>
              <w:sz w:val="28"/>
              <w:szCs w:val="48"/>
            </w:rPr>
            <w:fldChar w:fldCharType="end"/>
          </w:r>
        </w:p>
        <w:p>
          <w:pPr>
            <w:pStyle w:val="30"/>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48"/>
            </w:rPr>
            <w:fldChar w:fldCharType="begin"/>
          </w:r>
          <w:r>
            <w:rPr>
              <w:rFonts w:hint="eastAsia" w:ascii="宋体" w:hAnsi="宋体" w:eastAsia="宋体" w:cs="宋体"/>
              <w:color w:val="auto"/>
              <w:sz w:val="28"/>
              <w:szCs w:val="48"/>
            </w:rPr>
            <w:instrText xml:space="preserve"> HYPERLINK \l _Toc6197 </w:instrText>
          </w:r>
          <w:r>
            <w:rPr>
              <w:rFonts w:hint="eastAsia" w:ascii="宋体" w:hAnsi="宋体" w:eastAsia="宋体" w:cs="宋体"/>
              <w:color w:val="auto"/>
              <w:sz w:val="28"/>
              <w:szCs w:val="48"/>
            </w:rPr>
            <w:fldChar w:fldCharType="separate"/>
          </w:r>
          <w:r>
            <w:rPr>
              <w:rFonts w:hint="eastAsia" w:ascii="宋体" w:hAnsi="宋体" w:eastAsia="宋体" w:cs="宋体"/>
              <w:color w:val="auto"/>
              <w:sz w:val="28"/>
              <w:szCs w:val="28"/>
            </w:rPr>
            <w:t>（一）实施交通互</w:t>
          </w:r>
          <w:r>
            <w:rPr>
              <w:rFonts w:hint="eastAsia" w:ascii="宋体" w:hAnsi="宋体" w:eastAsia="宋体" w:cs="宋体"/>
              <w:color w:val="auto"/>
              <w:sz w:val="28"/>
              <w:szCs w:val="28"/>
              <w:lang w:val="en-US" w:eastAsia="zh-CN"/>
            </w:rPr>
            <w:t>通共网</w:t>
          </w:r>
          <w:r>
            <w:rPr>
              <w:rFonts w:hint="eastAsia" w:ascii="宋体" w:hAnsi="宋体" w:eastAsia="宋体" w:cs="宋体"/>
              <w:color w:val="auto"/>
              <w:sz w:val="28"/>
              <w:szCs w:val="28"/>
            </w:rPr>
            <w:t>提速行动</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_Toc6197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- 7 -</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48"/>
            </w:rPr>
            <w:fldChar w:fldCharType="end"/>
          </w:r>
        </w:p>
        <w:p>
          <w:pPr>
            <w:pStyle w:val="30"/>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48"/>
            </w:rPr>
            <w:fldChar w:fldCharType="begin"/>
          </w:r>
          <w:r>
            <w:rPr>
              <w:rFonts w:hint="eastAsia" w:ascii="宋体" w:hAnsi="宋体" w:eastAsia="宋体" w:cs="宋体"/>
              <w:color w:val="auto"/>
              <w:sz w:val="28"/>
              <w:szCs w:val="48"/>
            </w:rPr>
            <w:instrText xml:space="preserve"> HYPERLINK \l _Toc24799 </w:instrText>
          </w:r>
          <w:r>
            <w:rPr>
              <w:rFonts w:hint="eastAsia" w:ascii="宋体" w:hAnsi="宋体" w:eastAsia="宋体" w:cs="宋体"/>
              <w:color w:val="auto"/>
              <w:sz w:val="28"/>
              <w:szCs w:val="48"/>
            </w:rPr>
            <w:fldChar w:fldCharType="separate"/>
          </w:r>
          <w:r>
            <w:rPr>
              <w:rFonts w:hint="eastAsia" w:ascii="宋体" w:hAnsi="宋体" w:eastAsia="宋体" w:cs="宋体"/>
              <w:color w:val="auto"/>
              <w:sz w:val="28"/>
              <w:szCs w:val="28"/>
            </w:rPr>
            <w:t>（二）实施产业</w:t>
          </w:r>
          <w:r>
            <w:rPr>
              <w:rFonts w:hint="eastAsia" w:ascii="宋体" w:hAnsi="宋体" w:eastAsia="宋体" w:cs="宋体"/>
              <w:color w:val="auto"/>
              <w:sz w:val="28"/>
              <w:szCs w:val="28"/>
              <w:lang w:val="en-US" w:eastAsia="zh-CN"/>
            </w:rPr>
            <w:t>互联</w:t>
          </w:r>
          <w:r>
            <w:rPr>
              <w:rFonts w:hint="eastAsia" w:ascii="宋体" w:hAnsi="宋体" w:eastAsia="宋体" w:cs="宋体"/>
              <w:color w:val="auto"/>
              <w:sz w:val="28"/>
              <w:szCs w:val="28"/>
            </w:rPr>
            <w:t>共链提质行动</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_Toc24799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- 9 -</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48"/>
            </w:rPr>
            <w:fldChar w:fldCharType="end"/>
          </w:r>
        </w:p>
        <w:p>
          <w:pPr>
            <w:pStyle w:val="30"/>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48"/>
            </w:rPr>
            <w:fldChar w:fldCharType="begin"/>
          </w:r>
          <w:r>
            <w:rPr>
              <w:rFonts w:hint="eastAsia" w:ascii="宋体" w:hAnsi="宋体" w:eastAsia="宋体" w:cs="宋体"/>
              <w:color w:val="auto"/>
              <w:sz w:val="28"/>
              <w:szCs w:val="48"/>
            </w:rPr>
            <w:instrText xml:space="preserve"> HYPERLINK \l _Toc23248 </w:instrText>
          </w:r>
          <w:r>
            <w:rPr>
              <w:rFonts w:hint="eastAsia" w:ascii="宋体" w:hAnsi="宋体" w:eastAsia="宋体" w:cs="宋体"/>
              <w:color w:val="auto"/>
              <w:sz w:val="28"/>
              <w:szCs w:val="48"/>
            </w:rPr>
            <w:fldChar w:fldCharType="separate"/>
          </w:r>
          <w:r>
            <w:rPr>
              <w:rFonts w:hint="eastAsia" w:ascii="宋体" w:hAnsi="宋体" w:eastAsia="宋体" w:cs="宋体"/>
              <w:color w:val="auto"/>
              <w:sz w:val="28"/>
              <w:szCs w:val="28"/>
            </w:rPr>
            <w:t>（三）实施创新协同</w:t>
          </w:r>
          <w:r>
            <w:rPr>
              <w:rFonts w:hint="eastAsia" w:ascii="宋体" w:hAnsi="宋体" w:cs="宋体"/>
              <w:color w:val="auto"/>
              <w:sz w:val="28"/>
              <w:szCs w:val="28"/>
              <w:lang w:val="en-US" w:eastAsia="zh-CN"/>
            </w:rPr>
            <w:t>共兴</w:t>
          </w:r>
          <w:r>
            <w:rPr>
              <w:rFonts w:hint="eastAsia" w:ascii="宋体" w:hAnsi="宋体" w:eastAsia="宋体" w:cs="宋体"/>
              <w:color w:val="auto"/>
              <w:sz w:val="28"/>
              <w:szCs w:val="28"/>
            </w:rPr>
            <w:t>强化行动</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_Toc23248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- 11 -</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48"/>
            </w:rPr>
            <w:fldChar w:fldCharType="end"/>
          </w:r>
        </w:p>
        <w:p>
          <w:pPr>
            <w:pStyle w:val="30"/>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48"/>
            </w:rPr>
            <w:fldChar w:fldCharType="begin"/>
          </w:r>
          <w:r>
            <w:rPr>
              <w:rFonts w:hint="eastAsia" w:ascii="宋体" w:hAnsi="宋体" w:eastAsia="宋体" w:cs="宋体"/>
              <w:color w:val="auto"/>
              <w:sz w:val="28"/>
              <w:szCs w:val="48"/>
            </w:rPr>
            <w:instrText xml:space="preserve"> HYPERLINK \l _Toc28639 </w:instrText>
          </w:r>
          <w:r>
            <w:rPr>
              <w:rFonts w:hint="eastAsia" w:ascii="宋体" w:hAnsi="宋体" w:eastAsia="宋体" w:cs="宋体"/>
              <w:color w:val="auto"/>
              <w:sz w:val="28"/>
              <w:szCs w:val="48"/>
            </w:rPr>
            <w:fldChar w:fldCharType="separate"/>
          </w:r>
          <w:r>
            <w:rPr>
              <w:rFonts w:hint="eastAsia" w:ascii="宋体" w:hAnsi="宋体" w:eastAsia="宋体" w:cs="宋体"/>
              <w:color w:val="auto"/>
              <w:sz w:val="28"/>
              <w:szCs w:val="28"/>
            </w:rPr>
            <w:t>（四）实施文旅品牌</w:t>
          </w:r>
          <w:r>
            <w:rPr>
              <w:rFonts w:hint="eastAsia" w:ascii="宋体" w:hAnsi="宋体" w:eastAsia="宋体" w:cs="宋体"/>
              <w:color w:val="auto"/>
              <w:sz w:val="28"/>
              <w:szCs w:val="28"/>
              <w:lang w:val="en-US" w:eastAsia="zh-CN"/>
            </w:rPr>
            <w:t>共荣</w:t>
          </w:r>
          <w:r>
            <w:rPr>
              <w:rFonts w:hint="eastAsia" w:ascii="宋体" w:hAnsi="宋体" w:eastAsia="宋体" w:cs="宋体"/>
              <w:color w:val="auto"/>
              <w:sz w:val="28"/>
              <w:szCs w:val="28"/>
            </w:rPr>
            <w:t>提升行动</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_Toc28639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- 13 -</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48"/>
            </w:rPr>
            <w:fldChar w:fldCharType="end"/>
          </w:r>
        </w:p>
        <w:p>
          <w:pPr>
            <w:pStyle w:val="30"/>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48"/>
            </w:rPr>
            <w:fldChar w:fldCharType="begin"/>
          </w:r>
          <w:r>
            <w:rPr>
              <w:rFonts w:hint="eastAsia" w:ascii="宋体" w:hAnsi="宋体" w:eastAsia="宋体" w:cs="宋体"/>
              <w:color w:val="auto"/>
              <w:sz w:val="28"/>
              <w:szCs w:val="48"/>
            </w:rPr>
            <w:instrText xml:space="preserve"> HYPERLINK \l _Toc27649 </w:instrText>
          </w:r>
          <w:r>
            <w:rPr>
              <w:rFonts w:hint="eastAsia" w:ascii="宋体" w:hAnsi="宋体" w:eastAsia="宋体" w:cs="宋体"/>
              <w:color w:val="auto"/>
              <w:sz w:val="28"/>
              <w:szCs w:val="48"/>
            </w:rPr>
            <w:fldChar w:fldCharType="separate"/>
          </w:r>
          <w:r>
            <w:rPr>
              <w:rFonts w:hint="eastAsia" w:ascii="宋体" w:hAnsi="宋体" w:eastAsia="宋体" w:cs="宋体"/>
              <w:color w:val="auto"/>
              <w:sz w:val="28"/>
              <w:szCs w:val="28"/>
            </w:rPr>
            <w:t>（五）实施民生智慧共享提标行动</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_Toc27649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- 14 -</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48"/>
            </w:rPr>
            <w:fldChar w:fldCharType="end"/>
          </w:r>
        </w:p>
        <w:p>
          <w:pPr>
            <w:pStyle w:val="30"/>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48"/>
            </w:rPr>
            <w:fldChar w:fldCharType="begin"/>
          </w:r>
          <w:r>
            <w:rPr>
              <w:rFonts w:hint="eastAsia" w:ascii="宋体" w:hAnsi="宋体" w:eastAsia="宋体" w:cs="宋体"/>
              <w:color w:val="auto"/>
              <w:sz w:val="28"/>
              <w:szCs w:val="48"/>
            </w:rPr>
            <w:instrText xml:space="preserve"> HYPERLINK \l _Toc14813 </w:instrText>
          </w:r>
          <w:r>
            <w:rPr>
              <w:rFonts w:hint="eastAsia" w:ascii="宋体" w:hAnsi="宋体" w:eastAsia="宋体" w:cs="宋体"/>
              <w:color w:val="auto"/>
              <w:sz w:val="28"/>
              <w:szCs w:val="48"/>
            </w:rPr>
            <w:fldChar w:fldCharType="separate"/>
          </w:r>
          <w:r>
            <w:rPr>
              <w:rFonts w:hint="eastAsia" w:ascii="宋体" w:hAnsi="宋体" w:eastAsia="宋体" w:cs="宋体"/>
              <w:color w:val="auto"/>
              <w:sz w:val="28"/>
              <w:szCs w:val="28"/>
            </w:rPr>
            <w:t>（六）实施生态共管共治扩面行动</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_Toc14813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- 17 -</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48"/>
            </w:rPr>
            <w:fldChar w:fldCharType="end"/>
          </w:r>
        </w:p>
        <w:p>
          <w:pPr>
            <w:pStyle w:val="29"/>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b/>
              <w:color w:val="auto"/>
              <w:sz w:val="28"/>
              <w:szCs w:val="28"/>
            </w:rPr>
          </w:pPr>
          <w:r>
            <w:rPr>
              <w:rFonts w:hint="eastAsia" w:ascii="宋体" w:hAnsi="宋体" w:eastAsia="宋体" w:cs="宋体"/>
              <w:b/>
              <w:color w:val="auto"/>
              <w:sz w:val="28"/>
              <w:szCs w:val="48"/>
            </w:rPr>
            <w:fldChar w:fldCharType="begin"/>
          </w:r>
          <w:r>
            <w:rPr>
              <w:rFonts w:hint="eastAsia" w:ascii="宋体" w:hAnsi="宋体" w:eastAsia="宋体" w:cs="宋体"/>
              <w:b/>
              <w:color w:val="auto"/>
              <w:sz w:val="28"/>
              <w:szCs w:val="48"/>
            </w:rPr>
            <w:instrText xml:space="preserve"> HYPERLINK \l _Toc27891 </w:instrText>
          </w:r>
          <w:r>
            <w:rPr>
              <w:rFonts w:hint="eastAsia" w:ascii="宋体" w:hAnsi="宋体" w:eastAsia="宋体" w:cs="宋体"/>
              <w:b/>
              <w:color w:val="auto"/>
              <w:sz w:val="28"/>
              <w:szCs w:val="48"/>
            </w:rPr>
            <w:fldChar w:fldCharType="separate"/>
          </w:r>
          <w:r>
            <w:rPr>
              <w:rFonts w:hint="eastAsia" w:ascii="宋体" w:hAnsi="宋体" w:eastAsia="宋体" w:cs="宋体"/>
              <w:b/>
              <w:color w:val="auto"/>
              <w:sz w:val="28"/>
              <w:szCs w:val="28"/>
              <w:lang w:val="en-US" w:eastAsia="zh-CN"/>
            </w:rPr>
            <w:t>四</w:t>
          </w:r>
          <w:r>
            <w:rPr>
              <w:rFonts w:hint="eastAsia" w:ascii="宋体" w:hAnsi="宋体" w:eastAsia="宋体" w:cs="宋体"/>
              <w:b/>
              <w:color w:val="auto"/>
              <w:sz w:val="28"/>
              <w:szCs w:val="28"/>
            </w:rPr>
            <w:t>、保障措施</w:t>
          </w:r>
          <w:r>
            <w:rPr>
              <w:rFonts w:hint="eastAsia" w:ascii="宋体" w:hAnsi="宋体" w:eastAsia="宋体" w:cs="宋体"/>
              <w:b/>
              <w:color w:val="auto"/>
              <w:sz w:val="28"/>
              <w:szCs w:val="28"/>
            </w:rPr>
            <w:tab/>
          </w:r>
          <w:r>
            <w:rPr>
              <w:rFonts w:hint="eastAsia" w:ascii="宋体" w:hAnsi="宋体" w:eastAsia="宋体" w:cs="宋体"/>
              <w:b/>
              <w:color w:val="auto"/>
              <w:sz w:val="28"/>
              <w:szCs w:val="28"/>
            </w:rPr>
            <w:fldChar w:fldCharType="begin"/>
          </w:r>
          <w:r>
            <w:rPr>
              <w:rFonts w:hint="eastAsia" w:ascii="宋体" w:hAnsi="宋体" w:eastAsia="宋体" w:cs="宋体"/>
              <w:b/>
              <w:color w:val="auto"/>
              <w:sz w:val="28"/>
              <w:szCs w:val="28"/>
            </w:rPr>
            <w:instrText xml:space="preserve"> PAGEREF _Toc27891 \h </w:instrText>
          </w:r>
          <w:r>
            <w:rPr>
              <w:rFonts w:hint="eastAsia" w:ascii="宋体" w:hAnsi="宋体" w:eastAsia="宋体" w:cs="宋体"/>
              <w:b/>
              <w:color w:val="auto"/>
              <w:sz w:val="28"/>
              <w:szCs w:val="28"/>
            </w:rPr>
            <w:fldChar w:fldCharType="separate"/>
          </w:r>
          <w:r>
            <w:rPr>
              <w:rFonts w:hint="eastAsia" w:ascii="宋体" w:hAnsi="宋体" w:eastAsia="宋体" w:cs="宋体"/>
              <w:b/>
              <w:color w:val="auto"/>
              <w:sz w:val="28"/>
              <w:szCs w:val="28"/>
            </w:rPr>
            <w:t>- 18 -</w:t>
          </w:r>
          <w:r>
            <w:rPr>
              <w:rFonts w:hint="eastAsia" w:ascii="宋体" w:hAnsi="宋体" w:eastAsia="宋体" w:cs="宋体"/>
              <w:b/>
              <w:color w:val="auto"/>
              <w:sz w:val="28"/>
              <w:szCs w:val="28"/>
            </w:rPr>
            <w:fldChar w:fldCharType="end"/>
          </w:r>
          <w:r>
            <w:rPr>
              <w:rFonts w:hint="eastAsia" w:ascii="宋体" w:hAnsi="宋体" w:eastAsia="宋体" w:cs="宋体"/>
              <w:b/>
              <w:color w:val="auto"/>
              <w:sz w:val="28"/>
              <w:szCs w:val="48"/>
            </w:rPr>
            <w:fldChar w:fldCharType="end"/>
          </w:r>
        </w:p>
        <w:p>
          <w:pPr>
            <w:pStyle w:val="30"/>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48"/>
            </w:rPr>
            <w:fldChar w:fldCharType="begin"/>
          </w:r>
          <w:r>
            <w:rPr>
              <w:rFonts w:hint="eastAsia" w:ascii="宋体" w:hAnsi="宋体" w:eastAsia="宋体" w:cs="宋体"/>
              <w:color w:val="auto"/>
              <w:sz w:val="28"/>
              <w:szCs w:val="48"/>
            </w:rPr>
            <w:instrText xml:space="preserve"> HYPERLINK \l _Toc4964 </w:instrText>
          </w:r>
          <w:r>
            <w:rPr>
              <w:rFonts w:hint="eastAsia" w:ascii="宋体" w:hAnsi="宋体" w:eastAsia="宋体" w:cs="宋体"/>
              <w:color w:val="auto"/>
              <w:sz w:val="28"/>
              <w:szCs w:val="48"/>
            </w:rPr>
            <w:fldChar w:fldCharType="separate"/>
          </w:r>
          <w:r>
            <w:rPr>
              <w:rFonts w:hint="eastAsia" w:ascii="宋体" w:hAnsi="宋体" w:eastAsia="宋体" w:cs="宋体"/>
              <w:color w:val="auto"/>
              <w:sz w:val="28"/>
              <w:szCs w:val="28"/>
            </w:rPr>
            <w:t>（一）加强组织领导</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_Toc4964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- 19 -</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48"/>
            </w:rPr>
            <w:fldChar w:fldCharType="end"/>
          </w:r>
        </w:p>
        <w:p>
          <w:pPr>
            <w:pStyle w:val="30"/>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48"/>
            </w:rPr>
            <w:fldChar w:fldCharType="begin"/>
          </w:r>
          <w:r>
            <w:rPr>
              <w:rFonts w:hint="eastAsia" w:ascii="宋体" w:hAnsi="宋体" w:eastAsia="宋体" w:cs="宋体"/>
              <w:color w:val="auto"/>
              <w:sz w:val="28"/>
              <w:szCs w:val="48"/>
            </w:rPr>
            <w:instrText xml:space="preserve"> HYPERLINK \l _Toc24552 </w:instrText>
          </w:r>
          <w:r>
            <w:rPr>
              <w:rFonts w:hint="eastAsia" w:ascii="宋体" w:hAnsi="宋体" w:eastAsia="宋体" w:cs="宋体"/>
              <w:color w:val="auto"/>
              <w:sz w:val="28"/>
              <w:szCs w:val="48"/>
            </w:rPr>
            <w:fldChar w:fldCharType="separate"/>
          </w:r>
          <w:r>
            <w:rPr>
              <w:rFonts w:hint="eastAsia" w:ascii="宋体" w:hAnsi="宋体" w:eastAsia="宋体" w:cs="宋体"/>
              <w:color w:val="auto"/>
              <w:sz w:val="28"/>
              <w:szCs w:val="28"/>
            </w:rPr>
            <w:t>（二）推进机制创新</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_Toc24552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- 19 -</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48"/>
            </w:rPr>
            <w:fldChar w:fldCharType="end"/>
          </w:r>
        </w:p>
        <w:p>
          <w:pPr>
            <w:pStyle w:val="30"/>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48"/>
            </w:rPr>
            <w:fldChar w:fldCharType="begin"/>
          </w:r>
          <w:r>
            <w:rPr>
              <w:rFonts w:hint="eastAsia" w:ascii="宋体" w:hAnsi="宋体" w:eastAsia="宋体" w:cs="宋体"/>
              <w:color w:val="auto"/>
              <w:sz w:val="28"/>
              <w:szCs w:val="48"/>
            </w:rPr>
            <w:instrText xml:space="preserve"> HYPERLINK \l _Toc32263 </w:instrText>
          </w:r>
          <w:r>
            <w:rPr>
              <w:rFonts w:hint="eastAsia" w:ascii="宋体" w:hAnsi="宋体" w:eastAsia="宋体" w:cs="宋体"/>
              <w:color w:val="auto"/>
              <w:sz w:val="28"/>
              <w:szCs w:val="48"/>
            </w:rPr>
            <w:fldChar w:fldCharType="separate"/>
          </w:r>
          <w:r>
            <w:rPr>
              <w:rFonts w:hint="eastAsia" w:ascii="宋体" w:hAnsi="宋体" w:eastAsia="宋体" w:cs="宋体"/>
              <w:color w:val="auto"/>
              <w:sz w:val="28"/>
              <w:szCs w:val="28"/>
            </w:rPr>
            <w:t>（三）强化要素支撑</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_Toc32263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- 19 -</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48"/>
            </w:rPr>
            <w:fldChar w:fldCharType="end"/>
          </w:r>
        </w:p>
        <w:p>
          <w:pPr>
            <w:pStyle w:val="30"/>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48"/>
            </w:rPr>
            <w:fldChar w:fldCharType="begin"/>
          </w:r>
          <w:r>
            <w:rPr>
              <w:rFonts w:hint="eastAsia" w:ascii="宋体" w:hAnsi="宋体" w:eastAsia="宋体" w:cs="宋体"/>
              <w:color w:val="auto"/>
              <w:sz w:val="28"/>
              <w:szCs w:val="48"/>
            </w:rPr>
            <w:instrText xml:space="preserve"> HYPERLINK \l _Toc3864 </w:instrText>
          </w:r>
          <w:r>
            <w:rPr>
              <w:rFonts w:hint="eastAsia" w:ascii="宋体" w:hAnsi="宋体" w:eastAsia="宋体" w:cs="宋体"/>
              <w:color w:val="auto"/>
              <w:sz w:val="28"/>
              <w:szCs w:val="48"/>
            </w:rPr>
            <w:fldChar w:fldCharType="separate"/>
          </w:r>
          <w:r>
            <w:rPr>
              <w:rFonts w:hint="eastAsia" w:ascii="宋体" w:hAnsi="宋体" w:eastAsia="宋体" w:cs="宋体"/>
              <w:color w:val="auto"/>
              <w:sz w:val="28"/>
              <w:szCs w:val="28"/>
            </w:rPr>
            <w:t>（四）营造发展环境</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_Toc3864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- 19 -</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48"/>
            </w:rPr>
            <w:fldChar w:fldCharType="end"/>
          </w:r>
        </w:p>
        <w:p>
          <w:pPr>
            <w:pStyle w:val="29"/>
            <w:keepNext w:val="0"/>
            <w:keepLines w:val="0"/>
            <w:pageBreakBefore w:val="0"/>
            <w:tabs>
              <w:tab w:val="right" w:leader="dot" w:pos="8306"/>
            </w:tabs>
            <w:kinsoku/>
            <w:wordWrap/>
            <w:overflowPunct/>
            <w:topLinePunct w:val="0"/>
            <w:autoSpaceDE/>
            <w:autoSpaceDN/>
            <w:bidi w:val="0"/>
            <w:adjustRightInd/>
            <w:snapToGrid/>
            <w:spacing w:line="500" w:lineRule="exact"/>
            <w:ind w:left="562" w:hanging="562" w:hangingChars="200"/>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fldChar w:fldCharType="begin"/>
          </w:r>
          <w:r>
            <w:rPr>
              <w:rFonts w:hint="eastAsia" w:ascii="宋体" w:hAnsi="宋体" w:eastAsia="宋体" w:cs="宋体"/>
              <w:b/>
              <w:color w:val="auto"/>
              <w:sz w:val="28"/>
              <w:szCs w:val="28"/>
            </w:rPr>
            <w:instrText xml:space="preserve"> HYPERLINK \l _Toc30278 </w:instrText>
          </w:r>
          <w:r>
            <w:rPr>
              <w:rFonts w:hint="eastAsia" w:ascii="宋体" w:hAnsi="宋体" w:eastAsia="宋体" w:cs="宋体"/>
              <w:b/>
              <w:color w:val="auto"/>
              <w:sz w:val="28"/>
              <w:szCs w:val="28"/>
            </w:rPr>
            <w:fldChar w:fldCharType="separate"/>
          </w:r>
          <w:r>
            <w:rPr>
              <w:rFonts w:hint="eastAsia" w:ascii="宋体" w:hAnsi="宋体" w:eastAsia="宋体" w:cs="宋体"/>
              <w:b/>
              <w:color w:val="auto"/>
              <w:sz w:val="28"/>
              <w:szCs w:val="28"/>
            </w:rPr>
            <w:t>附件1诸暨市“杭绍同城”</w:t>
          </w:r>
          <w:r>
            <w:rPr>
              <w:rFonts w:hint="eastAsia" w:ascii="宋体" w:hAnsi="宋体" w:cs="宋体"/>
              <w:b/>
              <w:color w:val="auto"/>
              <w:sz w:val="28"/>
              <w:szCs w:val="28"/>
              <w:lang w:val="en-US" w:eastAsia="zh-CN"/>
            </w:rPr>
            <w:t>三年</w:t>
          </w:r>
          <w:r>
            <w:rPr>
              <w:rFonts w:hint="eastAsia" w:ascii="宋体" w:hAnsi="宋体" w:eastAsia="宋体" w:cs="宋体"/>
              <w:b/>
              <w:color w:val="auto"/>
              <w:sz w:val="28"/>
              <w:szCs w:val="28"/>
            </w:rPr>
            <w:t>行动计划（2023-2025）重点任务</w:t>
          </w:r>
          <w:r>
            <w:rPr>
              <w:rFonts w:hint="eastAsia" w:ascii="宋体" w:hAnsi="宋体" w:eastAsia="宋体" w:cs="宋体"/>
              <w:b/>
              <w:color w:val="auto"/>
              <w:sz w:val="28"/>
              <w:szCs w:val="28"/>
            </w:rPr>
            <w:t>分解表</w:t>
          </w:r>
          <w:r>
            <w:rPr>
              <w:rFonts w:hint="eastAsia" w:ascii="宋体" w:hAnsi="宋体" w:eastAsia="宋体" w:cs="宋体"/>
              <w:b/>
              <w:color w:val="auto"/>
              <w:sz w:val="28"/>
              <w:szCs w:val="28"/>
            </w:rPr>
            <w:tab/>
          </w:r>
          <w:r>
            <w:rPr>
              <w:rFonts w:hint="eastAsia" w:ascii="宋体" w:hAnsi="宋体" w:eastAsia="宋体" w:cs="宋体"/>
              <w:b/>
              <w:color w:val="auto"/>
              <w:sz w:val="28"/>
              <w:szCs w:val="28"/>
            </w:rPr>
            <w:fldChar w:fldCharType="begin"/>
          </w:r>
          <w:r>
            <w:rPr>
              <w:rFonts w:hint="eastAsia" w:ascii="宋体" w:hAnsi="宋体" w:eastAsia="宋体" w:cs="宋体"/>
              <w:b/>
              <w:color w:val="auto"/>
              <w:sz w:val="28"/>
              <w:szCs w:val="28"/>
            </w:rPr>
            <w:instrText xml:space="preserve"> PAGEREF _Toc30278 \h </w:instrText>
          </w:r>
          <w:r>
            <w:rPr>
              <w:rFonts w:hint="eastAsia" w:ascii="宋体" w:hAnsi="宋体" w:eastAsia="宋体" w:cs="宋体"/>
              <w:b/>
              <w:color w:val="auto"/>
              <w:sz w:val="28"/>
              <w:szCs w:val="28"/>
            </w:rPr>
            <w:fldChar w:fldCharType="separate"/>
          </w:r>
          <w:r>
            <w:rPr>
              <w:rFonts w:hint="eastAsia" w:ascii="宋体" w:hAnsi="宋体" w:eastAsia="宋体" w:cs="宋体"/>
              <w:b/>
              <w:color w:val="auto"/>
              <w:sz w:val="28"/>
              <w:szCs w:val="28"/>
            </w:rPr>
            <w:t>- 20 -</w:t>
          </w:r>
          <w:r>
            <w:rPr>
              <w:rFonts w:hint="eastAsia" w:ascii="宋体" w:hAnsi="宋体" w:eastAsia="宋体" w:cs="宋体"/>
              <w:b/>
              <w:color w:val="auto"/>
              <w:sz w:val="28"/>
              <w:szCs w:val="28"/>
            </w:rPr>
            <w:fldChar w:fldCharType="end"/>
          </w:r>
          <w:r>
            <w:rPr>
              <w:rFonts w:hint="eastAsia" w:ascii="宋体" w:hAnsi="宋体" w:eastAsia="宋体" w:cs="宋体"/>
              <w:b/>
              <w:color w:val="auto"/>
              <w:sz w:val="28"/>
              <w:szCs w:val="28"/>
            </w:rPr>
            <w:fldChar w:fldCharType="end"/>
          </w:r>
        </w:p>
        <w:p>
          <w:pPr>
            <w:pStyle w:val="29"/>
            <w:keepNext w:val="0"/>
            <w:keepLines w:val="0"/>
            <w:pageBreakBefore w:val="0"/>
            <w:tabs>
              <w:tab w:val="right" w:leader="dot" w:pos="8306"/>
            </w:tabs>
            <w:kinsoku/>
            <w:wordWrap/>
            <w:overflowPunct/>
            <w:topLinePunct w:val="0"/>
            <w:autoSpaceDE/>
            <w:autoSpaceDN/>
            <w:bidi w:val="0"/>
            <w:adjustRightInd/>
            <w:snapToGrid/>
            <w:spacing w:line="500" w:lineRule="exact"/>
            <w:ind w:left="562" w:hanging="562" w:hangingChars="200"/>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fldChar w:fldCharType="begin"/>
          </w:r>
          <w:r>
            <w:rPr>
              <w:rFonts w:hint="eastAsia" w:ascii="宋体" w:hAnsi="宋体" w:eastAsia="宋体" w:cs="宋体"/>
              <w:b/>
              <w:color w:val="auto"/>
              <w:sz w:val="28"/>
              <w:szCs w:val="28"/>
            </w:rPr>
            <w:instrText xml:space="preserve"> HYPERLINK \l _Toc7048 </w:instrText>
          </w:r>
          <w:r>
            <w:rPr>
              <w:rFonts w:hint="eastAsia" w:ascii="宋体" w:hAnsi="宋体" w:eastAsia="宋体" w:cs="宋体"/>
              <w:b/>
              <w:color w:val="auto"/>
              <w:sz w:val="28"/>
              <w:szCs w:val="28"/>
            </w:rPr>
            <w:fldChar w:fldCharType="separate"/>
          </w:r>
          <w:r>
            <w:rPr>
              <w:rFonts w:hint="eastAsia" w:ascii="宋体" w:hAnsi="宋体" w:eastAsia="宋体" w:cs="宋体"/>
              <w:b/>
              <w:color w:val="auto"/>
              <w:sz w:val="28"/>
              <w:szCs w:val="28"/>
            </w:rPr>
            <w:t>附件2诸暨市“杭绍同城”</w:t>
          </w:r>
          <w:r>
            <w:rPr>
              <w:rFonts w:hint="eastAsia" w:ascii="宋体" w:hAnsi="宋体" w:cs="宋体"/>
              <w:b/>
              <w:color w:val="auto"/>
              <w:sz w:val="28"/>
              <w:szCs w:val="28"/>
              <w:lang w:val="en-US" w:eastAsia="zh-CN"/>
            </w:rPr>
            <w:t>三年</w:t>
          </w:r>
          <w:r>
            <w:rPr>
              <w:rFonts w:hint="eastAsia" w:ascii="宋体" w:hAnsi="宋体" w:eastAsia="宋体" w:cs="宋体"/>
              <w:b/>
              <w:color w:val="auto"/>
              <w:sz w:val="28"/>
              <w:szCs w:val="28"/>
            </w:rPr>
            <w:t>行动计划（2023-2025）重点项目</w:t>
          </w:r>
          <w:r>
            <w:rPr>
              <w:rFonts w:hint="eastAsia" w:ascii="宋体" w:hAnsi="宋体" w:eastAsia="宋体" w:cs="宋体"/>
              <w:b/>
              <w:color w:val="auto"/>
              <w:sz w:val="28"/>
              <w:szCs w:val="28"/>
            </w:rPr>
            <w:t>建设表</w:t>
          </w:r>
          <w:r>
            <w:rPr>
              <w:rFonts w:hint="eastAsia" w:ascii="宋体" w:hAnsi="宋体" w:eastAsia="宋体" w:cs="宋体"/>
              <w:b/>
              <w:color w:val="auto"/>
              <w:sz w:val="28"/>
              <w:szCs w:val="28"/>
            </w:rPr>
            <w:tab/>
          </w:r>
          <w:r>
            <w:rPr>
              <w:rFonts w:hint="eastAsia" w:ascii="宋体" w:hAnsi="宋体" w:eastAsia="宋体" w:cs="宋体"/>
              <w:b/>
              <w:color w:val="auto"/>
              <w:sz w:val="28"/>
              <w:szCs w:val="28"/>
            </w:rPr>
            <w:fldChar w:fldCharType="end"/>
          </w:r>
          <w:r>
            <w:rPr>
              <w:rFonts w:hint="eastAsia" w:ascii="宋体" w:hAnsi="宋体" w:eastAsia="宋体" w:cs="宋体"/>
              <w:b/>
              <w:color w:val="auto"/>
              <w:sz w:val="28"/>
              <w:szCs w:val="28"/>
            </w:rPr>
            <w:fldChar w:fldCharType="begin"/>
          </w:r>
          <w:r>
            <w:rPr>
              <w:rFonts w:hint="eastAsia" w:ascii="宋体" w:hAnsi="宋体" w:eastAsia="宋体" w:cs="宋体"/>
              <w:b/>
              <w:color w:val="auto"/>
              <w:sz w:val="28"/>
              <w:szCs w:val="28"/>
            </w:rPr>
            <w:instrText xml:space="preserve"> PAGEREF _Toc30278 \h </w:instrText>
          </w:r>
          <w:r>
            <w:rPr>
              <w:rFonts w:hint="eastAsia" w:ascii="宋体" w:hAnsi="宋体" w:eastAsia="宋体" w:cs="宋体"/>
              <w:b/>
              <w:color w:val="auto"/>
              <w:sz w:val="28"/>
              <w:szCs w:val="28"/>
            </w:rPr>
            <w:fldChar w:fldCharType="separate"/>
          </w:r>
          <w:r>
            <w:rPr>
              <w:rFonts w:hint="eastAsia" w:ascii="宋体" w:hAnsi="宋体" w:eastAsia="宋体" w:cs="宋体"/>
              <w:b/>
              <w:color w:val="auto"/>
              <w:sz w:val="28"/>
              <w:szCs w:val="28"/>
            </w:rPr>
            <w:t>- 20 -</w:t>
          </w:r>
          <w:r>
            <w:rPr>
              <w:rFonts w:hint="eastAsia" w:ascii="宋体" w:hAnsi="宋体" w:eastAsia="宋体" w:cs="宋体"/>
              <w:b/>
              <w:color w:val="auto"/>
              <w:sz w:val="28"/>
              <w:szCs w:val="28"/>
            </w:rPr>
            <w:fldChar w:fldCharType="end"/>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Times New Roman" w:hAnsi="Times New Roman" w:eastAsia="仿宋_GB2312" w:cs="Times New Roman"/>
              <w:color w:val="auto"/>
              <w:sz w:val="32"/>
              <w:szCs w:val="32"/>
            </w:rPr>
          </w:pPr>
          <w:r>
            <w:rPr>
              <w:rFonts w:hint="eastAsia" w:ascii="宋体" w:hAnsi="宋体" w:eastAsia="宋体" w:cs="宋体"/>
              <w:b/>
              <w:color w:val="auto"/>
              <w:sz w:val="32"/>
              <w:szCs w:val="48"/>
            </w:rPr>
            <w:fldChar w:fldCharType="end"/>
          </w:r>
        </w:p>
      </w:sdtContent>
    </w:sdt>
    <w:p>
      <w:pPr>
        <w:spacing w:line="560" w:lineRule="exact"/>
        <w:ind w:firstLine="640" w:firstLineChars="200"/>
        <w:rPr>
          <w:rFonts w:ascii="Times New Roman" w:hAnsi="Times New Roman" w:eastAsia="仿宋_GB2312" w:cs="Times New Roman"/>
          <w:color w:val="auto"/>
          <w:sz w:val="32"/>
          <w:szCs w:val="32"/>
        </w:rPr>
      </w:pPr>
    </w:p>
    <w:p>
      <w:pPr>
        <w:spacing w:line="560" w:lineRule="exact"/>
        <w:ind w:firstLine="640" w:firstLineChars="200"/>
        <w:rPr>
          <w:rFonts w:ascii="Times New Roman" w:hAnsi="Times New Roman" w:eastAsia="仿宋_GB2312" w:cs="Times New Roman"/>
          <w:color w:val="auto"/>
          <w:sz w:val="32"/>
          <w:szCs w:val="32"/>
        </w:rPr>
      </w:pPr>
    </w:p>
    <w:p>
      <w:pPr>
        <w:spacing w:line="560" w:lineRule="exact"/>
        <w:ind w:firstLine="640" w:firstLineChars="200"/>
        <w:rPr>
          <w:rFonts w:ascii="Times New Roman" w:hAnsi="Times New Roman" w:eastAsia="仿宋_GB2312" w:cs="Times New Roman"/>
          <w:color w:val="auto"/>
          <w:sz w:val="32"/>
          <w:szCs w:val="32"/>
        </w:rPr>
      </w:pPr>
    </w:p>
    <w:p>
      <w:pPr>
        <w:spacing w:line="560" w:lineRule="exact"/>
        <w:ind w:firstLine="640" w:firstLineChars="200"/>
        <w:rPr>
          <w:rFonts w:ascii="Times New Roman" w:hAnsi="Times New Roman" w:eastAsia="仿宋_GB2312" w:cs="Times New Roman"/>
          <w:color w:val="auto"/>
          <w:sz w:val="32"/>
          <w:szCs w:val="32"/>
        </w:rPr>
      </w:pPr>
    </w:p>
    <w:p>
      <w:pPr>
        <w:spacing w:line="560" w:lineRule="exact"/>
        <w:ind w:firstLine="640" w:firstLineChars="200"/>
        <w:rPr>
          <w:rFonts w:ascii="Times New Roman" w:hAnsi="Times New Roman" w:eastAsia="仿宋_GB2312" w:cs="Times New Roman"/>
          <w:color w:val="auto"/>
          <w:sz w:val="32"/>
          <w:szCs w:val="32"/>
        </w:rPr>
        <w:sectPr>
          <w:footerReference r:id="rId3" w:type="default"/>
          <w:pgSz w:w="11906" w:h="16838"/>
          <w:pgMar w:top="1440" w:right="1800" w:bottom="1440" w:left="1800" w:header="851" w:footer="992" w:gutter="0"/>
          <w:pgNumType w:fmt="upperRoman" w:start="1"/>
          <w:cols w:space="425" w:num="1"/>
          <w:docGrid w:type="lines" w:linePitch="312" w:charSpace="0"/>
        </w:sectPr>
      </w:pP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全面深化“杭绍同城”战略，是诸暨市提升城市发展能级，推动城乡发展跨越提升，奋力打造新时代共同富裕新高地的重要路径。为纵深推进“杭绍同城”，高水平谱写社会主义现代化建设诸暨篇章，特制定</w:t>
      </w:r>
      <w:r>
        <w:rPr>
          <w:rFonts w:hint="eastAsia" w:ascii="Times New Roman" w:hAnsi="Times New Roman" w:eastAsia="仿宋_GB2312" w:cs="Times New Roman"/>
          <w:color w:val="auto"/>
          <w:sz w:val="32"/>
          <w:szCs w:val="32"/>
          <w:lang w:val="en-US" w:eastAsia="zh-CN"/>
        </w:rPr>
        <w:t>本行动计划</w:t>
      </w:r>
      <w:r>
        <w:rPr>
          <w:rFonts w:ascii="Times New Roman" w:hAnsi="Times New Roman" w:eastAsia="仿宋_GB2312" w:cs="Times New Roman"/>
          <w:color w:val="auto"/>
          <w:sz w:val="32"/>
          <w:szCs w:val="32"/>
        </w:rPr>
        <w:t>。</w:t>
      </w:r>
    </w:p>
    <w:p>
      <w:pPr>
        <w:pStyle w:val="4"/>
        <w:numPr>
          <w:ilvl w:val="0"/>
          <w:numId w:val="1"/>
        </w:numPr>
        <w:bidi w:val="0"/>
        <w:rPr>
          <w:color w:val="auto"/>
        </w:rPr>
      </w:pPr>
      <w:bookmarkStart w:id="0" w:name="_Toc21961"/>
      <w:r>
        <w:rPr>
          <w:color w:val="auto"/>
        </w:rPr>
        <w:t>行动背景</w:t>
      </w:r>
      <w:bookmarkEnd w:id="0"/>
    </w:p>
    <w:p>
      <w:pPr>
        <w:spacing w:line="560" w:lineRule="exact"/>
        <w:ind w:firstLine="640" w:firstLineChars="200"/>
        <w:outlineLvl w:val="1"/>
        <w:rPr>
          <w:rFonts w:ascii="Times New Roman" w:hAnsi="Times New Roman" w:eastAsia="楷体_GB2312" w:cs="Times New Roman"/>
          <w:color w:val="auto"/>
          <w:sz w:val="32"/>
          <w:szCs w:val="32"/>
        </w:rPr>
      </w:pPr>
      <w:bookmarkStart w:id="1" w:name="_Toc28310"/>
      <w:r>
        <w:rPr>
          <w:rFonts w:ascii="Times New Roman" w:hAnsi="Times New Roman" w:eastAsia="楷体_GB2312" w:cs="Times New Roman"/>
          <w:color w:val="auto"/>
          <w:sz w:val="32"/>
          <w:szCs w:val="32"/>
        </w:rPr>
        <w:t>（一）行动基础</w:t>
      </w:r>
      <w:bookmarkEnd w:id="1"/>
    </w:p>
    <w:p>
      <w:pPr>
        <w:spacing w:line="560" w:lineRule="exact"/>
        <w:ind w:firstLine="643" w:firstLineChars="200"/>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1.同城体制机制实现大接轨。</w:t>
      </w:r>
      <w:r>
        <w:rPr>
          <w:rFonts w:ascii="Times New Roman" w:hAnsi="Times New Roman" w:eastAsia="仿宋_GB2312" w:cs="Times New Roman"/>
          <w:bCs/>
          <w:color w:val="auto"/>
          <w:sz w:val="32"/>
          <w:szCs w:val="32"/>
        </w:rPr>
        <w:t>顶层规划设计衔接顺畅，《浙江省推进长江三角洲区域一体化发展行动方案》《杭绍甬一体化实施方案》《杭州都市圈发展规划（2020-2035年）》（送审稿）均</w:t>
      </w:r>
      <w:r>
        <w:rPr>
          <w:rFonts w:hint="eastAsia" w:ascii="Times New Roman" w:hAnsi="Times New Roman" w:eastAsia="仿宋_GB2312" w:cs="Times New Roman"/>
          <w:bCs/>
          <w:color w:val="auto"/>
          <w:sz w:val="32"/>
          <w:szCs w:val="32"/>
          <w:lang w:val="en-US" w:eastAsia="zh-CN"/>
        </w:rPr>
        <w:t>纳入</w:t>
      </w:r>
      <w:r>
        <w:rPr>
          <w:rFonts w:ascii="Times New Roman" w:hAnsi="Times New Roman" w:eastAsia="仿宋_GB2312" w:cs="Times New Roman"/>
          <w:bCs/>
          <w:color w:val="auto"/>
          <w:sz w:val="32"/>
          <w:szCs w:val="32"/>
        </w:rPr>
        <w:t xml:space="preserve"> “杭绍同城”诸暨元素。融杭对话交流机制不断健全，</w:t>
      </w:r>
      <w:r>
        <w:rPr>
          <w:rFonts w:hint="eastAsia" w:ascii="Times New Roman" w:hAnsi="Times New Roman" w:eastAsia="仿宋_GB2312" w:cs="Times New Roman"/>
          <w:bCs/>
          <w:color w:val="auto"/>
          <w:sz w:val="32"/>
          <w:szCs w:val="32"/>
          <w:lang w:val="en-US" w:eastAsia="zh-CN"/>
        </w:rPr>
        <w:t>深度</w:t>
      </w:r>
      <w:r>
        <w:rPr>
          <w:rFonts w:ascii="Times New Roman" w:hAnsi="Times New Roman" w:eastAsia="仿宋_GB2312" w:cs="Times New Roman"/>
          <w:bCs/>
          <w:color w:val="auto"/>
          <w:sz w:val="32"/>
          <w:szCs w:val="32"/>
        </w:rPr>
        <w:t>融入杭州都市圈主题联席会议机制、市长联席会议机制、主任办公会议机制，先后与杭州拱墅区、萧山区签订战略合作协议。创新“两地三方”干部培训交流，选派干部赴拱墅区、滨江区跟岗学习，促进融杭队伍素质新提高。</w:t>
      </w:r>
    </w:p>
    <w:p>
      <w:pPr>
        <w:spacing w:line="56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 xml:space="preserve">2.综合交通网络实现大贯通。 </w:t>
      </w:r>
      <w:r>
        <w:rPr>
          <w:rFonts w:ascii="Times New Roman" w:hAnsi="Times New Roman" w:eastAsia="仿宋_GB2312" w:cs="Times New Roman"/>
          <w:color w:val="auto"/>
          <w:sz w:val="32"/>
          <w:szCs w:val="32"/>
        </w:rPr>
        <w:t>开通杭州—诸暨通勤高铁“西施号”、义新欧诸暨号班列、沪杭诸“绿巨人”通勤列车，杭诸城际（市域）铁路</w:t>
      </w:r>
      <w:r>
        <w:rPr>
          <w:rFonts w:ascii="Times New Roman" w:hAnsi="Times New Roman" w:eastAsia="仿宋_GB2312" w:cs="Times New Roman"/>
          <w:bCs/>
          <w:color w:val="auto"/>
          <w:sz w:val="32"/>
          <w:szCs w:val="32"/>
        </w:rPr>
        <w:t>纳入国家《长江三角洲地区多层次轨道交通规划》远期规划</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val="en-US" w:eastAsia="zh-CN"/>
        </w:rPr>
        <w:t>三</w:t>
      </w:r>
      <w:r>
        <w:rPr>
          <w:rFonts w:ascii="Times New Roman" w:hAnsi="Times New Roman" w:eastAsia="仿宋_GB2312" w:cs="Times New Roman"/>
          <w:bCs/>
          <w:color w:val="auto"/>
          <w:sz w:val="32"/>
          <w:szCs w:val="32"/>
        </w:rPr>
        <w:t>高三快”路网骨架优化升级，建成通车杭金衢高速拓宽工程、杭州绕城</w:t>
      </w:r>
      <w:r>
        <w:rPr>
          <w:rFonts w:hint="eastAsia" w:ascii="Times New Roman" w:hAnsi="Times New Roman" w:eastAsia="仿宋_GB2312" w:cs="Times New Roman"/>
          <w:bCs/>
          <w:color w:val="auto"/>
          <w:sz w:val="32"/>
          <w:szCs w:val="32"/>
          <w:lang w:val="en-US" w:eastAsia="zh-CN"/>
        </w:rPr>
        <w:t>高速</w:t>
      </w:r>
      <w:r>
        <w:rPr>
          <w:rFonts w:ascii="Times New Roman" w:hAnsi="Times New Roman" w:eastAsia="仿宋_GB2312" w:cs="Times New Roman"/>
          <w:bCs/>
          <w:color w:val="auto"/>
          <w:sz w:val="32"/>
          <w:szCs w:val="32"/>
        </w:rPr>
        <w:t>西复线诸暨段</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店口高架</w:t>
      </w:r>
      <w:r>
        <w:rPr>
          <w:rFonts w:ascii="Times New Roman" w:hAnsi="Times New Roman" w:eastAsia="仿宋_GB2312" w:cs="Times New Roman"/>
          <w:bCs/>
          <w:color w:val="auto"/>
          <w:sz w:val="32"/>
          <w:szCs w:val="32"/>
        </w:rPr>
        <w:t>，开工建设G235国</w:t>
      </w:r>
      <w:r>
        <w:rPr>
          <w:rFonts w:ascii="Times New Roman" w:hAnsi="Times New Roman" w:eastAsia="仿宋_GB2312" w:cs="Times New Roman"/>
          <w:color w:val="auto"/>
          <w:sz w:val="32"/>
          <w:szCs w:val="32"/>
        </w:rPr>
        <w:t>道杭州至诸暨、</w:t>
      </w:r>
      <w:r>
        <w:rPr>
          <w:rFonts w:hint="eastAsia" w:ascii="Times New Roman" w:hAnsi="Times New Roman" w:eastAsia="仿宋_GB2312" w:cs="Times New Roman"/>
          <w:color w:val="auto"/>
          <w:sz w:val="32"/>
          <w:szCs w:val="32"/>
          <w:lang w:val="en-US" w:eastAsia="zh-CN"/>
        </w:rPr>
        <w:t>柯诸高速</w:t>
      </w:r>
      <w:r>
        <w:rPr>
          <w:rFonts w:ascii="Times New Roman" w:hAnsi="Times New Roman" w:eastAsia="仿宋_GB2312" w:cs="Times New Roman"/>
          <w:color w:val="auto"/>
          <w:sz w:val="32"/>
          <w:szCs w:val="32"/>
        </w:rPr>
        <w:t>等项目。店口综合港区开工建设，新亭埠集装箱码头实现至杭州、上海、宁波方向通航。</w:t>
      </w:r>
      <w:r>
        <w:rPr>
          <w:rFonts w:hint="eastAsia" w:ascii="Times New Roman" w:hAnsi="Times New Roman" w:eastAsia="仿宋_GB2312" w:cs="Times New Roman"/>
          <w:color w:val="auto"/>
          <w:sz w:val="32"/>
          <w:szCs w:val="32"/>
        </w:rPr>
        <w:t>持续实施杭州市民有条件高速免费通行</w:t>
      </w:r>
      <w:r>
        <w:rPr>
          <w:rFonts w:hint="eastAsia" w:ascii="Times New Roman" w:hAnsi="Times New Roman" w:eastAsia="仿宋_GB2312" w:cs="Times New Roman"/>
          <w:color w:val="auto"/>
          <w:sz w:val="32"/>
          <w:szCs w:val="32"/>
          <w:lang w:val="en-US" w:eastAsia="zh-CN"/>
        </w:rPr>
        <w:t>政策，</w:t>
      </w:r>
      <w:r>
        <w:rPr>
          <w:rFonts w:ascii="Times New Roman" w:hAnsi="Times New Roman" w:eastAsia="仿宋_GB2312" w:cs="Times New Roman"/>
          <w:color w:val="auto"/>
          <w:sz w:val="32"/>
          <w:szCs w:val="32"/>
        </w:rPr>
        <w:t>开通市客运中心至杭州汽车南站、市客运中心至杭州邵逸夫医院、店口至杭州东站等3条客运线路，日均接送旅客约500人次。</w:t>
      </w:r>
    </w:p>
    <w:p>
      <w:pPr>
        <w:ind w:firstLine="643"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b/>
          <w:bCs/>
          <w:color w:val="auto"/>
          <w:sz w:val="32"/>
          <w:szCs w:val="32"/>
        </w:rPr>
        <w:t>3.产业创新联动实现大协同。</w:t>
      </w:r>
      <w:bookmarkStart w:id="2" w:name="_Toc2793"/>
      <w:r>
        <w:rPr>
          <w:rFonts w:ascii="Times New Roman" w:hAnsi="Times New Roman" w:eastAsia="仿宋_GB2312" w:cs="Times New Roman"/>
          <w:color w:val="auto"/>
          <w:kern w:val="0"/>
          <w:sz w:val="32"/>
          <w:szCs w:val="32"/>
        </w:rPr>
        <w:t>数字经济产业联动紧密，引进数字经济“大新”项目超过100个，</w:t>
      </w:r>
      <w:r>
        <w:rPr>
          <w:rFonts w:hint="eastAsia" w:ascii="Times New Roman" w:hAnsi="Times New Roman" w:eastAsia="仿宋_GB2312" w:cs="Times New Roman"/>
          <w:color w:val="auto"/>
          <w:kern w:val="0"/>
          <w:sz w:val="32"/>
          <w:szCs w:val="32"/>
          <w:lang w:val="en-US" w:eastAsia="zh-CN"/>
        </w:rPr>
        <w:t>智能视觉</w:t>
      </w:r>
      <w:r>
        <w:rPr>
          <w:rFonts w:ascii="Times New Roman" w:hAnsi="Times New Roman" w:eastAsia="仿宋_GB2312" w:cs="Times New Roman"/>
          <w:color w:val="auto"/>
          <w:kern w:val="0"/>
          <w:sz w:val="32"/>
          <w:szCs w:val="32"/>
        </w:rPr>
        <w:t>产业园被列入“浙江省数字安防万亿级产业集聚区”“杭州数字安防产业融合矩阵”，规上数字经济核心产业制造业产值</w:t>
      </w:r>
      <w:bookmarkEnd w:id="2"/>
      <w:r>
        <w:rPr>
          <w:rFonts w:hint="eastAsia" w:ascii="Times New Roman" w:hAnsi="Times New Roman" w:eastAsia="仿宋_GB2312" w:cs="Times New Roman"/>
          <w:color w:val="auto"/>
          <w:kern w:val="0"/>
          <w:sz w:val="32"/>
          <w:szCs w:val="32"/>
          <w:lang w:val="en-US" w:eastAsia="zh-CN"/>
        </w:rPr>
        <w:t>突破百亿元</w:t>
      </w:r>
      <w:r>
        <w:rPr>
          <w:rFonts w:ascii="Times New Roman" w:hAnsi="Times New Roman" w:eastAsia="仿宋_GB2312" w:cs="Times New Roman"/>
          <w:color w:val="auto"/>
          <w:kern w:val="0"/>
          <w:sz w:val="32"/>
          <w:szCs w:val="32"/>
        </w:rPr>
        <w:t>。与华为</w:t>
      </w:r>
      <w:r>
        <w:rPr>
          <w:rFonts w:hint="eastAsia" w:ascii="Times New Roman" w:hAnsi="Times New Roman" w:eastAsia="仿宋_GB2312" w:cs="Times New Roman"/>
          <w:color w:val="auto"/>
          <w:kern w:val="0"/>
          <w:sz w:val="32"/>
          <w:szCs w:val="32"/>
          <w:lang w:val="en-US" w:eastAsia="zh-CN"/>
        </w:rPr>
        <w:t>科技</w:t>
      </w: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val="en-US" w:eastAsia="zh-CN"/>
        </w:rPr>
        <w:t>科大讯飞</w:t>
      </w:r>
      <w:r>
        <w:rPr>
          <w:rFonts w:ascii="Times New Roman" w:hAnsi="Times New Roman" w:eastAsia="仿宋_GB2312" w:cs="Times New Roman"/>
          <w:color w:val="auto"/>
          <w:kern w:val="0"/>
          <w:sz w:val="32"/>
          <w:szCs w:val="32"/>
        </w:rPr>
        <w:t>、杭钢集团等签订战略合作协议，启动阿里巴巴·诸暨袜业产业带数字战略合作。高质量谋划诸暨 G60 创新港，建成“诸暨岛”等离岛式平台5个。与南华大学、温州医科大学等高校院所共建南华大学长三角（诸暨）研究院、温州医科大学药学院（诸暨）生物医药研究院</w:t>
      </w:r>
      <w:r>
        <w:rPr>
          <w:rFonts w:hint="eastAsia" w:ascii="Times New Roman" w:hAnsi="Times New Roman" w:eastAsia="仿宋_GB2312" w:cs="Times New Roman"/>
          <w:color w:val="auto"/>
          <w:kern w:val="0"/>
          <w:sz w:val="32"/>
          <w:szCs w:val="32"/>
          <w:lang w:val="en-US" w:eastAsia="zh-CN"/>
        </w:rPr>
        <w:t>等平台</w:t>
      </w:r>
      <w:r>
        <w:rPr>
          <w:rFonts w:ascii="Times New Roman" w:hAnsi="Times New Roman" w:eastAsia="仿宋_GB2312" w:cs="Times New Roman"/>
          <w:color w:val="auto"/>
          <w:kern w:val="0"/>
          <w:sz w:val="32"/>
          <w:szCs w:val="32"/>
        </w:rPr>
        <w:t xml:space="preserve">。与浙江大学、上海理工大学等9所高校院所共建诸暨市科技协同创新中心暨科技成果转移转化中心，与浙江大学合作共建新时代“枫桥经验”研究院。                                                                                                                                                                                                                                                                                                                                                                                                                                                                                                                                                                                                                                                                                                                                                                                                                                                 </w:t>
      </w:r>
    </w:p>
    <w:p>
      <w:pPr>
        <w:spacing w:line="56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4.文化旅游休闲实现大共舞。</w:t>
      </w:r>
      <w:r>
        <w:rPr>
          <w:rFonts w:ascii="Times New Roman" w:hAnsi="Times New Roman" w:eastAsia="仿宋_GB2312" w:cs="Times New Roman"/>
          <w:color w:val="auto"/>
          <w:sz w:val="32"/>
          <w:szCs w:val="32"/>
        </w:rPr>
        <w:t>“西施故里·好美诸暨”文旅品牌全面打响，建立“西湖—西施”双城合作机制，借助“西施”“西湖”两大强势IP，与杭州开展非遗、越剧、书画等多层次文化推介会等交流活动，与拱墅区达成共育共建“运河文化”“西施文化”等区域文化品牌共识。</w:t>
      </w:r>
      <w:r>
        <w:rPr>
          <w:rFonts w:hint="eastAsia" w:ascii="Times New Roman" w:hAnsi="Times New Roman" w:eastAsia="仿宋_GB2312" w:cs="Times New Roman"/>
          <w:color w:val="auto"/>
          <w:sz w:val="32"/>
          <w:szCs w:val="32"/>
        </w:rPr>
        <w:t>“杭州人免费游诸暨”政策</w:t>
      </w:r>
      <w:r>
        <w:rPr>
          <w:rFonts w:hint="eastAsia" w:ascii="Times New Roman" w:hAnsi="Times New Roman" w:eastAsia="仿宋_GB2312" w:cs="Times New Roman"/>
          <w:color w:val="auto"/>
          <w:sz w:val="32"/>
          <w:szCs w:val="32"/>
          <w:lang w:val="en-US" w:eastAsia="zh-CN"/>
        </w:rPr>
        <w:t>重磅</w:t>
      </w:r>
      <w:r>
        <w:rPr>
          <w:rFonts w:hint="eastAsia" w:ascii="Times New Roman" w:hAnsi="Times New Roman" w:eastAsia="仿宋_GB2312" w:cs="Times New Roman"/>
          <w:color w:val="auto"/>
          <w:sz w:val="32"/>
          <w:szCs w:val="32"/>
          <w:lang w:val="en-US" w:eastAsia="zh-CN"/>
        </w:rPr>
        <w:t>发布，“杭州西湖</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西施故里”系列旅游套票开售。</w:t>
      </w:r>
      <w:r>
        <w:rPr>
          <w:rFonts w:ascii="Times New Roman" w:hAnsi="Times New Roman" w:eastAsia="仿宋_GB2312" w:cs="Times New Roman"/>
          <w:color w:val="auto"/>
          <w:sz w:val="32"/>
          <w:szCs w:val="32"/>
        </w:rPr>
        <w:t>五泄景区提升改造工程、春风十里小镇等项目进展顺利，投资50亿元的西施故里“一江两岸”文化旅游项目、投资10亿元的枫桥古镇开发项目等开工建设。</w:t>
      </w:r>
    </w:p>
    <w:p>
      <w:pPr>
        <w:spacing w:line="560" w:lineRule="exact"/>
        <w:ind w:firstLine="643" w:firstLineChars="200"/>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5.品质民生服务实现大共享。</w:t>
      </w:r>
      <w:r>
        <w:rPr>
          <w:rFonts w:ascii="Times New Roman" w:hAnsi="Times New Roman" w:eastAsia="仿宋_GB2312" w:cs="Times New Roman"/>
          <w:color w:val="auto"/>
          <w:sz w:val="32"/>
          <w:szCs w:val="32"/>
        </w:rPr>
        <w:t>实施《诸暨市教育体育“与杭同城”三年行动计划（2019—2021年）》，28所学校与杭州名校（高校）实现</w:t>
      </w:r>
      <w:r>
        <w:rPr>
          <w:rFonts w:hint="eastAsia" w:ascii="Times New Roman" w:hAnsi="Times New Roman" w:eastAsia="仿宋_GB2312" w:cs="Times New Roman"/>
          <w:color w:val="auto"/>
          <w:sz w:val="32"/>
          <w:szCs w:val="32"/>
          <w:lang w:val="en-US" w:eastAsia="zh-CN"/>
        </w:rPr>
        <w:t>结对共建</w:t>
      </w:r>
      <w:r>
        <w:rPr>
          <w:rFonts w:ascii="Times New Roman" w:hAnsi="Times New Roman" w:eastAsia="仿宋_GB2312" w:cs="Times New Roman"/>
          <w:color w:val="auto"/>
          <w:sz w:val="32"/>
          <w:szCs w:val="32"/>
        </w:rPr>
        <w:t>，与杭州电子科技大学等在杭高校共建中小学研学实践基地5个。引进名医工作室93家，8家市级医院与在杭三甲医院建立技术合作关系。高水平承办省级以上各类体育赛事活动100多场，成为首个承办CBA全赛季比赛的城市，成功举办西施马拉松、环法挑战赛，运动休闲城市品牌进一步打响。</w:t>
      </w:r>
    </w:p>
    <w:p>
      <w:pPr>
        <w:pStyle w:val="5"/>
        <w:bidi w:val="0"/>
        <w:rPr>
          <w:color w:val="auto"/>
        </w:rPr>
      </w:pPr>
      <w:bookmarkStart w:id="3" w:name="_Toc17871"/>
      <w:r>
        <w:rPr>
          <w:color w:val="auto"/>
        </w:rPr>
        <w:t>（二）机遇挑战</w:t>
      </w:r>
      <w:bookmarkEnd w:id="3"/>
    </w:p>
    <w:p>
      <w:pPr>
        <w:spacing w:line="56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1.</w:t>
      </w:r>
      <w:r>
        <w:rPr>
          <w:rFonts w:hint="eastAsia" w:ascii="Times New Roman" w:hAnsi="Times New Roman" w:eastAsia="仿宋_GB2312" w:cs="Times New Roman"/>
          <w:b/>
          <w:bCs/>
          <w:color w:val="auto"/>
          <w:sz w:val="32"/>
          <w:szCs w:val="32"/>
          <w:lang w:val="en-US" w:eastAsia="zh-CN"/>
        </w:rPr>
        <w:t>长三角一体化与</w:t>
      </w:r>
      <w:r>
        <w:rPr>
          <w:rFonts w:ascii="Times New Roman" w:hAnsi="Times New Roman" w:eastAsia="仿宋_GB2312" w:cs="Times New Roman"/>
          <w:b/>
          <w:bCs/>
          <w:color w:val="auto"/>
          <w:sz w:val="32"/>
          <w:szCs w:val="32"/>
        </w:rPr>
        <w:t>共同富裕</w:t>
      </w:r>
      <w:r>
        <w:rPr>
          <w:rFonts w:hint="eastAsia" w:ascii="Times New Roman" w:hAnsi="Times New Roman" w:eastAsia="仿宋_GB2312" w:cs="Times New Roman"/>
          <w:b/>
          <w:bCs/>
          <w:color w:val="auto"/>
          <w:sz w:val="32"/>
          <w:szCs w:val="32"/>
          <w:lang w:val="en-US" w:eastAsia="zh-CN"/>
        </w:rPr>
        <w:t>示范区叠加</w:t>
      </w:r>
      <w:r>
        <w:rPr>
          <w:rFonts w:ascii="Times New Roman" w:hAnsi="Times New Roman" w:eastAsia="仿宋_GB2312" w:cs="Times New Roman"/>
          <w:b/>
          <w:bCs/>
          <w:color w:val="auto"/>
          <w:sz w:val="32"/>
          <w:szCs w:val="32"/>
        </w:rPr>
        <w:t>带来城市能级提升</w:t>
      </w:r>
      <w:r>
        <w:rPr>
          <w:rFonts w:hint="eastAsia" w:ascii="Times New Roman" w:hAnsi="Times New Roman" w:eastAsia="仿宋_GB2312" w:cs="Times New Roman"/>
          <w:b/>
          <w:bCs/>
          <w:color w:val="auto"/>
          <w:sz w:val="32"/>
          <w:szCs w:val="32"/>
          <w:lang w:val="en-US" w:eastAsia="zh-CN"/>
        </w:rPr>
        <w:t>与优势地区虹吸挑战</w:t>
      </w:r>
      <w:r>
        <w:rPr>
          <w:rFonts w:ascii="Times New Roman" w:hAnsi="Times New Roman" w:eastAsia="仿宋_GB2312" w:cs="Times New Roman"/>
          <w:b/>
          <w:bCs/>
          <w:color w:val="auto"/>
          <w:sz w:val="32"/>
          <w:szCs w:val="32"/>
        </w:rPr>
        <w:t>并存。</w:t>
      </w:r>
      <w:r>
        <w:rPr>
          <w:rFonts w:ascii="Times New Roman" w:hAnsi="Times New Roman" w:eastAsia="仿宋_GB2312" w:cs="Times New Roman"/>
          <w:color w:val="auto"/>
          <w:sz w:val="32"/>
          <w:szCs w:val="32"/>
        </w:rPr>
        <w:t>“十四五”时期，长三角一体化战略持续推进</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杭州都市圈发展</w:t>
      </w:r>
      <w:r>
        <w:rPr>
          <w:rFonts w:hint="eastAsia" w:ascii="Times New Roman" w:hAnsi="Times New Roman" w:eastAsia="仿宋_GB2312" w:cs="Times New Roman"/>
          <w:color w:val="auto"/>
          <w:sz w:val="32"/>
          <w:szCs w:val="32"/>
          <w:lang w:val="en-US" w:eastAsia="zh-CN"/>
        </w:rPr>
        <w:t>提</w:t>
      </w:r>
      <w:r>
        <w:rPr>
          <w:rFonts w:ascii="Times New Roman" w:hAnsi="Times New Roman" w:eastAsia="仿宋_GB2312" w:cs="Times New Roman"/>
          <w:color w:val="auto"/>
          <w:sz w:val="32"/>
          <w:szCs w:val="32"/>
        </w:rPr>
        <w:t>速</w:t>
      </w:r>
      <w:r>
        <w:rPr>
          <w:rFonts w:hint="eastAsia" w:ascii="Times New Roman" w:hAnsi="Times New Roman" w:eastAsia="仿宋_GB2312" w:cs="Times New Roman"/>
          <w:color w:val="auto"/>
          <w:sz w:val="32"/>
          <w:szCs w:val="32"/>
          <w:lang w:val="en-US" w:eastAsia="zh-CN"/>
        </w:rPr>
        <w:t>发展，</w:t>
      </w:r>
      <w:r>
        <w:rPr>
          <w:rFonts w:ascii="Times New Roman" w:hAnsi="Times New Roman" w:eastAsia="仿宋_GB2312" w:cs="Times New Roman"/>
          <w:color w:val="auto"/>
          <w:sz w:val="32"/>
          <w:szCs w:val="32"/>
        </w:rPr>
        <w:t>杭绍一体化紧密度不断</w:t>
      </w:r>
      <w:r>
        <w:rPr>
          <w:rFonts w:hint="eastAsia" w:ascii="Times New Roman" w:hAnsi="Times New Roman" w:eastAsia="仿宋_GB2312" w:cs="Times New Roman"/>
          <w:color w:val="auto"/>
          <w:sz w:val="32"/>
          <w:szCs w:val="32"/>
          <w:lang w:val="en-US" w:eastAsia="zh-CN"/>
        </w:rPr>
        <w:t>加深</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浙江省在全国率先打造共同富裕示范区，缩小地区差距、做强县域经济、推动县城高质量发展是共同富裕建设题中应有之义。</w:t>
      </w:r>
      <w:r>
        <w:rPr>
          <w:rFonts w:ascii="Times New Roman" w:hAnsi="Times New Roman" w:eastAsia="仿宋_GB2312" w:cs="Times New Roman"/>
          <w:color w:val="auto"/>
          <w:sz w:val="32"/>
          <w:szCs w:val="32"/>
        </w:rPr>
        <w:t>杭州正处于举办亚运会、建设大都市、推进现代化的重要窗口期，绍兴提出率先走出争创社会主义现代化先行省的市域发展之路，多重大战略、大事件等利好因素</w:t>
      </w:r>
      <w:r>
        <w:rPr>
          <w:rFonts w:hint="eastAsia" w:ascii="Times New Roman" w:hAnsi="Times New Roman" w:eastAsia="仿宋_GB2312" w:cs="Times New Roman"/>
          <w:color w:val="auto"/>
          <w:sz w:val="32"/>
          <w:szCs w:val="32"/>
          <w:lang w:val="en-US" w:eastAsia="zh-CN"/>
        </w:rPr>
        <w:t>为</w:t>
      </w:r>
      <w:r>
        <w:rPr>
          <w:rFonts w:ascii="Times New Roman" w:hAnsi="Times New Roman" w:eastAsia="仿宋_GB2312" w:cs="Times New Roman"/>
          <w:color w:val="auto"/>
          <w:sz w:val="32"/>
          <w:szCs w:val="32"/>
        </w:rPr>
        <w:t>诸暨深度融入杭绍，实现合作发展提供有利契机，但同时也面临杭州、宁波等中心城市的“虹吸效应”，以及</w:t>
      </w:r>
      <w:r>
        <w:rPr>
          <w:rFonts w:hint="eastAsia" w:ascii="Times New Roman" w:hAnsi="Times New Roman" w:eastAsia="仿宋_GB2312" w:cs="Times New Roman"/>
          <w:color w:val="auto"/>
          <w:sz w:val="32"/>
          <w:szCs w:val="32"/>
          <w:lang w:val="en-US" w:eastAsia="zh-CN"/>
        </w:rPr>
        <w:t>德清、海宁</w:t>
      </w:r>
      <w:r>
        <w:rPr>
          <w:rFonts w:hint="eastAsia" w:ascii="Times New Roman" w:hAnsi="Times New Roman" w:eastAsia="仿宋_GB2312" w:cs="Times New Roman"/>
          <w:color w:val="auto"/>
          <w:sz w:val="32"/>
          <w:szCs w:val="32"/>
          <w:lang w:val="en-US" w:eastAsia="zh-CN"/>
        </w:rPr>
        <w:t>等临杭</w:t>
      </w:r>
      <w:r>
        <w:rPr>
          <w:rFonts w:ascii="Times New Roman" w:hAnsi="Times New Roman" w:eastAsia="仿宋_GB2312" w:cs="Times New Roman"/>
          <w:color w:val="auto"/>
          <w:sz w:val="32"/>
          <w:szCs w:val="32"/>
        </w:rPr>
        <w:t>经济强县</w:t>
      </w:r>
      <w:r>
        <w:rPr>
          <w:rFonts w:hint="eastAsia" w:ascii="Times New Roman" w:hAnsi="Times New Roman" w:eastAsia="仿宋_GB2312" w:cs="Times New Roman"/>
          <w:color w:val="auto"/>
          <w:sz w:val="32"/>
          <w:szCs w:val="32"/>
          <w:lang w:val="en-US" w:eastAsia="zh-CN"/>
        </w:rPr>
        <w:t>的竞争挑战</w:t>
      </w:r>
      <w:r>
        <w:rPr>
          <w:rFonts w:ascii="Times New Roman" w:hAnsi="Times New Roman" w:eastAsia="仿宋_GB2312" w:cs="Times New Roman"/>
          <w:color w:val="auto"/>
          <w:sz w:val="32"/>
          <w:szCs w:val="32"/>
        </w:rPr>
        <w:t>。</w:t>
      </w:r>
    </w:p>
    <w:p>
      <w:pPr>
        <w:spacing w:line="560" w:lineRule="exact"/>
        <w:ind w:firstLine="643" w:firstLineChars="200"/>
        <w:rPr>
          <w:rFonts w:hint="eastAsia" w:ascii="Times New Roman" w:hAnsi="Times New Roman" w:eastAsia="仿宋_GB2312" w:cs="Times New Roman"/>
          <w:color w:val="auto"/>
          <w:sz w:val="32"/>
          <w:szCs w:val="32"/>
          <w:lang w:val="en-US" w:eastAsia="zh-CN"/>
        </w:rPr>
      </w:pPr>
      <w:r>
        <w:rPr>
          <w:rFonts w:ascii="Times New Roman" w:hAnsi="Times New Roman" w:eastAsia="仿宋_GB2312" w:cs="Times New Roman"/>
          <w:b/>
          <w:bCs/>
          <w:color w:val="auto"/>
          <w:sz w:val="32"/>
          <w:szCs w:val="32"/>
        </w:rPr>
        <w:t>2.数字经济发展带来传统产业数字化提质与数字产业同质化竞争挑战并存。</w:t>
      </w:r>
      <w:r>
        <w:rPr>
          <w:rFonts w:hint="eastAsia" w:ascii="Times New Roman" w:hAnsi="Times New Roman" w:eastAsia="仿宋_GB2312" w:cs="Times New Roman"/>
          <w:color w:val="auto"/>
          <w:sz w:val="32"/>
          <w:szCs w:val="32"/>
        </w:rPr>
        <w:t>“十四五”时期，杭州积极打造创新创业新天堂、产业兴盛新天堂，推进高水平科技自立自强，坚定不移支持数字经济高质量发展，推进制造业高端化、绿色化、集约化，</w:t>
      </w:r>
      <w:r>
        <w:rPr>
          <w:rFonts w:hint="eastAsia" w:ascii="Times New Roman" w:hAnsi="Times New Roman" w:eastAsia="仿宋_GB2312" w:cs="Times New Roman"/>
          <w:color w:val="auto"/>
          <w:sz w:val="32"/>
          <w:szCs w:val="32"/>
          <w:lang w:val="en-US" w:eastAsia="zh-CN"/>
        </w:rPr>
        <w:t>加快构筑</w:t>
      </w:r>
      <w:r>
        <w:rPr>
          <w:rFonts w:hint="eastAsia" w:ascii="Times New Roman" w:hAnsi="Times New Roman" w:eastAsia="仿宋_GB2312" w:cs="Times New Roman"/>
          <w:color w:val="auto"/>
          <w:sz w:val="32"/>
          <w:szCs w:val="32"/>
        </w:rPr>
        <w:t>智能物联、生物医药、高端装备、新材料、绿色低碳5大产业生态圈</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绍兴突出高端装备、新材料、电子信息、现代医药四大领域，聚焦集成电路、生物医药、高分子新材料，布局第三代半导体、超高清视频、氢能及燃料电池等前沿产业，发展壮大新兴产业。杭绍产业赛道</w:t>
      </w:r>
      <w:r>
        <w:rPr>
          <w:rFonts w:hint="eastAsia" w:ascii="Times New Roman" w:hAnsi="Times New Roman" w:eastAsia="仿宋_GB2312" w:cs="Times New Roman"/>
          <w:color w:val="auto"/>
          <w:sz w:val="32"/>
          <w:szCs w:val="32"/>
        </w:rPr>
        <w:t>与诸暨全力构建</w:t>
      </w:r>
      <w:r>
        <w:rPr>
          <w:rFonts w:hint="eastAsia" w:ascii="Times New Roman" w:hAnsi="Times New Roman" w:eastAsia="仿宋_GB2312" w:cs="Times New Roman"/>
          <w:color w:val="auto"/>
          <w:sz w:val="32"/>
          <w:szCs w:val="32"/>
          <w:lang w:val="en-US" w:eastAsia="zh-CN"/>
        </w:rPr>
        <w:t>的</w:t>
      </w:r>
      <w:r>
        <w:rPr>
          <w:rFonts w:hint="eastAsia" w:ascii="Times New Roman" w:hAnsi="Times New Roman" w:eastAsia="仿宋_GB2312" w:cs="Times New Roman"/>
          <w:color w:val="auto"/>
          <w:sz w:val="32"/>
          <w:szCs w:val="32"/>
        </w:rPr>
        <w:t>以“333”为引领的现代产业体系</w:t>
      </w:r>
      <w:r>
        <w:rPr>
          <w:rFonts w:hint="eastAsia" w:ascii="Times New Roman" w:hAnsi="Times New Roman" w:eastAsia="仿宋_GB2312" w:cs="Times New Roman"/>
          <w:color w:val="auto"/>
          <w:sz w:val="32"/>
          <w:szCs w:val="32"/>
          <w:lang w:val="en-US" w:eastAsia="zh-CN"/>
        </w:rPr>
        <w:t>具有较强的联动性、互通性和互补性。在产业数字化方面，诸暨要借力数字化改革的系统性成果，加速推动珍珠、袜业等经典产业传承创新。在数字产业化方面，诸暨需把握自身数字经济发展优势，嵌入杭绍数字经济产业链环节，避免同质化、重复性竞争。</w:t>
      </w:r>
    </w:p>
    <w:p>
      <w:pPr>
        <w:spacing w:line="560" w:lineRule="exact"/>
        <w:ind w:firstLine="643" w:firstLineChars="200"/>
        <w:rPr>
          <w:rFonts w:ascii="Times New Roman" w:hAnsi="Times New Roman" w:cs="Times New Roman"/>
          <w:color w:val="auto"/>
        </w:rPr>
      </w:pPr>
      <w:r>
        <w:rPr>
          <w:rFonts w:ascii="Times New Roman" w:hAnsi="Times New Roman" w:eastAsia="仿宋_GB2312" w:cs="Times New Roman"/>
          <w:b/>
          <w:bCs/>
          <w:color w:val="auto"/>
          <w:sz w:val="32"/>
          <w:szCs w:val="32"/>
        </w:rPr>
        <w:t>3.文化高地建设带来文化繁荣发展与特色文化联动发展挑战并存。</w:t>
      </w:r>
      <w:r>
        <w:rPr>
          <w:rFonts w:ascii="Times New Roman" w:hAnsi="Times New Roman" w:eastAsia="仿宋_GB2312" w:cs="Times New Roman"/>
          <w:color w:val="auto"/>
          <w:sz w:val="32"/>
          <w:szCs w:val="32"/>
        </w:rPr>
        <w:t>“十四五”时期，浙江省全面推进文化高地建设，在文旅融合、公共文化服务、文化遗产保护与传承、舞台艺术创作等方面加快形成领先优势，打造文化创新发展的省域范例</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杭州</w:t>
      </w:r>
      <w:r>
        <w:rPr>
          <w:rFonts w:hint="eastAsia" w:ascii="Times New Roman" w:hAnsi="Times New Roman" w:eastAsia="仿宋_GB2312" w:cs="Times New Roman"/>
          <w:color w:val="auto"/>
          <w:sz w:val="32"/>
          <w:szCs w:val="32"/>
          <w:lang w:val="en-US" w:eastAsia="zh-CN"/>
        </w:rPr>
        <w:t>正</w:t>
      </w:r>
      <w:r>
        <w:rPr>
          <w:rFonts w:ascii="Times New Roman" w:hAnsi="Times New Roman" w:eastAsia="仿宋_GB2312" w:cs="Times New Roman"/>
          <w:color w:val="auto"/>
          <w:sz w:val="32"/>
          <w:szCs w:val="32"/>
        </w:rPr>
        <w:t>积极打造东方文化国际交流重要城市、国际文化创意中心。融入全省文化高地建设、对接杭州优质文化产业资源，为诸暨持续擦亮“枫桥经验”金名片、打造精神文明高地、推动文化产业高质量发展带来新契机。与此同时，诸暨也面临</w:t>
      </w:r>
      <w:r>
        <w:rPr>
          <w:rFonts w:hint="eastAsia" w:ascii="Times New Roman" w:hAnsi="Times New Roman" w:eastAsia="仿宋_GB2312" w:cs="Times New Roman"/>
          <w:color w:val="auto"/>
          <w:sz w:val="32"/>
          <w:szCs w:val="32"/>
          <w:lang w:val="en-US" w:eastAsia="zh-CN"/>
        </w:rPr>
        <w:t>加快</w:t>
      </w:r>
      <w:r>
        <w:rPr>
          <w:rFonts w:ascii="Times New Roman" w:hAnsi="Times New Roman" w:eastAsia="仿宋_GB2312" w:cs="Times New Roman"/>
          <w:color w:val="auto"/>
          <w:sz w:val="32"/>
          <w:szCs w:val="32"/>
        </w:rPr>
        <w:t>将西施文化、三贤文化、“同山烧”非遗文化等特色文化资源高效转化为文化产业价值，更好推进与杭绍地区文化联动发展的挑战。</w:t>
      </w:r>
    </w:p>
    <w:p>
      <w:pPr>
        <w:pStyle w:val="4"/>
        <w:bidi w:val="0"/>
        <w:rPr>
          <w:color w:val="auto"/>
        </w:rPr>
      </w:pPr>
      <w:bookmarkStart w:id="4" w:name="_Toc15347"/>
      <w:r>
        <w:rPr>
          <w:color w:val="auto"/>
        </w:rPr>
        <w:t>二、总体要求</w:t>
      </w:r>
      <w:bookmarkEnd w:id="4"/>
    </w:p>
    <w:p>
      <w:pPr>
        <w:pStyle w:val="5"/>
        <w:bidi w:val="0"/>
        <w:rPr>
          <w:color w:val="auto"/>
        </w:rPr>
      </w:pPr>
      <w:bookmarkStart w:id="5" w:name="_Toc1034"/>
      <w:r>
        <w:rPr>
          <w:color w:val="auto"/>
        </w:rPr>
        <w:t>（一）指导思想</w:t>
      </w:r>
      <w:bookmarkEnd w:id="5"/>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以习近平新时代中国特色社会主义思想为指导，</w:t>
      </w:r>
      <w:r>
        <w:rPr>
          <w:rFonts w:ascii="Times New Roman" w:hAnsi="Times New Roman" w:eastAsia="仿宋_GB2312" w:cs="Times New Roman"/>
          <w:color w:val="auto"/>
          <w:sz w:val="32"/>
          <w:szCs w:val="32"/>
        </w:rPr>
        <w:t>认真贯彻党的</w:t>
      </w:r>
      <w:r>
        <w:rPr>
          <w:rFonts w:hint="eastAsia" w:ascii="Times New Roman" w:hAnsi="Times New Roman" w:eastAsia="仿宋_GB2312" w:cs="Times New Roman"/>
          <w:color w:val="auto"/>
          <w:sz w:val="32"/>
          <w:szCs w:val="32"/>
          <w:lang w:val="en-US" w:eastAsia="zh-CN"/>
        </w:rPr>
        <w:t>二十大</w:t>
      </w:r>
      <w:r>
        <w:rPr>
          <w:rFonts w:ascii="Times New Roman" w:hAnsi="Times New Roman" w:eastAsia="仿宋_GB2312" w:cs="Times New Roman"/>
          <w:color w:val="auto"/>
          <w:sz w:val="32"/>
          <w:szCs w:val="32"/>
        </w:rPr>
        <w:t>精神，</w:t>
      </w:r>
      <w:r>
        <w:rPr>
          <w:rFonts w:ascii="Times New Roman" w:hAnsi="Times New Roman" w:eastAsia="仿宋_GB2312" w:cs="Times New Roman"/>
          <w:color w:val="auto"/>
          <w:sz w:val="32"/>
          <w:szCs w:val="32"/>
        </w:rPr>
        <w:t>全面落实长江三角洲区域一体化发展国家战略和中央以县城为重要载体的城镇化建设要求，围绕全方位打造“融杭品质城，都市金南翼”总目标，以精神文明高地试点为牵引，以体制机制改革为动力，全面深化杭绍交通</w:t>
      </w:r>
      <w:r>
        <w:rPr>
          <w:rFonts w:hint="eastAsia" w:ascii="Times New Roman" w:hAnsi="Times New Roman" w:eastAsia="仿宋_GB2312" w:cs="Times New Roman"/>
          <w:color w:val="auto"/>
          <w:sz w:val="32"/>
          <w:szCs w:val="32"/>
          <w:lang w:val="en-US" w:eastAsia="zh-CN"/>
        </w:rPr>
        <w:t>共网</w:t>
      </w:r>
      <w:r>
        <w:rPr>
          <w:rFonts w:ascii="Times New Roman" w:hAnsi="Times New Roman" w:eastAsia="仿宋_GB2312" w:cs="Times New Roman"/>
          <w:color w:val="auto"/>
          <w:sz w:val="32"/>
          <w:szCs w:val="32"/>
        </w:rPr>
        <w:t>、产业共链、创新</w:t>
      </w:r>
      <w:r>
        <w:rPr>
          <w:rFonts w:hint="eastAsia" w:ascii="Times New Roman" w:hAnsi="Times New Roman" w:eastAsia="仿宋_GB2312" w:cs="Times New Roman"/>
          <w:color w:val="auto"/>
          <w:sz w:val="32"/>
          <w:szCs w:val="32"/>
          <w:lang w:val="en-US" w:eastAsia="zh-CN"/>
        </w:rPr>
        <w:t>共兴</w:t>
      </w:r>
      <w:r>
        <w:rPr>
          <w:rFonts w:ascii="Times New Roman" w:hAnsi="Times New Roman" w:eastAsia="仿宋_GB2312" w:cs="Times New Roman"/>
          <w:color w:val="auto"/>
          <w:sz w:val="32"/>
          <w:szCs w:val="32"/>
        </w:rPr>
        <w:t>、文旅共</w:t>
      </w:r>
      <w:r>
        <w:rPr>
          <w:rFonts w:hint="eastAsia" w:ascii="Times New Roman" w:hAnsi="Times New Roman" w:eastAsia="仿宋_GB2312" w:cs="Times New Roman"/>
          <w:color w:val="auto"/>
          <w:sz w:val="32"/>
          <w:szCs w:val="32"/>
          <w:lang w:val="en-US" w:eastAsia="zh-CN"/>
        </w:rPr>
        <w:t>荣</w:t>
      </w:r>
      <w:r>
        <w:rPr>
          <w:rFonts w:ascii="Times New Roman" w:hAnsi="Times New Roman" w:eastAsia="仿宋_GB2312" w:cs="Times New Roman"/>
          <w:color w:val="auto"/>
          <w:sz w:val="32"/>
          <w:szCs w:val="32"/>
        </w:rPr>
        <w:t>、服务</w:t>
      </w:r>
      <w:r>
        <w:rPr>
          <w:rFonts w:hint="eastAsia" w:ascii="Times New Roman" w:hAnsi="Times New Roman" w:eastAsia="仿宋_GB2312" w:cs="Times New Roman"/>
          <w:color w:val="auto"/>
          <w:sz w:val="32"/>
          <w:szCs w:val="32"/>
          <w:lang w:val="en-US" w:eastAsia="zh-CN"/>
        </w:rPr>
        <w:t>共</w:t>
      </w:r>
      <w:r>
        <w:rPr>
          <w:rFonts w:ascii="Times New Roman" w:hAnsi="Times New Roman" w:eastAsia="仿宋_GB2312" w:cs="Times New Roman"/>
          <w:color w:val="auto"/>
          <w:sz w:val="32"/>
          <w:szCs w:val="32"/>
        </w:rPr>
        <w:t>享、生态共治，持续擦亮“枫桥经验”金名片，奋力打造新时代共同富裕新高地</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高水平谱写“两个先行”诸暨篇章</w:t>
      </w:r>
      <w:r>
        <w:rPr>
          <w:rFonts w:ascii="Times New Roman" w:hAnsi="Times New Roman" w:eastAsia="仿宋_GB2312" w:cs="Times New Roman"/>
          <w:color w:val="auto"/>
          <w:sz w:val="32"/>
          <w:szCs w:val="32"/>
        </w:rPr>
        <w:t>。</w:t>
      </w:r>
    </w:p>
    <w:p>
      <w:pPr>
        <w:pStyle w:val="5"/>
        <w:bidi w:val="0"/>
        <w:rPr>
          <w:color w:val="auto"/>
        </w:rPr>
      </w:pPr>
      <w:bookmarkStart w:id="6" w:name="_Toc4715"/>
      <w:r>
        <w:rPr>
          <w:color w:val="auto"/>
        </w:rPr>
        <w:t>（二）基本原则</w:t>
      </w:r>
      <w:bookmarkEnd w:id="6"/>
    </w:p>
    <w:p>
      <w:pPr>
        <w:widowControl/>
        <w:spacing w:line="560" w:lineRule="exact"/>
        <w:ind w:firstLine="640"/>
        <w:rPr>
          <w:rFonts w:ascii="Times New Roman" w:hAnsi="Times New Roman" w:eastAsia="宋体" w:cs="Times New Roman"/>
          <w:color w:val="auto"/>
          <w:kern w:val="0"/>
          <w:szCs w:val="21"/>
        </w:rPr>
      </w:pPr>
      <w:r>
        <w:rPr>
          <w:rFonts w:ascii="Times New Roman" w:hAnsi="Times New Roman" w:eastAsia="仿宋_GB2312" w:cs="Times New Roman"/>
          <w:b/>
          <w:bCs/>
          <w:color w:val="auto"/>
          <w:kern w:val="0"/>
          <w:sz w:val="32"/>
          <w:szCs w:val="32"/>
        </w:rPr>
        <w:t>——机制创新、一体协同。</w:t>
      </w:r>
      <w:r>
        <w:rPr>
          <w:rFonts w:ascii="Times New Roman" w:hAnsi="Times New Roman" w:eastAsia="仿宋_GB2312" w:cs="Times New Roman"/>
          <w:color w:val="auto"/>
          <w:kern w:val="0"/>
          <w:sz w:val="32"/>
          <w:szCs w:val="32"/>
        </w:rPr>
        <w:t>加强战略谋划、前瞻布局、协同推进，深化杭绍同城体制机制创新，破除行政和市场壁垒，营造市场统一、规则互认、要素自由、公平有序的发展环境，构筑同城发展新机制。</w:t>
      </w:r>
    </w:p>
    <w:p>
      <w:pPr>
        <w:widowControl/>
        <w:spacing w:line="560" w:lineRule="exact"/>
        <w:ind w:firstLine="640"/>
        <w:rPr>
          <w:rFonts w:ascii="Times New Roman" w:hAnsi="Times New Roman" w:eastAsia="宋体" w:cs="Times New Roman"/>
          <w:color w:val="auto"/>
          <w:kern w:val="0"/>
          <w:szCs w:val="21"/>
        </w:rPr>
      </w:pPr>
      <w:r>
        <w:rPr>
          <w:rFonts w:ascii="Times New Roman" w:hAnsi="Times New Roman" w:eastAsia="仿宋_GB2312" w:cs="Times New Roman"/>
          <w:b/>
          <w:bCs/>
          <w:color w:val="auto"/>
          <w:kern w:val="0"/>
          <w:sz w:val="32"/>
          <w:szCs w:val="32"/>
        </w:rPr>
        <w:t>——产业共</w:t>
      </w:r>
      <w:r>
        <w:rPr>
          <w:rFonts w:hint="eastAsia" w:ascii="Times New Roman" w:hAnsi="Times New Roman" w:eastAsia="仿宋_GB2312" w:cs="Times New Roman"/>
          <w:b/>
          <w:bCs/>
          <w:color w:val="auto"/>
          <w:kern w:val="0"/>
          <w:sz w:val="32"/>
          <w:szCs w:val="32"/>
          <w:lang w:val="en-US" w:eastAsia="zh-CN"/>
        </w:rPr>
        <w:t>链</w:t>
      </w:r>
      <w:r>
        <w:rPr>
          <w:rFonts w:ascii="Times New Roman" w:hAnsi="Times New Roman" w:eastAsia="仿宋_GB2312" w:cs="Times New Roman"/>
          <w:b/>
          <w:bCs/>
          <w:color w:val="auto"/>
          <w:kern w:val="0"/>
          <w:sz w:val="32"/>
          <w:szCs w:val="32"/>
        </w:rPr>
        <w:t>、优势互通。</w:t>
      </w:r>
      <w:r>
        <w:rPr>
          <w:rFonts w:ascii="Times New Roman" w:hAnsi="Times New Roman" w:eastAsia="仿宋_GB2312" w:cs="Times New Roman"/>
          <w:color w:val="auto"/>
          <w:kern w:val="0"/>
          <w:sz w:val="32"/>
          <w:szCs w:val="32"/>
        </w:rPr>
        <w:t>借力杭绍资源禀赋比较优势，积极推动诸暨传统产业转型升级和产业链现代化发展，促进产业体系协同</w:t>
      </w:r>
      <w:r>
        <w:rPr>
          <w:rFonts w:hint="eastAsia" w:ascii="Times New Roman" w:hAnsi="Times New Roman" w:eastAsia="仿宋_GB2312" w:cs="Times New Roman"/>
          <w:color w:val="auto"/>
          <w:kern w:val="0"/>
          <w:sz w:val="32"/>
          <w:szCs w:val="32"/>
          <w:lang w:val="en-US" w:eastAsia="zh-CN"/>
        </w:rPr>
        <w:t>发展</w:t>
      </w:r>
      <w:r>
        <w:rPr>
          <w:rFonts w:ascii="Times New Roman" w:hAnsi="Times New Roman" w:eastAsia="仿宋_GB2312" w:cs="Times New Roman"/>
          <w:color w:val="auto"/>
          <w:kern w:val="0"/>
          <w:sz w:val="32"/>
          <w:szCs w:val="32"/>
        </w:rPr>
        <w:t>，形成差异定位、分工协作、特色彰显的区域经济发展格局。</w:t>
      </w:r>
    </w:p>
    <w:p>
      <w:pPr>
        <w:widowControl/>
        <w:spacing w:line="560" w:lineRule="exact"/>
        <w:ind w:firstLine="640"/>
        <w:rPr>
          <w:rFonts w:ascii="Times New Roman" w:hAnsi="Times New Roman" w:eastAsia="仿宋_GB2312" w:cs="Times New Roman"/>
          <w:b/>
          <w:bCs/>
          <w:color w:val="auto"/>
          <w:kern w:val="0"/>
          <w:sz w:val="32"/>
          <w:szCs w:val="32"/>
        </w:rPr>
      </w:pPr>
      <w:r>
        <w:rPr>
          <w:rFonts w:ascii="Times New Roman" w:hAnsi="Times New Roman" w:eastAsia="仿宋_GB2312" w:cs="Times New Roman"/>
          <w:b/>
          <w:bCs/>
          <w:color w:val="auto"/>
          <w:kern w:val="0"/>
          <w:sz w:val="32"/>
          <w:szCs w:val="32"/>
        </w:rPr>
        <w:t>——创新联动、合作共赢。</w:t>
      </w:r>
      <w:r>
        <w:rPr>
          <w:rFonts w:ascii="Times New Roman" w:hAnsi="Times New Roman" w:eastAsia="仿宋_GB2312" w:cs="Times New Roman"/>
          <w:color w:val="auto"/>
          <w:kern w:val="0"/>
          <w:sz w:val="32"/>
          <w:szCs w:val="32"/>
        </w:rPr>
        <w:t>聚焦增强科技创新、协同创新、产业创新能力，推动平台共建、资源共享、项目互促、政策共通、成果共享，高标准建设诸暨G60创新港、诸暨岛、杭州港，强化创新链产业链协同，打造开放创新大平台。</w:t>
      </w:r>
    </w:p>
    <w:p>
      <w:pPr>
        <w:widowControl/>
        <w:spacing w:line="560" w:lineRule="exact"/>
        <w:ind w:firstLine="640"/>
        <w:rPr>
          <w:rFonts w:ascii="Times New Roman" w:hAnsi="Times New Roman" w:eastAsia="宋体" w:cs="Times New Roman"/>
          <w:color w:val="auto"/>
          <w:kern w:val="0"/>
          <w:szCs w:val="21"/>
        </w:rPr>
      </w:pPr>
      <w:r>
        <w:rPr>
          <w:rFonts w:ascii="Times New Roman" w:hAnsi="Times New Roman" w:eastAsia="仿宋_GB2312" w:cs="Times New Roman"/>
          <w:b/>
          <w:bCs/>
          <w:color w:val="auto"/>
          <w:kern w:val="0"/>
          <w:sz w:val="32"/>
          <w:szCs w:val="32"/>
        </w:rPr>
        <w:t>——以人为本、普惠共享。</w:t>
      </w:r>
      <w:r>
        <w:rPr>
          <w:rFonts w:ascii="Times New Roman" w:hAnsi="Times New Roman" w:eastAsia="仿宋_GB2312" w:cs="Times New Roman"/>
          <w:color w:val="auto"/>
          <w:kern w:val="0"/>
          <w:sz w:val="32"/>
          <w:szCs w:val="32"/>
        </w:rPr>
        <w:t>以助力浙江建设共同富裕示范区目标为突破，以提升人民生活幸福感、获得感、安全感为根本落脚点，加强文旅共荣、生态共治，推进社会事业与公共服务一体化建设，不断提升高质量发展水平。</w:t>
      </w:r>
    </w:p>
    <w:p>
      <w:pPr>
        <w:pStyle w:val="5"/>
        <w:bidi w:val="0"/>
        <w:rPr>
          <w:color w:val="auto"/>
        </w:rPr>
      </w:pPr>
      <w:bookmarkStart w:id="7" w:name="_Toc16588"/>
      <w:r>
        <w:rPr>
          <w:color w:val="auto"/>
        </w:rPr>
        <w:t>（三）发展目标</w:t>
      </w:r>
      <w:bookmarkEnd w:id="7"/>
    </w:p>
    <w:p>
      <w:pPr>
        <w:spacing w:line="560" w:lineRule="exact"/>
        <w:ind w:firstLine="640" w:firstLineChars="200"/>
        <w:rPr>
          <w:rFonts w:ascii="Times New Roman" w:hAnsi="Times New Roman" w:eastAsia="仿宋_GB2312" w:cs="Times New Roman"/>
          <w:color w:val="auto"/>
          <w:sz w:val="32"/>
          <w:szCs w:val="22"/>
        </w:rPr>
      </w:pPr>
      <w:r>
        <w:rPr>
          <w:rFonts w:ascii="Times New Roman" w:hAnsi="Times New Roman" w:eastAsia="仿宋_GB2312" w:cs="Times New Roman"/>
          <w:color w:val="auto"/>
          <w:sz w:val="32"/>
          <w:szCs w:val="22"/>
        </w:rPr>
        <w:t>到2025年，杭绍同城取得全面突破，共同富裕底色更厚、产业发展特色更浓、改革创新亮色更显，基础设施、产业提升、科技创新、文旅民生领域同城融合实现新跨越，在长三角一体化实践中走在前列。</w:t>
      </w:r>
    </w:p>
    <w:p>
      <w:pPr>
        <w:widowControl/>
        <w:spacing w:line="560" w:lineRule="exact"/>
        <w:ind w:firstLine="640"/>
        <w:rPr>
          <w:rFonts w:ascii="Times New Roman" w:hAnsi="Times New Roman" w:eastAsia="宋体" w:cs="Times New Roman"/>
          <w:color w:val="auto"/>
          <w:kern w:val="0"/>
          <w:szCs w:val="21"/>
        </w:rPr>
      </w:pPr>
      <w:r>
        <w:rPr>
          <w:rFonts w:ascii="Times New Roman" w:hAnsi="Times New Roman" w:eastAsia="仿宋_GB2312" w:cs="Times New Roman"/>
          <w:b/>
          <w:bCs/>
          <w:color w:val="auto"/>
          <w:kern w:val="0"/>
          <w:sz w:val="32"/>
          <w:szCs w:val="32"/>
        </w:rPr>
        <w:t>——交通基础设施对接成网。</w:t>
      </w:r>
      <w:r>
        <w:rPr>
          <w:rFonts w:ascii="Times New Roman" w:hAnsi="Times New Roman" w:eastAsia="仿宋_GB2312" w:cs="Times New Roman"/>
          <w:color w:val="auto"/>
          <w:kern w:val="0"/>
          <w:sz w:val="32"/>
          <w:szCs w:val="32"/>
        </w:rPr>
        <w:t>同城综合交通体系不断完善</w:t>
      </w: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val="en-US" w:eastAsia="zh-CN"/>
        </w:rPr>
        <w:t>四</w:t>
      </w:r>
      <w:r>
        <w:rPr>
          <w:rFonts w:ascii="Times New Roman" w:hAnsi="Times New Roman" w:eastAsia="仿宋_GB2312" w:cs="Times New Roman"/>
          <w:color w:val="auto"/>
          <w:kern w:val="0"/>
          <w:sz w:val="32"/>
          <w:szCs w:val="32"/>
        </w:rPr>
        <w:t>高三快多轨”</w:t>
      </w:r>
      <w:r>
        <w:rPr>
          <w:rFonts w:ascii="Times New Roman" w:hAnsi="Times New Roman" w:eastAsia="仿宋_GB2312" w:cs="Times New Roman"/>
          <w:color w:val="auto"/>
          <w:kern w:val="0"/>
          <w:sz w:val="32"/>
          <w:szCs w:val="32"/>
        </w:rPr>
        <w:t>交通格局基本形成，北向融杭接沪一体化交通大通道对接顺畅，便捷高效的同城化交通网络更加密集</w:t>
      </w:r>
      <w:r>
        <w:rPr>
          <w:rFonts w:hint="eastAsia" w:ascii="Times New Roman" w:hAnsi="Times New Roman" w:eastAsia="仿宋_GB2312" w:cs="Times New Roman"/>
          <w:color w:val="auto"/>
          <w:kern w:val="0"/>
          <w:sz w:val="32"/>
          <w:szCs w:val="32"/>
          <w:lang w:eastAsia="zh-CN"/>
        </w:rPr>
        <w:t>。</w:t>
      </w:r>
      <w:r>
        <w:rPr>
          <w:rFonts w:ascii="Times New Roman" w:hAnsi="Times New Roman" w:eastAsia="仿宋_GB2312" w:cs="Times New Roman"/>
          <w:color w:val="auto"/>
          <w:kern w:val="0"/>
          <w:sz w:val="32"/>
          <w:szCs w:val="32"/>
        </w:rPr>
        <w:t>力争到2025年，打造形成诸暨与杭州—绍兴—金义周边三大城市半小时</w:t>
      </w:r>
      <w:r>
        <w:rPr>
          <w:rFonts w:hint="eastAsia" w:ascii="Times New Roman" w:hAnsi="Times New Roman" w:eastAsia="仿宋_GB2312" w:cs="Times New Roman"/>
          <w:color w:val="auto"/>
          <w:kern w:val="0"/>
          <w:sz w:val="32"/>
          <w:szCs w:val="32"/>
          <w:lang w:val="en-US" w:eastAsia="zh-CN"/>
        </w:rPr>
        <w:t>便捷</w:t>
      </w:r>
      <w:r>
        <w:rPr>
          <w:rFonts w:ascii="Times New Roman" w:hAnsi="Times New Roman" w:eastAsia="仿宋_GB2312" w:cs="Times New Roman"/>
          <w:color w:val="auto"/>
          <w:kern w:val="0"/>
          <w:sz w:val="32"/>
          <w:szCs w:val="32"/>
        </w:rPr>
        <w:t>商务圈。</w:t>
      </w:r>
    </w:p>
    <w:p>
      <w:pPr>
        <w:widowControl/>
        <w:spacing w:line="560" w:lineRule="exact"/>
        <w:ind w:firstLine="640"/>
        <w:rPr>
          <w:rFonts w:ascii="Times New Roman" w:hAnsi="Times New Roman" w:eastAsia="宋体" w:cs="Times New Roman"/>
          <w:color w:val="auto"/>
          <w:kern w:val="0"/>
          <w:szCs w:val="21"/>
        </w:rPr>
      </w:pPr>
      <w:r>
        <w:rPr>
          <w:rFonts w:ascii="Times New Roman" w:hAnsi="Times New Roman" w:eastAsia="仿宋_GB2312" w:cs="Times New Roman"/>
          <w:b/>
          <w:bCs/>
          <w:color w:val="auto"/>
          <w:kern w:val="0"/>
          <w:sz w:val="32"/>
          <w:szCs w:val="32"/>
        </w:rPr>
        <w:t>——产业转型升级成效显著。</w:t>
      </w:r>
      <w:r>
        <w:rPr>
          <w:rFonts w:hint="eastAsia" w:ascii="Times New Roman" w:hAnsi="Times New Roman" w:eastAsia="仿宋_GB2312" w:cs="Times New Roman"/>
          <w:color w:val="auto"/>
          <w:kern w:val="0"/>
          <w:sz w:val="32"/>
          <w:szCs w:val="32"/>
          <w:lang w:val="en-US" w:eastAsia="zh-CN"/>
        </w:rPr>
        <w:t>深度融入</w:t>
      </w:r>
      <w:r>
        <w:rPr>
          <w:rFonts w:ascii="Times New Roman" w:hAnsi="Times New Roman" w:eastAsia="仿宋_GB2312" w:cs="Times New Roman"/>
          <w:color w:val="auto"/>
          <w:kern w:val="0"/>
          <w:sz w:val="32"/>
          <w:szCs w:val="32"/>
        </w:rPr>
        <w:t>杭绍产业</w:t>
      </w:r>
      <w:r>
        <w:rPr>
          <w:rFonts w:hint="eastAsia" w:ascii="Times New Roman" w:hAnsi="Times New Roman" w:eastAsia="仿宋_GB2312" w:cs="Times New Roman"/>
          <w:color w:val="auto"/>
          <w:kern w:val="0"/>
          <w:sz w:val="32"/>
          <w:szCs w:val="32"/>
          <w:lang w:val="en-US" w:eastAsia="zh-CN"/>
        </w:rPr>
        <w:t>链</w:t>
      </w:r>
      <w:r>
        <w:rPr>
          <w:rFonts w:ascii="Times New Roman" w:hAnsi="Times New Roman" w:eastAsia="仿宋_GB2312" w:cs="Times New Roman"/>
          <w:color w:val="auto"/>
          <w:kern w:val="0"/>
          <w:sz w:val="32"/>
          <w:szCs w:val="32"/>
        </w:rPr>
        <w:t>协作</w:t>
      </w:r>
      <w:r>
        <w:rPr>
          <w:rFonts w:hint="eastAsia" w:ascii="Times New Roman" w:hAnsi="Times New Roman" w:eastAsia="仿宋_GB2312" w:cs="Times New Roman"/>
          <w:color w:val="auto"/>
          <w:kern w:val="0"/>
          <w:sz w:val="32"/>
          <w:szCs w:val="32"/>
          <w:lang w:val="en-US" w:eastAsia="zh-CN"/>
        </w:rPr>
        <w:t>体系</w:t>
      </w:r>
      <w:r>
        <w:rPr>
          <w:rFonts w:ascii="Times New Roman" w:hAnsi="Times New Roman" w:eastAsia="仿宋_GB2312" w:cs="Times New Roman"/>
          <w:color w:val="auto"/>
          <w:kern w:val="0"/>
          <w:sz w:val="32"/>
          <w:szCs w:val="32"/>
        </w:rPr>
        <w:t>，数字经济与诸暨特色产业更加融合，</w:t>
      </w:r>
      <w:r>
        <w:rPr>
          <w:rFonts w:hint="eastAsia" w:ascii="Times New Roman" w:hAnsi="Times New Roman" w:eastAsia="仿宋_GB2312" w:cs="Times New Roman"/>
          <w:color w:val="auto"/>
          <w:kern w:val="0"/>
          <w:sz w:val="32"/>
          <w:szCs w:val="32"/>
          <w:lang w:val="en-US" w:eastAsia="zh-CN"/>
        </w:rPr>
        <w:t>智能视觉</w:t>
      </w:r>
      <w:r>
        <w:rPr>
          <w:rFonts w:ascii="Times New Roman" w:hAnsi="Times New Roman" w:eastAsia="仿宋_GB2312" w:cs="Times New Roman"/>
          <w:color w:val="auto"/>
          <w:kern w:val="0"/>
          <w:sz w:val="32"/>
          <w:szCs w:val="32"/>
        </w:rPr>
        <w:t>、新材料、生命健康产业链形成协同效应，传统制造业数字化赋能更显成效。到2025年，数字经济核心产业增加值占GDP比重达到5%，诸暨岛</w:t>
      </w:r>
      <w:r>
        <w:rPr>
          <w:rFonts w:ascii="Times New Roman" w:hAnsi="Times New Roman" w:eastAsia="仿宋_GB2312" w:cs="Times New Roman"/>
          <w:color w:val="auto"/>
          <w:kern w:val="0"/>
          <w:sz w:val="32"/>
          <w:szCs w:val="32"/>
        </w:rPr>
        <w:t>—</w:t>
      </w:r>
      <w:r>
        <w:rPr>
          <w:rFonts w:ascii="Times New Roman" w:hAnsi="Times New Roman" w:eastAsia="仿宋_GB2312" w:cs="Times New Roman"/>
          <w:color w:val="auto"/>
          <w:kern w:val="0"/>
          <w:sz w:val="32"/>
          <w:szCs w:val="32"/>
        </w:rPr>
        <w:t>杭州港落地项目达60个以上。</w:t>
      </w:r>
    </w:p>
    <w:p>
      <w:pPr>
        <w:widowControl/>
        <w:spacing w:line="560" w:lineRule="exact"/>
        <w:ind w:firstLine="640"/>
        <w:rPr>
          <w:rFonts w:ascii="Times New Roman" w:hAnsi="Times New Roman" w:eastAsia="宋体" w:cs="Times New Roman"/>
          <w:color w:val="auto"/>
          <w:kern w:val="0"/>
          <w:szCs w:val="21"/>
        </w:rPr>
      </w:pPr>
      <w:r>
        <w:rPr>
          <w:rFonts w:ascii="Times New Roman" w:hAnsi="Times New Roman" w:eastAsia="仿宋_GB2312" w:cs="Times New Roman"/>
          <w:b/>
          <w:bCs/>
          <w:color w:val="auto"/>
          <w:kern w:val="0"/>
          <w:sz w:val="32"/>
          <w:szCs w:val="32"/>
        </w:rPr>
        <w:t>——协同创新能力不断提升。</w:t>
      </w:r>
      <w:r>
        <w:rPr>
          <w:rFonts w:ascii="Times New Roman" w:hAnsi="Times New Roman" w:eastAsia="仿宋_GB2312" w:cs="Times New Roman"/>
          <w:color w:val="auto"/>
          <w:kern w:val="0"/>
          <w:sz w:val="32"/>
          <w:szCs w:val="32"/>
        </w:rPr>
        <w:t>杭绍协同创新牵引作用更加明显，科技平台建设取得突破，创新资源进一步集聚、产学研合作进一步深化、创新成果转化能力全面增强。到2025年，全社会R&amp;D经费支出占GDP比重达3.3%，累计引培顶尖人才和科技领军人才数达到150名，科技创新综合实力</w:t>
      </w:r>
      <w:r>
        <w:rPr>
          <w:rFonts w:hint="eastAsia" w:ascii="Times New Roman" w:hAnsi="Times New Roman" w:eastAsia="仿宋_GB2312" w:cs="Times New Roman"/>
          <w:color w:val="auto"/>
          <w:kern w:val="0"/>
          <w:sz w:val="32"/>
          <w:szCs w:val="32"/>
          <w:lang w:val="en-US" w:eastAsia="zh-CN"/>
        </w:rPr>
        <w:t>跻身</w:t>
      </w:r>
      <w:r>
        <w:rPr>
          <w:rFonts w:ascii="Times New Roman" w:hAnsi="Times New Roman" w:eastAsia="仿宋_GB2312" w:cs="Times New Roman"/>
          <w:color w:val="auto"/>
          <w:kern w:val="0"/>
          <w:sz w:val="32"/>
          <w:szCs w:val="32"/>
        </w:rPr>
        <w:t>全省前列。</w:t>
      </w:r>
    </w:p>
    <w:p>
      <w:pPr>
        <w:widowControl/>
        <w:spacing w:line="560" w:lineRule="exact"/>
        <w:ind w:firstLine="640"/>
        <w:rPr>
          <w:rFonts w:ascii="Times New Roman" w:hAnsi="Times New Roman" w:eastAsia="仿宋_GB2312" w:cs="Times New Roman"/>
          <w:color w:val="auto"/>
          <w:kern w:val="0"/>
          <w:sz w:val="32"/>
          <w:szCs w:val="32"/>
        </w:rPr>
      </w:pPr>
      <w:r>
        <w:rPr>
          <w:rFonts w:ascii="Times New Roman" w:hAnsi="Times New Roman" w:eastAsia="仿宋_GB2312" w:cs="Times New Roman"/>
          <w:b/>
          <w:bCs/>
          <w:color w:val="auto"/>
          <w:kern w:val="0"/>
          <w:sz w:val="32"/>
          <w:szCs w:val="32"/>
        </w:rPr>
        <w:t>——生态文旅休闲深入推进。</w:t>
      </w:r>
      <w:r>
        <w:rPr>
          <w:rFonts w:ascii="Times New Roman" w:hAnsi="Times New Roman" w:eastAsia="仿宋_GB2312" w:cs="Times New Roman"/>
          <w:color w:val="auto"/>
          <w:kern w:val="0"/>
          <w:sz w:val="32"/>
          <w:szCs w:val="32"/>
        </w:rPr>
        <w:t>以打造长三角健康休闲文化旅游目的地为目标，厚植古越底蕴、彰显西施韵味，全域旅游系统推进，“西施故里”文旅IP愈加彰显</w:t>
      </w:r>
      <w:r>
        <w:rPr>
          <w:rFonts w:ascii="Times New Roman" w:hAnsi="Times New Roman" w:eastAsia="仿宋_GB2312" w:cs="Times New Roman"/>
          <w:color w:val="auto"/>
          <w:sz w:val="32"/>
          <w:szCs w:val="32"/>
        </w:rPr>
        <w:t>，“好美诸暨”全域大景区大花园格局基本形成。</w:t>
      </w:r>
      <w:r>
        <w:rPr>
          <w:rFonts w:ascii="Times New Roman" w:hAnsi="Times New Roman" w:eastAsia="仿宋_GB2312" w:cs="Times New Roman"/>
          <w:color w:val="auto"/>
          <w:kern w:val="0"/>
          <w:sz w:val="32"/>
          <w:szCs w:val="32"/>
        </w:rPr>
        <w:t>到2025年，</w:t>
      </w:r>
      <w:r>
        <w:rPr>
          <w:rFonts w:ascii="Times New Roman" w:hAnsi="Times New Roman" w:eastAsia="仿宋_GB2312" w:cs="Times New Roman"/>
          <w:color w:val="auto"/>
          <w:sz w:val="32"/>
          <w:szCs w:val="32"/>
        </w:rPr>
        <w:t>国内外游客突破540万人次，旅游总收入超过74.87亿元。</w:t>
      </w:r>
    </w:p>
    <w:p>
      <w:pPr>
        <w:widowControl/>
        <w:spacing w:line="560" w:lineRule="exact"/>
        <w:ind w:firstLine="640"/>
        <w:rPr>
          <w:rFonts w:ascii="Times New Roman" w:hAnsi="Times New Roman" w:eastAsia="宋体" w:cs="Times New Roman"/>
          <w:color w:val="auto"/>
          <w:kern w:val="0"/>
          <w:szCs w:val="21"/>
        </w:rPr>
      </w:pPr>
      <w:r>
        <w:rPr>
          <w:rFonts w:ascii="Times New Roman" w:hAnsi="Times New Roman" w:eastAsia="仿宋_GB2312" w:cs="Times New Roman"/>
          <w:b/>
          <w:bCs/>
          <w:color w:val="auto"/>
          <w:kern w:val="0"/>
          <w:sz w:val="32"/>
          <w:szCs w:val="32"/>
        </w:rPr>
        <w:t>——民生普惠便利全域覆盖。</w:t>
      </w:r>
      <w:r>
        <w:rPr>
          <w:rFonts w:ascii="Times New Roman" w:hAnsi="Times New Roman" w:eastAsia="仿宋_GB2312" w:cs="Times New Roman"/>
          <w:color w:val="auto"/>
          <w:kern w:val="0"/>
          <w:sz w:val="32"/>
          <w:szCs w:val="32"/>
        </w:rPr>
        <w:t>杭绍同城发展成果更公平地惠及人民，教育、医疗、社保、住房、养老、体育、治理等公共服务体系更加健全，跨城行政事项互通互认范围更加广泛，跨市就业、创业、通勤、生活更加便利，全市人民的杭绍同城获得感、幸福感、认同感全面提高。</w:t>
      </w:r>
    </w:p>
    <w:p>
      <w:pPr>
        <w:pStyle w:val="4"/>
        <w:bidi w:val="0"/>
        <w:rPr>
          <w:color w:val="auto"/>
        </w:rPr>
      </w:pPr>
      <w:bookmarkStart w:id="8" w:name="_Toc16593"/>
      <w:r>
        <w:rPr>
          <w:color w:val="auto"/>
        </w:rPr>
        <w:t>三、重点任务</w:t>
      </w:r>
      <w:bookmarkEnd w:id="8"/>
    </w:p>
    <w:p>
      <w:pPr>
        <w:pStyle w:val="5"/>
        <w:bidi w:val="0"/>
        <w:rPr>
          <w:color w:val="auto"/>
        </w:rPr>
      </w:pPr>
      <w:bookmarkStart w:id="9" w:name="_Toc6197"/>
      <w:r>
        <w:rPr>
          <w:color w:val="auto"/>
        </w:rPr>
        <w:t>（一）实施交通互</w:t>
      </w:r>
      <w:r>
        <w:rPr>
          <w:rFonts w:hint="eastAsia"/>
          <w:color w:val="auto"/>
          <w:lang w:val="en-US" w:eastAsia="zh-CN"/>
        </w:rPr>
        <w:t>通共网</w:t>
      </w:r>
      <w:r>
        <w:rPr>
          <w:color w:val="auto"/>
        </w:rPr>
        <w:t>提速行动</w:t>
      </w:r>
      <w:bookmarkEnd w:id="9"/>
    </w:p>
    <w:p>
      <w:pPr>
        <w:spacing w:line="56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1.构建立体衔接轨道交通网络。</w:t>
      </w:r>
      <w:r>
        <w:rPr>
          <w:rFonts w:ascii="Times New Roman" w:hAnsi="Times New Roman" w:eastAsia="仿宋_GB2312" w:cs="Times New Roman"/>
          <w:color w:val="auto"/>
          <w:sz w:val="32"/>
          <w:szCs w:val="32"/>
        </w:rPr>
        <w:t>提升现有枢纽运能，挖掘沪昆通道服务诸暨潜力，积极</w:t>
      </w:r>
      <w:r>
        <w:rPr>
          <w:rFonts w:hint="eastAsia" w:ascii="Times New Roman" w:hAnsi="Times New Roman" w:eastAsia="仿宋_GB2312" w:cs="Times New Roman"/>
          <w:color w:val="auto"/>
          <w:sz w:val="32"/>
          <w:szCs w:val="32"/>
        </w:rPr>
        <w:t>推进</w:t>
      </w:r>
      <w:r>
        <w:rPr>
          <w:rFonts w:ascii="Times New Roman" w:hAnsi="Times New Roman" w:eastAsia="仿宋_GB2312" w:cs="Times New Roman"/>
          <w:color w:val="auto"/>
          <w:sz w:val="32"/>
          <w:szCs w:val="32"/>
        </w:rPr>
        <w:t>诸暨站综合枢纽化改造、沪昆通道运能提升工程。提升铁路客运和货运服务能力，加快</w:t>
      </w:r>
      <w:r>
        <w:rPr>
          <w:rFonts w:hint="eastAsia" w:ascii="Times New Roman" w:hAnsi="Times New Roman" w:eastAsia="仿宋_GB2312" w:cs="Times New Roman"/>
          <w:color w:val="auto"/>
          <w:sz w:val="32"/>
          <w:szCs w:val="32"/>
        </w:rPr>
        <w:t>构建</w:t>
      </w:r>
      <w:r>
        <w:rPr>
          <w:rFonts w:ascii="Times New Roman" w:hAnsi="Times New Roman" w:eastAsia="仿宋_GB2312" w:cs="Times New Roman"/>
          <w:color w:val="auto"/>
          <w:sz w:val="32"/>
          <w:szCs w:val="32"/>
        </w:rPr>
        <w:t>以诸暨站综合枢纽为核心节点、主要干线为支撑的铁路网络。加强谋划杭诸市域铁路</w:t>
      </w:r>
      <w:r>
        <w:rPr>
          <w:rFonts w:hint="eastAsia" w:ascii="Times New Roman" w:hAnsi="Times New Roman" w:eastAsia="仿宋_GB2312" w:cs="Times New Roman"/>
          <w:color w:val="auto"/>
          <w:sz w:val="32"/>
          <w:szCs w:val="32"/>
          <w:lang w:val="en-US" w:eastAsia="zh-CN"/>
        </w:rPr>
        <w:t>及绍诸市域铁路</w:t>
      </w:r>
      <w:r>
        <w:rPr>
          <w:rFonts w:ascii="Times New Roman" w:hAnsi="Times New Roman" w:eastAsia="仿宋_GB2312" w:cs="Times New Roman"/>
          <w:color w:val="auto"/>
          <w:sz w:val="32"/>
          <w:szCs w:val="32"/>
        </w:rPr>
        <w:t>，规划形成高效衔接杭州城轨系统及绍兴城轨系统的通勤轨道，争取杭诸市域规划实施时序提前</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构建杭绍诸通勤化、公交化的轨道运营体系。</w:t>
      </w:r>
      <w:r>
        <w:rPr>
          <w:rFonts w:ascii="Times New Roman" w:hAnsi="Times New Roman" w:eastAsia="楷体_GB2312" w:cs="Times New Roman"/>
          <w:bCs/>
          <w:color w:val="auto"/>
          <w:sz w:val="32"/>
          <w:szCs w:val="32"/>
        </w:rPr>
        <w:t>（责任单位：市交通运输局、市</w:t>
      </w:r>
      <w:r>
        <w:rPr>
          <w:rFonts w:hint="eastAsia" w:ascii="Times New Roman" w:hAnsi="Times New Roman" w:eastAsia="楷体_GB2312" w:cs="Times New Roman"/>
          <w:bCs/>
          <w:color w:val="auto"/>
          <w:sz w:val="32"/>
          <w:szCs w:val="32"/>
          <w:lang w:val="en-US" w:eastAsia="zh-CN"/>
        </w:rPr>
        <w:t>发改局</w:t>
      </w:r>
      <w:r>
        <w:rPr>
          <w:rFonts w:ascii="Times New Roman" w:hAnsi="Times New Roman" w:eastAsia="楷体_GB2312" w:cs="Times New Roman"/>
          <w:bCs/>
          <w:color w:val="auto"/>
          <w:sz w:val="32"/>
          <w:szCs w:val="32"/>
        </w:rPr>
        <w:t>）</w:t>
      </w:r>
    </w:p>
    <w:p>
      <w:pPr>
        <w:spacing w:line="560" w:lineRule="exact"/>
        <w:ind w:firstLine="643" w:firstLineChars="200"/>
        <w:rPr>
          <w:rFonts w:ascii="Times New Roman" w:hAnsi="Times New Roman" w:eastAsia="楷体_GB2312" w:cs="Times New Roman"/>
          <w:bCs/>
          <w:color w:val="auto"/>
          <w:sz w:val="32"/>
          <w:szCs w:val="32"/>
        </w:rPr>
      </w:pPr>
      <w:r>
        <w:rPr>
          <w:rFonts w:ascii="Times New Roman" w:hAnsi="Times New Roman" w:eastAsia="仿宋_GB2312" w:cs="Times New Roman"/>
          <w:b/>
          <w:bCs/>
          <w:color w:val="auto"/>
          <w:sz w:val="32"/>
          <w:szCs w:val="32"/>
        </w:rPr>
        <w:t>2.深化高速快速路网联系互通。</w:t>
      </w:r>
      <w:bookmarkStart w:id="10" w:name="_Hlk75776226"/>
      <w:r>
        <w:rPr>
          <w:rFonts w:ascii="Times New Roman" w:hAnsi="Times New Roman" w:eastAsia="仿宋_GB2312" w:cs="Times New Roman"/>
          <w:color w:val="auto"/>
          <w:sz w:val="32"/>
          <w:szCs w:val="32"/>
        </w:rPr>
        <w:t>加快融杭高速公路建设，实施柯诸高速诸暨段、诸永高速直埠至街亭枢纽段改扩建、合温高速诸暨段等工程，加快推进</w:t>
      </w:r>
      <w:bookmarkEnd w:id="10"/>
      <w:r>
        <w:rPr>
          <w:rFonts w:ascii="Times New Roman" w:hAnsi="Times New Roman" w:eastAsia="仿宋_GB2312" w:cs="Times New Roman"/>
          <w:color w:val="auto"/>
          <w:sz w:val="32"/>
          <w:szCs w:val="32"/>
        </w:rPr>
        <w:t>诸嵊高速、诸建高速前期研究。全面对接杭州主城“三纵”快速路网，</w:t>
      </w:r>
      <w:r>
        <w:rPr>
          <w:rFonts w:hint="eastAsia" w:ascii="Times New Roman" w:hAnsi="Times New Roman" w:eastAsia="仿宋_GB2312" w:cs="Times New Roman"/>
          <w:color w:val="auto"/>
          <w:sz w:val="32"/>
          <w:szCs w:val="32"/>
          <w:lang w:val="en-US" w:eastAsia="zh-CN"/>
        </w:rPr>
        <w:t>构建</w:t>
      </w:r>
      <w:r>
        <w:rPr>
          <w:rFonts w:ascii="Times New Roman" w:hAnsi="Times New Roman" w:eastAsia="仿宋_GB2312" w:cs="Times New Roman"/>
          <w:color w:val="auto"/>
          <w:sz w:val="32"/>
          <w:szCs w:val="32"/>
        </w:rPr>
        <w:t>G235国道—时代大道、S217（03省道东复线）—通城大道快速路、</w:t>
      </w:r>
      <w:r>
        <w:rPr>
          <w:rFonts w:hint="eastAsia" w:ascii="Times New Roman" w:hAnsi="Times New Roman" w:eastAsia="仿宋_GB2312" w:cs="Times New Roman"/>
          <w:color w:val="auto"/>
          <w:sz w:val="32"/>
          <w:szCs w:val="32"/>
          <w:lang w:val="en-US" w:eastAsia="zh-CN"/>
        </w:rPr>
        <w:t>诸暨至萧山浦阳公路</w:t>
      </w:r>
      <w:r>
        <w:rPr>
          <w:rFonts w:ascii="Times New Roman" w:hAnsi="Times New Roman" w:eastAsia="仿宋_GB2312" w:cs="Times New Roman"/>
          <w:color w:val="auto"/>
          <w:sz w:val="32"/>
          <w:szCs w:val="32"/>
        </w:rPr>
        <w:t>—临浦快速路—风情大道</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融杭</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等快速通道</w:t>
      </w:r>
      <w:r>
        <w:rPr>
          <w:rFonts w:ascii="Times New Roman" w:hAnsi="Times New Roman" w:eastAsia="仿宋_GB2312" w:cs="Times New Roman"/>
          <w:color w:val="auto"/>
          <w:sz w:val="32"/>
          <w:szCs w:val="32"/>
        </w:rPr>
        <w:t>，进一步打通临杭交通瓶颈，</w:t>
      </w:r>
      <w:r>
        <w:rPr>
          <w:rFonts w:hint="eastAsia" w:ascii="Times New Roman" w:hAnsi="Times New Roman" w:eastAsia="仿宋_GB2312" w:cs="Times New Roman"/>
          <w:color w:val="auto"/>
          <w:sz w:val="32"/>
          <w:szCs w:val="32"/>
        </w:rPr>
        <w:t>基本</w:t>
      </w:r>
      <w:r>
        <w:rPr>
          <w:rFonts w:ascii="Times New Roman" w:hAnsi="Times New Roman" w:eastAsia="仿宋_GB2312" w:cs="Times New Roman"/>
          <w:color w:val="auto"/>
          <w:sz w:val="32"/>
          <w:szCs w:val="32"/>
        </w:rPr>
        <w:t>形成“</w:t>
      </w:r>
      <w:r>
        <w:rPr>
          <w:rFonts w:hint="eastAsia" w:ascii="Times New Roman" w:hAnsi="Times New Roman" w:eastAsia="仿宋_GB2312" w:cs="Times New Roman"/>
          <w:color w:val="auto"/>
          <w:sz w:val="32"/>
          <w:szCs w:val="32"/>
          <w:lang w:val="en-US" w:eastAsia="zh-CN"/>
        </w:rPr>
        <w:t>四</w:t>
      </w:r>
      <w:r>
        <w:rPr>
          <w:rFonts w:ascii="Times New Roman" w:hAnsi="Times New Roman" w:eastAsia="仿宋_GB2312" w:cs="Times New Roman"/>
          <w:color w:val="auto"/>
          <w:sz w:val="32"/>
          <w:szCs w:val="32"/>
        </w:rPr>
        <w:t>高三快多轨”交通格局。推进市域快速路网构建及城市主干道快速化改造，深化高速公路网、快速路网及城市骨干路网之间的高效衔接，加快推进城市二环快速化改造、白大线、十诸线等线路建设提升。</w:t>
      </w:r>
      <w:r>
        <w:rPr>
          <w:rFonts w:ascii="Times New Roman" w:hAnsi="Times New Roman" w:eastAsia="楷体_GB2312" w:cs="Times New Roman"/>
          <w:bCs/>
          <w:color w:val="auto"/>
          <w:sz w:val="32"/>
          <w:szCs w:val="32"/>
        </w:rPr>
        <w:t>（责任单位：市交通运输局、</w:t>
      </w:r>
      <w:r>
        <w:rPr>
          <w:rFonts w:hint="eastAsia" w:ascii="Times New Roman" w:hAnsi="Times New Roman" w:eastAsia="楷体_GB2312" w:cs="Times New Roman"/>
          <w:bCs/>
          <w:color w:val="auto"/>
          <w:sz w:val="32"/>
          <w:szCs w:val="32"/>
          <w:lang w:val="en-US" w:eastAsia="zh-CN"/>
        </w:rPr>
        <w:t>市建设集团</w:t>
      </w:r>
      <w:r>
        <w:rPr>
          <w:rFonts w:ascii="Times New Roman" w:hAnsi="Times New Roman" w:eastAsia="楷体_GB2312" w:cs="Times New Roman"/>
          <w:bCs/>
          <w:color w:val="auto"/>
          <w:sz w:val="32"/>
          <w:szCs w:val="32"/>
        </w:rPr>
        <w:t>）</w:t>
      </w:r>
    </w:p>
    <w:p>
      <w:pPr>
        <w:spacing w:line="560" w:lineRule="exact"/>
        <w:ind w:firstLine="643" w:firstLineChars="200"/>
        <w:rPr>
          <w:rFonts w:ascii="Times New Roman" w:hAnsi="Times New Roman" w:eastAsia="楷体_GB2312" w:cs="Times New Roman"/>
          <w:bCs/>
          <w:color w:val="auto"/>
          <w:sz w:val="32"/>
          <w:szCs w:val="32"/>
        </w:rPr>
      </w:pPr>
      <w:r>
        <w:rPr>
          <w:rFonts w:ascii="Times New Roman" w:hAnsi="Times New Roman" w:eastAsia="仿宋_GB2312" w:cs="Times New Roman"/>
          <w:b/>
          <w:bCs/>
          <w:color w:val="auto"/>
          <w:sz w:val="32"/>
          <w:szCs w:val="32"/>
        </w:rPr>
        <w:t>3.加快水运空港多式联运建设。</w:t>
      </w:r>
      <w:r>
        <w:rPr>
          <w:rFonts w:ascii="Times New Roman" w:hAnsi="Times New Roman" w:eastAsia="仿宋_GB2312" w:cs="Times New Roman"/>
          <w:color w:val="auto"/>
          <w:sz w:val="32"/>
          <w:szCs w:val="32"/>
        </w:rPr>
        <w:t>畅通浦阳江</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钱塘江水运航道，打通浦阳江与钱塘江、杭甬运河、京杭运河，实现水上客货运功能的融杭对接。</w:t>
      </w:r>
      <w:r>
        <w:rPr>
          <w:rFonts w:ascii="Times New Roman" w:hAnsi="Times New Roman" w:eastAsia="仿宋_GB2312" w:cs="Times New Roman"/>
          <w:color w:val="auto"/>
          <w:sz w:val="32"/>
          <w:szCs w:val="22"/>
        </w:rPr>
        <w:t>推进高等级航道提质升级，</w:t>
      </w:r>
      <w:r>
        <w:rPr>
          <w:rFonts w:hint="eastAsia" w:ascii="Times New Roman" w:hAnsi="Times New Roman" w:eastAsia="仿宋_GB2312" w:cs="Times New Roman"/>
          <w:color w:val="auto"/>
          <w:sz w:val="32"/>
          <w:szCs w:val="22"/>
        </w:rPr>
        <w:t>积极谋划</w:t>
      </w:r>
      <w:r>
        <w:rPr>
          <w:rFonts w:ascii="Times New Roman" w:hAnsi="Times New Roman" w:eastAsia="仿宋_GB2312" w:cs="Times New Roman"/>
          <w:color w:val="auto"/>
          <w:sz w:val="32"/>
          <w:szCs w:val="22"/>
        </w:rPr>
        <w:t>推进</w:t>
      </w:r>
      <w:r>
        <w:rPr>
          <w:rFonts w:ascii="Times New Roman" w:hAnsi="Times New Roman" w:eastAsia="仿宋_GB2312" w:cs="Times New Roman"/>
          <w:color w:val="auto"/>
          <w:sz w:val="32"/>
          <w:szCs w:val="32"/>
        </w:rPr>
        <w:t>浦阳江、枫桥江航道提升</w:t>
      </w:r>
      <w:r>
        <w:rPr>
          <w:rFonts w:ascii="Times New Roman" w:hAnsi="Times New Roman" w:eastAsia="仿宋_GB2312" w:cs="Times New Roman"/>
          <w:color w:val="auto"/>
          <w:sz w:val="32"/>
          <w:szCs w:val="22"/>
        </w:rPr>
        <w:t>，接入杭绍甬内河航运网</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sz w:val="32"/>
          <w:szCs w:val="22"/>
        </w:rPr>
        <w:t>构建“两主多点”港口布局，加快推进诸暨市店口综合港区建设、</w:t>
      </w:r>
      <w:bookmarkStart w:id="11" w:name="_Hlk98857833"/>
      <w:r>
        <w:rPr>
          <w:rFonts w:ascii="Times New Roman" w:hAnsi="Times New Roman" w:eastAsia="仿宋_GB2312" w:cs="Times New Roman"/>
          <w:color w:val="auto"/>
          <w:sz w:val="32"/>
          <w:szCs w:val="32"/>
        </w:rPr>
        <w:t>新亭埠港区</w:t>
      </w:r>
      <w:bookmarkEnd w:id="11"/>
      <w:r>
        <w:rPr>
          <w:rFonts w:ascii="Times New Roman" w:hAnsi="Times New Roman" w:eastAsia="仿宋_GB2312" w:cs="Times New Roman"/>
          <w:color w:val="auto"/>
          <w:sz w:val="32"/>
          <w:szCs w:val="32"/>
        </w:rPr>
        <w:t>集装箱航运能力提升工程</w:t>
      </w:r>
      <w:r>
        <w:rPr>
          <w:rFonts w:ascii="Times New Roman" w:hAnsi="Times New Roman" w:eastAsia="仿宋_GB2312" w:cs="Times New Roman"/>
          <w:color w:val="auto"/>
          <w:sz w:val="32"/>
          <w:szCs w:val="22"/>
        </w:rPr>
        <w:t>，逐步推进姚公埠、江藻、枫桥等作业区码头改造。</w:t>
      </w:r>
      <w:r>
        <w:rPr>
          <w:rFonts w:hint="eastAsia" w:ascii="Times New Roman" w:hAnsi="Times New Roman" w:eastAsia="仿宋_GB2312" w:cs="Times New Roman"/>
          <w:color w:val="auto"/>
          <w:sz w:val="32"/>
          <w:szCs w:val="22"/>
        </w:rPr>
        <w:t>推进店口物流园规划建设，构建集约高效货运枢纽。加快谋划通用航空基地，积极探索低空领域空中交通产业创新。</w:t>
      </w:r>
      <w:r>
        <w:rPr>
          <w:rFonts w:ascii="Times New Roman" w:hAnsi="Times New Roman" w:eastAsia="楷体_GB2312" w:cs="Times New Roman"/>
          <w:bCs/>
          <w:color w:val="auto"/>
          <w:sz w:val="32"/>
          <w:szCs w:val="32"/>
        </w:rPr>
        <w:t>（责任单位：市交通运输局、</w:t>
      </w:r>
      <w:r>
        <w:rPr>
          <w:rFonts w:hint="eastAsia" w:ascii="Times New Roman" w:hAnsi="Times New Roman" w:eastAsia="楷体_GB2312" w:cs="Times New Roman"/>
          <w:bCs/>
          <w:color w:val="auto"/>
          <w:sz w:val="32"/>
          <w:szCs w:val="32"/>
          <w:lang w:val="en-US" w:eastAsia="zh-CN"/>
        </w:rPr>
        <w:t>市发改局、市建设集团</w:t>
      </w:r>
      <w:r>
        <w:rPr>
          <w:rFonts w:ascii="Times New Roman" w:hAnsi="Times New Roman" w:eastAsia="楷体_GB2312" w:cs="Times New Roman"/>
          <w:bCs/>
          <w:color w:val="auto"/>
          <w:sz w:val="32"/>
          <w:szCs w:val="32"/>
        </w:rPr>
        <w:t>）</w:t>
      </w:r>
    </w:p>
    <w:p>
      <w:pPr>
        <w:spacing w:line="560" w:lineRule="exact"/>
        <w:ind w:firstLine="643" w:firstLineChars="200"/>
        <w:rPr>
          <w:rFonts w:ascii="Times New Roman" w:hAnsi="Times New Roman" w:eastAsia="楷体_GB2312" w:cs="Times New Roman"/>
          <w:bCs/>
          <w:color w:val="auto"/>
          <w:sz w:val="32"/>
          <w:szCs w:val="32"/>
        </w:rPr>
      </w:pPr>
      <w:r>
        <w:rPr>
          <w:rFonts w:ascii="Times New Roman" w:hAnsi="Times New Roman" w:eastAsia="仿宋_GB2312" w:cs="Times New Roman"/>
          <w:b/>
          <w:bCs/>
          <w:color w:val="auto"/>
          <w:sz w:val="32"/>
          <w:szCs w:val="32"/>
        </w:rPr>
        <w:t>4.推进公共交通服务跨市通行。</w:t>
      </w:r>
      <w:r>
        <w:rPr>
          <w:rFonts w:ascii="Times New Roman" w:hAnsi="Times New Roman" w:eastAsia="仿宋_GB2312" w:cs="Times New Roman"/>
          <w:color w:val="auto"/>
          <w:sz w:val="32"/>
          <w:szCs w:val="22"/>
        </w:rPr>
        <w:t>着力构建以轨道交通为主、公路交通为辅，公交、城际班线、出租车等多种方式互为补充的公共交通服务体系。加密萧山</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sz w:val="32"/>
          <w:szCs w:val="22"/>
        </w:rPr>
        <w:t>诸暨毗连区域跨区公交线路，有序推动公交一体化运营。强化杭绍同城主要站点间的公交线路，围绕滨江诸暨岛、余杭</w:t>
      </w:r>
      <w:r>
        <w:rPr>
          <w:rFonts w:hint="eastAsia" w:ascii="Times New Roman" w:hAnsi="Times New Roman" w:eastAsia="仿宋_GB2312" w:cs="Times New Roman"/>
          <w:color w:val="auto"/>
          <w:sz w:val="32"/>
          <w:szCs w:val="22"/>
        </w:rPr>
        <w:t>诸暨岛</w:t>
      </w:r>
      <w:r>
        <w:rPr>
          <w:rFonts w:ascii="Times New Roman" w:hAnsi="Times New Roman" w:eastAsia="仿宋_GB2312" w:cs="Times New Roman"/>
          <w:color w:val="auto"/>
          <w:sz w:val="32"/>
          <w:szCs w:val="22"/>
        </w:rPr>
        <w:t>等主要高频往来站点，持续拓展定制化公交路线，构建重要节点“零换乘”公交系统，拓宽杭州产业资源、公共服务资源与诸暨共享通道。</w:t>
      </w:r>
      <w:r>
        <w:rPr>
          <w:rFonts w:ascii="Times New Roman" w:hAnsi="Times New Roman" w:eastAsia="楷体_GB2312" w:cs="Times New Roman"/>
          <w:bCs/>
          <w:color w:val="auto"/>
          <w:sz w:val="32"/>
          <w:szCs w:val="32"/>
        </w:rPr>
        <w:t>（责任单位：市交通运输局、</w:t>
      </w:r>
      <w:r>
        <w:rPr>
          <w:rFonts w:hint="eastAsia" w:ascii="Times New Roman" w:hAnsi="Times New Roman" w:eastAsia="楷体_GB2312" w:cs="Times New Roman"/>
          <w:bCs/>
          <w:color w:val="auto"/>
          <w:sz w:val="32"/>
          <w:szCs w:val="32"/>
          <w:lang w:val="en-US" w:eastAsia="zh-CN"/>
        </w:rPr>
        <w:t>市建设集团</w:t>
      </w:r>
      <w:r>
        <w:rPr>
          <w:rFonts w:ascii="Times New Roman" w:hAnsi="Times New Roman" w:eastAsia="楷体_GB2312" w:cs="Times New Roman"/>
          <w:bCs/>
          <w:color w:val="auto"/>
          <w:sz w:val="32"/>
          <w:szCs w:val="32"/>
        </w:rPr>
        <w:t>）</w:t>
      </w:r>
    </w:p>
    <w:p>
      <w:pPr>
        <w:pStyle w:val="5"/>
        <w:bidi w:val="0"/>
        <w:rPr>
          <w:color w:val="auto"/>
        </w:rPr>
      </w:pPr>
      <w:bookmarkStart w:id="12" w:name="_Toc24799"/>
      <w:r>
        <w:rPr>
          <w:color w:val="auto"/>
        </w:rPr>
        <w:t>（二）实施产业</w:t>
      </w:r>
      <w:r>
        <w:rPr>
          <w:rFonts w:hint="eastAsia"/>
          <w:color w:val="auto"/>
          <w:lang w:val="en-US" w:eastAsia="zh-CN"/>
        </w:rPr>
        <w:t>互联</w:t>
      </w:r>
      <w:r>
        <w:rPr>
          <w:color w:val="auto"/>
        </w:rPr>
        <w:t>共链提质行动</w:t>
      </w:r>
      <w:bookmarkEnd w:id="12"/>
    </w:p>
    <w:p>
      <w:pPr>
        <w:spacing w:line="560" w:lineRule="exact"/>
        <w:ind w:firstLine="643" w:firstLineChars="200"/>
        <w:contextualSpacing/>
        <w:rPr>
          <w:rFonts w:ascii="Times New Roman" w:hAnsi="Times New Roman" w:eastAsia="仿宋_GB2312" w:cs="Times New Roman"/>
          <w:color w:val="auto"/>
          <w:sz w:val="32"/>
          <w:szCs w:val="40"/>
        </w:rPr>
      </w:pPr>
      <w:bookmarkStart w:id="13" w:name="_Toc65447455"/>
      <w:r>
        <w:rPr>
          <w:rFonts w:ascii="Times New Roman" w:hAnsi="Times New Roman" w:eastAsia="仿宋_GB2312" w:cs="Times New Roman"/>
          <w:b/>
          <w:bCs/>
          <w:color w:val="auto"/>
          <w:sz w:val="32"/>
          <w:szCs w:val="40"/>
        </w:rPr>
        <w:t>1.深化产业链协同建设。</w:t>
      </w:r>
      <w:r>
        <w:rPr>
          <w:rFonts w:ascii="Times New Roman" w:hAnsi="Times New Roman" w:eastAsia="仿宋_GB2312" w:cs="Times New Roman"/>
          <w:color w:val="auto"/>
          <w:sz w:val="32"/>
          <w:szCs w:val="40"/>
        </w:rPr>
        <w:t>立足诸暨产业特色优势，全面对接杭州</w:t>
      </w:r>
      <w:r>
        <w:rPr>
          <w:rFonts w:hint="eastAsia" w:ascii="Times New Roman" w:hAnsi="Times New Roman" w:eastAsia="仿宋_GB2312" w:cs="Times New Roman"/>
          <w:color w:val="auto"/>
          <w:sz w:val="32"/>
          <w:szCs w:val="40"/>
          <w:lang w:val="en-US" w:eastAsia="zh-CN"/>
        </w:rPr>
        <w:t>五</w:t>
      </w:r>
      <w:r>
        <w:rPr>
          <w:rFonts w:hint="eastAsia" w:ascii="Times New Roman" w:hAnsi="Times New Roman" w:eastAsia="仿宋_GB2312" w:cs="Times New Roman"/>
          <w:color w:val="auto"/>
          <w:sz w:val="32"/>
          <w:szCs w:val="40"/>
        </w:rPr>
        <w:t>大产业生态圈</w:t>
      </w:r>
      <w:r>
        <w:rPr>
          <w:rFonts w:hint="eastAsia" w:ascii="Times New Roman" w:hAnsi="Times New Roman" w:eastAsia="仿宋_GB2312" w:cs="Times New Roman"/>
          <w:color w:val="auto"/>
          <w:sz w:val="32"/>
          <w:szCs w:val="40"/>
          <w:lang w:eastAsia="zh-CN"/>
        </w:rPr>
        <w:t>、</w:t>
      </w:r>
      <w:r>
        <w:rPr>
          <w:rFonts w:ascii="Times New Roman" w:hAnsi="Times New Roman" w:eastAsia="仿宋_GB2312" w:cs="Times New Roman"/>
          <w:color w:val="auto"/>
          <w:sz w:val="32"/>
          <w:szCs w:val="40"/>
        </w:rPr>
        <w:t>九大标志性产业链建设，重点推动时尚产业链、智能装备产业链两大标志性产业链</w:t>
      </w:r>
      <w:r>
        <w:rPr>
          <w:rFonts w:ascii="Times New Roman" w:hAnsi="Times New Roman" w:eastAsia="仿宋_GB2312" w:cs="Times New Roman"/>
          <w:color w:val="auto"/>
          <w:sz w:val="32"/>
          <w:szCs w:val="40"/>
        </w:rPr>
        <w:t>的精准衔接，全面导入“产业链细分产业图” “产业链招商引资图”。加快</w:t>
      </w:r>
      <w:r>
        <w:rPr>
          <w:rFonts w:hint="eastAsia" w:ascii="Times New Roman" w:hAnsi="Times New Roman" w:eastAsia="仿宋_GB2312" w:cs="Times New Roman"/>
          <w:color w:val="auto"/>
          <w:sz w:val="32"/>
          <w:szCs w:val="40"/>
        </w:rPr>
        <w:t>智能视觉</w:t>
      </w:r>
      <w:r>
        <w:rPr>
          <w:rFonts w:ascii="Times New Roman" w:hAnsi="Times New Roman" w:eastAsia="仿宋_GB2312" w:cs="Times New Roman"/>
          <w:color w:val="auto"/>
          <w:sz w:val="32"/>
          <w:szCs w:val="40"/>
        </w:rPr>
        <w:t>、高端装备制造、铜材精密制造及现代环保领域重点产业链的精准引育，推动一批投资规模大、产业带动强、经济效益好、科技含量高的项目落地。主动融入杭州都市圈数字协作发展联盟，推动数字经济产业发展由“单项被动式”转向“双向共赢式”，</w:t>
      </w:r>
      <w:r>
        <w:rPr>
          <w:rFonts w:hint="eastAsia"/>
          <w:color w:val="auto"/>
        </w:rPr>
        <w:t xml:space="preserve"> </w:t>
      </w:r>
      <w:r>
        <w:rPr>
          <w:rFonts w:hint="eastAsia" w:ascii="Times New Roman" w:hAnsi="Times New Roman" w:eastAsia="仿宋_GB2312" w:cs="Times New Roman"/>
          <w:color w:val="auto"/>
          <w:sz w:val="32"/>
          <w:szCs w:val="40"/>
        </w:rPr>
        <w:t>积极承接杭州、上海等地科技园孵化溢出项目，争取数字经济创新产业化项目落地</w:t>
      </w:r>
      <w:r>
        <w:rPr>
          <w:rFonts w:ascii="Times New Roman" w:hAnsi="Times New Roman" w:eastAsia="仿宋_GB2312" w:cs="Times New Roman"/>
          <w:color w:val="auto"/>
          <w:sz w:val="32"/>
          <w:szCs w:val="40"/>
        </w:rPr>
        <w:t>。支持袜业、珍珠等产业集群深化合作，依托“数字孪生”技术与互联网平台，打造跨物理边界的虚拟产业集群。力争到2025年，规模以上制造业增加值达到375亿元，制造业增加值率达到28.5%；数字经济核心产业占GDP比重达到5%。</w:t>
      </w:r>
      <w:r>
        <w:rPr>
          <w:rFonts w:ascii="Times New Roman" w:hAnsi="Times New Roman" w:eastAsia="楷体_GB2312" w:cs="Times New Roman"/>
          <w:color w:val="auto"/>
          <w:sz w:val="32"/>
          <w:szCs w:val="32"/>
        </w:rPr>
        <w:t>（责任单位：市经信</w:t>
      </w:r>
      <w:r>
        <w:rPr>
          <w:rFonts w:ascii="Times New Roman" w:hAnsi="Times New Roman" w:eastAsia="楷体_GB2312" w:cs="Times New Roman"/>
          <w:color w:val="auto"/>
          <w:sz w:val="32"/>
          <w:szCs w:val="32"/>
        </w:rPr>
        <w:t>局、市发改局</w:t>
      </w:r>
      <w:r>
        <w:rPr>
          <w:rFonts w:hint="eastAsia" w:ascii="Times New Roman" w:hAnsi="Times New Roman" w:eastAsia="楷体_GB2312" w:cs="Times New Roman"/>
          <w:color w:val="auto"/>
          <w:sz w:val="32"/>
          <w:szCs w:val="32"/>
        </w:rPr>
        <w:t>、市招商投促中心</w:t>
      </w:r>
      <w:r>
        <w:rPr>
          <w:rFonts w:ascii="Times New Roman" w:hAnsi="Times New Roman" w:eastAsia="楷体_GB2312" w:cs="Times New Roman"/>
          <w:color w:val="auto"/>
          <w:sz w:val="32"/>
          <w:szCs w:val="32"/>
        </w:rPr>
        <w:t>）</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5" w:hRule="atLeast"/>
          <w:jc w:val="center"/>
        </w:trPr>
        <w:tc>
          <w:tcPr>
            <w:tcW w:w="8522" w:type="dxa"/>
          </w:tcPr>
          <w:p>
            <w:pPr>
              <w:jc w:val="center"/>
              <w:rPr>
                <w:rFonts w:ascii="Times New Roman" w:hAnsi="Times New Roman" w:eastAsia="仿宋_GB2312" w:cs="Times New Roman"/>
                <w:b/>
                <w:bCs/>
                <w:color w:val="auto"/>
                <w:kern w:val="0"/>
                <w:sz w:val="28"/>
                <w:szCs w:val="28"/>
              </w:rPr>
            </w:pPr>
            <w:bookmarkStart w:id="14" w:name="_Toc82583885"/>
            <w:bookmarkStart w:id="15" w:name="_Toc22530"/>
            <w:r>
              <w:rPr>
                <w:rFonts w:ascii="Times New Roman" w:hAnsi="Times New Roman" w:eastAsia="楷体_GB2312" w:cs="Times New Roman"/>
                <w:color w:val="auto"/>
                <w:kern w:val="0"/>
                <w:sz w:val="32"/>
              </w:rPr>
              <w:t>专栏1  “杭绍同城”标志性产业链协同融合工程</w:t>
            </w:r>
            <w:bookmarkEnd w:id="14"/>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00" w:lineRule="exact"/>
              <w:ind w:firstLine="562" w:firstLineChars="200"/>
              <w:rPr>
                <w:rFonts w:ascii="Times New Roman" w:hAnsi="Times New Roman" w:eastAsia="仿宋_GB2312" w:cs="Times New Roman"/>
                <w:color w:val="auto"/>
                <w:kern w:val="0"/>
                <w:sz w:val="28"/>
                <w:szCs w:val="28"/>
              </w:rPr>
            </w:pPr>
            <w:bookmarkStart w:id="16" w:name="_Toc30547"/>
            <w:bookmarkStart w:id="17" w:name="_Toc82583886"/>
            <w:r>
              <w:rPr>
                <w:rFonts w:ascii="Times New Roman" w:hAnsi="Times New Roman" w:eastAsia="仿宋_GB2312" w:cs="Times New Roman"/>
                <w:b/>
                <w:bCs/>
                <w:color w:val="auto"/>
                <w:kern w:val="0"/>
                <w:sz w:val="28"/>
                <w:szCs w:val="28"/>
              </w:rPr>
              <w:t>1.特色时尚产业链融合。</w:t>
            </w:r>
            <w:bookmarkEnd w:id="16"/>
            <w:bookmarkEnd w:id="17"/>
            <w:r>
              <w:rPr>
                <w:rFonts w:ascii="Times New Roman" w:hAnsi="Times New Roman" w:eastAsia="仿宋_GB2312" w:cs="Times New Roman"/>
                <w:color w:val="auto"/>
                <w:kern w:val="0"/>
                <w:sz w:val="28"/>
                <w:szCs w:val="28"/>
              </w:rPr>
              <w:t>鼓励珍珠、袜业等龙头制造商和知名品牌企业延伸裂变内部优势环节，向上游专业研发设计和下游平台型营销机构拓展。鼓励与新材料产业各领域</w:t>
            </w:r>
            <w:r>
              <w:rPr>
                <w:rFonts w:ascii="Times New Roman" w:hAnsi="Times New Roman" w:eastAsia="仿宋_GB2312" w:cs="Times New Roman"/>
                <w:color w:val="auto"/>
                <w:kern w:val="0"/>
                <w:sz w:val="28"/>
                <w:szCs w:val="28"/>
              </w:rPr>
              <w:t>企业开展常态合作，构建跨行业的产业技术联盟。加强与杭州、</w:t>
            </w:r>
            <w:r>
              <w:rPr>
                <w:rFonts w:hint="eastAsia" w:ascii="Times New Roman" w:hAnsi="Times New Roman" w:eastAsia="仿宋_GB2312" w:cs="Times New Roman"/>
                <w:color w:val="auto"/>
                <w:kern w:val="0"/>
                <w:sz w:val="28"/>
                <w:szCs w:val="28"/>
              </w:rPr>
              <w:t>绍兴、</w:t>
            </w:r>
            <w:r>
              <w:rPr>
                <w:rFonts w:ascii="Times New Roman" w:hAnsi="Times New Roman" w:eastAsia="仿宋_GB2312" w:cs="Times New Roman"/>
                <w:color w:val="auto"/>
                <w:kern w:val="0"/>
                <w:sz w:val="28"/>
                <w:szCs w:val="28"/>
              </w:rPr>
              <w:t>宁波、上海等地</w:t>
            </w:r>
            <w:r>
              <w:rPr>
                <w:rFonts w:ascii="Times New Roman" w:hAnsi="Times New Roman" w:eastAsia="仿宋_GB2312" w:cs="Times New Roman"/>
                <w:color w:val="auto"/>
                <w:kern w:val="0"/>
                <w:sz w:val="28"/>
                <w:szCs w:val="28"/>
              </w:rPr>
              <w:t>的设计平台与机构对接，提升跨区域协同设计能力。依托未来工厂、共享工厂等建设，提升产业链上下游协同制造能力。</w:t>
            </w:r>
          </w:p>
          <w:p>
            <w:pPr>
              <w:spacing w:line="400" w:lineRule="exact"/>
              <w:ind w:firstLine="562"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b/>
                <w:bCs/>
                <w:color w:val="auto"/>
                <w:kern w:val="0"/>
                <w:sz w:val="28"/>
                <w:szCs w:val="28"/>
              </w:rPr>
              <w:t>2.智能装备产业链融合。</w:t>
            </w:r>
            <w:r>
              <w:rPr>
                <w:rFonts w:ascii="Times New Roman" w:hAnsi="Times New Roman" w:eastAsia="仿宋_GB2312" w:cs="Times New Roman"/>
                <w:color w:val="auto"/>
                <w:kern w:val="0"/>
                <w:sz w:val="28"/>
                <w:szCs w:val="28"/>
              </w:rPr>
              <w:t>支持金属材料龙头</w:t>
            </w:r>
            <w:r>
              <w:rPr>
                <w:rFonts w:hint="eastAsia" w:ascii="Times New Roman" w:hAnsi="Times New Roman" w:eastAsia="仿宋_GB2312" w:cs="Times New Roman"/>
                <w:color w:val="auto"/>
                <w:kern w:val="0"/>
                <w:sz w:val="28"/>
                <w:szCs w:val="28"/>
                <w:lang w:val="en-US" w:eastAsia="zh-CN"/>
              </w:rPr>
              <w:t>企业</w:t>
            </w:r>
            <w:r>
              <w:rPr>
                <w:rFonts w:ascii="Times New Roman" w:hAnsi="Times New Roman" w:eastAsia="仿宋_GB2312" w:cs="Times New Roman"/>
                <w:color w:val="auto"/>
                <w:kern w:val="0"/>
                <w:sz w:val="28"/>
                <w:szCs w:val="28"/>
              </w:rPr>
              <w:t>提升产业链渗透能力和定制化供应能力，探索上下游一体化发展。支持装备整机企业强化整零企业联合。强化上下游智能系统集成能力，鼓励工业机器人企业与上下游联合实施产品升级改造项目。针对高性能零部件和“卡脖子”技术，加</w:t>
            </w:r>
            <w:r>
              <w:rPr>
                <w:rFonts w:ascii="Times New Roman" w:hAnsi="Times New Roman" w:eastAsia="仿宋_GB2312" w:cs="Times New Roman"/>
                <w:color w:val="auto"/>
                <w:kern w:val="0"/>
                <w:sz w:val="28"/>
                <w:szCs w:val="28"/>
              </w:rPr>
              <w:t>强与杭州、</w:t>
            </w:r>
            <w:r>
              <w:rPr>
                <w:rFonts w:hint="eastAsia" w:ascii="Times New Roman" w:hAnsi="Times New Roman" w:eastAsia="仿宋_GB2312" w:cs="Times New Roman"/>
                <w:color w:val="auto"/>
                <w:kern w:val="0"/>
                <w:sz w:val="28"/>
                <w:szCs w:val="28"/>
              </w:rPr>
              <w:t>绍兴以及</w:t>
            </w:r>
            <w:r>
              <w:rPr>
                <w:rFonts w:ascii="Times New Roman" w:hAnsi="Times New Roman" w:eastAsia="仿宋_GB2312" w:cs="Times New Roman"/>
                <w:color w:val="auto"/>
                <w:kern w:val="0"/>
                <w:sz w:val="28"/>
                <w:szCs w:val="28"/>
              </w:rPr>
              <w:t>全省数控机床、机器人、智能家居、节能与新能源汽车等产业链建设的无缝对接。</w:t>
            </w:r>
          </w:p>
          <w:p>
            <w:pPr>
              <w:spacing w:line="400" w:lineRule="exact"/>
              <w:ind w:firstLine="562"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b/>
                <w:bCs/>
                <w:color w:val="auto"/>
                <w:kern w:val="0"/>
                <w:sz w:val="28"/>
                <w:szCs w:val="28"/>
              </w:rPr>
              <w:t>3.</w:t>
            </w:r>
            <w:r>
              <w:rPr>
                <w:rFonts w:hint="eastAsia" w:ascii="Times New Roman" w:hAnsi="Times New Roman" w:eastAsia="仿宋_GB2312" w:cs="Times New Roman"/>
                <w:b/>
                <w:bCs/>
                <w:color w:val="auto"/>
                <w:kern w:val="0"/>
                <w:sz w:val="28"/>
                <w:szCs w:val="28"/>
              </w:rPr>
              <w:t>智能视觉产业链融合。</w:t>
            </w:r>
            <w:r>
              <w:rPr>
                <w:rFonts w:hint="eastAsia" w:ascii="Times New Roman" w:hAnsi="Times New Roman" w:eastAsia="仿宋_GB2312" w:cs="Times New Roman"/>
                <w:color w:val="auto"/>
                <w:kern w:val="0"/>
                <w:sz w:val="28"/>
                <w:szCs w:val="28"/>
              </w:rPr>
              <w:t>推动数字生态圈和智能视觉产业链的有效衔接与深度融合，依托诸暨智能视觉“万亩千亿”</w:t>
            </w:r>
            <w:r>
              <w:rPr>
                <w:rFonts w:hint="eastAsia" w:ascii="Times New Roman" w:hAnsi="Times New Roman" w:eastAsia="仿宋_GB2312" w:cs="Times New Roman"/>
                <w:color w:val="auto"/>
                <w:kern w:val="0"/>
                <w:sz w:val="28"/>
                <w:szCs w:val="28"/>
                <w:lang w:val="en-US" w:eastAsia="zh-CN"/>
              </w:rPr>
              <w:t>新</w:t>
            </w:r>
            <w:r>
              <w:rPr>
                <w:rFonts w:hint="eastAsia" w:ascii="Times New Roman" w:hAnsi="Times New Roman" w:eastAsia="仿宋_GB2312" w:cs="Times New Roman"/>
                <w:color w:val="auto"/>
                <w:kern w:val="0"/>
                <w:sz w:val="28"/>
                <w:szCs w:val="28"/>
              </w:rPr>
              <w:t>产业平台建设，吸引一批智能视觉领域的创新型企业扎根诸暨。借力绍兴集成电路“万亩千亿”</w:t>
            </w:r>
            <w:r>
              <w:rPr>
                <w:rFonts w:hint="eastAsia" w:ascii="Times New Roman" w:hAnsi="Times New Roman" w:eastAsia="仿宋_GB2312" w:cs="Times New Roman"/>
                <w:color w:val="auto"/>
                <w:kern w:val="0"/>
                <w:sz w:val="28"/>
                <w:szCs w:val="28"/>
                <w:lang w:val="en-US" w:eastAsia="zh-CN"/>
              </w:rPr>
              <w:t>新</w:t>
            </w:r>
            <w:r>
              <w:rPr>
                <w:rFonts w:hint="eastAsia" w:ascii="Times New Roman" w:hAnsi="Times New Roman" w:eastAsia="仿宋_GB2312" w:cs="Times New Roman"/>
                <w:color w:val="auto"/>
                <w:kern w:val="0"/>
                <w:sz w:val="28"/>
                <w:szCs w:val="28"/>
              </w:rPr>
              <w:t>产业平台，加快布局以砷化镓</w:t>
            </w:r>
            <w:r>
              <w:rPr>
                <w:rFonts w:hint="eastAsia" w:ascii="Times New Roman" w:hAnsi="Times New Roman" w:eastAsia="仿宋_GB2312" w:cs="Times New Roman"/>
                <w:color w:val="auto"/>
                <w:kern w:val="0"/>
                <w:sz w:val="28"/>
                <w:szCs w:val="28"/>
                <w:lang w:val="en-US" w:eastAsia="zh-CN"/>
              </w:rPr>
              <w:t>（第二代），以及</w:t>
            </w:r>
            <w:r>
              <w:rPr>
                <w:rFonts w:hint="eastAsia" w:ascii="Times New Roman" w:hAnsi="Times New Roman" w:eastAsia="仿宋_GB2312" w:cs="Times New Roman"/>
                <w:color w:val="auto"/>
                <w:kern w:val="0"/>
                <w:sz w:val="28"/>
                <w:szCs w:val="28"/>
              </w:rPr>
              <w:t>碳化硅、氮化镓为代表的第三代半导体材料。加</w:t>
            </w:r>
            <w:r>
              <w:rPr>
                <w:rFonts w:ascii="Times New Roman" w:hAnsi="Times New Roman" w:eastAsia="仿宋_GB2312" w:cs="Times New Roman"/>
                <w:color w:val="auto"/>
                <w:kern w:val="0"/>
                <w:sz w:val="28"/>
                <w:szCs w:val="28"/>
              </w:rPr>
              <w:t>强与</w:t>
            </w:r>
            <w:r>
              <w:rPr>
                <w:rFonts w:hint="eastAsia" w:ascii="Times New Roman" w:hAnsi="Times New Roman" w:eastAsia="仿宋_GB2312" w:cs="Times New Roman"/>
                <w:color w:val="auto"/>
                <w:kern w:val="0"/>
                <w:sz w:val="28"/>
                <w:szCs w:val="28"/>
              </w:rPr>
              <w:t>绍兴科创大走廊、</w:t>
            </w:r>
            <w:r>
              <w:rPr>
                <w:rFonts w:ascii="Times New Roman" w:hAnsi="Times New Roman" w:eastAsia="仿宋_GB2312" w:cs="Times New Roman"/>
                <w:color w:val="auto"/>
                <w:kern w:val="0"/>
                <w:sz w:val="28"/>
                <w:szCs w:val="28"/>
              </w:rPr>
              <w:t>杭州城西科创大走廊、滨江高新区等战略合作</w:t>
            </w:r>
            <w:r>
              <w:rPr>
                <w:rFonts w:hint="eastAsia" w:ascii="Times New Roman" w:hAnsi="Times New Roman" w:eastAsia="仿宋_GB2312" w:cs="Times New Roman"/>
                <w:color w:val="auto"/>
                <w:kern w:val="0"/>
                <w:sz w:val="28"/>
                <w:szCs w:val="28"/>
              </w:rPr>
              <w:t>，聚焦智能感知关键技术研发和关联设备制造，延伸发展人工智能、智能汽车等产业。加快引进一流智能视觉领域专业研究团队，高水平建设枫桥经验创新应用研究院等研究机构。</w:t>
            </w:r>
          </w:p>
        </w:tc>
      </w:tr>
      <w:bookmarkEnd w:id="13"/>
    </w:tbl>
    <w:p>
      <w:pPr>
        <w:spacing w:line="560" w:lineRule="exact"/>
        <w:ind w:firstLine="643" w:firstLineChars="200"/>
        <w:contextualSpacing/>
        <w:rPr>
          <w:rFonts w:ascii="Times New Roman" w:hAnsi="Times New Roman" w:eastAsia="仿宋_GB2312" w:cs="Times New Roman"/>
          <w:color w:val="auto"/>
          <w:sz w:val="32"/>
          <w:szCs w:val="40"/>
        </w:rPr>
      </w:pPr>
      <w:r>
        <w:rPr>
          <w:rFonts w:ascii="Times New Roman" w:hAnsi="Times New Roman" w:eastAsia="仿宋_GB2312" w:cs="Times New Roman"/>
          <w:b/>
          <w:bCs/>
          <w:color w:val="auto"/>
          <w:sz w:val="32"/>
          <w:szCs w:val="32"/>
        </w:rPr>
        <w:t>2.推动产业平台联动发展</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以创建国家级经开区和“万亩千亿”新产业平台为主抓手，</w:t>
      </w:r>
      <w:r>
        <w:rPr>
          <w:rFonts w:hint="eastAsia" w:ascii="Times New Roman" w:hAnsi="Times New Roman" w:eastAsia="仿宋_GB2312" w:cs="Times New Roman"/>
          <w:color w:val="auto"/>
          <w:sz w:val="32"/>
          <w:szCs w:val="32"/>
          <w:lang w:val="en-US" w:eastAsia="zh-CN"/>
        </w:rPr>
        <w:t>把握</w:t>
      </w:r>
      <w:r>
        <w:rPr>
          <w:rFonts w:ascii="Times New Roman" w:hAnsi="Times New Roman" w:eastAsia="仿宋_GB2312" w:cs="Times New Roman"/>
          <w:color w:val="auto"/>
          <w:sz w:val="32"/>
          <w:szCs w:val="32"/>
        </w:rPr>
        <w:t>杭州打造“中国视谷”契机，深化与滨江物联网小镇、余杭人工智能小镇对接，推动智能视觉相关产业战略布局，合力构建</w:t>
      </w:r>
      <w:r>
        <w:rPr>
          <w:rFonts w:hint="eastAsia" w:ascii="Times New Roman" w:hAnsi="Times New Roman" w:eastAsia="仿宋_GB2312" w:cs="Times New Roman"/>
          <w:color w:val="auto"/>
          <w:sz w:val="32"/>
          <w:szCs w:val="32"/>
        </w:rPr>
        <w:t>智能</w:t>
      </w:r>
      <w:r>
        <w:rPr>
          <w:rFonts w:ascii="Times New Roman" w:hAnsi="Times New Roman" w:eastAsia="仿宋_GB2312" w:cs="Times New Roman"/>
          <w:color w:val="auto"/>
          <w:sz w:val="32"/>
          <w:szCs w:val="32"/>
        </w:rPr>
        <w:t>视觉“万亩千亿”新产业平台。加快推进杭绍一体化萧诸绿色发展先导区建设，重点在电子信息、精密制造、节能环保、生态技术等领域协同推进绿色制造新模式。以“诸暨岛—杭州港”为主要依托，鼓励企业通过总部—生产基地、产业链合作园区、虚拟园区等模式共建“新制造”落地和产业化空间。深化“诸暨岛”建设运营模式，开辟产业创新资源引流新途径，力争到2025年，建成离岛式平台</w:t>
      </w:r>
      <w:r>
        <w:rPr>
          <w:rFonts w:ascii="Times New Roman" w:hAnsi="Times New Roman" w:eastAsia="仿宋_GB2312" w:cs="Times New Roman"/>
          <w:color w:val="auto"/>
          <w:sz w:val="32"/>
          <w:szCs w:val="32"/>
        </w:rPr>
        <w:t>8</w:t>
      </w:r>
      <w:r>
        <w:rPr>
          <w:rFonts w:ascii="Times New Roman" w:hAnsi="Times New Roman" w:eastAsia="仿宋_GB2312" w:cs="Times New Roman"/>
          <w:color w:val="auto"/>
          <w:sz w:val="32"/>
          <w:szCs w:val="32"/>
        </w:rPr>
        <w:t>个。</w:t>
      </w:r>
      <w:r>
        <w:rPr>
          <w:rFonts w:ascii="Times New Roman" w:hAnsi="Times New Roman" w:eastAsia="楷体_GB2312" w:cs="Times New Roman"/>
          <w:color w:val="auto"/>
          <w:sz w:val="32"/>
          <w:szCs w:val="32"/>
        </w:rPr>
        <w:t>（责任单位：市发改局、开发委）</w:t>
      </w:r>
    </w:p>
    <w:p>
      <w:pPr>
        <w:spacing w:line="560" w:lineRule="exact"/>
        <w:ind w:firstLine="643" w:firstLineChars="200"/>
        <w:contextualSpacing/>
        <w:rPr>
          <w:rFonts w:ascii="Times New Roman" w:hAnsi="Times New Roman" w:eastAsia="仿宋_GB2312" w:cs="Times New Roman"/>
          <w:color w:val="auto"/>
          <w:sz w:val="32"/>
          <w:szCs w:val="40"/>
        </w:rPr>
      </w:pPr>
      <w:r>
        <w:rPr>
          <w:rFonts w:ascii="Times New Roman" w:hAnsi="Times New Roman" w:eastAsia="仿宋_GB2312" w:cs="Times New Roman"/>
          <w:b/>
          <w:bCs/>
          <w:color w:val="auto"/>
          <w:sz w:val="32"/>
          <w:szCs w:val="32"/>
        </w:rPr>
        <w:t>3.支持创新资本高效流动。</w:t>
      </w:r>
      <w:r>
        <w:rPr>
          <w:rFonts w:ascii="Times New Roman" w:hAnsi="Times New Roman" w:eastAsia="仿宋_GB2312" w:cs="Times New Roman"/>
          <w:color w:val="auto"/>
          <w:sz w:val="32"/>
          <w:szCs w:val="32"/>
        </w:rPr>
        <w:t>深度对接上海陆家嘴金融中心和杭州钱塘江金融港湾，做强数字金融产业园，力争招引打造全国数字金融（基金）集聚区和国内主流创投协会、头部机构的聚集点和基金注册地，基金规模突破500亿元，每年投资新兴产业项目50个以上。鼓励金融机构延伸发展科技贷款、科技担保等科技金融业态，</w:t>
      </w:r>
      <w:r>
        <w:rPr>
          <w:rFonts w:ascii="Times New Roman" w:hAnsi="Times New Roman" w:eastAsia="仿宋_GB2312" w:cs="Times New Roman"/>
          <w:color w:val="auto"/>
          <w:sz w:val="32"/>
          <w:szCs w:val="32"/>
        </w:rPr>
        <w:t>支持暨阳科技银行创新金融服务模式，降低科创贷、人才贷门槛，加大对初创期人才企业的贷款额度和贴息力度</w:t>
      </w:r>
      <w:r>
        <w:rPr>
          <w:rFonts w:ascii="Times New Roman" w:hAnsi="Times New Roman" w:eastAsia="仿宋_GB2312" w:cs="Times New Roman"/>
          <w:color w:val="auto"/>
          <w:sz w:val="32"/>
          <w:szCs w:val="32"/>
        </w:rPr>
        <w:t>。深化“互联网+科技服务”，形成线上线下跨区域融通的技术市场交易服务体系，探索建设新型成果转化与科技金融平台。</w:t>
      </w:r>
      <w:r>
        <w:rPr>
          <w:rFonts w:ascii="Times New Roman" w:hAnsi="Times New Roman" w:eastAsia="楷体_GB2312" w:cs="Times New Roman"/>
          <w:color w:val="auto"/>
          <w:sz w:val="32"/>
          <w:szCs w:val="32"/>
        </w:rPr>
        <w:t>（责任单位：市金融办、市科技局、市财政局、市发改局）</w:t>
      </w:r>
    </w:p>
    <w:p>
      <w:pPr>
        <w:spacing w:line="560" w:lineRule="exact"/>
        <w:ind w:firstLine="643" w:firstLineChars="200"/>
        <w:contextualSpacing/>
        <w:rPr>
          <w:rFonts w:hint="eastAsia" w:ascii="Times New Roman" w:hAnsi="Times New Roman" w:eastAsia="楷体_GB2312" w:cs="Times New Roman"/>
          <w:color w:val="auto"/>
          <w:sz w:val="32"/>
          <w:szCs w:val="32"/>
          <w:lang w:eastAsia="zh-CN"/>
        </w:rPr>
      </w:pPr>
      <w:r>
        <w:rPr>
          <w:rFonts w:ascii="Times New Roman" w:hAnsi="Times New Roman" w:eastAsia="仿宋_GB2312" w:cs="Times New Roman"/>
          <w:b/>
          <w:bCs/>
          <w:color w:val="auto"/>
          <w:sz w:val="32"/>
          <w:szCs w:val="32"/>
        </w:rPr>
        <w:t>4.深化区域市场联盟建设。</w:t>
      </w:r>
      <w:r>
        <w:rPr>
          <w:rFonts w:ascii="Times New Roman" w:hAnsi="Times New Roman" w:eastAsia="仿宋_GB2312" w:cs="Times New Roman"/>
          <w:color w:val="auto"/>
          <w:sz w:val="32"/>
          <w:szCs w:val="32"/>
        </w:rPr>
        <w:t>加强都市圈工商企业、专业服务、社会组织之间的交流与合作，汇聚形成各类市场主体共同参与和支持“杭绍同城”建设的强大合力。</w:t>
      </w:r>
      <w:r>
        <w:rPr>
          <w:rFonts w:ascii="Times New Roman" w:hAnsi="Times New Roman" w:eastAsia="仿宋_GB2312" w:cs="Times New Roman"/>
          <w:color w:val="auto"/>
          <w:sz w:val="32"/>
          <w:szCs w:val="40"/>
        </w:rPr>
        <w:t>借力杭州高质量建设国际消费中心城市，举办全球数字贸易博览会等</w:t>
      </w:r>
      <w:r>
        <w:rPr>
          <w:rFonts w:hint="eastAsia" w:ascii="Times New Roman" w:hAnsi="Times New Roman" w:eastAsia="仿宋_GB2312" w:cs="Times New Roman"/>
          <w:color w:val="auto"/>
          <w:sz w:val="32"/>
          <w:szCs w:val="40"/>
          <w:lang w:val="en-US" w:eastAsia="zh-CN"/>
        </w:rPr>
        <w:t>契机</w:t>
      </w:r>
      <w:r>
        <w:rPr>
          <w:rFonts w:ascii="Times New Roman" w:hAnsi="Times New Roman" w:eastAsia="仿宋_GB2312" w:cs="Times New Roman"/>
          <w:color w:val="auto"/>
          <w:sz w:val="32"/>
          <w:szCs w:val="40"/>
        </w:rPr>
        <w:t>，</w:t>
      </w:r>
      <w:r>
        <w:rPr>
          <w:rFonts w:ascii="Times New Roman" w:hAnsi="Times New Roman" w:eastAsia="仿宋_GB2312" w:cs="Times New Roman"/>
          <w:color w:val="auto"/>
          <w:sz w:val="32"/>
          <w:szCs w:val="32"/>
        </w:rPr>
        <w:t>深化与都市圈节点城市在电子产业、高端装备等智能制造产业，以及珍珠、袜业等时尚消费品行业的合作，加快推动铜加工及新材料产业等市场联盟建设。</w:t>
      </w:r>
      <w:r>
        <w:rPr>
          <w:rFonts w:ascii="Times New Roman" w:hAnsi="Times New Roman" w:eastAsia="楷体_GB2312" w:cs="Times New Roman"/>
          <w:color w:val="auto"/>
          <w:sz w:val="32"/>
          <w:szCs w:val="32"/>
        </w:rPr>
        <w:t>（责任单位：市工商联、市经信局、市商务局</w:t>
      </w:r>
      <w:r>
        <w:rPr>
          <w:rFonts w:hint="eastAsia" w:ascii="Times New Roman" w:hAnsi="Times New Roman" w:eastAsia="楷体_GB2312" w:cs="Times New Roman"/>
          <w:color w:val="auto"/>
          <w:sz w:val="32"/>
          <w:szCs w:val="32"/>
          <w:lang w:eastAsia="zh-CN"/>
        </w:rPr>
        <w:t>）</w:t>
      </w:r>
    </w:p>
    <w:p>
      <w:pPr>
        <w:pStyle w:val="5"/>
        <w:bidi w:val="0"/>
        <w:rPr>
          <w:color w:val="auto"/>
        </w:rPr>
      </w:pPr>
      <w:bookmarkStart w:id="18" w:name="_Toc23248"/>
      <w:r>
        <w:rPr>
          <w:color w:val="auto"/>
        </w:rPr>
        <w:t>（三）实施创新协同</w:t>
      </w:r>
      <w:r>
        <w:rPr>
          <w:rFonts w:hint="eastAsia"/>
          <w:color w:val="auto"/>
          <w:lang w:val="en-US" w:eastAsia="zh-CN"/>
        </w:rPr>
        <w:t>共兴</w:t>
      </w:r>
      <w:r>
        <w:rPr>
          <w:color w:val="auto"/>
        </w:rPr>
        <w:t>强化行动</w:t>
      </w:r>
      <w:bookmarkEnd w:id="18"/>
    </w:p>
    <w:p>
      <w:pPr>
        <w:widowControl/>
        <w:spacing w:line="560" w:lineRule="exact"/>
        <w:ind w:firstLine="643" w:firstLineChars="200"/>
        <w:jc w:val="left"/>
        <w:rPr>
          <w:rFonts w:ascii="Times New Roman" w:hAnsi="Times New Roman" w:eastAsia="楷体_GB2312" w:cs="Times New Roman"/>
          <w:bCs/>
          <w:color w:val="auto"/>
          <w:sz w:val="32"/>
          <w:szCs w:val="32"/>
        </w:rPr>
      </w:pPr>
      <w:r>
        <w:rPr>
          <w:rFonts w:ascii="Times New Roman" w:hAnsi="Times New Roman" w:eastAsia="仿宋_GB2312" w:cs="Times New Roman"/>
          <w:b/>
          <w:bCs/>
          <w:color w:val="auto"/>
          <w:sz w:val="32"/>
          <w:szCs w:val="32"/>
        </w:rPr>
        <w:t>1.高水平建设诸暨 G60 创新港。</w:t>
      </w:r>
      <w:r>
        <w:rPr>
          <w:rFonts w:ascii="Times New Roman" w:hAnsi="Times New Roman" w:eastAsia="仿宋_GB2312" w:cs="Times New Roman"/>
          <w:color w:val="auto"/>
          <w:kern w:val="0"/>
          <w:sz w:val="32"/>
          <w:szCs w:val="32"/>
        </w:rPr>
        <w:t>通过构建开发区、科技城“一区一城”互联互动的创新发展格局，深度融入长三角区域一体化、浙江省“</w:t>
      </w:r>
      <w:r>
        <w:rPr>
          <w:rFonts w:hint="eastAsia" w:ascii="Times New Roman" w:hAnsi="Times New Roman" w:eastAsia="仿宋_GB2312" w:cs="Times New Roman"/>
          <w:color w:val="auto"/>
          <w:kern w:val="0"/>
          <w:sz w:val="32"/>
          <w:szCs w:val="32"/>
          <w:lang w:val="en-US" w:eastAsia="zh-CN"/>
        </w:rPr>
        <w:t>四大</w:t>
      </w:r>
      <w:r>
        <w:rPr>
          <w:rFonts w:ascii="Times New Roman" w:hAnsi="Times New Roman" w:eastAsia="仿宋_GB2312" w:cs="Times New Roman"/>
          <w:color w:val="auto"/>
          <w:kern w:val="0"/>
          <w:sz w:val="32"/>
          <w:szCs w:val="32"/>
        </w:rPr>
        <w:t>”建设</w:t>
      </w:r>
      <w:r>
        <w:rPr>
          <w:rFonts w:hint="eastAsia" w:ascii="Times New Roman" w:hAnsi="Times New Roman" w:eastAsia="仿宋_GB2312" w:cs="Times New Roman"/>
          <w:color w:val="auto"/>
          <w:kern w:val="0"/>
          <w:sz w:val="32"/>
          <w:szCs w:val="32"/>
          <w:lang w:val="en-US" w:eastAsia="zh-CN"/>
        </w:rPr>
        <w:t>战略部署和绍兴</w:t>
      </w:r>
      <w:r>
        <w:rPr>
          <w:rFonts w:ascii="Times New Roman" w:hAnsi="Times New Roman" w:eastAsia="仿宋_GB2312" w:cs="Times New Roman"/>
          <w:color w:val="auto"/>
          <w:kern w:val="0"/>
          <w:sz w:val="32"/>
          <w:szCs w:val="32"/>
        </w:rPr>
        <w:t>科创</w:t>
      </w:r>
      <w:r>
        <w:rPr>
          <w:rFonts w:hint="eastAsia" w:ascii="Times New Roman" w:hAnsi="Times New Roman" w:eastAsia="仿宋_GB2312" w:cs="Times New Roman"/>
          <w:color w:val="auto"/>
          <w:kern w:val="0"/>
          <w:sz w:val="32"/>
          <w:szCs w:val="32"/>
          <w:lang w:val="en-US" w:eastAsia="zh-CN"/>
        </w:rPr>
        <w:t>大</w:t>
      </w:r>
      <w:r>
        <w:rPr>
          <w:rFonts w:ascii="Times New Roman" w:hAnsi="Times New Roman" w:eastAsia="仿宋_GB2312" w:cs="Times New Roman"/>
          <w:color w:val="auto"/>
          <w:kern w:val="0"/>
          <w:sz w:val="32"/>
          <w:szCs w:val="32"/>
        </w:rPr>
        <w:t>走廊，全方位对接人才流、信息流、资金流，推动科技创新协同发展、科技服务资源共享，打造县域高质量发展先行区、融杭接沪示范区、数智创新集聚区和高智创新引领区，建设G60优质创新转化节点城市。加快推进海归小镇建设，以航空航天、智能视觉为特色产业，积极招引行业技术领先的高层次人才研发团队，</w:t>
      </w:r>
      <w:r>
        <w:rPr>
          <w:rFonts w:ascii="Times New Roman" w:hAnsi="Times New Roman" w:eastAsia="仿宋_GB2312" w:cs="Times New Roman"/>
          <w:color w:val="auto"/>
          <w:sz w:val="32"/>
          <w:szCs w:val="32"/>
        </w:rPr>
        <w:t>常态化举办海内外高层次人才创新创业大赛。力争到2025年，实施重点投资项目30个以上，引进高层次人才企业50家以上。</w:t>
      </w:r>
      <w:r>
        <w:rPr>
          <w:rFonts w:ascii="Times New Roman" w:hAnsi="Times New Roman" w:eastAsia="楷体_GB2312" w:cs="Times New Roman"/>
          <w:bCs/>
          <w:color w:val="auto"/>
          <w:sz w:val="32"/>
          <w:szCs w:val="32"/>
        </w:rPr>
        <w:t>（责任单位：开发委、市科技城建管办、市科技局、市委人才办）</w:t>
      </w:r>
    </w:p>
    <w:p>
      <w:pPr>
        <w:widowControl/>
        <w:spacing w:line="560" w:lineRule="exact"/>
        <w:ind w:firstLine="643" w:firstLineChars="200"/>
        <w:rPr>
          <w:rFonts w:ascii="Times New Roman" w:hAnsi="Times New Roman" w:eastAsia="楷体_GB2312" w:cs="Times New Roman"/>
          <w:bCs/>
          <w:color w:val="auto"/>
          <w:sz w:val="32"/>
          <w:szCs w:val="32"/>
        </w:rPr>
      </w:pPr>
      <w:r>
        <w:rPr>
          <w:rFonts w:ascii="Times New Roman" w:hAnsi="Times New Roman" w:eastAsia="仿宋_GB2312" w:cs="Times New Roman"/>
          <w:b/>
          <w:bCs/>
          <w:color w:val="auto"/>
          <w:sz w:val="32"/>
          <w:szCs w:val="32"/>
        </w:rPr>
        <w:t>2.协同打造标志性创新群落。</w:t>
      </w:r>
      <w:r>
        <w:rPr>
          <w:rFonts w:ascii="Times New Roman" w:hAnsi="Times New Roman" w:eastAsia="仿宋_GB2312" w:cs="Times New Roman"/>
          <w:color w:val="auto"/>
          <w:sz w:val="32"/>
          <w:szCs w:val="32"/>
        </w:rPr>
        <w:t>借力杭州都市圈协同创新共同体，聚焦珍珠、袜业、铜加工、智能装备、现代环保、智能视觉、生物医药等领域，</w:t>
      </w:r>
      <w:r>
        <w:rPr>
          <w:rFonts w:hint="eastAsia" w:ascii="Times New Roman" w:hAnsi="Times New Roman" w:eastAsia="仿宋_GB2312" w:cs="Times New Roman"/>
          <w:color w:val="auto"/>
          <w:sz w:val="32"/>
          <w:szCs w:val="32"/>
          <w:lang w:val="en-US" w:eastAsia="zh-CN"/>
        </w:rPr>
        <w:t>迭代升级</w:t>
      </w:r>
      <w:r>
        <w:rPr>
          <w:rFonts w:ascii="Times New Roman" w:hAnsi="Times New Roman" w:eastAsia="仿宋_GB2312" w:cs="Times New Roman"/>
          <w:color w:val="auto"/>
          <w:sz w:val="32"/>
          <w:szCs w:val="32"/>
        </w:rPr>
        <w:t>袜业、珍珠等产业工程师协同创新中心</w:t>
      </w:r>
      <w:r>
        <w:rPr>
          <w:rFonts w:ascii="Times New Roman" w:hAnsi="Times New Roman" w:eastAsia="仿宋_GB2312" w:cs="Times New Roman"/>
          <w:color w:val="auto"/>
          <w:sz w:val="32"/>
          <w:szCs w:val="32"/>
        </w:rPr>
        <w:t>。推动金属加工、珍珠两个绍兴市级创新联合体纳入省级试点，加快碳足迹、碳标签创新联合体建设进程。深化推广“揭榜挂帅”“赛马制”科技攻关机制，探索实施我市揭榜挂帅项目，支持行业骨干企业省级（重点）企业研究院、企业研发（技术）中心等企业研发机构优化整合，攻克一批“卡脖子”关键核心技术。加快中俄（诸暨）国际实验室、浣江实验室等落地建设，加强与浙江大学、西安交通大学</w:t>
      </w:r>
      <w:r>
        <w:rPr>
          <w:rFonts w:hint="eastAsia" w:ascii="Times New Roman" w:hAnsi="Times New Roman" w:eastAsia="仿宋_GB2312" w:cs="Times New Roman"/>
          <w:color w:val="auto"/>
          <w:sz w:val="32"/>
          <w:szCs w:val="32"/>
        </w:rPr>
        <w:t>等高校</w:t>
      </w:r>
      <w:r>
        <w:rPr>
          <w:rFonts w:hint="eastAsia" w:ascii="Times New Roman" w:hAnsi="Times New Roman" w:eastAsia="仿宋_GB2312" w:cs="Times New Roman"/>
          <w:color w:val="auto"/>
          <w:sz w:val="32"/>
          <w:szCs w:val="32"/>
          <w:lang w:val="en-US" w:eastAsia="zh-CN"/>
        </w:rPr>
        <w:t>院所</w:t>
      </w:r>
      <w:r>
        <w:rPr>
          <w:rFonts w:ascii="Times New Roman" w:hAnsi="Times New Roman" w:eastAsia="仿宋_GB2312" w:cs="Times New Roman"/>
          <w:color w:val="auto"/>
          <w:sz w:val="32"/>
          <w:szCs w:val="32"/>
        </w:rPr>
        <w:t>对接合作，</w:t>
      </w:r>
      <w:r>
        <w:rPr>
          <w:rFonts w:hint="eastAsia" w:ascii="Times New Roman" w:hAnsi="Times New Roman" w:eastAsia="仿宋_GB2312" w:cs="Times New Roman"/>
          <w:color w:val="auto"/>
          <w:sz w:val="32"/>
          <w:szCs w:val="32"/>
        </w:rPr>
        <w:t>形成“带科研、带人才、带项目、带培养”功能全面的新型研发机构。</w:t>
      </w:r>
      <w:r>
        <w:rPr>
          <w:rFonts w:ascii="Times New Roman" w:hAnsi="Times New Roman" w:eastAsia="仿宋_GB2312" w:cs="Times New Roman"/>
          <w:color w:val="auto"/>
          <w:sz w:val="32"/>
          <w:szCs w:val="32"/>
        </w:rPr>
        <w:t>到2025年，新增省级企业研究院、高企研发中心、企业技术中心等省级企业研发机构30家以上，在长三角创新版图中凸显“诸暨雁阵”。</w:t>
      </w:r>
      <w:r>
        <w:rPr>
          <w:rFonts w:ascii="Times New Roman" w:hAnsi="Times New Roman" w:eastAsia="楷体_GB2312" w:cs="Times New Roman"/>
          <w:bCs/>
          <w:color w:val="auto"/>
          <w:sz w:val="32"/>
          <w:szCs w:val="32"/>
        </w:rPr>
        <w:t>（责任单位：市科技局、</w:t>
      </w:r>
      <w:r>
        <w:rPr>
          <w:rFonts w:hint="eastAsia" w:ascii="Times New Roman" w:hAnsi="Times New Roman" w:eastAsia="楷体_GB2312" w:cs="Times New Roman"/>
          <w:bCs/>
          <w:color w:val="auto"/>
          <w:sz w:val="32"/>
          <w:szCs w:val="32"/>
        </w:rPr>
        <w:t>市委人才办、</w:t>
      </w:r>
      <w:r>
        <w:rPr>
          <w:rFonts w:ascii="Times New Roman" w:hAnsi="Times New Roman" w:eastAsia="楷体_GB2312" w:cs="Times New Roman"/>
          <w:bCs/>
          <w:color w:val="auto"/>
          <w:sz w:val="32"/>
          <w:szCs w:val="32"/>
        </w:rPr>
        <w:t>市经信局）</w:t>
      </w:r>
    </w:p>
    <w:p>
      <w:pPr>
        <w:spacing w:line="560" w:lineRule="exact"/>
        <w:ind w:firstLine="643" w:firstLineChars="200"/>
        <w:rPr>
          <w:rFonts w:ascii="Times New Roman" w:hAnsi="Times New Roman" w:eastAsia="楷体_GB2312" w:cs="Times New Roman"/>
          <w:bCs/>
          <w:color w:val="auto"/>
          <w:sz w:val="32"/>
          <w:szCs w:val="32"/>
        </w:rPr>
      </w:pPr>
      <w:r>
        <w:rPr>
          <w:rFonts w:ascii="Times New Roman" w:hAnsi="Times New Roman" w:eastAsia="仿宋_GB2312" w:cs="Times New Roman"/>
          <w:b/>
          <w:bCs/>
          <w:color w:val="auto"/>
          <w:sz w:val="32"/>
          <w:szCs w:val="32"/>
        </w:rPr>
        <w:t>3.打造最优创新发展生态。</w:t>
      </w:r>
      <w:r>
        <w:rPr>
          <w:rFonts w:ascii="Times New Roman" w:hAnsi="Times New Roman" w:eastAsia="仿宋_GB2312" w:cs="Times New Roman"/>
          <w:color w:val="auto"/>
          <w:sz w:val="32"/>
          <w:szCs w:val="32"/>
        </w:rPr>
        <w:t>积极推动与杭州都市圈城市的人才政策互认，加大海内外院士柔性引进力度。高效运作</w:t>
      </w:r>
      <w:r>
        <w:rPr>
          <w:rFonts w:ascii="Times New Roman" w:hAnsi="Times New Roman" w:eastAsia="仿宋_GB2312" w:cs="Times New Roman"/>
          <w:color w:val="auto"/>
          <w:sz w:val="32"/>
          <w:szCs w:val="32"/>
        </w:rPr>
        <w:t>人</w:t>
      </w:r>
      <w:r>
        <w:rPr>
          <w:rFonts w:ascii="Times New Roman" w:hAnsi="Times New Roman" w:eastAsia="仿宋_GB2312" w:cs="Times New Roman"/>
          <w:color w:val="auto"/>
          <w:sz w:val="32"/>
          <w:szCs w:val="32"/>
        </w:rPr>
        <w:t>力资源服务产业园，引进、培育一批符合诸暨产业发展需求的人力资源服务企业。融入都市圈一体化科技资源数据目录体系，拓宽诸暨科技创新券通用通兑范围和领域，开放共享大型科研仪器设备。积极引进科技经纪、信息咨询、检验检测、工业设计等第三方服务机构，共建一体化知识产权公共服务平台，打通投资、交易和公共服务体系。</w:t>
      </w:r>
      <w:r>
        <w:rPr>
          <w:rFonts w:ascii="Times New Roman" w:hAnsi="Times New Roman" w:eastAsia="楷体_GB2312" w:cs="Times New Roman"/>
          <w:bCs/>
          <w:color w:val="auto"/>
          <w:sz w:val="32"/>
          <w:szCs w:val="32"/>
        </w:rPr>
        <w:t>（责任单位：市委人才办、市人力社保局、市财政局</w:t>
      </w:r>
      <w:r>
        <w:rPr>
          <w:rFonts w:hint="eastAsia" w:ascii="Times New Roman" w:hAnsi="Times New Roman" w:eastAsia="楷体_GB2312" w:cs="Times New Roman"/>
          <w:bCs/>
          <w:color w:val="auto"/>
          <w:sz w:val="32"/>
          <w:szCs w:val="32"/>
        </w:rPr>
        <w:t>、</w:t>
      </w:r>
      <w:r>
        <w:rPr>
          <w:rFonts w:ascii="Times New Roman" w:hAnsi="Times New Roman" w:eastAsia="楷体_GB2312" w:cs="Times New Roman"/>
          <w:bCs/>
          <w:color w:val="auto"/>
          <w:sz w:val="32"/>
          <w:szCs w:val="32"/>
        </w:rPr>
        <w:t>市科技局、</w:t>
      </w:r>
      <w:r>
        <w:rPr>
          <w:rFonts w:hint="eastAsia" w:ascii="Times New Roman" w:hAnsi="Times New Roman" w:eastAsia="楷体_GB2312" w:cs="Times New Roman"/>
          <w:bCs/>
          <w:color w:val="auto"/>
          <w:sz w:val="32"/>
          <w:szCs w:val="32"/>
        </w:rPr>
        <w:t>市市场监管局</w:t>
      </w:r>
      <w:r>
        <w:rPr>
          <w:rFonts w:ascii="Times New Roman" w:hAnsi="Times New Roman" w:eastAsia="楷体_GB2312" w:cs="Times New Roman"/>
          <w:bCs/>
          <w:color w:val="auto"/>
          <w:sz w:val="32"/>
          <w:szCs w:val="32"/>
        </w:rPr>
        <w:t>）</w:t>
      </w:r>
    </w:p>
    <w:p>
      <w:pPr>
        <w:pStyle w:val="5"/>
        <w:bidi w:val="0"/>
        <w:rPr>
          <w:color w:val="auto"/>
        </w:rPr>
      </w:pPr>
      <w:bookmarkStart w:id="19" w:name="_Toc28639"/>
      <w:r>
        <w:rPr>
          <w:color w:val="auto"/>
        </w:rPr>
        <w:t>（四）实施文旅品牌</w:t>
      </w:r>
      <w:r>
        <w:rPr>
          <w:rFonts w:hint="eastAsia"/>
          <w:color w:val="auto"/>
          <w:lang w:val="en-US" w:eastAsia="zh-CN"/>
        </w:rPr>
        <w:t>共荣</w:t>
      </w:r>
      <w:r>
        <w:rPr>
          <w:color w:val="auto"/>
        </w:rPr>
        <w:t>提升行动</w:t>
      </w:r>
      <w:bookmarkEnd w:id="19"/>
    </w:p>
    <w:p>
      <w:pPr>
        <w:spacing w:line="560" w:lineRule="exact"/>
        <w:ind w:firstLine="643" w:firstLineChars="200"/>
        <w:rPr>
          <w:rFonts w:ascii="Times New Roman" w:hAnsi="Times New Roman" w:eastAsia="楷体_GB2312" w:cs="Times New Roman"/>
          <w:bCs/>
          <w:color w:val="auto"/>
          <w:sz w:val="32"/>
          <w:szCs w:val="32"/>
        </w:rPr>
      </w:pPr>
      <w:r>
        <w:rPr>
          <w:rFonts w:ascii="Times New Roman" w:hAnsi="Times New Roman" w:eastAsia="仿宋_GB2312" w:cs="Times New Roman"/>
          <w:b/>
          <w:bCs/>
          <w:color w:val="auto"/>
          <w:sz w:val="32"/>
          <w:szCs w:val="32"/>
        </w:rPr>
        <w:t>1.高标准构建“最美”图景。</w:t>
      </w:r>
      <w:r>
        <w:rPr>
          <w:rFonts w:ascii="Times New Roman" w:hAnsi="Times New Roman" w:eastAsia="仿宋_GB2312" w:cs="Times New Roman"/>
          <w:color w:val="auto"/>
          <w:sz w:val="32"/>
          <w:szCs w:val="32"/>
        </w:rPr>
        <w:t>全面优化诸暨旅游业发展空间布局，构筑以西施文化休闲名城、浦阳江生态旅游廊、内环休闲旅游带、外环生态康养度假带为主题的“一城、一廊、两环”旅游发展空间，共促城乡融合发展。实施旅游重大项目建设和提升工程，重点推进珍珠小镇、西施故里“一江两岸”文旅项目、五泄旅游区改造提升项目、枫桥经验文化旅游项目、枫和里乡村旅游示范区等项目建设，</w:t>
      </w:r>
      <w:r>
        <w:rPr>
          <w:rFonts w:hint="eastAsia" w:ascii="Times New Roman" w:hAnsi="Times New Roman" w:eastAsia="仿宋_GB2312" w:cs="Times New Roman"/>
          <w:color w:val="auto"/>
          <w:sz w:val="32"/>
          <w:szCs w:val="32"/>
          <w:lang w:val="en-US" w:eastAsia="zh-CN"/>
        </w:rPr>
        <w:t>探索构建汇聚诸暨地域特色的“民俗+美食+文化”文旅博物馆，</w:t>
      </w:r>
      <w:r>
        <w:rPr>
          <w:rFonts w:ascii="Times New Roman" w:hAnsi="Times New Roman" w:eastAsia="仿宋_GB2312" w:cs="Times New Roman"/>
          <w:color w:val="auto"/>
          <w:sz w:val="32"/>
          <w:szCs w:val="32"/>
        </w:rPr>
        <w:t>打造高品质、强黏性的复合文旅产品。到2025年，旅游产业增加值增速7%，旅游接待总人数540万人次。</w:t>
      </w:r>
      <w:r>
        <w:rPr>
          <w:rFonts w:ascii="Times New Roman" w:hAnsi="Times New Roman" w:eastAsia="楷体_GB2312" w:cs="Times New Roman"/>
          <w:bCs/>
          <w:color w:val="auto"/>
          <w:sz w:val="32"/>
          <w:szCs w:val="32"/>
        </w:rPr>
        <w:t>（责任单位：市文广旅游局</w:t>
      </w:r>
      <w:r>
        <w:rPr>
          <w:rFonts w:hint="eastAsia" w:ascii="Times New Roman" w:hAnsi="Times New Roman" w:eastAsia="楷体_GB2312" w:cs="Times New Roman"/>
          <w:bCs/>
          <w:color w:val="auto"/>
          <w:sz w:val="32"/>
          <w:szCs w:val="32"/>
        </w:rPr>
        <w:t>、</w:t>
      </w:r>
      <w:r>
        <w:rPr>
          <w:rFonts w:ascii="Times New Roman" w:hAnsi="Times New Roman" w:eastAsia="楷体_GB2312" w:cs="Times New Roman"/>
          <w:bCs/>
          <w:color w:val="auto"/>
          <w:sz w:val="32"/>
          <w:szCs w:val="32"/>
        </w:rPr>
        <w:t>市发改局</w:t>
      </w:r>
      <w:r>
        <w:rPr>
          <w:rFonts w:hint="eastAsia" w:ascii="Times New Roman" w:hAnsi="Times New Roman" w:eastAsia="楷体_GB2312" w:cs="Times New Roman"/>
          <w:bCs/>
          <w:color w:val="auto"/>
          <w:sz w:val="32"/>
          <w:szCs w:val="32"/>
        </w:rPr>
        <w:t>、</w:t>
      </w:r>
      <w:r>
        <w:rPr>
          <w:rFonts w:ascii="Times New Roman" w:hAnsi="Times New Roman" w:eastAsia="楷体_GB2312" w:cs="Times New Roman"/>
          <w:bCs/>
          <w:color w:val="auto"/>
          <w:sz w:val="32"/>
          <w:szCs w:val="32"/>
        </w:rPr>
        <w:t>市统计局</w:t>
      </w:r>
      <w:r>
        <w:rPr>
          <w:rFonts w:hint="eastAsia" w:ascii="Times New Roman" w:hAnsi="Times New Roman" w:eastAsia="楷体_GB2312" w:cs="Times New Roman"/>
          <w:bCs/>
          <w:color w:val="auto"/>
          <w:sz w:val="32"/>
          <w:szCs w:val="32"/>
        </w:rPr>
        <w:t>、</w:t>
      </w:r>
      <w:r>
        <w:rPr>
          <w:rFonts w:ascii="Times New Roman" w:hAnsi="Times New Roman" w:eastAsia="楷体_GB2312" w:cs="Times New Roman"/>
          <w:bCs/>
          <w:color w:val="auto"/>
          <w:sz w:val="32"/>
          <w:szCs w:val="32"/>
        </w:rPr>
        <w:t>市文旅集团）</w:t>
      </w:r>
    </w:p>
    <w:p>
      <w:pPr>
        <w:spacing w:line="560" w:lineRule="exact"/>
        <w:ind w:firstLine="643" w:firstLineChars="200"/>
        <w:rPr>
          <w:rFonts w:ascii="Times New Roman" w:hAnsi="Times New Roman" w:eastAsia="楷体_GB2312" w:cs="Times New Roman"/>
          <w:bCs/>
          <w:color w:val="auto"/>
          <w:sz w:val="32"/>
          <w:szCs w:val="32"/>
        </w:rPr>
      </w:pPr>
      <w:r>
        <w:rPr>
          <w:rFonts w:ascii="Times New Roman" w:hAnsi="Times New Roman" w:eastAsia="仿宋_GB2312" w:cs="Times New Roman"/>
          <w:b/>
          <w:bCs/>
          <w:color w:val="auto"/>
          <w:sz w:val="32"/>
          <w:szCs w:val="32"/>
        </w:rPr>
        <w:t>2.打造区域文旅融合品牌样板。</w:t>
      </w:r>
      <w:r>
        <w:rPr>
          <w:rFonts w:ascii="Times New Roman" w:hAnsi="Times New Roman" w:eastAsia="仿宋_GB2312" w:cs="Times New Roman"/>
          <w:color w:val="auto"/>
          <w:sz w:val="32"/>
          <w:szCs w:val="32"/>
        </w:rPr>
        <w:t>与杭州联合开展品牌宣传推广</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推出跨区域精品线路</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优化文旅产品供给，</w:t>
      </w:r>
      <w:r>
        <w:rPr>
          <w:rFonts w:ascii="Times New Roman" w:hAnsi="Times New Roman" w:eastAsia="仿宋_GB2312" w:cs="Times New Roman"/>
          <w:color w:val="auto"/>
          <w:sz w:val="32"/>
          <w:szCs w:val="32"/>
        </w:rPr>
        <w:t>推进省级文化和旅游消费试点城市建设，共同培育地区旅游品牌，共享一体化区域旅游大市场。立足西施文化IP培育、体验场景打造、文创产品设计、品牌营销等，在“传统文化走亲、国潮网红直播、美丽体验、人文体验营销”等领域寻求西施文旅爆点。对接诗路文化带建设，加快西施故里融入“江南绝色·吴越经典”，融合打造一批文旅精品和</w:t>
      </w:r>
      <w:r>
        <w:rPr>
          <w:rFonts w:hint="eastAsia" w:ascii="Times New Roman" w:hAnsi="Times New Roman" w:eastAsia="仿宋_GB2312" w:cs="Times New Roman"/>
          <w:color w:val="auto"/>
          <w:sz w:val="32"/>
          <w:szCs w:val="32"/>
          <w:lang w:val="en-US" w:eastAsia="zh-CN"/>
        </w:rPr>
        <w:t>产业融合示范</w:t>
      </w:r>
      <w:r>
        <w:rPr>
          <w:rFonts w:ascii="Times New Roman" w:hAnsi="Times New Roman" w:eastAsia="仿宋_GB2312" w:cs="Times New Roman"/>
          <w:color w:val="auto"/>
          <w:sz w:val="32"/>
          <w:szCs w:val="32"/>
        </w:rPr>
        <w:t>基地。到2025年，规划4条精品游线，</w:t>
      </w:r>
      <w:r>
        <w:rPr>
          <w:rFonts w:hint="default" w:ascii="Times New Roman" w:hAnsi="Times New Roman" w:eastAsia="仿宋_GB2312" w:cs="Times New Roman"/>
          <w:color w:val="auto"/>
          <w:sz w:val="32"/>
          <w:szCs w:val="32"/>
          <w:lang w:val="en-US" w:bidi="zh-CN"/>
        </w:rPr>
        <w:t>《梦寻西施》场景剧累计巡演不少于60场。</w:t>
      </w:r>
      <w:r>
        <w:rPr>
          <w:rFonts w:ascii="Times New Roman" w:hAnsi="Times New Roman" w:eastAsia="楷体_GB2312" w:cs="Times New Roman"/>
          <w:bCs/>
          <w:color w:val="auto"/>
          <w:sz w:val="32"/>
          <w:szCs w:val="32"/>
        </w:rPr>
        <w:t>（责任单位：</w:t>
      </w:r>
      <w:r>
        <w:rPr>
          <w:rFonts w:hint="eastAsia" w:ascii="Times New Roman" w:hAnsi="Times New Roman" w:eastAsia="楷体_GB2312" w:cs="Times New Roman"/>
          <w:bCs/>
          <w:color w:val="auto"/>
          <w:sz w:val="32"/>
          <w:szCs w:val="32"/>
        </w:rPr>
        <w:t>市文广旅游局、市交通运输局、市商务局、市文旅集团</w:t>
      </w:r>
      <w:r>
        <w:rPr>
          <w:rFonts w:ascii="Times New Roman" w:hAnsi="Times New Roman" w:eastAsia="楷体_GB2312" w:cs="Times New Roman"/>
          <w:bCs/>
          <w:color w:val="auto"/>
          <w:sz w:val="32"/>
          <w:szCs w:val="32"/>
        </w:rPr>
        <w:t>）</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522" w:type="dxa"/>
          </w:tcPr>
          <w:p>
            <w:pPr>
              <w:jc w:val="center"/>
              <w:rPr>
                <w:rFonts w:ascii="Times New Roman" w:hAnsi="Times New Roman" w:eastAsia="仿宋_GB2312" w:cs="Times New Roman"/>
                <w:b/>
                <w:bCs/>
                <w:color w:val="auto"/>
                <w:sz w:val="28"/>
                <w:szCs w:val="28"/>
              </w:rPr>
            </w:pPr>
            <w:r>
              <w:rPr>
                <w:rFonts w:ascii="Times New Roman" w:hAnsi="Times New Roman" w:eastAsia="楷体_GB2312" w:cs="Times New Roman"/>
                <w:color w:val="auto"/>
                <w:sz w:val="32"/>
              </w:rPr>
              <w:t>专栏</w:t>
            </w:r>
            <w:r>
              <w:rPr>
                <w:rFonts w:hint="eastAsia" w:ascii="Times New Roman" w:hAnsi="Times New Roman" w:eastAsia="楷体_GB2312" w:cs="Times New Roman"/>
                <w:color w:val="auto"/>
                <w:sz w:val="32"/>
              </w:rPr>
              <w:t>2</w:t>
            </w:r>
            <w:r>
              <w:rPr>
                <w:rFonts w:ascii="Times New Roman" w:hAnsi="Times New Roman" w:eastAsia="楷体_GB2312" w:cs="Times New Roman"/>
                <w:color w:val="auto"/>
                <w:sz w:val="32"/>
              </w:rPr>
              <w:t xml:space="preserve"> 打造西施故里文化超级IP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00" w:lineRule="exact"/>
              <w:ind w:firstLine="562" w:firstLineChars="200"/>
              <w:rPr>
                <w:rFonts w:hint="eastAsia" w:ascii="Times New Roman" w:hAnsi="Times New Roman" w:eastAsia="仿宋_GB2312" w:cs="Times New Roman"/>
                <w:b/>
                <w:bCs/>
                <w:color w:val="auto"/>
                <w:sz w:val="28"/>
                <w:szCs w:val="28"/>
                <w:lang w:eastAsia="zh-CN"/>
              </w:rPr>
            </w:pPr>
            <w:r>
              <w:rPr>
                <w:rFonts w:hint="eastAsia" w:ascii="仿宋_GB2312" w:hAnsi="仿宋_GB2312" w:eastAsia="仿宋_GB2312" w:cs="仿宋_GB2312"/>
                <w:b/>
                <w:bCs/>
                <w:color w:val="auto"/>
                <w:sz w:val="28"/>
                <w:szCs w:val="28"/>
                <w:lang w:val="en-US" w:eastAsia="zh-CN"/>
              </w:rPr>
              <w:t>1.打造大型场景剧《梦寻西施》。</w:t>
            </w:r>
            <w:r>
              <w:rPr>
                <w:rFonts w:hint="eastAsia" w:ascii="仿宋_GB2312" w:hAnsi="仿宋_GB2312" w:eastAsia="仿宋_GB2312" w:cs="仿宋_GB2312"/>
                <w:color w:val="auto"/>
                <w:sz w:val="28"/>
                <w:szCs w:val="28"/>
              </w:rPr>
              <w:t>以古越文化、西施文化为背景</w:t>
            </w:r>
            <w:r>
              <w:rPr>
                <w:rFonts w:hint="eastAsia" w:ascii="仿宋_GB2312" w:hAnsi="仿宋_GB2312" w:eastAsia="仿宋_GB2312" w:cs="仿宋_GB2312"/>
                <w:color w:val="auto"/>
                <w:sz w:val="28"/>
                <w:szCs w:val="28"/>
                <w:lang w:eastAsia="zh-CN"/>
              </w:rPr>
              <w:t>，打造</w:t>
            </w:r>
            <w:r>
              <w:rPr>
                <w:rFonts w:hint="eastAsia" w:ascii="仿宋_GB2312" w:hAnsi="仿宋_GB2312" w:eastAsia="仿宋_GB2312" w:cs="仿宋_GB2312"/>
                <w:color w:val="auto"/>
                <w:sz w:val="28"/>
                <w:szCs w:val="28"/>
                <w:lang w:val="en-US" w:eastAsia="zh-CN"/>
              </w:rPr>
              <w:t>《梦寻西施》场景剧，</w:t>
            </w:r>
            <w:r>
              <w:rPr>
                <w:rFonts w:hint="eastAsia" w:ascii="仿宋_GB2312" w:hAnsi="仿宋_GB2312" w:eastAsia="仿宋_GB2312" w:cs="仿宋_GB2312"/>
                <w:color w:val="auto"/>
                <w:sz w:val="28"/>
                <w:szCs w:val="28"/>
              </w:rPr>
              <w:t>实现沉浸式互动体验</w:t>
            </w:r>
            <w:r>
              <w:rPr>
                <w:rFonts w:hint="eastAsia" w:ascii="仿宋_GB2312" w:hAnsi="仿宋_GB2312" w:eastAsia="仿宋_GB2312" w:cs="仿宋_GB2312"/>
                <w:color w:val="auto"/>
                <w:sz w:val="28"/>
                <w:szCs w:val="28"/>
                <w:lang w:eastAsia="zh-CN"/>
              </w:rPr>
              <w:t>，成为诸暨重要的文</w:t>
            </w:r>
            <w:r>
              <w:rPr>
                <w:rFonts w:hint="eastAsia" w:ascii="仿宋_GB2312" w:hAnsi="仿宋_GB2312" w:eastAsia="仿宋_GB2312" w:cs="仿宋_GB2312"/>
                <w:color w:val="auto"/>
                <w:sz w:val="28"/>
                <w:szCs w:val="28"/>
                <w:lang w:val="en-US" w:eastAsia="zh-CN"/>
              </w:rPr>
              <w:t>旅</w:t>
            </w:r>
            <w:r>
              <w:rPr>
                <w:rFonts w:hint="eastAsia" w:ascii="仿宋_GB2312" w:hAnsi="仿宋_GB2312" w:eastAsia="仿宋_GB2312" w:cs="仿宋_GB2312"/>
                <w:color w:val="auto"/>
                <w:sz w:val="28"/>
                <w:szCs w:val="28"/>
                <w:lang w:eastAsia="zh-CN"/>
              </w:rPr>
              <w:t>名片。</w:t>
            </w:r>
          </w:p>
          <w:p>
            <w:pPr>
              <w:spacing w:line="400" w:lineRule="exact"/>
              <w:ind w:firstLine="562" w:firstLineChars="200"/>
              <w:rPr>
                <w:rFonts w:hint="default" w:ascii="仿宋_GB2312" w:hAnsi="仿宋_GB2312" w:eastAsia="仿宋_GB2312" w:cs="仿宋_GB2312"/>
                <w:color w:val="auto"/>
                <w:sz w:val="28"/>
                <w:szCs w:val="28"/>
                <w:lang w:val="en-US" w:eastAsia="zh-CN"/>
              </w:rPr>
            </w:pPr>
            <w:r>
              <w:rPr>
                <w:rFonts w:hint="eastAsia" w:ascii="Times New Roman" w:hAnsi="Times New Roman" w:eastAsia="仿宋_GB2312" w:cs="Times New Roman"/>
                <w:b/>
                <w:bCs/>
                <w:color w:val="auto"/>
                <w:sz w:val="28"/>
                <w:szCs w:val="28"/>
                <w:lang w:val="en-US" w:eastAsia="zh-CN"/>
              </w:rPr>
              <w:t>2</w:t>
            </w:r>
            <w:r>
              <w:rPr>
                <w:rFonts w:ascii="Times New Roman" w:hAnsi="Times New Roman" w:eastAsia="仿宋_GB2312" w:cs="Times New Roman"/>
                <w:b/>
                <w:bCs/>
                <w:color w:val="auto"/>
                <w:sz w:val="28"/>
                <w:szCs w:val="28"/>
              </w:rPr>
              <w:t>.推出IP互动体验场景。</w:t>
            </w:r>
            <w:r>
              <w:rPr>
                <w:rFonts w:hint="eastAsia" w:ascii="Times New Roman" w:hAnsi="Times New Roman" w:eastAsia="仿宋_GB2312" w:cs="Times New Roman"/>
                <w:b w:val="0"/>
                <w:bCs w:val="0"/>
                <w:color w:val="auto"/>
                <w:sz w:val="28"/>
                <w:szCs w:val="28"/>
                <w:lang w:eastAsia="zh-CN"/>
              </w:rPr>
              <w:t>以</w:t>
            </w:r>
            <w:r>
              <w:rPr>
                <w:rFonts w:hint="eastAsia" w:ascii="仿宋_GB2312" w:hAnsi="仿宋_GB2312" w:eastAsia="仿宋_GB2312" w:cs="仿宋_GB2312"/>
                <w:color w:val="auto"/>
                <w:sz w:val="28"/>
                <w:szCs w:val="28"/>
                <w:lang w:val="en-US" w:eastAsia="zh-CN"/>
              </w:rPr>
              <w:t>《梦寻西施》为延伸，</w:t>
            </w:r>
            <w:r>
              <w:rPr>
                <w:rFonts w:ascii="Times New Roman" w:hAnsi="Times New Roman" w:eastAsia="仿宋_GB2312" w:cs="Times New Roman"/>
                <w:color w:val="auto"/>
                <w:sz w:val="28"/>
                <w:szCs w:val="28"/>
              </w:rPr>
              <w:t>借助多媒体艺术高科技、数字化的潮玩形式演绎西施故事，举办国风汉服时装秀、开办国潮汉服文化集市</w:t>
            </w:r>
            <w:r>
              <w:rPr>
                <w:rFonts w:hint="eastAsia" w:ascii="Times New Roman" w:hAnsi="Times New Roman" w:eastAsia="仿宋_GB2312" w:cs="Times New Roman"/>
                <w:color w:val="auto"/>
                <w:sz w:val="28"/>
                <w:szCs w:val="28"/>
                <w:lang w:eastAsia="zh-CN"/>
              </w:rPr>
              <w:t>、</w:t>
            </w:r>
            <w:r>
              <w:rPr>
                <w:rFonts w:ascii="Times New Roman" w:hAnsi="Times New Roman" w:eastAsia="仿宋_GB2312" w:cs="Times New Roman"/>
                <w:color w:val="auto"/>
                <w:sz w:val="28"/>
                <w:szCs w:val="28"/>
              </w:rPr>
              <w:t>全城寻纱记等活动，</w:t>
            </w:r>
            <w:r>
              <w:rPr>
                <w:rFonts w:hint="eastAsia" w:ascii="Times New Roman" w:hAnsi="Times New Roman" w:eastAsia="仿宋_GB2312" w:cs="Times New Roman"/>
                <w:color w:val="auto"/>
                <w:sz w:val="28"/>
                <w:szCs w:val="28"/>
                <w:lang w:val="en-US" w:eastAsia="zh-CN"/>
              </w:rPr>
              <w:t>以</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西施+</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美宿、美食、演艺、体验等方式打造IP互动体验场景。</w:t>
            </w:r>
          </w:p>
          <w:p>
            <w:pPr>
              <w:spacing w:line="400" w:lineRule="exact"/>
              <w:ind w:firstLine="562" w:firstLineChars="2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bCs/>
                <w:color w:val="auto"/>
                <w:sz w:val="28"/>
                <w:szCs w:val="28"/>
                <w:lang w:val="en-US" w:eastAsia="zh-CN"/>
              </w:rPr>
              <w:t>3</w:t>
            </w:r>
            <w:r>
              <w:rPr>
                <w:rFonts w:ascii="Times New Roman" w:hAnsi="Times New Roman" w:eastAsia="仿宋_GB2312" w:cs="Times New Roman"/>
                <w:b/>
                <w:bCs/>
                <w:color w:val="auto"/>
                <w:sz w:val="28"/>
                <w:szCs w:val="28"/>
              </w:rPr>
              <w:t>.</w:t>
            </w:r>
            <w:r>
              <w:rPr>
                <w:rFonts w:hint="eastAsia" w:ascii="Times New Roman" w:hAnsi="Times New Roman" w:eastAsia="仿宋_GB2312" w:cs="Times New Roman"/>
                <w:b/>
                <w:bCs/>
                <w:color w:val="auto"/>
                <w:sz w:val="28"/>
                <w:szCs w:val="28"/>
                <w:lang w:val="en-US" w:eastAsia="zh-CN"/>
              </w:rPr>
              <w:t>打造</w:t>
            </w:r>
            <w:r>
              <w:rPr>
                <w:rFonts w:ascii="Times New Roman" w:hAnsi="Times New Roman" w:eastAsia="仿宋_GB2312" w:cs="Times New Roman"/>
                <w:b/>
                <w:bCs/>
                <w:color w:val="auto"/>
                <w:sz w:val="28"/>
                <w:szCs w:val="28"/>
              </w:rPr>
              <w:t>文创IP产业链。</w:t>
            </w:r>
            <w:r>
              <w:rPr>
                <w:rFonts w:hint="eastAsia" w:ascii="Times New Roman" w:hAnsi="Times New Roman" w:eastAsia="仿宋_GB2312" w:cs="Times New Roman"/>
                <w:color w:val="auto"/>
                <w:sz w:val="28"/>
                <w:szCs w:val="28"/>
                <w:lang w:val="en-US" w:eastAsia="zh-CN"/>
              </w:rPr>
              <w:t>构建</w:t>
            </w:r>
            <w:r>
              <w:rPr>
                <w:rFonts w:hint="eastAsia" w:ascii="Times New Roman" w:hAnsi="Times New Roman" w:eastAsia="仿宋_GB2312" w:cs="Times New Roman"/>
                <w:color w:val="auto"/>
                <w:sz w:val="28"/>
                <w:szCs w:val="28"/>
              </w:rPr>
              <w:t>集“IP孵化、创意设计、授权商业、版权维护”于一体的</w:t>
            </w:r>
            <w:r>
              <w:rPr>
                <w:rFonts w:hint="eastAsia" w:ascii="Times New Roman" w:hAnsi="Times New Roman" w:eastAsia="仿宋_GB2312" w:cs="Times New Roman"/>
                <w:color w:val="auto"/>
                <w:sz w:val="28"/>
                <w:szCs w:val="28"/>
                <w:lang w:val="en-US" w:eastAsia="zh-CN"/>
              </w:rPr>
              <w:t>西施文创产业生态，</w:t>
            </w:r>
            <w:r>
              <w:rPr>
                <w:rFonts w:hint="eastAsia" w:ascii="Times New Roman" w:hAnsi="Times New Roman" w:eastAsia="仿宋_GB2312" w:cs="Times New Roman"/>
                <w:color w:val="auto"/>
                <w:sz w:val="28"/>
                <w:szCs w:val="28"/>
              </w:rPr>
              <w:t>运用IP授权、沉浸式快闪活动、主题文旅、元宇宙内容输出等多种手段，助力</w:t>
            </w:r>
            <w:r>
              <w:rPr>
                <w:rFonts w:hint="eastAsia" w:ascii="Times New Roman" w:hAnsi="Times New Roman" w:eastAsia="仿宋_GB2312" w:cs="Times New Roman"/>
                <w:color w:val="auto"/>
                <w:sz w:val="28"/>
                <w:szCs w:val="28"/>
                <w:lang w:val="en-US" w:eastAsia="zh-CN"/>
              </w:rPr>
              <w:t>西施</w:t>
            </w:r>
            <w:r>
              <w:rPr>
                <w:rFonts w:hint="eastAsia" w:ascii="Times New Roman" w:hAnsi="Times New Roman" w:eastAsia="仿宋_GB2312" w:cs="Times New Roman"/>
                <w:color w:val="auto"/>
                <w:sz w:val="28"/>
                <w:szCs w:val="28"/>
              </w:rPr>
              <w:t>文化IP重塑。</w:t>
            </w:r>
          </w:p>
          <w:p>
            <w:pPr>
              <w:spacing w:line="400" w:lineRule="exact"/>
              <w:ind w:firstLine="562" w:firstLineChars="200"/>
              <w:rPr>
                <w:rFonts w:ascii="Times New Roman" w:hAnsi="Times New Roman" w:eastAsia="仿宋_GB2312" w:cs="Times New Roman"/>
                <w:color w:val="auto"/>
                <w:sz w:val="24"/>
              </w:rPr>
            </w:pPr>
            <w:r>
              <w:rPr>
                <w:rFonts w:hint="eastAsia" w:ascii="Times New Roman" w:hAnsi="Times New Roman" w:eastAsia="仿宋_GB2312" w:cs="Times New Roman"/>
                <w:b/>
                <w:bCs/>
                <w:color w:val="auto"/>
                <w:sz w:val="28"/>
                <w:szCs w:val="28"/>
                <w:lang w:val="en-US" w:eastAsia="zh-CN"/>
              </w:rPr>
              <w:t>4</w:t>
            </w:r>
            <w:r>
              <w:rPr>
                <w:rFonts w:ascii="Times New Roman" w:hAnsi="Times New Roman" w:eastAsia="仿宋_GB2312" w:cs="Times New Roman"/>
                <w:b/>
                <w:bCs/>
                <w:color w:val="auto"/>
                <w:sz w:val="28"/>
                <w:szCs w:val="28"/>
              </w:rPr>
              <w:t>.共享IP营销资源。</w:t>
            </w:r>
            <w:r>
              <w:rPr>
                <w:rFonts w:ascii="Times New Roman" w:hAnsi="Times New Roman" w:eastAsia="仿宋_GB2312" w:cs="Times New Roman"/>
                <w:color w:val="auto"/>
                <w:sz w:val="28"/>
                <w:szCs w:val="28"/>
              </w:rPr>
              <w:t>线上利用自媒体资源进行视频宣传、网红直播、话题事件营销等，增加西施品牌曝光度；线下通过与杭州景区、餐厅、酒店、民宿等实体联合推广，共享IP营销资源。</w:t>
            </w:r>
          </w:p>
        </w:tc>
      </w:tr>
    </w:tbl>
    <w:p>
      <w:pPr>
        <w:spacing w:line="56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3.促进体育旅游品牌化发展。</w:t>
      </w:r>
      <w:r>
        <w:rPr>
          <w:rFonts w:ascii="Times New Roman" w:hAnsi="Times New Roman" w:eastAsia="仿宋_GB2312" w:cs="Times New Roman"/>
          <w:color w:val="auto"/>
          <w:sz w:val="32"/>
          <w:szCs w:val="32"/>
        </w:rPr>
        <w:t>建成市篮球中心，</w:t>
      </w:r>
      <w:r>
        <w:rPr>
          <w:rFonts w:ascii="Times New Roman" w:hAnsi="Times New Roman" w:eastAsia="仿宋_GB2312" w:cs="Times New Roman"/>
          <w:color w:val="auto"/>
          <w:sz w:val="32"/>
        </w:rPr>
        <w:t>积极引进高端品牌赛事落户诸暨，</w:t>
      </w:r>
      <w:r>
        <w:rPr>
          <w:rFonts w:hint="eastAsia" w:ascii="Times New Roman" w:hAnsi="Times New Roman" w:eastAsia="仿宋_GB2312" w:cs="Times New Roman"/>
          <w:color w:val="auto"/>
          <w:sz w:val="32"/>
        </w:rPr>
        <w:t>承办CBA联赛，</w:t>
      </w:r>
      <w:r>
        <w:rPr>
          <w:rFonts w:ascii="Times New Roman" w:hAnsi="Times New Roman" w:eastAsia="仿宋_GB2312" w:cs="Times New Roman"/>
          <w:color w:val="auto"/>
          <w:sz w:val="32"/>
        </w:rPr>
        <w:t>争取省级运动队或运动项目扎根诸暨，</w:t>
      </w:r>
      <w:r>
        <w:rPr>
          <w:rFonts w:ascii="Times New Roman" w:hAnsi="Times New Roman" w:eastAsia="仿宋_GB2312" w:cs="Times New Roman"/>
          <w:color w:val="auto"/>
          <w:sz w:val="32"/>
          <w:szCs w:val="32"/>
        </w:rPr>
        <w:t>擦亮诸暨篮球城市金名片。依托诸暨山水生态资源，大力</w:t>
      </w:r>
      <w:r>
        <w:rPr>
          <w:rFonts w:ascii="Times New Roman" w:hAnsi="Times New Roman" w:eastAsia="仿宋_GB2312" w:cs="Times New Roman"/>
          <w:color w:val="auto"/>
          <w:sz w:val="32"/>
        </w:rPr>
        <w:t>发展</w:t>
      </w:r>
      <w:r>
        <w:rPr>
          <w:rFonts w:hint="eastAsia" w:ascii="Times New Roman" w:hAnsi="Times New Roman" w:eastAsia="仿宋_GB2312" w:cs="Times New Roman"/>
          <w:color w:val="auto"/>
          <w:sz w:val="32"/>
        </w:rPr>
        <w:t>“</w:t>
      </w:r>
      <w:r>
        <w:rPr>
          <w:rFonts w:ascii="Times New Roman" w:hAnsi="Times New Roman" w:eastAsia="仿宋_GB2312" w:cs="Times New Roman"/>
          <w:color w:val="auto"/>
          <w:sz w:val="32"/>
        </w:rPr>
        <w:t>体育+</w:t>
      </w:r>
      <w:r>
        <w:rPr>
          <w:rFonts w:hint="eastAsia" w:ascii="Times New Roman" w:hAnsi="Times New Roman" w:eastAsia="仿宋_GB2312" w:cs="Times New Roman"/>
          <w:color w:val="auto"/>
          <w:sz w:val="32"/>
        </w:rPr>
        <w:t>”</w:t>
      </w:r>
      <w:r>
        <w:rPr>
          <w:rFonts w:ascii="Times New Roman" w:hAnsi="Times New Roman" w:eastAsia="仿宋_GB2312" w:cs="Times New Roman"/>
          <w:color w:val="auto"/>
          <w:sz w:val="32"/>
        </w:rPr>
        <w:t>旅游，</w:t>
      </w:r>
      <w:r>
        <w:rPr>
          <w:rFonts w:ascii="Times New Roman" w:hAnsi="Times New Roman" w:eastAsia="仿宋_GB2312" w:cs="Times New Roman"/>
          <w:color w:val="auto"/>
          <w:sz w:val="32"/>
          <w:szCs w:val="32"/>
        </w:rPr>
        <w:t>打造西施马拉松等赛事品牌</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主动承接杭州亚运会外溢效应，</w:t>
      </w:r>
      <w:r>
        <w:rPr>
          <w:rFonts w:hint="eastAsia" w:ascii="Times New Roman" w:hAnsi="Times New Roman" w:eastAsia="仿宋_GB2312" w:cs="Times New Roman"/>
          <w:color w:val="auto"/>
          <w:sz w:val="32"/>
          <w:szCs w:val="32"/>
          <w:lang w:val="en-US" w:eastAsia="zh-CN"/>
        </w:rPr>
        <w:t>做大做强体育产业，</w:t>
      </w:r>
      <w:r>
        <w:rPr>
          <w:rFonts w:ascii="Times New Roman" w:hAnsi="Times New Roman" w:eastAsia="仿宋_GB2312" w:cs="Times New Roman"/>
          <w:color w:val="auto"/>
          <w:sz w:val="32"/>
          <w:szCs w:val="32"/>
        </w:rPr>
        <w:t>开发电子竞技、智能体育等新兴体育业态，</w:t>
      </w:r>
      <w:r>
        <w:rPr>
          <w:rFonts w:ascii="Times New Roman" w:hAnsi="Times New Roman" w:eastAsia="仿宋_GB2312" w:cs="Times New Roman"/>
          <w:color w:val="auto"/>
          <w:sz w:val="32"/>
        </w:rPr>
        <w:t>开展国家重点高水平体育后备人才基地建设。</w:t>
      </w:r>
      <w:r>
        <w:rPr>
          <w:rFonts w:ascii="Times New Roman" w:hAnsi="Times New Roman" w:eastAsia="楷体_GB2312" w:cs="Times New Roman"/>
          <w:bCs/>
          <w:color w:val="auto"/>
          <w:sz w:val="32"/>
          <w:szCs w:val="32"/>
        </w:rPr>
        <w:t>（责任单位：市教体局、市文广旅</w:t>
      </w:r>
      <w:r>
        <w:rPr>
          <w:rFonts w:hint="eastAsia" w:ascii="Times New Roman" w:hAnsi="Times New Roman" w:eastAsia="楷体_GB2312" w:cs="Times New Roman"/>
          <w:bCs/>
          <w:color w:val="auto"/>
          <w:sz w:val="32"/>
          <w:szCs w:val="32"/>
          <w:lang w:val="en-US" w:eastAsia="zh-CN"/>
        </w:rPr>
        <w:t>游</w:t>
      </w:r>
      <w:r>
        <w:rPr>
          <w:rFonts w:ascii="Times New Roman" w:hAnsi="Times New Roman" w:eastAsia="楷体_GB2312" w:cs="Times New Roman"/>
          <w:bCs/>
          <w:color w:val="auto"/>
          <w:sz w:val="32"/>
          <w:szCs w:val="32"/>
        </w:rPr>
        <w:t>局）</w:t>
      </w:r>
    </w:p>
    <w:p>
      <w:pPr>
        <w:pStyle w:val="5"/>
        <w:bidi w:val="0"/>
        <w:rPr>
          <w:color w:val="auto"/>
        </w:rPr>
      </w:pPr>
      <w:bookmarkStart w:id="20" w:name="_Toc27649"/>
      <w:r>
        <w:rPr>
          <w:color w:val="auto"/>
        </w:rPr>
        <w:t>（五）实施民生智慧共享提标行动</w:t>
      </w:r>
      <w:bookmarkEnd w:id="20"/>
    </w:p>
    <w:p>
      <w:pPr>
        <w:spacing w:line="56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1.加强教育资源合作共享。</w:t>
      </w:r>
      <w:r>
        <w:rPr>
          <w:rFonts w:ascii="Times New Roman" w:hAnsi="Times New Roman" w:eastAsia="仿宋_GB2312" w:cs="Times New Roman"/>
          <w:color w:val="auto"/>
          <w:sz w:val="32"/>
          <w:szCs w:val="32"/>
        </w:rPr>
        <w:t>借力沪杭绍优质高校资源，积极推行“高校+”合作办学模式，到2025年，</w:t>
      </w:r>
      <w:r>
        <w:rPr>
          <w:rFonts w:ascii="Times New Roman" w:hAnsi="Times New Roman" w:eastAsia="仿宋_GB2312" w:cs="Times New Roman"/>
          <w:color w:val="auto"/>
          <w:sz w:val="32"/>
          <w:szCs w:val="28"/>
        </w:rPr>
        <w:t>设立教体人才孵化基地3个。</w:t>
      </w:r>
      <w:r>
        <w:rPr>
          <w:rFonts w:ascii="Times New Roman" w:hAnsi="Times New Roman" w:eastAsia="仿宋_GB2312" w:cs="Times New Roman"/>
          <w:color w:val="auto"/>
          <w:sz w:val="32"/>
          <w:szCs w:val="32"/>
        </w:rPr>
        <w:t>全面深化与沪杭绍知名中小学（幼儿园）合作</w:t>
      </w:r>
      <w:r>
        <w:rPr>
          <w:rFonts w:hint="eastAsia" w:ascii="Times New Roman" w:hAnsi="Times New Roman" w:eastAsia="仿宋_GB2312" w:cs="Times New Roman"/>
          <w:color w:val="auto"/>
          <w:sz w:val="32"/>
          <w:szCs w:val="32"/>
          <w:lang w:val="en-US" w:eastAsia="zh-CN"/>
        </w:rPr>
        <w:t>交流</w:t>
      </w:r>
      <w:r>
        <w:rPr>
          <w:rFonts w:ascii="Times New Roman" w:hAnsi="Times New Roman" w:eastAsia="仿宋_GB2312" w:cs="Times New Roman"/>
          <w:color w:val="auto"/>
          <w:sz w:val="32"/>
          <w:szCs w:val="32"/>
        </w:rPr>
        <w:t>，健全学校管理、课程共建、教师跟岗锻炼等常态化合作机制，到2025年，新增结对学校10家、</w:t>
      </w:r>
      <w:r>
        <w:rPr>
          <w:rFonts w:ascii="Times New Roman" w:hAnsi="Times New Roman" w:eastAsia="仿宋_GB2312" w:cs="Times New Roman"/>
          <w:color w:val="auto"/>
          <w:sz w:val="32"/>
        </w:rPr>
        <w:t>杭州名师名校长诸暨工作室3个。</w:t>
      </w:r>
      <w:r>
        <w:rPr>
          <w:rFonts w:ascii="Times New Roman" w:hAnsi="Times New Roman" w:eastAsia="仿宋_GB2312" w:cs="Times New Roman"/>
          <w:color w:val="auto"/>
          <w:sz w:val="32"/>
          <w:szCs w:val="32"/>
        </w:rPr>
        <w:t>实施“互联网+”共同体发展计划，积极加入省级“之江汇”教育广场，对接杭州市“名师公开课”、网上名师工作室、“一师一优课”、微课学习在线点播系统等资源，实现在线教育资源共享。扩大与在杭高职院校联办相关专业，拓宽中高职一体化合作培养途径，加快构建现代职业教育体系，到2025年，</w:t>
      </w:r>
      <w:r>
        <w:rPr>
          <w:rFonts w:hint="eastAsia" w:ascii="Times New Roman" w:hAnsi="Times New Roman" w:eastAsia="仿宋_GB2312" w:cs="Times New Roman"/>
          <w:color w:val="auto"/>
          <w:sz w:val="32"/>
          <w:szCs w:val="32"/>
          <w:lang w:val="en-US" w:eastAsia="zh-CN"/>
        </w:rPr>
        <w:t>中高职一体化</w:t>
      </w:r>
      <w:r>
        <w:rPr>
          <w:rFonts w:ascii="Times New Roman" w:hAnsi="Times New Roman" w:eastAsia="仿宋_GB2312" w:cs="Times New Roman"/>
          <w:color w:val="auto"/>
          <w:sz w:val="32"/>
          <w:szCs w:val="32"/>
        </w:rPr>
        <w:t>招生占中职招生比例达40%以上。面向长三角地区开展研学合作，重点推出西施故里“西施文化</w:t>
      </w:r>
      <w:r>
        <w:rPr>
          <w:rFonts w:hint="default"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枫桥经验”传承基地、米果果小镇农耕文化研学营地等精品研学线路，</w:t>
      </w:r>
      <w:r>
        <w:rPr>
          <w:rFonts w:ascii="Times New Roman" w:hAnsi="Times New Roman" w:eastAsia="仿宋_GB2312" w:cs="Times New Roman"/>
          <w:color w:val="auto"/>
          <w:sz w:val="32"/>
        </w:rPr>
        <w:t>增强诸暨研学旅行的吸引力</w:t>
      </w:r>
      <w:r>
        <w:rPr>
          <w:rFonts w:hint="eastAsia" w:ascii="Times New Roman" w:hAnsi="Times New Roman" w:eastAsia="仿宋_GB2312" w:cs="Times New Roman"/>
          <w:color w:val="auto"/>
          <w:sz w:val="32"/>
          <w:lang w:eastAsia="zh-CN"/>
        </w:rPr>
        <w:t>，</w:t>
      </w:r>
      <w:r>
        <w:rPr>
          <w:rFonts w:ascii="Times New Roman" w:hAnsi="Times New Roman" w:eastAsia="仿宋_GB2312" w:cs="Times New Roman"/>
          <w:color w:val="auto"/>
          <w:sz w:val="32"/>
        </w:rPr>
        <w:t>扩大影响力。</w:t>
      </w:r>
      <w:r>
        <w:rPr>
          <w:rFonts w:ascii="Times New Roman" w:hAnsi="Times New Roman" w:eastAsia="楷体_GB2312" w:cs="Times New Roman"/>
          <w:bCs/>
          <w:color w:val="auto"/>
          <w:sz w:val="32"/>
          <w:szCs w:val="32"/>
        </w:rPr>
        <w:t>（责任单位：市教体局、市文广旅</w:t>
      </w:r>
      <w:r>
        <w:rPr>
          <w:rFonts w:hint="eastAsia" w:ascii="Times New Roman" w:hAnsi="Times New Roman" w:eastAsia="楷体_GB2312" w:cs="Times New Roman"/>
          <w:bCs/>
          <w:color w:val="auto"/>
          <w:sz w:val="32"/>
          <w:szCs w:val="32"/>
          <w:lang w:val="en-US" w:eastAsia="zh-CN"/>
        </w:rPr>
        <w:t>游</w:t>
      </w:r>
      <w:r>
        <w:rPr>
          <w:rFonts w:ascii="Times New Roman" w:hAnsi="Times New Roman" w:eastAsia="楷体_GB2312" w:cs="Times New Roman"/>
          <w:bCs/>
          <w:color w:val="auto"/>
          <w:sz w:val="32"/>
          <w:szCs w:val="32"/>
        </w:rPr>
        <w:t>局）</w:t>
      </w:r>
    </w:p>
    <w:p>
      <w:pPr>
        <w:spacing w:line="56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2.深化医疗资源互通共享。</w:t>
      </w:r>
      <w:r>
        <w:rPr>
          <w:rFonts w:ascii="Times New Roman" w:hAnsi="Times New Roman" w:eastAsia="仿宋_GB2312" w:cs="Times New Roman"/>
          <w:color w:val="auto"/>
          <w:sz w:val="32"/>
          <w:szCs w:val="32"/>
        </w:rPr>
        <w:t>以杭州建设“国家区域医疗中心”为契机，通过医联体、名医工作室、专科联盟、教育实践基地共建等形式，深化诸暨市级医院与浙医一院、浙医二院、省妇产科医院、省儿童医院、省肿瘤医院等合作，到2025年，新引进名医工作室20个</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建立紧密协作型医联体5个、专科联盟5个。联接杭绍公共卫生资源，探索建立跨区域自主协同、多方联动、一体化和全周期公共卫生应急管理体系。</w:t>
      </w:r>
      <w:r>
        <w:rPr>
          <w:rFonts w:hint="eastAsia" w:ascii="Times New Roman" w:hAnsi="Times New Roman" w:eastAsia="仿宋_GB2312" w:cs="Times New Roman"/>
          <w:color w:val="auto"/>
          <w:sz w:val="32"/>
          <w:szCs w:val="32"/>
          <w:lang w:val="en-US" w:eastAsia="zh-CN"/>
        </w:rPr>
        <w:t>积极配合</w:t>
      </w:r>
      <w:r>
        <w:rPr>
          <w:rFonts w:hint="eastAsia" w:ascii="Times New Roman" w:hAnsi="Times New Roman" w:eastAsia="仿宋_GB2312"/>
          <w:color w:val="auto"/>
          <w:sz w:val="32"/>
          <w:szCs w:val="32"/>
        </w:rPr>
        <w:t>推动</w:t>
      </w:r>
      <w:r>
        <w:rPr>
          <w:rFonts w:hint="eastAsia" w:ascii="Times New Roman" w:hAnsi="Times New Roman" w:eastAsia="仿宋_GB2312"/>
          <w:color w:val="auto"/>
          <w:sz w:val="32"/>
          <w:szCs w:val="32"/>
          <w:lang w:val="en-US" w:eastAsia="zh-CN"/>
        </w:rPr>
        <w:t>杭州</w:t>
      </w:r>
      <w:r>
        <w:rPr>
          <w:rFonts w:hint="eastAsia" w:ascii="Times New Roman" w:hAnsi="Times New Roman" w:eastAsia="仿宋_GB2312"/>
          <w:color w:val="auto"/>
          <w:sz w:val="32"/>
          <w:szCs w:val="32"/>
        </w:rPr>
        <w:t>都市圈内医疗卫生机构医疗诊断和检查信息互认互联</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配合做好</w:t>
      </w:r>
      <w:r>
        <w:rPr>
          <w:rFonts w:hint="eastAsia" w:ascii="Times New Roman" w:hAnsi="Times New Roman" w:eastAsia="仿宋_GB2312"/>
          <w:color w:val="auto"/>
          <w:sz w:val="32"/>
          <w:szCs w:val="32"/>
        </w:rPr>
        <w:t>都市圈智慧医疗服务平台</w:t>
      </w:r>
      <w:r>
        <w:rPr>
          <w:rFonts w:hint="eastAsia" w:ascii="Times New Roman" w:hAnsi="Times New Roman" w:eastAsia="仿宋_GB2312"/>
          <w:color w:val="auto"/>
          <w:sz w:val="32"/>
          <w:szCs w:val="32"/>
          <w:lang w:val="en-US" w:eastAsia="zh-CN"/>
        </w:rPr>
        <w:t>搭建</w:t>
      </w:r>
      <w:r>
        <w:rPr>
          <w:rFonts w:hint="eastAsia" w:ascii="Times New Roman" w:hAnsi="Times New Roman" w:eastAsia="仿宋_GB2312"/>
          <w:color w:val="auto"/>
          <w:sz w:val="32"/>
          <w:szCs w:val="32"/>
        </w:rPr>
        <w:t>，以</w:t>
      </w:r>
      <w:r>
        <w:rPr>
          <w:rFonts w:ascii="Times New Roman" w:hAnsi="Times New Roman" w:eastAsia="仿宋_GB2312"/>
          <w:color w:val="auto"/>
          <w:sz w:val="32"/>
          <w:szCs w:val="32"/>
        </w:rPr>
        <w:t>“5G+</w:t>
      </w:r>
      <w:r>
        <w:rPr>
          <w:rFonts w:hint="eastAsia" w:ascii="Times New Roman" w:hAnsi="Times New Roman" w:eastAsia="仿宋_GB2312"/>
          <w:color w:val="auto"/>
          <w:sz w:val="32"/>
          <w:szCs w:val="32"/>
        </w:rPr>
        <w:t>智慧医疗</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模式推进</w:t>
      </w:r>
      <w:r>
        <w:rPr>
          <w:rFonts w:hint="eastAsia" w:ascii="Times New Roman" w:hAnsi="Times New Roman" w:eastAsia="仿宋_GB2312"/>
          <w:color w:val="auto"/>
          <w:sz w:val="32"/>
          <w:szCs w:val="32"/>
          <w:lang w:val="en-US" w:eastAsia="zh-CN"/>
        </w:rPr>
        <w:t>优质医疗资源供给</w:t>
      </w:r>
      <w:r>
        <w:rPr>
          <w:rFonts w:hint="eastAsia" w:ascii="Times New Roman" w:hAnsi="Times New Roman" w:eastAsia="仿宋_GB2312"/>
          <w:color w:val="auto"/>
          <w:sz w:val="32"/>
          <w:szCs w:val="32"/>
        </w:rPr>
        <w:t>。</w:t>
      </w:r>
      <w:r>
        <w:rPr>
          <w:rFonts w:ascii="Times New Roman" w:hAnsi="Times New Roman" w:eastAsia="楷体_GB2312" w:cs="Times New Roman"/>
          <w:bCs/>
          <w:color w:val="auto"/>
          <w:sz w:val="32"/>
          <w:szCs w:val="32"/>
        </w:rPr>
        <w:t>（责任单位：市卫健局、市医保局、市应急管理局）</w:t>
      </w:r>
    </w:p>
    <w:p>
      <w:pPr>
        <w:spacing w:line="560" w:lineRule="exact"/>
        <w:ind w:firstLine="643" w:firstLineChars="200"/>
        <w:rPr>
          <w:rFonts w:ascii="Times New Roman" w:hAnsi="Times New Roman" w:eastAsia="楷体_GB2312" w:cs="Times New Roman"/>
          <w:bCs/>
          <w:color w:val="auto"/>
          <w:sz w:val="32"/>
          <w:szCs w:val="32"/>
        </w:rPr>
      </w:pPr>
      <w:r>
        <w:rPr>
          <w:rFonts w:ascii="Times New Roman" w:hAnsi="Times New Roman" w:eastAsia="仿宋_GB2312" w:cs="Times New Roman"/>
          <w:b/>
          <w:bCs/>
          <w:color w:val="auto"/>
          <w:sz w:val="32"/>
          <w:szCs w:val="32"/>
        </w:rPr>
        <w:t>3.推动政务服务互联互通。</w:t>
      </w:r>
      <w:r>
        <w:rPr>
          <w:rFonts w:ascii="Times New Roman" w:hAnsi="Times New Roman" w:eastAsia="仿宋_GB2312" w:cs="Times New Roman"/>
          <w:color w:val="auto"/>
          <w:sz w:val="32"/>
          <w:szCs w:val="32"/>
        </w:rPr>
        <w:t>依托全国一体化在线政务服务平台、浙江“一网通办”等政务服务平台，推动全市政务服务数据资源的横向对接和数据共享，推进身份证电子证照、电子社保卡、电子驾驶证等高频电子证照在政务服务平台汇聚应用。全面推广应用“一网通办”平台，推进政务服务事项“全省通办”，2023年实现“一网通办”平台镇乡（街道）全覆盖。加快建成浙江政务服务网诸暨站“跨省通办”专区，签订区域间“跨省通办”合作协议，推动高频政务服务事项100%实现“跨省通办”。</w:t>
      </w:r>
      <w:r>
        <w:rPr>
          <w:rFonts w:ascii="Times New Roman" w:hAnsi="Times New Roman" w:eastAsia="楷体_GB2312" w:cs="Times New Roman"/>
          <w:bCs/>
          <w:color w:val="auto"/>
          <w:sz w:val="32"/>
          <w:szCs w:val="32"/>
        </w:rPr>
        <w:t>（责任单位：市大数据中心、市政务服务办）</w:t>
      </w:r>
    </w:p>
    <w:p>
      <w:pPr>
        <w:spacing w:line="560" w:lineRule="exact"/>
        <w:ind w:firstLine="643" w:firstLineChars="200"/>
        <w:rPr>
          <w:rFonts w:ascii="Times New Roman" w:hAnsi="Times New Roman" w:eastAsia="楷体_GB2312" w:cs="Times New Roman"/>
          <w:bCs/>
          <w:color w:val="auto"/>
          <w:sz w:val="32"/>
          <w:szCs w:val="32"/>
        </w:rPr>
      </w:pPr>
      <w:r>
        <w:rPr>
          <w:rFonts w:ascii="Times New Roman" w:hAnsi="Times New Roman" w:eastAsia="仿宋_GB2312" w:cs="Times New Roman"/>
          <w:b/>
          <w:bCs/>
          <w:color w:val="auto"/>
          <w:sz w:val="32"/>
          <w:szCs w:val="32"/>
        </w:rPr>
        <w:t>4.共同构建高效社会治理环境。</w:t>
      </w:r>
      <w:r>
        <w:rPr>
          <w:rFonts w:ascii="Times New Roman" w:hAnsi="Times New Roman" w:eastAsia="仿宋_GB2312" w:cs="Times New Roman"/>
          <w:color w:val="auto"/>
          <w:sz w:val="32"/>
          <w:szCs w:val="32"/>
        </w:rPr>
        <w:t>联合调处化解诸杭两地跨区域矛盾纠纷，加快推动社会矛盾纠纷调处化解中心数据互联互通，</w:t>
      </w:r>
      <w:r>
        <w:rPr>
          <w:rFonts w:hint="eastAsia" w:ascii="Times New Roman" w:hAnsi="Times New Roman" w:eastAsia="仿宋_GB2312" w:cs="Times New Roman"/>
          <w:color w:val="auto"/>
          <w:sz w:val="32"/>
          <w:szCs w:val="32"/>
          <w:lang w:val="en-US" w:eastAsia="zh-CN"/>
        </w:rPr>
        <w:t>探索都市圈“枫桥经验”新实践</w:t>
      </w:r>
      <w:r>
        <w:rPr>
          <w:rFonts w:ascii="Times New Roman" w:hAnsi="Times New Roman" w:eastAsia="仿宋_GB2312" w:cs="Times New Roman"/>
          <w:color w:val="auto"/>
          <w:sz w:val="32"/>
          <w:szCs w:val="32"/>
        </w:rPr>
        <w:t>。</w:t>
      </w:r>
      <w:r>
        <w:rPr>
          <w:rFonts w:ascii="Times New Roman" w:hAnsi="Times New Roman" w:eastAsia="华文仿宋" w:cs="Times New Roman"/>
          <w:color w:val="auto"/>
          <w:sz w:val="32"/>
          <w:szCs w:val="32"/>
        </w:rPr>
        <w:t>归集城市物联网基础设施及各类公共采集数据，率先打造一批智慧交通、平安综治、数字防疫、食品安全等“城市大脑”应用场景，推进诸杭“城市大脑”横向互联，到2025年，诸杭跨区域“城市大脑”应用生态全面构建。</w:t>
      </w:r>
      <w:r>
        <w:rPr>
          <w:rFonts w:ascii="Times New Roman" w:hAnsi="Times New Roman" w:eastAsia="仿宋_GB2312" w:cs="Times New Roman"/>
          <w:color w:val="auto"/>
          <w:sz w:val="32"/>
          <w:szCs w:val="32"/>
        </w:rPr>
        <w:t>强化社会治安联勤指挥系统，探索建立萧山</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诸暨毗邻区域相邻警种联勤联动、常态机动处突等警务一体化机制，建立综合行政执法协作配合机制。依托浙江省公共信用信息平台，推进信用信息互通互查互享，建立诸暨与杭州都市圈主要城市信用联合奖惩制度，探索信用激励场景应用跨区域互认互通。</w:t>
      </w:r>
      <w:r>
        <w:rPr>
          <w:rFonts w:ascii="Times New Roman" w:hAnsi="Times New Roman" w:eastAsia="楷体_GB2312" w:cs="Times New Roman"/>
          <w:bCs/>
          <w:color w:val="auto"/>
          <w:sz w:val="32"/>
          <w:szCs w:val="32"/>
        </w:rPr>
        <w:t>（责任单位：市综合执法局、市公安局）</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5"/>
              <w:jc w:val="center"/>
              <w:rPr>
                <w:rFonts w:cs="Times New Roman"/>
                <w:color w:val="auto"/>
              </w:rPr>
            </w:pPr>
            <w:r>
              <w:rPr>
                <w:rFonts w:eastAsia="楷体_GB2312" w:cs="Times New Roman"/>
                <w:color w:val="auto"/>
              </w:rPr>
              <w:t>专栏</w:t>
            </w:r>
            <w:r>
              <w:rPr>
                <w:rFonts w:hint="eastAsia" w:eastAsia="楷体_GB2312" w:cs="Times New Roman"/>
                <w:color w:val="auto"/>
              </w:rPr>
              <w:t>3</w:t>
            </w:r>
            <w:r>
              <w:rPr>
                <w:rFonts w:eastAsia="楷体_GB2312" w:cs="Times New Roman"/>
                <w:color w:val="auto"/>
              </w:rPr>
              <w:t xml:space="preserve"> 杭绍智慧民生共享专项行动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5"/>
              <w:spacing w:line="400" w:lineRule="exact"/>
              <w:ind w:firstLine="562" w:firstLineChars="200"/>
              <w:rPr>
                <w:rFonts w:eastAsia="仿宋_GB2312" w:cs="Times New Roman"/>
                <w:color w:val="auto"/>
                <w:sz w:val="28"/>
                <w:szCs w:val="28"/>
              </w:rPr>
            </w:pPr>
            <w:r>
              <w:rPr>
                <w:rFonts w:eastAsia="仿宋_GB2312" w:cs="Times New Roman"/>
                <w:b/>
                <w:bCs/>
                <w:color w:val="auto"/>
                <w:sz w:val="28"/>
                <w:szCs w:val="28"/>
              </w:rPr>
              <w:t>1.融入智慧民生都市圈建设。</w:t>
            </w:r>
            <w:r>
              <w:rPr>
                <w:rFonts w:eastAsia="仿宋_GB2312" w:cs="Times New Roman"/>
                <w:color w:val="auto"/>
                <w:sz w:val="28"/>
                <w:szCs w:val="28"/>
              </w:rPr>
              <w:t>依托杭州都市圈打造智慧民生主题都市圈，推进市级医院跨区域布点</w:t>
            </w:r>
            <w:r>
              <w:rPr>
                <w:rFonts w:hint="eastAsia" w:eastAsia="仿宋_GB2312" w:cs="Times New Roman"/>
                <w:color w:val="auto"/>
                <w:sz w:val="28"/>
                <w:szCs w:val="28"/>
                <w:lang w:eastAsia="zh-CN"/>
              </w:rPr>
              <w:t>，</w:t>
            </w:r>
            <w:r>
              <w:rPr>
                <w:rFonts w:eastAsia="仿宋_GB2312" w:cs="Times New Roman"/>
                <w:color w:val="auto"/>
                <w:sz w:val="28"/>
                <w:szCs w:val="28"/>
              </w:rPr>
              <w:t>完善异地就医直接结算</w:t>
            </w:r>
            <w:r>
              <w:rPr>
                <w:rFonts w:hint="eastAsia" w:eastAsia="仿宋_GB2312" w:cs="Times New Roman"/>
                <w:color w:val="auto"/>
                <w:sz w:val="28"/>
                <w:szCs w:val="28"/>
                <w:lang w:eastAsia="zh-CN"/>
              </w:rPr>
              <w:t>，</w:t>
            </w:r>
            <w:r>
              <w:rPr>
                <w:rFonts w:eastAsia="仿宋_GB2312" w:cs="Times New Roman"/>
                <w:color w:val="auto"/>
                <w:sz w:val="28"/>
                <w:szCs w:val="28"/>
              </w:rPr>
              <w:t>扩大市民卡互联互通覆盖面</w:t>
            </w:r>
            <w:r>
              <w:rPr>
                <w:rFonts w:hint="eastAsia" w:eastAsia="仿宋_GB2312" w:cs="Times New Roman"/>
                <w:color w:val="auto"/>
                <w:sz w:val="28"/>
                <w:szCs w:val="28"/>
                <w:lang w:eastAsia="zh-CN"/>
              </w:rPr>
              <w:t>，</w:t>
            </w:r>
            <w:r>
              <w:rPr>
                <w:rFonts w:eastAsia="仿宋_GB2312" w:cs="Times New Roman"/>
                <w:color w:val="auto"/>
                <w:sz w:val="28"/>
                <w:szCs w:val="28"/>
              </w:rPr>
              <w:t>推进公共服务智慧应用共建共享。</w:t>
            </w:r>
          </w:p>
          <w:p>
            <w:pPr>
              <w:pStyle w:val="15"/>
              <w:spacing w:line="400" w:lineRule="exact"/>
              <w:ind w:firstLine="562" w:firstLineChars="200"/>
              <w:rPr>
                <w:rFonts w:hint="eastAsia" w:eastAsia="仿宋_GB2312" w:cs="Times New Roman"/>
                <w:color w:val="auto"/>
                <w:sz w:val="28"/>
                <w:szCs w:val="28"/>
                <w:lang w:eastAsia="zh-CN"/>
              </w:rPr>
            </w:pPr>
            <w:r>
              <w:rPr>
                <w:rFonts w:eastAsia="仿宋_GB2312" w:cs="Times New Roman"/>
                <w:b/>
                <w:bCs/>
                <w:color w:val="auto"/>
                <w:sz w:val="28"/>
                <w:szCs w:val="28"/>
              </w:rPr>
              <w:t>2.推进产教融合基地共建。</w:t>
            </w:r>
            <w:r>
              <w:rPr>
                <w:rFonts w:eastAsia="仿宋_GB2312" w:cs="Times New Roman"/>
                <w:color w:val="auto"/>
                <w:sz w:val="28"/>
                <w:szCs w:val="28"/>
              </w:rPr>
              <w:t>聚焦技能型人才培养，加强与沪杭绍职业教育实训基地交流合作</w:t>
            </w:r>
            <w:r>
              <w:rPr>
                <w:rFonts w:hint="eastAsia" w:eastAsia="仿宋_GB2312" w:cs="Times New Roman"/>
                <w:color w:val="auto"/>
                <w:sz w:val="28"/>
                <w:szCs w:val="28"/>
                <w:lang w:eastAsia="zh-CN"/>
              </w:rPr>
              <w:t>，</w:t>
            </w:r>
            <w:r>
              <w:rPr>
                <w:rFonts w:eastAsia="仿宋_GB2312" w:cs="Times New Roman"/>
                <w:color w:val="auto"/>
                <w:sz w:val="28"/>
                <w:szCs w:val="28"/>
              </w:rPr>
              <w:t>共建产教融合</w:t>
            </w:r>
            <w:r>
              <w:rPr>
                <w:rFonts w:hint="eastAsia" w:eastAsia="仿宋_GB2312" w:cs="Times New Roman"/>
                <w:color w:val="auto"/>
                <w:sz w:val="28"/>
                <w:szCs w:val="28"/>
                <w:lang w:val="en-US" w:eastAsia="zh-CN"/>
              </w:rPr>
              <w:t>基地</w:t>
            </w:r>
            <w:r>
              <w:rPr>
                <w:rFonts w:eastAsia="仿宋_GB2312" w:cs="Times New Roman"/>
                <w:color w:val="auto"/>
                <w:sz w:val="28"/>
                <w:szCs w:val="28"/>
              </w:rPr>
              <w:t>，率先推进职教中心与杭州朗</w:t>
            </w:r>
            <w:r>
              <w:rPr>
                <w:rFonts w:hint="eastAsia" w:eastAsia="仿宋_GB2312" w:cs="Times New Roman"/>
                <w:color w:val="auto"/>
                <w:sz w:val="28"/>
                <w:szCs w:val="28"/>
                <w:lang w:val="en-US" w:eastAsia="zh-CN"/>
              </w:rPr>
              <w:t>迅</w:t>
            </w:r>
            <w:r>
              <w:rPr>
                <w:rFonts w:eastAsia="仿宋_GB2312" w:cs="Times New Roman"/>
                <w:color w:val="auto"/>
                <w:sz w:val="28"/>
                <w:szCs w:val="28"/>
              </w:rPr>
              <w:t>科技有限公司共建集成电路产教融合公共实训基地</w:t>
            </w:r>
            <w:r>
              <w:rPr>
                <w:rFonts w:hint="eastAsia" w:eastAsia="仿宋_GB2312" w:cs="Times New Roman"/>
                <w:color w:val="auto"/>
                <w:sz w:val="28"/>
                <w:szCs w:val="28"/>
                <w:lang w:eastAsia="zh-CN"/>
              </w:rPr>
              <w:t>。</w:t>
            </w:r>
          </w:p>
          <w:p>
            <w:pPr>
              <w:pStyle w:val="15"/>
              <w:spacing w:line="400" w:lineRule="exact"/>
              <w:ind w:firstLine="562" w:firstLineChars="200"/>
              <w:rPr>
                <w:rFonts w:eastAsia="仿宋_GB2312" w:cs="Times New Roman"/>
                <w:color w:val="auto"/>
                <w:sz w:val="28"/>
                <w:szCs w:val="28"/>
              </w:rPr>
            </w:pPr>
            <w:r>
              <w:rPr>
                <w:rFonts w:eastAsia="仿宋_GB2312" w:cs="Times New Roman"/>
                <w:b/>
                <w:bCs/>
                <w:color w:val="auto"/>
                <w:sz w:val="28"/>
                <w:szCs w:val="28"/>
              </w:rPr>
              <w:t>3.加强跨区域医疗合作。</w:t>
            </w:r>
            <w:r>
              <w:rPr>
                <w:rFonts w:eastAsia="仿宋_GB2312" w:cs="Times New Roman"/>
                <w:color w:val="auto"/>
                <w:sz w:val="28"/>
                <w:szCs w:val="28"/>
              </w:rPr>
              <w:t>积极参与长三角卫生健康联盟，建立或加入跨区域医联体、专科联盟，加强市人民医院、</w:t>
            </w:r>
            <w:r>
              <w:rPr>
                <w:rFonts w:eastAsia="仿宋_GB2312" w:cs="Times New Roman"/>
                <w:color w:val="auto"/>
                <w:sz w:val="28"/>
                <w:szCs w:val="28"/>
              </w:rPr>
              <w:t>市中医院、</w:t>
            </w:r>
            <w:r>
              <w:rPr>
                <w:rFonts w:eastAsia="仿宋_GB2312" w:cs="Times New Roman"/>
                <w:color w:val="auto"/>
                <w:sz w:val="28"/>
                <w:szCs w:val="28"/>
              </w:rPr>
              <w:t>市妇保院与北京、上海等省内外知名医学院校的合作，积极引进儿科、肿瘤以及五官科等高精尖专科医院，深入推进市级医院与城市三甲医院合作办医。</w:t>
            </w:r>
          </w:p>
          <w:p>
            <w:pPr>
              <w:pStyle w:val="15"/>
              <w:spacing w:line="400" w:lineRule="exact"/>
              <w:ind w:firstLine="562" w:firstLineChars="200"/>
              <w:rPr>
                <w:rFonts w:eastAsia="仿宋_GB2312" w:cs="Times New Roman"/>
                <w:color w:val="auto"/>
                <w:sz w:val="28"/>
                <w:szCs w:val="28"/>
              </w:rPr>
            </w:pPr>
            <w:r>
              <w:rPr>
                <w:rFonts w:eastAsia="仿宋_GB2312" w:cs="Times New Roman"/>
                <w:b/>
                <w:bCs/>
                <w:color w:val="auto"/>
                <w:sz w:val="28"/>
                <w:szCs w:val="28"/>
              </w:rPr>
              <w:t>4.开展“枫桥经验”治理共享。</w:t>
            </w:r>
            <w:r>
              <w:rPr>
                <w:rFonts w:eastAsia="仿宋_GB2312" w:cs="Times New Roman"/>
                <w:color w:val="auto"/>
                <w:sz w:val="28"/>
                <w:szCs w:val="28"/>
              </w:rPr>
              <w:t>发挥枫桥学院、新时代枫桥经验研究院的阵地引领作用，联手长三角城市共谋理论研究、开展实践培训、加强宣传推广，持续深化“枫桥式”品牌创建，开发推广新时代“枫桥经验”数字化场景应用，深化完善“枫桥指数”评价体系，构建跨区域治理机制。</w:t>
            </w:r>
          </w:p>
        </w:tc>
      </w:tr>
    </w:tbl>
    <w:p>
      <w:pPr>
        <w:pStyle w:val="5"/>
        <w:bidi w:val="0"/>
        <w:rPr>
          <w:color w:val="auto"/>
        </w:rPr>
      </w:pPr>
      <w:bookmarkStart w:id="21" w:name="_Toc14813"/>
      <w:r>
        <w:rPr>
          <w:color w:val="auto"/>
        </w:rPr>
        <w:t>（六）实施生态共管共治扩面行动</w:t>
      </w:r>
      <w:bookmarkEnd w:id="21"/>
    </w:p>
    <w:p>
      <w:pPr>
        <w:adjustRightInd w:val="0"/>
        <w:snapToGrid w:val="0"/>
        <w:spacing w:line="560" w:lineRule="exact"/>
        <w:ind w:firstLine="643" w:firstLineChars="200"/>
        <w:rPr>
          <w:rFonts w:ascii="Times New Roman" w:hAnsi="Times New Roman" w:eastAsia="楷体_GB2312" w:cs="Times New Roman"/>
          <w:bCs/>
          <w:color w:val="auto"/>
          <w:sz w:val="32"/>
          <w:szCs w:val="32"/>
        </w:rPr>
      </w:pPr>
      <w:r>
        <w:rPr>
          <w:rFonts w:ascii="Times New Roman" w:hAnsi="Times New Roman" w:eastAsia="仿宋_GB2312" w:cs="Times New Roman"/>
          <w:b/>
          <w:bCs/>
          <w:color w:val="auto"/>
          <w:sz w:val="32"/>
          <w:szCs w:val="32"/>
        </w:rPr>
        <w:t>1.协同开展山水林田湖草生态保护修复。</w:t>
      </w:r>
      <w:r>
        <w:rPr>
          <w:rFonts w:ascii="Times New Roman" w:hAnsi="Times New Roman" w:eastAsia="仿宋_GB2312" w:cs="Times New Roman"/>
          <w:color w:val="auto"/>
          <w:sz w:val="32"/>
          <w:szCs w:val="32"/>
        </w:rPr>
        <w:t>实施重要生态系统保护和修复重大工程，着力构筑东南部会稽山脉和西部龙门山脉两大生态屏障。协同开展浦阳江重点流域和生态敏感区保护，建设浦阳江生态涵养区，打造五泄江生态公园等生态名片。协同开展生物多样性保护，在</w:t>
      </w:r>
      <w:r>
        <w:rPr>
          <w:rFonts w:hint="eastAsia" w:ascii="Times New Roman" w:hAnsi="Times New Roman" w:eastAsia="仿宋_GB2312" w:cs="Times New Roman"/>
          <w:color w:val="auto"/>
          <w:sz w:val="32"/>
          <w:szCs w:val="32"/>
        </w:rPr>
        <w:t>东白山省级自然保护区、白塔湖国家湿地公园</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浦阳江等野生动物重点活动区域共同设立“生态哨兵”观察点，就地开展种群状况监控、疫源疫情防控等</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严厉查处驯养销售野生动物及其制品、非法采集及销售贩卖野生植物等违法行为。开展古树名木专项保护，完成主要生物物种资源调查、编目及数据库建设。</w:t>
      </w:r>
      <w:r>
        <w:rPr>
          <w:rFonts w:ascii="Times New Roman" w:hAnsi="Times New Roman" w:eastAsia="楷体_GB2312" w:cs="Times New Roman"/>
          <w:bCs/>
          <w:color w:val="auto"/>
          <w:sz w:val="32"/>
          <w:szCs w:val="32"/>
        </w:rPr>
        <w:t>（责任单位：市</w:t>
      </w:r>
      <w:r>
        <w:rPr>
          <w:rFonts w:hint="eastAsia" w:ascii="Times New Roman" w:hAnsi="Times New Roman" w:eastAsia="楷体_GB2312" w:cs="Times New Roman"/>
          <w:bCs/>
          <w:color w:val="auto"/>
          <w:sz w:val="32"/>
          <w:szCs w:val="32"/>
        </w:rPr>
        <w:t>生态环境分局</w:t>
      </w:r>
      <w:r>
        <w:rPr>
          <w:rFonts w:hint="eastAsia" w:ascii="Times New Roman" w:hAnsi="Times New Roman" w:eastAsia="楷体_GB2312" w:cs="Times New Roman"/>
          <w:bCs/>
          <w:color w:val="auto"/>
          <w:sz w:val="32"/>
          <w:szCs w:val="32"/>
          <w:lang w:eastAsia="zh-CN"/>
        </w:rPr>
        <w:t>、</w:t>
      </w:r>
      <w:r>
        <w:rPr>
          <w:rFonts w:hint="eastAsia" w:ascii="Times New Roman" w:hAnsi="Times New Roman" w:eastAsia="楷体_GB2312" w:cs="Times New Roman"/>
          <w:bCs/>
          <w:color w:val="auto"/>
          <w:sz w:val="32"/>
          <w:szCs w:val="32"/>
          <w:lang w:val="en-US" w:eastAsia="zh-CN"/>
        </w:rPr>
        <w:t>市自然资源和规划局</w:t>
      </w:r>
      <w:r>
        <w:rPr>
          <w:rFonts w:ascii="Times New Roman" w:hAnsi="Times New Roman" w:eastAsia="楷体_GB2312" w:cs="Times New Roman"/>
          <w:bCs/>
          <w:color w:val="auto"/>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2.协同推进绿色低碳发展。</w:t>
      </w:r>
      <w:r>
        <w:rPr>
          <w:rFonts w:ascii="Times New Roman" w:hAnsi="Times New Roman" w:eastAsia="仿宋_GB2312" w:cs="Times New Roman"/>
          <w:color w:val="auto"/>
          <w:sz w:val="32"/>
          <w:szCs w:val="32"/>
        </w:rPr>
        <w:t>协同推进诸杭产业绿色低碳转型，推动乡村绿色低碳产业协同发展，打造绿色低碳制造业集群。创新生态价值产业实现路径，开发碳汇扶贫试点项目，运用市场化手段将全市脱贫户的林木资源纳入“森林生态银行”统一经营开发。创新发展生态农业，大力发展生态工业，培育符合地方特色的生态旅游康养产业，实施“花园云”大数据工程。</w:t>
      </w:r>
      <w:r>
        <w:rPr>
          <w:rFonts w:ascii="仿宋_GB2312" w:hAnsi="宋体" w:eastAsia="仿宋_GB2312" w:cs="仿宋_GB2312"/>
          <w:color w:val="auto"/>
          <w:kern w:val="0"/>
          <w:sz w:val="31"/>
          <w:szCs w:val="31"/>
          <w:lang w:val="en-US" w:eastAsia="zh-CN" w:bidi="ar"/>
        </w:rPr>
        <w:t>推广生活垃圾分类处理，</w:t>
      </w:r>
      <w:r>
        <w:rPr>
          <w:rFonts w:hint="eastAsia" w:ascii="仿宋_GB2312" w:hAnsi="宋体" w:eastAsia="仿宋_GB2312" w:cs="仿宋_GB2312"/>
          <w:color w:val="auto"/>
          <w:kern w:val="0"/>
          <w:sz w:val="31"/>
          <w:szCs w:val="31"/>
          <w:lang w:val="en-US" w:eastAsia="zh-CN" w:bidi="ar"/>
        </w:rPr>
        <w:t>争取</w:t>
      </w:r>
      <w:r>
        <w:rPr>
          <w:rFonts w:ascii="仿宋_GB2312" w:hAnsi="宋体" w:eastAsia="仿宋_GB2312" w:cs="仿宋_GB2312"/>
          <w:color w:val="auto"/>
          <w:kern w:val="0"/>
          <w:sz w:val="31"/>
          <w:szCs w:val="31"/>
          <w:lang w:val="en-US" w:eastAsia="zh-CN" w:bidi="ar"/>
        </w:rPr>
        <w:t>“无</w:t>
      </w:r>
      <w:r>
        <w:rPr>
          <w:rFonts w:hint="eastAsia" w:ascii="仿宋_GB2312" w:hAnsi="宋体" w:eastAsia="仿宋_GB2312" w:cs="仿宋_GB2312"/>
          <w:color w:val="auto"/>
          <w:kern w:val="0"/>
          <w:sz w:val="31"/>
          <w:szCs w:val="31"/>
          <w:lang w:val="en-US" w:eastAsia="zh-CN" w:bidi="ar"/>
        </w:rPr>
        <w:t>废城市”试点，推广绿色建筑和装配式建筑，推进新能源汽车动力电池回收利用，开展低碳社区、园区、学校、医院、家庭等建设活动。</w:t>
      </w:r>
      <w:r>
        <w:rPr>
          <w:rFonts w:ascii="Times New Roman" w:hAnsi="Times New Roman" w:eastAsia="楷体_GB2312" w:cs="Times New Roman"/>
          <w:bCs/>
          <w:color w:val="auto"/>
          <w:sz w:val="32"/>
          <w:szCs w:val="32"/>
        </w:rPr>
        <w:t>（责任单位：市</w:t>
      </w:r>
      <w:r>
        <w:rPr>
          <w:rFonts w:hint="eastAsia" w:ascii="Times New Roman" w:hAnsi="Times New Roman" w:eastAsia="楷体_GB2312" w:cs="Times New Roman"/>
          <w:bCs/>
          <w:color w:val="auto"/>
          <w:sz w:val="32"/>
          <w:szCs w:val="32"/>
        </w:rPr>
        <w:t>生态环境分局、市发改局、市金融办、市经信局、市农业农村局、市文广旅游局</w:t>
      </w:r>
      <w:r>
        <w:rPr>
          <w:rFonts w:ascii="Times New Roman" w:hAnsi="Times New Roman" w:eastAsia="楷体_GB2312" w:cs="Times New Roman"/>
          <w:bCs/>
          <w:color w:val="auto"/>
          <w:sz w:val="32"/>
          <w:szCs w:val="32"/>
        </w:rPr>
        <w:t>）</w:t>
      </w:r>
    </w:p>
    <w:p>
      <w:pPr>
        <w:adjustRightInd w:val="0"/>
        <w:snapToGrid w:val="0"/>
        <w:spacing w:line="56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3.协同推进环境综合整治。</w:t>
      </w:r>
      <w:r>
        <w:rPr>
          <w:rFonts w:hint="eastAsia" w:ascii="Times New Roman" w:hAnsi="Times New Roman" w:eastAsia="仿宋_GB2312" w:cs="Times New Roman"/>
          <w:color w:val="auto"/>
          <w:sz w:val="32"/>
          <w:szCs w:val="32"/>
          <w:lang w:val="en-US" w:eastAsia="zh-CN"/>
        </w:rPr>
        <w:t>以</w:t>
      </w:r>
      <w:r>
        <w:rPr>
          <w:rFonts w:hint="eastAsia" w:ascii="Times New Roman" w:hAnsi="Times New Roman" w:eastAsia="仿宋_GB2312" w:cs="Times New Roman"/>
          <w:color w:val="auto"/>
          <w:sz w:val="32"/>
          <w:szCs w:val="32"/>
        </w:rPr>
        <w:t>萧南</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诸北板块为</w:t>
      </w:r>
      <w:r>
        <w:rPr>
          <w:rFonts w:hint="eastAsia" w:ascii="Times New Roman" w:hAnsi="Times New Roman" w:eastAsia="仿宋_GB2312" w:cs="Times New Roman"/>
          <w:color w:val="auto"/>
          <w:sz w:val="32"/>
          <w:szCs w:val="32"/>
          <w:lang w:val="en-US" w:eastAsia="zh-CN"/>
        </w:rPr>
        <w:t>重点</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协同开展浦阳江</w:t>
      </w:r>
      <w:r>
        <w:rPr>
          <w:rFonts w:hint="eastAsia" w:ascii="Times New Roman" w:hAnsi="Times New Roman" w:eastAsia="仿宋_GB2312" w:cs="Times New Roman"/>
          <w:color w:val="auto"/>
          <w:sz w:val="32"/>
          <w:szCs w:val="32"/>
        </w:rPr>
        <w:t>综合治理工程，</w:t>
      </w:r>
      <w:r>
        <w:rPr>
          <w:rFonts w:hint="eastAsia" w:ascii="Times New Roman" w:hAnsi="Times New Roman" w:eastAsia="仿宋_GB2312" w:cs="Times New Roman"/>
          <w:color w:val="auto"/>
          <w:sz w:val="32"/>
          <w:szCs w:val="32"/>
          <w:lang w:val="en-US" w:eastAsia="zh-CN"/>
        </w:rPr>
        <w:t>推进</w:t>
      </w:r>
      <w:r>
        <w:rPr>
          <w:rFonts w:hint="eastAsia" w:ascii="Times New Roman" w:hAnsi="Times New Roman" w:eastAsia="仿宋_GB2312" w:cs="Times New Roman"/>
          <w:color w:val="auto"/>
          <w:sz w:val="32"/>
          <w:szCs w:val="32"/>
        </w:rPr>
        <w:t>诸暨</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萧山浦阳江流域横向生态补偿</w:t>
      </w:r>
      <w:r>
        <w:rPr>
          <w:rFonts w:hint="eastAsia" w:ascii="Times New Roman" w:hAnsi="Times New Roman" w:eastAsia="仿宋_GB2312" w:cs="Times New Roman"/>
          <w:color w:val="auto"/>
          <w:sz w:val="32"/>
          <w:szCs w:val="32"/>
          <w:lang w:val="en-US" w:eastAsia="zh-CN"/>
        </w:rPr>
        <w:t>协议。</w:t>
      </w:r>
      <w:r>
        <w:rPr>
          <w:rFonts w:ascii="Times New Roman" w:hAnsi="Times New Roman" w:eastAsia="仿宋_GB2312" w:cs="Times New Roman"/>
          <w:color w:val="auto"/>
          <w:sz w:val="32"/>
          <w:szCs w:val="32"/>
        </w:rPr>
        <w:t>积极参与环杭州湾区域大气污染防治协作，加强与周边县市的大气污染联防联控，强化重污染天气预警和应对。到2025年，全面消除重污染天气，空气质量优良天数比率达到90%以上。开展“幸福河湖”建设，加快建设生态环保大数据平台，</w:t>
      </w:r>
      <w:r>
        <w:rPr>
          <w:rFonts w:hint="eastAsia" w:ascii="Times New Roman" w:hAnsi="Times New Roman" w:eastAsia="仿宋_GB2312" w:cs="Times New Roman"/>
          <w:color w:val="auto"/>
          <w:sz w:val="32"/>
          <w:szCs w:val="32"/>
          <w:lang w:val="en-US" w:eastAsia="zh-CN"/>
        </w:rPr>
        <w:t>深化</w:t>
      </w:r>
      <w:r>
        <w:rPr>
          <w:rFonts w:ascii="Times New Roman" w:hAnsi="Times New Roman" w:eastAsia="仿宋_GB2312" w:cs="Times New Roman"/>
          <w:color w:val="auto"/>
          <w:sz w:val="32"/>
          <w:szCs w:val="32"/>
        </w:rPr>
        <w:t>与杭州生态环保领域</w:t>
      </w:r>
      <w:r>
        <w:rPr>
          <w:rFonts w:hint="eastAsia" w:ascii="Times New Roman" w:hAnsi="Times New Roman" w:eastAsia="仿宋_GB2312" w:cs="Times New Roman"/>
          <w:color w:val="auto"/>
          <w:sz w:val="32"/>
          <w:szCs w:val="32"/>
          <w:lang w:val="en-US" w:eastAsia="zh-CN"/>
        </w:rPr>
        <w:t>科技创新合作</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强化环境监测、基层环保执法、机动车污染防治、环境风险管控等能力建设。</w:t>
      </w:r>
      <w:r>
        <w:rPr>
          <w:rFonts w:ascii="Times New Roman" w:hAnsi="Times New Roman" w:eastAsia="楷体_GB2312" w:cs="Times New Roman"/>
          <w:bCs/>
          <w:color w:val="auto"/>
          <w:sz w:val="32"/>
          <w:szCs w:val="32"/>
        </w:rPr>
        <w:t>（责任单位：市</w:t>
      </w:r>
      <w:r>
        <w:rPr>
          <w:rFonts w:hint="eastAsia" w:ascii="Times New Roman" w:hAnsi="Times New Roman" w:eastAsia="楷体_GB2312" w:cs="Times New Roman"/>
          <w:bCs/>
          <w:color w:val="auto"/>
          <w:sz w:val="32"/>
          <w:szCs w:val="32"/>
        </w:rPr>
        <w:t>生态环境分局</w:t>
      </w:r>
      <w:r>
        <w:rPr>
          <w:rFonts w:ascii="Times New Roman" w:hAnsi="Times New Roman" w:eastAsia="楷体_GB2312" w:cs="Times New Roman"/>
          <w:bCs/>
          <w:color w:val="auto"/>
          <w:sz w:val="32"/>
          <w:szCs w:val="32"/>
        </w:rPr>
        <w:t>）</w:t>
      </w:r>
    </w:p>
    <w:p>
      <w:pPr>
        <w:pStyle w:val="4"/>
        <w:bidi w:val="0"/>
        <w:rPr>
          <w:color w:val="auto"/>
        </w:rPr>
      </w:pPr>
      <w:bookmarkStart w:id="22" w:name="_Toc27891"/>
      <w:r>
        <w:rPr>
          <w:rFonts w:hint="eastAsia"/>
          <w:color w:val="auto"/>
          <w:lang w:val="en-US" w:eastAsia="zh-CN"/>
        </w:rPr>
        <w:t>四</w:t>
      </w:r>
      <w:r>
        <w:rPr>
          <w:color w:val="auto"/>
        </w:rPr>
        <w:t>、保障措施</w:t>
      </w:r>
      <w:bookmarkEnd w:id="22"/>
    </w:p>
    <w:p>
      <w:pPr>
        <w:pStyle w:val="5"/>
        <w:bidi w:val="0"/>
        <w:rPr>
          <w:color w:val="auto"/>
        </w:rPr>
      </w:pPr>
      <w:bookmarkStart w:id="23" w:name="_Toc4964"/>
      <w:r>
        <w:rPr>
          <w:color w:val="auto"/>
        </w:rPr>
        <w:t>（一）加强组织领导</w:t>
      </w:r>
      <w:bookmarkEnd w:id="23"/>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全面加强市“与杭同城”推进工作委员会在各项工作中的统筹推进力度，由市委主职领导担任委员会主任，各分管市领导负责上述“六大行动”推进组，全方位、多维度协调推进各项融杭工作开展。设置“交通规划、产业对接、服务互动”三个督查小组，围绕重点任务、重点活动、重</w:t>
      </w:r>
      <w:r>
        <w:rPr>
          <w:rFonts w:ascii="Times New Roman" w:hAnsi="Times New Roman" w:eastAsia="仿宋_GB2312" w:cs="Times New Roman"/>
          <w:color w:val="auto"/>
          <w:sz w:val="32"/>
          <w:szCs w:val="32"/>
        </w:rPr>
        <w:t>要节点，每月开展重点工作督查</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每年开展计划落实评估</w:t>
      </w:r>
      <w:r>
        <w:rPr>
          <w:rFonts w:ascii="Times New Roman" w:hAnsi="Times New Roman" w:eastAsia="仿宋_GB2312" w:cs="Times New Roman"/>
          <w:color w:val="auto"/>
          <w:sz w:val="32"/>
          <w:szCs w:val="32"/>
        </w:rPr>
        <w:t>。</w:t>
      </w:r>
    </w:p>
    <w:p>
      <w:pPr>
        <w:pStyle w:val="5"/>
        <w:bidi w:val="0"/>
        <w:rPr>
          <w:color w:val="auto"/>
        </w:rPr>
      </w:pPr>
      <w:bookmarkStart w:id="24" w:name="_Toc24552"/>
      <w:r>
        <w:rPr>
          <w:color w:val="auto"/>
        </w:rPr>
        <w:t>（二）推进机制创新</w:t>
      </w:r>
      <w:bookmarkEnd w:id="24"/>
    </w:p>
    <w:p>
      <w:pPr>
        <w:spacing w:line="560" w:lineRule="exact"/>
        <w:ind w:firstLine="640" w:firstLineChars="200"/>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探索建立跨区域协调管理机制，推动跨区域要素流动、设施共建、环境共治和公共服务同城化共享，建立健全成本共担、利益共享机制，开展跨区域土地指标、利税分成等方面机制创新。</w:t>
      </w:r>
      <w:r>
        <w:rPr>
          <w:rFonts w:hint="eastAsia" w:ascii="Times New Roman" w:hAnsi="Times New Roman" w:eastAsia="仿宋_GB2312" w:cs="Times New Roman"/>
          <w:color w:val="auto"/>
          <w:sz w:val="32"/>
          <w:szCs w:val="32"/>
          <w:lang w:val="en-US" w:eastAsia="zh-CN"/>
        </w:rPr>
        <w:t>深化</w:t>
      </w:r>
      <w:r>
        <w:rPr>
          <w:rFonts w:hint="eastAsia" w:ascii="Times New Roman" w:hAnsi="Times New Roman" w:eastAsia="仿宋_GB2312" w:cs="Times New Roman"/>
          <w:color w:val="auto"/>
          <w:sz w:val="32"/>
          <w:szCs w:val="32"/>
          <w:lang w:eastAsia="zh-CN"/>
        </w:rPr>
        <w:t>诸杭两地职能部门对接交流，搭建干部互访交流常态化机制，选派优秀年轻干部赴杭跟岗学习，不断增进两地干部互动交流。</w:t>
      </w:r>
    </w:p>
    <w:p>
      <w:pPr>
        <w:pStyle w:val="5"/>
        <w:bidi w:val="0"/>
        <w:rPr>
          <w:color w:val="auto"/>
        </w:rPr>
      </w:pPr>
      <w:bookmarkStart w:id="25" w:name="_Toc32263"/>
      <w:r>
        <w:rPr>
          <w:color w:val="auto"/>
        </w:rPr>
        <w:t>（三）强化要素支撑</w:t>
      </w:r>
      <w:bookmarkEnd w:id="25"/>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优先保障“杭绍同城”相关项目用地需求，</w:t>
      </w:r>
      <w:r>
        <w:rPr>
          <w:rFonts w:hint="eastAsia" w:ascii="Times New Roman" w:hAnsi="Times New Roman" w:eastAsia="仿宋_GB2312" w:cs="Times New Roman"/>
          <w:color w:val="auto"/>
          <w:sz w:val="32"/>
          <w:szCs w:val="32"/>
          <w:lang w:val="en-US" w:eastAsia="zh-CN"/>
        </w:rPr>
        <w:t>积极</w:t>
      </w:r>
      <w:r>
        <w:rPr>
          <w:rFonts w:ascii="Times New Roman" w:hAnsi="Times New Roman" w:eastAsia="仿宋_GB2312" w:cs="Times New Roman"/>
          <w:color w:val="auto"/>
          <w:sz w:val="32"/>
          <w:szCs w:val="32"/>
        </w:rPr>
        <w:t>落实项目空间、场地建设、资金配套</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能耗环保指标</w:t>
      </w:r>
      <w:r>
        <w:rPr>
          <w:rFonts w:ascii="Times New Roman" w:hAnsi="Times New Roman" w:eastAsia="仿宋_GB2312" w:cs="Times New Roman"/>
          <w:color w:val="auto"/>
          <w:sz w:val="32"/>
          <w:szCs w:val="32"/>
        </w:rPr>
        <w:t>等各类要素。</w:t>
      </w:r>
      <w:r>
        <w:rPr>
          <w:rFonts w:ascii="Times New Roman" w:hAnsi="Times New Roman" w:eastAsia="仿宋_GB2312" w:cs="Times New Roman"/>
          <w:color w:val="auto"/>
          <w:sz w:val="32"/>
          <w:szCs w:val="32"/>
        </w:rPr>
        <w:t>推进创新要素加快流动，加强科技、人才、资本等要素集聚效应，探索产业飞地、创新飞地、人才飞地等要素高效利用模式</w:t>
      </w:r>
      <w:r>
        <w:rPr>
          <w:rFonts w:ascii="Times New Roman" w:hAnsi="Times New Roman" w:eastAsia="仿宋_GB2312" w:cs="Times New Roman"/>
          <w:color w:val="auto"/>
          <w:sz w:val="32"/>
          <w:szCs w:val="32"/>
        </w:rPr>
        <w:t>。鼓励乡镇部门深化“微改革、微创新”举措，发动全社会力量参与</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杭绍</w:t>
      </w:r>
      <w:r>
        <w:rPr>
          <w:rFonts w:ascii="Times New Roman" w:hAnsi="Times New Roman" w:eastAsia="仿宋_GB2312" w:cs="Times New Roman"/>
          <w:color w:val="auto"/>
          <w:sz w:val="32"/>
          <w:szCs w:val="32"/>
        </w:rPr>
        <w:t>同城</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建设。</w:t>
      </w:r>
    </w:p>
    <w:p>
      <w:pPr>
        <w:pStyle w:val="5"/>
        <w:bidi w:val="0"/>
        <w:rPr>
          <w:color w:val="auto"/>
        </w:rPr>
      </w:pPr>
      <w:bookmarkStart w:id="26" w:name="_Toc3864"/>
      <w:r>
        <w:rPr>
          <w:color w:val="auto"/>
        </w:rPr>
        <w:t>（四）营造发展环境</w:t>
      </w:r>
      <w:bookmarkEnd w:id="26"/>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对照《诸暨市“杭绍同城”三年行动计划（2023-2025年）》，明确年度目标任务、各部门工作任务重点。面向社会大力开展“杭绍同城”工作宣传，创新宣传模式，全方位、多形式、立体化宣传“杭绍同城”工作经验和亮点成效，提高社会知晓度和民众参与度。加强诸杭宣传互动，通过</w:t>
      </w:r>
      <w:r>
        <w:rPr>
          <w:rFonts w:ascii="Times New Roman" w:hAnsi="Times New Roman" w:eastAsia="仿宋_GB2312" w:cs="Times New Roman"/>
          <w:color w:val="auto"/>
          <w:sz w:val="32"/>
          <w:szCs w:val="32"/>
        </w:rPr>
        <w:t>举办各类专题论坛、民间活动等营造同城发展的良好社会效应。</w:t>
      </w:r>
    </w:p>
    <w:p>
      <w:pPr>
        <w:spacing w:line="560" w:lineRule="exact"/>
        <w:ind w:firstLine="640" w:firstLineChars="200"/>
        <w:outlineLvl w:val="0"/>
        <w:rPr>
          <w:rFonts w:ascii="Times New Roman" w:hAnsi="Times New Roman" w:eastAsia="黑体" w:cs="Times New Roman"/>
          <w:color w:val="auto"/>
          <w:sz w:val="32"/>
          <w:szCs w:val="32"/>
        </w:rPr>
      </w:pPr>
      <w:bookmarkStart w:id="27" w:name="_Toc30278"/>
      <w:r>
        <w:rPr>
          <w:rFonts w:ascii="Times New Roman" w:hAnsi="Times New Roman" w:eastAsia="黑体" w:cs="Times New Roman"/>
          <w:color w:val="auto"/>
          <w:sz w:val="32"/>
          <w:szCs w:val="32"/>
        </w:rPr>
        <w:t>附件1、诸暨市“杭绍同城”</w:t>
      </w:r>
      <w:r>
        <w:rPr>
          <w:rFonts w:hint="eastAsia" w:ascii="Times New Roman" w:hAnsi="Times New Roman" w:eastAsia="黑体" w:cs="Times New Roman"/>
          <w:color w:val="auto"/>
          <w:sz w:val="32"/>
          <w:szCs w:val="32"/>
          <w:lang w:val="en-US" w:eastAsia="zh-CN"/>
        </w:rPr>
        <w:t>三年</w:t>
      </w:r>
      <w:r>
        <w:rPr>
          <w:rFonts w:ascii="Times New Roman" w:hAnsi="Times New Roman" w:eastAsia="黑体" w:cs="Times New Roman"/>
          <w:color w:val="auto"/>
          <w:sz w:val="32"/>
          <w:szCs w:val="32"/>
        </w:rPr>
        <w:t>行动计划（2023-2025）重点任务分解表</w:t>
      </w:r>
      <w:bookmarkEnd w:id="27"/>
    </w:p>
    <w:p>
      <w:pPr>
        <w:spacing w:line="560" w:lineRule="exact"/>
        <w:ind w:firstLine="640" w:firstLineChars="200"/>
        <w:outlineLvl w:val="0"/>
        <w:rPr>
          <w:rFonts w:ascii="Times New Roman" w:hAnsi="Times New Roman" w:eastAsia="黑体" w:cs="Times New Roman"/>
          <w:color w:val="auto"/>
          <w:sz w:val="32"/>
          <w:szCs w:val="32"/>
        </w:rPr>
      </w:pPr>
      <w:bookmarkStart w:id="28" w:name="_Toc7048"/>
      <w:r>
        <w:rPr>
          <w:rFonts w:ascii="Times New Roman" w:hAnsi="Times New Roman" w:eastAsia="黑体" w:cs="Times New Roman"/>
          <w:color w:val="auto"/>
          <w:sz w:val="32"/>
          <w:szCs w:val="32"/>
        </w:rPr>
        <w:t>附件2、诸暨市“杭绍同城”</w:t>
      </w:r>
      <w:r>
        <w:rPr>
          <w:rFonts w:hint="eastAsia" w:ascii="Times New Roman" w:hAnsi="Times New Roman" w:eastAsia="黑体" w:cs="Times New Roman"/>
          <w:color w:val="auto"/>
          <w:sz w:val="32"/>
          <w:szCs w:val="32"/>
          <w:lang w:val="en-US" w:eastAsia="zh-CN"/>
        </w:rPr>
        <w:t>三年</w:t>
      </w:r>
      <w:r>
        <w:rPr>
          <w:rFonts w:ascii="Times New Roman" w:hAnsi="Times New Roman" w:eastAsia="黑体" w:cs="Times New Roman"/>
          <w:color w:val="auto"/>
          <w:sz w:val="32"/>
          <w:szCs w:val="32"/>
        </w:rPr>
        <w:t>行动计划（2023-2025）重点项目建设表</w:t>
      </w:r>
      <w:bookmarkEnd w:id="28"/>
    </w:p>
    <w:p>
      <w:pPr>
        <w:rPr>
          <w:rFonts w:ascii="Times New Roman" w:hAnsi="Times New Roman" w:eastAsia="黑体" w:cs="Times New Roman"/>
          <w:color w:val="auto"/>
          <w:sz w:val="32"/>
          <w:szCs w:val="32"/>
        </w:rPr>
      </w:pPr>
    </w:p>
    <w:p>
      <w:pPr>
        <w:pStyle w:val="2"/>
        <w:rPr>
          <w:rFonts w:ascii="Times New Roman" w:hAnsi="Times New Roman" w:eastAsia="黑体" w:cs="Times New Roman"/>
          <w:color w:val="auto"/>
          <w:sz w:val="32"/>
          <w:szCs w:val="32"/>
        </w:rPr>
        <w:sectPr>
          <w:footerReference r:id="rId4" w:type="default"/>
          <w:pgSz w:w="11906" w:h="16838"/>
          <w:pgMar w:top="1440" w:right="1800" w:bottom="1440" w:left="1800" w:header="851" w:footer="992" w:gutter="0"/>
          <w:pgNumType w:fmt="numberInDash" w:start="1"/>
          <w:cols w:space="425" w:num="1"/>
          <w:docGrid w:type="lines" w:linePitch="312" w:charSpace="0"/>
        </w:sectPr>
      </w:pPr>
    </w:p>
    <w:p>
      <w:pPr>
        <w:spacing w:line="560" w:lineRule="exact"/>
        <w:outlineLvl w:val="0"/>
        <w:rPr>
          <w:rFonts w:ascii="Times New Roman" w:hAnsi="Times New Roman" w:eastAsia="黑体" w:cs="Times New Roman"/>
          <w:color w:val="auto"/>
          <w:sz w:val="32"/>
          <w:szCs w:val="32"/>
        </w:rPr>
      </w:pPr>
      <w:bookmarkStart w:id="29" w:name="_Toc23955"/>
      <w:r>
        <w:rPr>
          <w:rFonts w:ascii="Times New Roman" w:hAnsi="Times New Roman" w:eastAsia="黑体" w:cs="Times New Roman"/>
          <w:color w:val="auto"/>
          <w:sz w:val="32"/>
          <w:szCs w:val="32"/>
        </w:rPr>
        <w:t>附件1</w:t>
      </w:r>
      <w:bookmarkEnd w:id="29"/>
    </w:p>
    <w:p>
      <w:pPr>
        <w:pStyle w:val="4"/>
        <w:bidi w:val="0"/>
        <w:ind w:left="0" w:leftChars="0" w:firstLine="0" w:firstLineChars="0"/>
        <w:jc w:val="center"/>
        <w:rPr>
          <w:color w:val="auto"/>
        </w:rPr>
      </w:pPr>
      <w:bookmarkStart w:id="30" w:name="_Toc31603"/>
      <w:r>
        <w:rPr>
          <w:color w:val="auto"/>
        </w:rPr>
        <w:t>诸暨市“杭绍同城”</w:t>
      </w:r>
      <w:r>
        <w:rPr>
          <w:rFonts w:hint="eastAsia"/>
          <w:color w:val="auto"/>
          <w:lang w:val="en-US" w:eastAsia="zh-CN"/>
        </w:rPr>
        <w:t>三年</w:t>
      </w:r>
      <w:r>
        <w:rPr>
          <w:color w:val="auto"/>
        </w:rPr>
        <w:t>行动计划（2023-2025）重点任务分解表</w:t>
      </w:r>
      <w:bookmarkEnd w:id="30"/>
    </w:p>
    <w:tbl>
      <w:tblPr>
        <w:tblStyle w:val="11"/>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1786"/>
        <w:gridCol w:w="9040"/>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ascii="Times New Roman" w:hAnsi="Times New Roman" w:eastAsia="仿宋_GB2312" w:cs="Times New Roman"/>
                <w:color w:val="auto"/>
                <w:sz w:val="24"/>
                <w:lang w:bidi="zh-CN"/>
              </w:rPr>
            </w:pPr>
            <w:r>
              <w:rPr>
                <w:rFonts w:ascii="Times New Roman" w:hAnsi="Times New Roman" w:eastAsia="仿宋_GB2312" w:cs="Times New Roman"/>
                <w:b/>
                <w:bCs/>
                <w:color w:val="auto"/>
                <w:sz w:val="24"/>
                <w:lang w:bidi="zh-CN"/>
              </w:rPr>
              <w:t>序号</w:t>
            </w:r>
          </w:p>
        </w:tc>
        <w:tc>
          <w:tcPr>
            <w:tcW w:w="1786" w:type="dxa"/>
          </w:tcPr>
          <w:p>
            <w:pPr>
              <w:jc w:val="center"/>
              <w:rPr>
                <w:rFonts w:ascii="Times New Roman" w:hAnsi="Times New Roman" w:eastAsia="仿宋_GB2312" w:cs="Times New Roman"/>
                <w:b/>
                <w:bCs/>
                <w:color w:val="auto"/>
                <w:sz w:val="24"/>
                <w:lang w:bidi="zh-CN"/>
              </w:rPr>
            </w:pPr>
            <w:r>
              <w:rPr>
                <w:rFonts w:ascii="Times New Roman" w:hAnsi="Times New Roman" w:eastAsia="仿宋_GB2312" w:cs="Times New Roman"/>
                <w:b/>
                <w:bCs/>
                <w:color w:val="auto"/>
                <w:sz w:val="24"/>
                <w:lang w:bidi="zh-CN"/>
              </w:rPr>
              <w:t>行动领域</w:t>
            </w:r>
          </w:p>
        </w:tc>
        <w:tc>
          <w:tcPr>
            <w:tcW w:w="9040" w:type="dxa"/>
          </w:tcPr>
          <w:p>
            <w:pPr>
              <w:jc w:val="center"/>
              <w:rPr>
                <w:rFonts w:ascii="Times New Roman" w:hAnsi="Times New Roman" w:eastAsia="仿宋_GB2312" w:cs="Times New Roman"/>
                <w:b/>
                <w:bCs/>
                <w:color w:val="auto"/>
                <w:sz w:val="24"/>
                <w:lang w:bidi="zh-CN"/>
              </w:rPr>
            </w:pPr>
            <w:r>
              <w:rPr>
                <w:rFonts w:ascii="Times New Roman" w:hAnsi="Times New Roman" w:eastAsia="仿宋_GB2312" w:cs="Times New Roman"/>
                <w:b/>
                <w:bCs/>
                <w:color w:val="auto"/>
                <w:sz w:val="24"/>
                <w:lang w:bidi="zh-CN"/>
              </w:rPr>
              <w:t>重点工作</w:t>
            </w:r>
          </w:p>
        </w:tc>
        <w:tc>
          <w:tcPr>
            <w:tcW w:w="2327" w:type="dxa"/>
          </w:tcPr>
          <w:p>
            <w:pPr>
              <w:jc w:val="center"/>
              <w:rPr>
                <w:rFonts w:ascii="Times New Roman" w:hAnsi="Times New Roman" w:eastAsia="仿宋_GB2312" w:cs="Times New Roman"/>
                <w:b/>
                <w:bCs/>
                <w:color w:val="auto"/>
                <w:sz w:val="24"/>
                <w:lang w:bidi="zh-CN"/>
              </w:rPr>
            </w:pPr>
            <w:r>
              <w:rPr>
                <w:rFonts w:ascii="Times New Roman" w:hAnsi="Times New Roman" w:eastAsia="仿宋_GB2312" w:cs="Times New Roman"/>
                <w:b/>
                <w:bCs/>
                <w:color w:val="auto"/>
                <w:sz w:val="24"/>
                <w:lang w:bidi="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ascii="Times New Roman" w:hAnsi="Times New Roman" w:eastAsia="仿宋_GB2312" w:cs="Times New Roman"/>
                <w:color w:val="auto"/>
                <w:sz w:val="24"/>
                <w:lang w:bidi="zh-CN"/>
              </w:rPr>
            </w:pPr>
            <w:r>
              <w:rPr>
                <w:rFonts w:ascii="Times New Roman" w:hAnsi="Times New Roman" w:eastAsia="仿宋_GB2312" w:cs="Times New Roman"/>
                <w:color w:val="auto"/>
                <w:sz w:val="24"/>
                <w:lang w:bidi="zh-CN"/>
              </w:rPr>
              <w:t>1</w:t>
            </w:r>
          </w:p>
        </w:tc>
        <w:tc>
          <w:tcPr>
            <w:tcW w:w="1786" w:type="dxa"/>
            <w:vMerge w:val="restart"/>
            <w:vAlign w:val="center"/>
          </w:tcPr>
          <w:p>
            <w:pPr>
              <w:jc w:val="center"/>
              <w:rPr>
                <w:rFonts w:ascii="Times New Roman" w:hAnsi="Times New Roman" w:eastAsia="仿宋_GB2312" w:cs="Times New Roman"/>
                <w:b/>
                <w:bCs/>
                <w:color w:val="auto"/>
                <w:sz w:val="24"/>
                <w:lang w:bidi="zh-CN"/>
              </w:rPr>
            </w:pPr>
            <w:r>
              <w:rPr>
                <w:rFonts w:ascii="Times New Roman" w:hAnsi="Times New Roman" w:eastAsia="仿宋_GB2312" w:cs="Times New Roman"/>
                <w:b/>
                <w:bCs/>
                <w:color w:val="auto"/>
                <w:sz w:val="24"/>
                <w:lang w:bidi="zh-CN"/>
              </w:rPr>
              <w:t>交通互通</w:t>
            </w:r>
            <w:r>
              <w:rPr>
                <w:rFonts w:hint="eastAsia" w:ascii="Times New Roman" w:hAnsi="Times New Roman" w:eastAsia="仿宋_GB2312" w:cs="Times New Roman"/>
                <w:b/>
                <w:bCs/>
                <w:color w:val="auto"/>
                <w:sz w:val="24"/>
                <w:lang w:val="en-US" w:bidi="zh-CN"/>
              </w:rPr>
              <w:t>共网</w:t>
            </w:r>
            <w:r>
              <w:rPr>
                <w:rFonts w:ascii="Times New Roman" w:hAnsi="Times New Roman" w:eastAsia="仿宋_GB2312" w:cs="Times New Roman"/>
                <w:b/>
                <w:bCs/>
                <w:color w:val="auto"/>
                <w:sz w:val="24"/>
                <w:lang w:bidi="zh-CN"/>
              </w:rPr>
              <w:t>提速行动</w:t>
            </w:r>
          </w:p>
        </w:tc>
        <w:tc>
          <w:tcPr>
            <w:tcW w:w="9040" w:type="dxa"/>
            <w:vAlign w:val="center"/>
          </w:tcPr>
          <w:p>
            <w:pPr>
              <w:jc w:val="left"/>
              <w:rPr>
                <w:rFonts w:hint="eastAsia"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val="en-US" w:bidi="zh-CN"/>
              </w:rPr>
              <w:t>推进</w:t>
            </w:r>
            <w:r>
              <w:rPr>
                <w:rFonts w:hint="eastAsia" w:ascii="Times New Roman" w:hAnsi="Times New Roman" w:eastAsia="仿宋_GB2312" w:cs="Times New Roman"/>
                <w:color w:val="auto"/>
                <w:sz w:val="24"/>
                <w:lang w:bidi="zh-CN"/>
              </w:rPr>
              <w:t>诸暨站综合枢纽化改造、沪昆通道运能提升工程，提升铁路客货运服务能力。加快前期谋划，争取杭诸市域铁路项目调整进入近期规划。</w:t>
            </w:r>
          </w:p>
        </w:tc>
        <w:tc>
          <w:tcPr>
            <w:tcW w:w="2327" w:type="dxa"/>
            <w:vAlign w:val="center"/>
          </w:tcPr>
          <w:p>
            <w:pPr>
              <w:jc w:val="center"/>
              <w:rPr>
                <w:rFonts w:hint="eastAsia"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市交通运输局、</w:t>
            </w:r>
            <w:r>
              <w:rPr>
                <w:rFonts w:hint="eastAsia" w:ascii="Times New Roman" w:hAnsi="Times New Roman" w:eastAsia="仿宋_GB2312" w:cs="Times New Roman"/>
                <w:color w:val="auto"/>
                <w:sz w:val="24"/>
                <w:lang w:val="en-US" w:bidi="zh-CN"/>
              </w:rPr>
              <w:t>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ascii="Times New Roman" w:hAnsi="Times New Roman" w:eastAsia="仿宋_GB2312" w:cs="Times New Roman"/>
                <w:color w:val="auto"/>
                <w:sz w:val="24"/>
                <w:lang w:bidi="zh-CN"/>
              </w:rPr>
            </w:pPr>
            <w:r>
              <w:rPr>
                <w:rFonts w:ascii="Times New Roman" w:hAnsi="Times New Roman" w:eastAsia="仿宋_GB2312" w:cs="Times New Roman"/>
                <w:color w:val="auto"/>
                <w:sz w:val="24"/>
                <w:lang w:bidi="zh-CN"/>
              </w:rPr>
              <w:t>2</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left"/>
              <w:rPr>
                <w:rFonts w:hint="eastAsia"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实施柯诸高速诸暨段、诸永高速公路诸暨直埠至街亭枢纽段改扩建工程、</w:t>
            </w:r>
            <w:r>
              <w:rPr>
                <w:rFonts w:hint="eastAsia" w:ascii="Times New Roman" w:hAnsi="Times New Roman" w:eastAsia="仿宋_GB2312" w:cs="Times New Roman"/>
                <w:color w:val="auto"/>
                <w:sz w:val="24"/>
                <w:lang w:val="en-US" w:bidi="zh-CN"/>
              </w:rPr>
              <w:t>合温高速诸暨段</w:t>
            </w:r>
            <w:r>
              <w:rPr>
                <w:rFonts w:hint="eastAsia" w:ascii="Times New Roman" w:hAnsi="Times New Roman" w:eastAsia="仿宋_GB2312" w:cs="Times New Roman"/>
                <w:color w:val="auto"/>
                <w:sz w:val="24"/>
                <w:lang w:bidi="zh-CN"/>
              </w:rPr>
              <w:t>。</w:t>
            </w:r>
            <w:r>
              <w:rPr>
                <w:rFonts w:hint="eastAsia" w:ascii="Times New Roman" w:hAnsi="Times New Roman" w:eastAsia="仿宋_GB2312" w:cs="Times New Roman"/>
                <w:color w:val="auto"/>
                <w:sz w:val="24"/>
                <w:lang w:val="en-US" w:bidi="zh-CN"/>
              </w:rPr>
              <w:t>构建</w:t>
            </w:r>
            <w:r>
              <w:rPr>
                <w:rFonts w:hint="eastAsia" w:ascii="Times New Roman" w:hAnsi="Times New Roman" w:eastAsia="仿宋_GB2312" w:cs="Times New Roman"/>
                <w:color w:val="auto"/>
                <w:sz w:val="24"/>
                <w:lang w:bidi="zh-CN"/>
              </w:rPr>
              <w:t>G235国道—时代大道、S217（03省道东复线）—通城大道快速路、</w:t>
            </w:r>
            <w:r>
              <w:rPr>
                <w:rFonts w:hint="eastAsia" w:ascii="Times New Roman" w:hAnsi="Times New Roman" w:eastAsia="仿宋_GB2312" w:cs="Times New Roman"/>
                <w:color w:val="auto"/>
                <w:sz w:val="24"/>
                <w:lang w:val="en-US" w:bidi="zh-CN"/>
              </w:rPr>
              <w:t>诸暨至萧山浦阳公路</w:t>
            </w:r>
            <w:r>
              <w:rPr>
                <w:rFonts w:hint="eastAsia" w:ascii="Times New Roman" w:hAnsi="Times New Roman" w:eastAsia="仿宋_GB2312" w:cs="Times New Roman"/>
                <w:color w:val="auto"/>
                <w:sz w:val="24"/>
                <w:lang w:bidi="zh-CN"/>
              </w:rPr>
              <w:t>—临浦快速路—风情大道等“</w:t>
            </w:r>
            <w:r>
              <w:rPr>
                <w:rFonts w:hint="eastAsia" w:ascii="Times New Roman" w:hAnsi="Times New Roman" w:eastAsia="仿宋_GB2312" w:cs="Times New Roman"/>
                <w:color w:val="auto"/>
                <w:sz w:val="24"/>
                <w:lang w:val="en-US" w:bidi="zh-CN"/>
              </w:rPr>
              <w:t>融杭</w:t>
            </w:r>
            <w:r>
              <w:rPr>
                <w:rFonts w:hint="eastAsia" w:ascii="Times New Roman" w:hAnsi="Times New Roman" w:eastAsia="仿宋_GB2312" w:cs="Times New Roman"/>
                <w:color w:val="auto"/>
                <w:sz w:val="24"/>
                <w:lang w:bidi="zh-CN"/>
              </w:rPr>
              <w:t>”</w:t>
            </w:r>
            <w:r>
              <w:rPr>
                <w:rFonts w:hint="eastAsia" w:ascii="Times New Roman" w:hAnsi="Times New Roman" w:eastAsia="仿宋_GB2312" w:cs="Times New Roman"/>
                <w:color w:val="auto"/>
                <w:sz w:val="24"/>
                <w:lang w:val="en-US" w:bidi="zh-CN"/>
              </w:rPr>
              <w:t>快速通道</w:t>
            </w:r>
            <w:r>
              <w:rPr>
                <w:rFonts w:hint="eastAsia" w:ascii="Times New Roman" w:hAnsi="Times New Roman" w:eastAsia="仿宋_GB2312" w:cs="Times New Roman"/>
                <w:color w:val="auto"/>
                <w:sz w:val="24"/>
                <w:lang w:bidi="zh-CN"/>
              </w:rPr>
              <w:t>，进一步打通临杭交通瓶颈，</w:t>
            </w:r>
            <w:r>
              <w:rPr>
                <w:rFonts w:hint="eastAsia" w:ascii="Times New Roman" w:hAnsi="Times New Roman" w:eastAsia="仿宋_GB2312" w:cs="Times New Roman"/>
                <w:color w:val="auto"/>
                <w:sz w:val="24"/>
                <w:lang w:val="en-US" w:bidi="zh-CN"/>
              </w:rPr>
              <w:t>基本</w:t>
            </w:r>
            <w:r>
              <w:rPr>
                <w:rFonts w:hint="eastAsia" w:ascii="Times New Roman" w:hAnsi="Times New Roman" w:eastAsia="仿宋_GB2312" w:cs="Times New Roman"/>
                <w:color w:val="auto"/>
                <w:sz w:val="24"/>
                <w:lang w:bidi="zh-CN"/>
              </w:rPr>
              <w:t>形成“</w:t>
            </w:r>
            <w:r>
              <w:rPr>
                <w:rFonts w:hint="eastAsia" w:ascii="Times New Roman" w:hAnsi="Times New Roman" w:eastAsia="仿宋_GB2312" w:cs="Times New Roman"/>
                <w:color w:val="auto"/>
                <w:sz w:val="24"/>
                <w:lang w:val="en-US" w:bidi="zh-CN"/>
              </w:rPr>
              <w:t>四</w:t>
            </w:r>
            <w:r>
              <w:rPr>
                <w:rFonts w:hint="eastAsia" w:ascii="Times New Roman" w:hAnsi="Times New Roman" w:eastAsia="仿宋_GB2312" w:cs="Times New Roman"/>
                <w:color w:val="auto"/>
                <w:sz w:val="24"/>
                <w:lang w:bidi="zh-CN"/>
              </w:rPr>
              <w:t>高三快多轨”交通格局。</w:t>
            </w:r>
          </w:p>
        </w:tc>
        <w:tc>
          <w:tcPr>
            <w:tcW w:w="2327" w:type="dxa"/>
            <w:vAlign w:val="center"/>
          </w:tcPr>
          <w:p>
            <w:pPr>
              <w:jc w:val="center"/>
              <w:rPr>
                <w:rFonts w:hint="eastAsia"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市交通运输局、</w:t>
            </w:r>
            <w:r>
              <w:rPr>
                <w:rFonts w:hint="eastAsia" w:ascii="Times New Roman" w:hAnsi="Times New Roman" w:eastAsia="仿宋_GB2312" w:cs="Times New Roman"/>
                <w:color w:val="auto"/>
                <w:sz w:val="24"/>
                <w:lang w:val="en-US" w:bidi="zh-CN"/>
              </w:rPr>
              <w:t>市建设集团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ascii="Times New Roman" w:hAnsi="Times New Roman" w:eastAsia="仿宋_GB2312" w:cs="Times New Roman"/>
                <w:color w:val="auto"/>
                <w:sz w:val="24"/>
                <w:lang w:bidi="zh-CN"/>
              </w:rPr>
            </w:pPr>
            <w:r>
              <w:rPr>
                <w:rFonts w:ascii="Times New Roman" w:hAnsi="Times New Roman" w:eastAsia="仿宋_GB2312" w:cs="Times New Roman"/>
                <w:color w:val="auto"/>
                <w:sz w:val="24"/>
                <w:lang w:bidi="zh-CN"/>
              </w:rPr>
              <w:t>3</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left"/>
              <w:rPr>
                <w:rFonts w:hint="eastAsia"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加快推进城市二环快速化改造、白大线、十诸线等线路建设提升。</w:t>
            </w:r>
          </w:p>
        </w:tc>
        <w:tc>
          <w:tcPr>
            <w:tcW w:w="2327" w:type="dxa"/>
            <w:vAlign w:val="center"/>
          </w:tcPr>
          <w:p>
            <w:pPr>
              <w:jc w:val="center"/>
              <w:rPr>
                <w:rFonts w:hint="eastAsia"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市</w:t>
            </w:r>
            <w:r>
              <w:rPr>
                <w:rFonts w:hint="eastAsia" w:ascii="Times New Roman" w:hAnsi="Times New Roman" w:eastAsia="仿宋_GB2312" w:cs="Times New Roman"/>
                <w:color w:val="auto"/>
                <w:sz w:val="24"/>
                <w:lang w:val="en-US" w:bidi="zh-CN"/>
              </w:rPr>
              <w:t>建设集团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ascii="Times New Roman" w:hAnsi="Times New Roman" w:eastAsia="仿宋_GB2312" w:cs="Times New Roman"/>
                <w:color w:val="auto"/>
                <w:sz w:val="24"/>
                <w:lang w:bidi="zh-CN"/>
              </w:rPr>
            </w:pPr>
            <w:r>
              <w:rPr>
                <w:rFonts w:ascii="Times New Roman" w:hAnsi="Times New Roman" w:eastAsia="仿宋_GB2312" w:cs="Times New Roman"/>
                <w:color w:val="auto"/>
                <w:sz w:val="24"/>
                <w:lang w:bidi="zh-CN"/>
              </w:rPr>
              <w:t>4</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left"/>
              <w:rPr>
                <w:rFonts w:hint="eastAsia"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畅通浦阳江</w:t>
            </w:r>
            <w:r>
              <w:rPr>
                <w:rFonts w:hint="eastAsia" w:ascii="Times New Roman" w:hAnsi="Times New Roman" w:eastAsia="仿宋_GB2312" w:cs="Times New Roman"/>
                <w:color w:val="auto"/>
                <w:sz w:val="24"/>
                <w:lang w:bidi="zh-CN"/>
              </w:rPr>
              <w:t>—</w:t>
            </w:r>
            <w:r>
              <w:rPr>
                <w:rFonts w:hint="eastAsia" w:ascii="Times New Roman" w:hAnsi="Times New Roman" w:eastAsia="仿宋_GB2312" w:cs="Times New Roman"/>
                <w:color w:val="auto"/>
                <w:sz w:val="24"/>
                <w:lang w:bidi="zh-CN"/>
              </w:rPr>
              <w:t>钱塘江水运航道，</w:t>
            </w:r>
            <w:r>
              <w:rPr>
                <w:rFonts w:hint="eastAsia" w:ascii="Times New Roman" w:hAnsi="Times New Roman" w:eastAsia="仿宋_GB2312" w:cs="Times New Roman"/>
                <w:color w:val="auto"/>
                <w:sz w:val="24"/>
                <w:lang w:val="en-US" w:bidi="zh-CN"/>
              </w:rPr>
              <w:t>谋划推进</w:t>
            </w:r>
            <w:r>
              <w:rPr>
                <w:rFonts w:hint="eastAsia" w:ascii="Times New Roman" w:hAnsi="Times New Roman" w:eastAsia="仿宋_GB2312" w:cs="Times New Roman"/>
                <w:color w:val="auto"/>
                <w:sz w:val="24"/>
                <w:lang w:bidi="zh-CN"/>
              </w:rPr>
              <w:t>浦阳江、枫桥江航道等级提升。推进诸暨市店口综合港区建设、新亭埠港区集装箱航运能力提升工程。</w:t>
            </w:r>
          </w:p>
        </w:tc>
        <w:tc>
          <w:tcPr>
            <w:tcW w:w="2327" w:type="dxa"/>
            <w:vAlign w:val="center"/>
          </w:tcPr>
          <w:p>
            <w:pPr>
              <w:jc w:val="center"/>
              <w:rPr>
                <w:rFonts w:hint="eastAsia"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市交通运输局、</w:t>
            </w:r>
            <w:r>
              <w:rPr>
                <w:rFonts w:hint="eastAsia" w:ascii="Times New Roman" w:hAnsi="Times New Roman" w:eastAsia="仿宋_GB2312" w:cs="Times New Roman"/>
                <w:color w:val="auto"/>
                <w:sz w:val="24"/>
                <w:lang w:val="en-US" w:bidi="zh-CN"/>
              </w:rPr>
              <w:t>市建设集团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5</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left"/>
              <w:rPr>
                <w:rFonts w:hint="eastAsia"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加密萧山</w:t>
            </w:r>
            <w:r>
              <w:rPr>
                <w:rFonts w:hint="eastAsia" w:ascii="Times New Roman" w:hAnsi="Times New Roman" w:eastAsia="仿宋_GB2312" w:cs="Times New Roman"/>
                <w:color w:val="auto"/>
                <w:sz w:val="24"/>
                <w:lang w:bidi="zh-CN"/>
              </w:rPr>
              <w:t>—</w:t>
            </w:r>
            <w:r>
              <w:rPr>
                <w:rFonts w:hint="eastAsia" w:ascii="Times New Roman" w:hAnsi="Times New Roman" w:eastAsia="仿宋_GB2312" w:cs="Times New Roman"/>
                <w:color w:val="auto"/>
                <w:sz w:val="24"/>
                <w:lang w:bidi="zh-CN"/>
              </w:rPr>
              <w:t>诸暨毗连区域跨区公交线路，有序推动公交一体化运营。拓展滨江诸暨岛、余杭</w:t>
            </w:r>
            <w:r>
              <w:rPr>
                <w:rFonts w:hint="eastAsia" w:ascii="Times New Roman" w:hAnsi="Times New Roman" w:eastAsia="仿宋_GB2312" w:cs="Times New Roman"/>
                <w:color w:val="auto"/>
                <w:sz w:val="24"/>
                <w:lang w:val="en-US" w:bidi="zh-CN"/>
              </w:rPr>
              <w:t>诸暨岛</w:t>
            </w:r>
            <w:r>
              <w:rPr>
                <w:rFonts w:hint="eastAsia" w:ascii="Times New Roman" w:hAnsi="Times New Roman" w:eastAsia="仿宋_GB2312" w:cs="Times New Roman"/>
                <w:color w:val="auto"/>
                <w:sz w:val="24"/>
                <w:lang w:bidi="zh-CN"/>
              </w:rPr>
              <w:t>等高频往来站点的定制化公交路线。</w:t>
            </w:r>
          </w:p>
        </w:tc>
        <w:tc>
          <w:tcPr>
            <w:tcW w:w="2327" w:type="dxa"/>
            <w:vAlign w:val="center"/>
          </w:tcPr>
          <w:p>
            <w:pPr>
              <w:jc w:val="center"/>
              <w:rPr>
                <w:rFonts w:hint="eastAsia"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市交通运输局、</w:t>
            </w:r>
            <w:r>
              <w:rPr>
                <w:rFonts w:hint="eastAsia" w:ascii="Times New Roman" w:hAnsi="Times New Roman" w:eastAsia="仿宋_GB2312" w:cs="Times New Roman"/>
                <w:color w:val="auto"/>
                <w:sz w:val="24"/>
                <w:lang w:val="en-US" w:bidi="zh-CN"/>
              </w:rPr>
              <w:t>市建设集团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ascii="Times New Roman" w:hAnsi="Times New Roman" w:eastAsia="仿宋_GB2312" w:cs="Times New Roman"/>
                <w:color w:val="auto"/>
                <w:sz w:val="24"/>
                <w:lang w:bidi="zh-CN"/>
              </w:rPr>
            </w:pPr>
            <w:r>
              <w:rPr>
                <w:rFonts w:ascii="Times New Roman" w:hAnsi="Times New Roman" w:eastAsia="仿宋_GB2312" w:cs="Times New Roman"/>
                <w:color w:val="auto"/>
                <w:sz w:val="24"/>
                <w:lang w:bidi="zh-CN"/>
              </w:rPr>
              <w:t>6</w:t>
            </w:r>
          </w:p>
        </w:tc>
        <w:tc>
          <w:tcPr>
            <w:tcW w:w="1786" w:type="dxa"/>
            <w:vMerge w:val="restart"/>
            <w:vAlign w:val="center"/>
          </w:tcPr>
          <w:p>
            <w:pPr>
              <w:jc w:val="center"/>
              <w:rPr>
                <w:rFonts w:ascii="Times New Roman" w:hAnsi="Times New Roman" w:eastAsia="仿宋_GB2312" w:cs="Times New Roman"/>
                <w:b/>
                <w:bCs/>
                <w:color w:val="auto"/>
                <w:sz w:val="24"/>
                <w:lang w:bidi="zh-CN"/>
              </w:rPr>
            </w:pPr>
            <w:r>
              <w:rPr>
                <w:rFonts w:ascii="Times New Roman" w:hAnsi="Times New Roman" w:eastAsia="仿宋_GB2312" w:cs="Times New Roman"/>
                <w:b/>
                <w:bCs/>
                <w:color w:val="auto"/>
                <w:sz w:val="24"/>
                <w:lang w:bidi="zh-CN"/>
              </w:rPr>
              <w:t>产业</w:t>
            </w:r>
            <w:r>
              <w:rPr>
                <w:rFonts w:hint="eastAsia" w:ascii="Times New Roman" w:hAnsi="Times New Roman" w:eastAsia="仿宋_GB2312" w:cs="Times New Roman"/>
                <w:b/>
                <w:bCs/>
                <w:color w:val="auto"/>
                <w:sz w:val="24"/>
                <w:lang w:val="en-US" w:bidi="zh-CN"/>
              </w:rPr>
              <w:t>互联</w:t>
            </w:r>
            <w:r>
              <w:rPr>
                <w:rFonts w:ascii="Times New Roman" w:hAnsi="Times New Roman" w:eastAsia="仿宋_GB2312" w:cs="Times New Roman"/>
                <w:b/>
                <w:bCs/>
                <w:color w:val="auto"/>
                <w:sz w:val="24"/>
                <w:lang w:bidi="zh-CN"/>
              </w:rPr>
              <w:t>共链提质行动</w:t>
            </w:r>
          </w:p>
        </w:tc>
        <w:tc>
          <w:tcPr>
            <w:tcW w:w="9040" w:type="dxa"/>
            <w:vAlign w:val="center"/>
          </w:tcPr>
          <w:p>
            <w:pPr>
              <w:rPr>
                <w:rFonts w:ascii="Times New Roman" w:hAnsi="Times New Roman" w:eastAsia="仿宋_GB2312" w:cs="Times New Roman"/>
                <w:color w:val="auto"/>
                <w:sz w:val="24"/>
                <w:lang w:bidi="zh-CN"/>
              </w:rPr>
            </w:pPr>
            <w:r>
              <w:rPr>
                <w:rFonts w:hint="eastAsia" w:ascii="Times New Roman" w:hAnsi="Times New Roman" w:eastAsia="仿宋_GB2312" w:cs="Times New Roman"/>
                <w:color w:val="auto"/>
                <w:kern w:val="0"/>
                <w:sz w:val="24"/>
                <w:lang w:bidi="zh-CN"/>
              </w:rPr>
              <w:t>加快智能视觉、高端装备制造、铜材精密制造及现代环保领域重点产业链的精准引育，推动一批投资规模大、产业带动强、经济效益好、科技含量高的项目落地，力争到2025年，规模以上制造业增加值达到375亿元。</w:t>
            </w:r>
          </w:p>
        </w:tc>
        <w:tc>
          <w:tcPr>
            <w:tcW w:w="2327" w:type="dxa"/>
            <w:vAlign w:val="center"/>
          </w:tcPr>
          <w:p>
            <w:pPr>
              <w:jc w:val="center"/>
              <w:rPr>
                <w:rFonts w:ascii="Times New Roman" w:hAnsi="Times New Roman" w:eastAsia="仿宋_GB2312" w:cs="Times New Roman"/>
                <w:bCs/>
                <w:color w:val="auto"/>
                <w:sz w:val="24"/>
                <w:lang w:bidi="zh-CN"/>
              </w:rPr>
            </w:pPr>
            <w:r>
              <w:rPr>
                <w:rFonts w:hint="eastAsia" w:ascii="Times New Roman" w:hAnsi="Times New Roman" w:eastAsia="仿宋_GB2312" w:cs="Times New Roman"/>
                <w:bCs/>
                <w:color w:val="auto"/>
                <w:sz w:val="24"/>
                <w:lang w:bidi="zh-CN"/>
              </w:rPr>
              <w:t>市经信局、市发改局、市招商投促中心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7</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rPr>
                <w:rFonts w:ascii="Times New Roman" w:hAnsi="Times New Roman" w:eastAsia="仿宋_GB2312" w:cs="Times New Roman"/>
                <w:color w:val="auto"/>
                <w:sz w:val="24"/>
                <w:lang w:bidi="zh-CN"/>
              </w:rPr>
            </w:pPr>
            <w:r>
              <w:rPr>
                <w:rFonts w:hint="eastAsia" w:ascii="Times New Roman" w:hAnsi="Times New Roman" w:eastAsia="仿宋_GB2312" w:cs="Times New Roman"/>
                <w:color w:val="auto"/>
                <w:kern w:val="0"/>
                <w:sz w:val="24"/>
                <w:lang w:bidi="zh-CN"/>
              </w:rPr>
              <w:t>主动融入杭州都市圈数字协作发展联盟，推动数字经济产业发展由“单项被动式”转向“双向共赢式”，积极承接杭州、上海等地科技园孵化溢出项目，争取数字经济创新产业化项目落地，力争到2</w:t>
            </w:r>
            <w:r>
              <w:rPr>
                <w:rFonts w:ascii="Times New Roman" w:hAnsi="Times New Roman" w:eastAsia="仿宋_GB2312" w:cs="Times New Roman"/>
                <w:color w:val="auto"/>
                <w:kern w:val="0"/>
                <w:sz w:val="24"/>
                <w:lang w:bidi="zh-CN"/>
              </w:rPr>
              <w:t>025</w:t>
            </w:r>
            <w:r>
              <w:rPr>
                <w:rFonts w:hint="eastAsia" w:ascii="Times New Roman" w:hAnsi="Times New Roman" w:eastAsia="仿宋_GB2312" w:cs="Times New Roman"/>
                <w:color w:val="auto"/>
                <w:kern w:val="0"/>
                <w:sz w:val="24"/>
                <w:lang w:bidi="zh-CN"/>
              </w:rPr>
              <w:t>年，数字经济核心产业占GDP比重达到5%。</w:t>
            </w:r>
          </w:p>
        </w:tc>
        <w:tc>
          <w:tcPr>
            <w:tcW w:w="2327" w:type="dxa"/>
            <w:vAlign w:val="center"/>
          </w:tcPr>
          <w:p>
            <w:pPr>
              <w:jc w:val="center"/>
              <w:rPr>
                <w:rFonts w:ascii="Times New Roman" w:hAnsi="Times New Roman" w:eastAsia="仿宋_GB2312" w:cs="Times New Roman"/>
                <w:bCs/>
                <w:color w:val="auto"/>
                <w:sz w:val="24"/>
                <w:lang w:bidi="zh-CN"/>
              </w:rPr>
            </w:pPr>
            <w:r>
              <w:rPr>
                <w:rFonts w:hint="eastAsia" w:ascii="Times New Roman" w:hAnsi="Times New Roman" w:eastAsia="仿宋_GB2312" w:cs="Times New Roman"/>
                <w:bCs/>
                <w:color w:val="auto"/>
                <w:sz w:val="24"/>
                <w:lang w:bidi="zh-CN"/>
              </w:rPr>
              <w:t>市经信局、市发改局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ascii="Times New Roman" w:hAnsi="Times New Roman" w:eastAsia="仿宋_GB2312" w:cs="Times New Roman"/>
                <w:color w:val="auto"/>
                <w:sz w:val="24"/>
                <w:lang w:bidi="zh-CN"/>
              </w:rPr>
            </w:pPr>
            <w:r>
              <w:rPr>
                <w:rFonts w:ascii="Times New Roman" w:hAnsi="Times New Roman" w:eastAsia="仿宋_GB2312" w:cs="Times New Roman"/>
                <w:color w:val="auto"/>
                <w:sz w:val="24"/>
                <w:lang w:bidi="zh-CN"/>
              </w:rPr>
              <w:t>8</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both"/>
              <w:rPr>
                <w:rFonts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深化与滨江物联网小镇、余杭人工智能小镇对接，推动智能视觉相关产业战略布局，合力构建</w:t>
            </w:r>
            <w:r>
              <w:rPr>
                <w:rFonts w:hint="eastAsia" w:ascii="Times New Roman" w:hAnsi="Times New Roman" w:eastAsia="仿宋_GB2312" w:cs="Times New Roman"/>
                <w:color w:val="auto"/>
                <w:sz w:val="24"/>
                <w:lang w:val="en-US" w:bidi="zh-CN"/>
              </w:rPr>
              <w:t>智能</w:t>
            </w:r>
            <w:r>
              <w:rPr>
                <w:rFonts w:hint="eastAsia" w:ascii="Times New Roman" w:hAnsi="Times New Roman" w:eastAsia="仿宋_GB2312" w:cs="Times New Roman"/>
                <w:color w:val="auto"/>
                <w:sz w:val="24"/>
                <w:lang w:bidi="zh-CN"/>
              </w:rPr>
              <w:t>视觉“万亩千亿”新产业平台。</w:t>
            </w:r>
          </w:p>
        </w:tc>
        <w:tc>
          <w:tcPr>
            <w:tcW w:w="2327" w:type="dxa"/>
            <w:vAlign w:val="center"/>
          </w:tcPr>
          <w:p>
            <w:pPr>
              <w:jc w:val="center"/>
              <w:rPr>
                <w:rFonts w:ascii="Times New Roman" w:hAnsi="Times New Roman" w:eastAsia="仿宋_GB2312" w:cs="Times New Roman"/>
                <w:bCs/>
                <w:color w:val="auto"/>
                <w:sz w:val="24"/>
                <w:lang w:bidi="zh-CN"/>
              </w:rPr>
            </w:pPr>
            <w:r>
              <w:rPr>
                <w:rFonts w:hint="eastAsia" w:ascii="Times New Roman" w:hAnsi="Times New Roman" w:eastAsia="仿宋_GB2312" w:cs="Times New Roman"/>
                <w:bCs/>
                <w:color w:val="auto"/>
                <w:sz w:val="24"/>
                <w:lang w:bidi="zh-CN"/>
              </w:rPr>
              <w:t>市发改局、开发委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9</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both"/>
              <w:rPr>
                <w:rFonts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加快推进杭绍一体化萧诸绿色发展先导区建设。</w:t>
            </w:r>
          </w:p>
        </w:tc>
        <w:tc>
          <w:tcPr>
            <w:tcW w:w="2327" w:type="dxa"/>
            <w:vAlign w:val="center"/>
          </w:tcPr>
          <w:p>
            <w:pPr>
              <w:jc w:val="center"/>
              <w:rPr>
                <w:rFonts w:ascii="Times New Roman" w:hAnsi="Times New Roman" w:eastAsia="仿宋_GB2312" w:cs="Times New Roman"/>
                <w:bCs/>
                <w:color w:val="auto"/>
                <w:sz w:val="24"/>
                <w:lang w:bidi="zh-CN"/>
              </w:rPr>
            </w:pPr>
            <w:r>
              <w:rPr>
                <w:rFonts w:hint="eastAsia" w:ascii="Times New Roman" w:hAnsi="Times New Roman" w:eastAsia="仿宋_GB2312" w:cs="Times New Roman"/>
                <w:bCs/>
                <w:color w:val="auto"/>
                <w:sz w:val="24"/>
                <w:lang w:bidi="zh-CN"/>
              </w:rPr>
              <w:t>市发改局、次坞镇、店口镇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1</w:t>
            </w:r>
            <w:r>
              <w:rPr>
                <w:rFonts w:ascii="Times New Roman" w:hAnsi="Times New Roman" w:eastAsia="仿宋_GB2312" w:cs="Times New Roman"/>
                <w:color w:val="auto"/>
                <w:sz w:val="24"/>
                <w:lang w:bidi="zh-CN"/>
              </w:rPr>
              <w:t>0</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both"/>
              <w:rPr>
                <w:rFonts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以“诸暨岛</w:t>
            </w:r>
            <w:r>
              <w:rPr>
                <w:rFonts w:hint="eastAsia" w:ascii="Times New Roman" w:hAnsi="Times New Roman" w:eastAsia="仿宋_GB2312" w:cs="Times New Roman"/>
                <w:color w:val="auto"/>
                <w:sz w:val="24"/>
                <w:lang w:bidi="zh-CN"/>
              </w:rPr>
              <w:t>—</w:t>
            </w:r>
            <w:r>
              <w:rPr>
                <w:rFonts w:hint="eastAsia" w:ascii="Times New Roman" w:hAnsi="Times New Roman" w:eastAsia="仿宋_GB2312" w:cs="Times New Roman"/>
                <w:color w:val="auto"/>
                <w:sz w:val="24"/>
                <w:lang w:bidi="zh-CN"/>
              </w:rPr>
              <w:t>杭州港”为主要依托，鼓励企业通过总部—生产基地、产业链合作园区、虚拟园区等模式共建“新制造”落地和产业化空间。深化“诸暨岛”建设运营模式，力争到2025年，建成离岛式平台</w:t>
            </w:r>
            <w:r>
              <w:rPr>
                <w:rFonts w:hint="eastAsia" w:ascii="Times New Roman" w:hAnsi="Times New Roman" w:eastAsia="仿宋_GB2312" w:cs="Times New Roman"/>
                <w:color w:val="auto"/>
                <w:sz w:val="24"/>
                <w:lang w:val="en-US" w:bidi="zh-CN"/>
              </w:rPr>
              <w:t>8</w:t>
            </w:r>
            <w:r>
              <w:rPr>
                <w:rFonts w:hint="eastAsia" w:ascii="Times New Roman" w:hAnsi="Times New Roman" w:eastAsia="仿宋_GB2312" w:cs="Times New Roman"/>
                <w:color w:val="auto"/>
                <w:sz w:val="24"/>
                <w:lang w:bidi="zh-CN"/>
              </w:rPr>
              <w:t>个。</w:t>
            </w:r>
          </w:p>
        </w:tc>
        <w:tc>
          <w:tcPr>
            <w:tcW w:w="2327" w:type="dxa"/>
            <w:vAlign w:val="center"/>
          </w:tcPr>
          <w:p>
            <w:pPr>
              <w:jc w:val="center"/>
              <w:rPr>
                <w:rFonts w:ascii="Times New Roman" w:hAnsi="Times New Roman" w:eastAsia="仿宋_GB2312" w:cs="Times New Roman"/>
                <w:bCs/>
                <w:color w:val="auto"/>
                <w:sz w:val="24"/>
                <w:lang w:bidi="zh-CN"/>
              </w:rPr>
            </w:pPr>
            <w:r>
              <w:rPr>
                <w:rFonts w:hint="eastAsia" w:ascii="Times New Roman" w:hAnsi="Times New Roman" w:eastAsia="仿宋_GB2312" w:cs="Times New Roman"/>
                <w:bCs/>
                <w:color w:val="auto"/>
                <w:sz w:val="24"/>
                <w:lang w:bidi="zh-CN"/>
              </w:rPr>
              <w:t>开发委、市发改局、市经信局、市科技局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1</w:t>
            </w:r>
            <w:r>
              <w:rPr>
                <w:rFonts w:ascii="Times New Roman" w:hAnsi="Times New Roman" w:eastAsia="仿宋_GB2312" w:cs="Times New Roman"/>
                <w:color w:val="auto"/>
                <w:sz w:val="24"/>
                <w:lang w:bidi="zh-CN"/>
              </w:rPr>
              <w:t>1</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both"/>
              <w:rPr>
                <w:rFonts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深度对接上海陆家嘴金融中心和杭州钱塘江金融港湾，做强数字金融产业园，力争基金规模突破500亿元，每年投资新兴产业项目50个以上。</w:t>
            </w:r>
          </w:p>
        </w:tc>
        <w:tc>
          <w:tcPr>
            <w:tcW w:w="2327" w:type="dxa"/>
            <w:vAlign w:val="center"/>
          </w:tcPr>
          <w:p>
            <w:pPr>
              <w:jc w:val="center"/>
              <w:rPr>
                <w:rFonts w:ascii="Times New Roman" w:hAnsi="Times New Roman" w:eastAsia="仿宋_GB2312" w:cs="Times New Roman"/>
                <w:bCs/>
                <w:color w:val="auto"/>
                <w:sz w:val="24"/>
                <w:lang w:bidi="zh-CN"/>
              </w:rPr>
            </w:pPr>
            <w:r>
              <w:rPr>
                <w:rFonts w:hint="eastAsia" w:ascii="Times New Roman" w:hAnsi="Times New Roman" w:eastAsia="仿宋_GB2312" w:cs="Times New Roman"/>
                <w:bCs/>
                <w:color w:val="auto"/>
                <w:sz w:val="24"/>
                <w:lang w:bidi="zh-CN"/>
              </w:rPr>
              <w:t>市金融办、市财政局、市经信局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1</w:t>
            </w:r>
            <w:r>
              <w:rPr>
                <w:rFonts w:ascii="Times New Roman" w:hAnsi="Times New Roman" w:eastAsia="仿宋_GB2312" w:cs="Times New Roman"/>
                <w:color w:val="auto"/>
                <w:sz w:val="24"/>
                <w:lang w:bidi="zh-CN"/>
              </w:rPr>
              <w:t>2</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both"/>
              <w:rPr>
                <w:rFonts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鼓励金融机构延伸发展科技贷款、科技担保等科技金融业态，支持暨阳科技银行创新金融服务模式。深化“互联网+科技服务”，形成线上线下跨区域融通的技术市场交易服务体系，探索建设新型成果转化与科技金融平台。</w:t>
            </w:r>
          </w:p>
        </w:tc>
        <w:tc>
          <w:tcPr>
            <w:tcW w:w="2327" w:type="dxa"/>
            <w:vAlign w:val="center"/>
          </w:tcPr>
          <w:p>
            <w:pPr>
              <w:jc w:val="center"/>
              <w:rPr>
                <w:rFonts w:ascii="Times New Roman" w:hAnsi="Times New Roman" w:eastAsia="仿宋_GB2312" w:cs="Times New Roman"/>
                <w:bCs/>
                <w:color w:val="auto"/>
                <w:sz w:val="24"/>
                <w:lang w:bidi="zh-CN"/>
              </w:rPr>
            </w:pPr>
            <w:r>
              <w:rPr>
                <w:rFonts w:hint="eastAsia" w:ascii="Times New Roman" w:hAnsi="Times New Roman" w:eastAsia="仿宋_GB2312" w:cs="Times New Roman"/>
                <w:bCs/>
                <w:color w:val="auto"/>
                <w:sz w:val="24"/>
                <w:lang w:bidi="zh-CN"/>
              </w:rPr>
              <w:t>市金融办、市科技局、市财政局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1</w:t>
            </w:r>
            <w:r>
              <w:rPr>
                <w:rFonts w:ascii="Times New Roman" w:hAnsi="Times New Roman" w:eastAsia="仿宋_GB2312" w:cs="Times New Roman"/>
                <w:color w:val="auto"/>
                <w:sz w:val="24"/>
                <w:lang w:bidi="zh-CN"/>
              </w:rPr>
              <w:t>3</w:t>
            </w:r>
          </w:p>
        </w:tc>
        <w:tc>
          <w:tcPr>
            <w:tcW w:w="1786" w:type="dxa"/>
            <w:vMerge w:val="continue"/>
            <w:vAlign w:val="center"/>
          </w:tcPr>
          <w:p>
            <w:pPr>
              <w:rPr>
                <w:rFonts w:ascii="Times New Roman" w:hAnsi="Times New Roman" w:eastAsia="仿宋_GB2312" w:cs="Times New Roman"/>
                <w:color w:val="auto"/>
                <w:sz w:val="24"/>
                <w:lang w:bidi="zh-CN"/>
              </w:rPr>
            </w:pPr>
          </w:p>
        </w:tc>
        <w:tc>
          <w:tcPr>
            <w:tcW w:w="9040" w:type="dxa"/>
            <w:vAlign w:val="center"/>
          </w:tcPr>
          <w:p>
            <w:pPr>
              <w:jc w:val="both"/>
              <w:rPr>
                <w:rFonts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加强都市圈工商企业、专业服务、社会组织之间的交流与合作。</w:t>
            </w:r>
            <w:r>
              <w:rPr>
                <w:rFonts w:ascii="Times New Roman" w:hAnsi="Times New Roman" w:eastAsia="仿宋_GB2312" w:cs="Times New Roman"/>
                <w:color w:val="auto"/>
                <w:sz w:val="24"/>
                <w:lang w:bidi="zh-CN"/>
              </w:rPr>
              <w:t>深化与都市圈节点城市在电子产业、高端装备等智能制造产业</w:t>
            </w:r>
            <w:r>
              <w:rPr>
                <w:rFonts w:hint="eastAsia" w:ascii="Times New Roman" w:hAnsi="Times New Roman" w:eastAsia="仿宋_GB2312" w:cs="Times New Roman"/>
                <w:color w:val="auto"/>
                <w:sz w:val="24"/>
                <w:lang w:bidi="zh-CN"/>
              </w:rPr>
              <w:t>，以及珍珠、袜业等时尚消费品行业</w:t>
            </w:r>
            <w:r>
              <w:rPr>
                <w:rFonts w:ascii="Times New Roman" w:hAnsi="Times New Roman" w:eastAsia="仿宋_GB2312" w:cs="Times New Roman"/>
                <w:color w:val="auto"/>
                <w:sz w:val="24"/>
                <w:lang w:bidi="zh-CN"/>
              </w:rPr>
              <w:t>的合作，加快推动铜加工及新材料产业等市场联盟建设。</w:t>
            </w:r>
          </w:p>
        </w:tc>
        <w:tc>
          <w:tcPr>
            <w:tcW w:w="2327" w:type="dxa"/>
            <w:vAlign w:val="center"/>
          </w:tcPr>
          <w:p>
            <w:pPr>
              <w:jc w:val="center"/>
              <w:rPr>
                <w:rFonts w:ascii="Times New Roman" w:hAnsi="Times New Roman" w:eastAsia="仿宋_GB2312" w:cs="Times New Roman"/>
                <w:bCs/>
                <w:color w:val="auto"/>
                <w:sz w:val="24"/>
                <w:lang w:bidi="zh-CN"/>
              </w:rPr>
            </w:pPr>
            <w:r>
              <w:rPr>
                <w:rFonts w:ascii="Times New Roman" w:hAnsi="Times New Roman" w:eastAsia="仿宋_GB2312" w:cs="Times New Roman"/>
                <w:color w:val="auto"/>
                <w:sz w:val="24"/>
                <w:lang w:bidi="zh-CN"/>
              </w:rPr>
              <w:t>市</w:t>
            </w:r>
            <w:r>
              <w:rPr>
                <w:rFonts w:hint="eastAsia" w:ascii="Times New Roman" w:hAnsi="Times New Roman" w:eastAsia="仿宋_GB2312" w:cs="Times New Roman"/>
                <w:color w:val="auto"/>
                <w:sz w:val="24"/>
                <w:lang w:bidi="zh-CN"/>
              </w:rPr>
              <w:t>工商联</w:t>
            </w:r>
            <w:r>
              <w:rPr>
                <w:rFonts w:ascii="Times New Roman" w:hAnsi="Times New Roman" w:eastAsia="仿宋_GB2312" w:cs="Times New Roman"/>
                <w:color w:val="auto"/>
                <w:sz w:val="24"/>
                <w:lang w:bidi="zh-CN"/>
              </w:rPr>
              <w:t>、市经信局、市商务局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eastAsia="仿宋_GB2312" w:cs="Times New Roman"/>
                <w:color w:val="auto"/>
                <w:sz w:val="24"/>
                <w:lang w:val="en-US" w:bidi="zh-CN"/>
              </w:rPr>
            </w:pPr>
            <w:r>
              <w:rPr>
                <w:rFonts w:hint="eastAsia" w:ascii="Times New Roman" w:hAnsi="Times New Roman" w:eastAsia="仿宋_GB2312" w:cs="Times New Roman"/>
                <w:color w:val="auto"/>
                <w:sz w:val="24"/>
                <w:lang w:bidi="zh-CN"/>
              </w:rPr>
              <w:t>1</w:t>
            </w:r>
            <w:r>
              <w:rPr>
                <w:rFonts w:hint="eastAsia" w:ascii="Times New Roman" w:hAnsi="Times New Roman" w:eastAsia="仿宋_GB2312" w:cs="Times New Roman"/>
                <w:color w:val="auto"/>
                <w:sz w:val="24"/>
                <w:lang w:val="en-US" w:bidi="zh-CN"/>
              </w:rPr>
              <w:t>4</w:t>
            </w:r>
          </w:p>
        </w:tc>
        <w:tc>
          <w:tcPr>
            <w:tcW w:w="1786" w:type="dxa"/>
            <w:vMerge w:val="restart"/>
            <w:vAlign w:val="center"/>
          </w:tcPr>
          <w:p>
            <w:pPr>
              <w:jc w:val="center"/>
              <w:rPr>
                <w:rFonts w:ascii="Times New Roman" w:hAnsi="Times New Roman" w:eastAsia="仿宋_GB2312" w:cs="Times New Roman"/>
                <w:b/>
                <w:bCs/>
                <w:color w:val="auto"/>
                <w:sz w:val="24"/>
                <w:lang w:bidi="zh-CN"/>
              </w:rPr>
            </w:pPr>
            <w:r>
              <w:rPr>
                <w:rFonts w:ascii="Times New Roman" w:hAnsi="Times New Roman" w:eastAsia="仿宋_GB2312" w:cs="Times New Roman"/>
                <w:b/>
                <w:bCs/>
                <w:color w:val="auto"/>
                <w:sz w:val="24"/>
                <w:lang w:bidi="zh-CN"/>
              </w:rPr>
              <w:t>创新协同</w:t>
            </w:r>
            <w:r>
              <w:rPr>
                <w:rFonts w:hint="eastAsia" w:ascii="Times New Roman" w:hAnsi="Times New Roman" w:eastAsia="仿宋_GB2312" w:cs="Times New Roman"/>
                <w:b/>
                <w:bCs/>
                <w:color w:val="auto"/>
                <w:sz w:val="24"/>
                <w:lang w:val="en-US" w:bidi="zh-CN"/>
              </w:rPr>
              <w:t>共兴</w:t>
            </w:r>
            <w:r>
              <w:rPr>
                <w:rFonts w:ascii="Times New Roman" w:hAnsi="Times New Roman" w:eastAsia="仿宋_GB2312" w:cs="Times New Roman"/>
                <w:b/>
                <w:bCs/>
                <w:color w:val="auto"/>
                <w:sz w:val="24"/>
                <w:lang w:bidi="zh-CN"/>
              </w:rPr>
              <w:t>强化行动</w:t>
            </w:r>
          </w:p>
        </w:tc>
        <w:tc>
          <w:tcPr>
            <w:tcW w:w="9040" w:type="dxa"/>
            <w:vAlign w:val="center"/>
          </w:tcPr>
          <w:p>
            <w:pPr>
              <w:jc w:val="both"/>
              <w:rPr>
                <w:rFonts w:ascii="Times New Roman" w:hAnsi="Times New Roman" w:eastAsia="仿宋_GB2312" w:cs="Times New Roman"/>
                <w:color w:val="auto"/>
                <w:sz w:val="24"/>
                <w:lang w:bidi="zh-CN"/>
              </w:rPr>
            </w:pPr>
            <w:r>
              <w:rPr>
                <w:rFonts w:ascii="Times New Roman" w:hAnsi="Times New Roman" w:eastAsia="仿宋_GB2312" w:cs="Times New Roman"/>
                <w:color w:val="auto"/>
                <w:sz w:val="24"/>
                <w:lang w:bidi="zh-CN"/>
              </w:rPr>
              <w:t>高水平建设诸暨 G60 创新港</w:t>
            </w:r>
            <w:r>
              <w:rPr>
                <w:rFonts w:hint="eastAsia" w:ascii="Times New Roman" w:hAnsi="Times New Roman" w:eastAsia="仿宋_GB2312" w:cs="Times New Roman"/>
                <w:color w:val="auto"/>
                <w:sz w:val="24"/>
                <w:lang w:bidi="zh-CN"/>
              </w:rPr>
              <w:t>。</w:t>
            </w:r>
            <w:r>
              <w:rPr>
                <w:rFonts w:ascii="Times New Roman" w:hAnsi="Times New Roman" w:eastAsia="仿宋_GB2312" w:cs="Times New Roman"/>
                <w:color w:val="auto"/>
                <w:sz w:val="24"/>
                <w:lang w:bidi="zh-CN"/>
              </w:rPr>
              <w:t>构建开发区、科技城“一区一城”互联互动的创新发展格局，推动科技创新协同发展、科技服务资源共享，打造县域高质量发展先行区、融杭接沪示范区、数智创新集聚区和高智创新引领区。</w:t>
            </w:r>
          </w:p>
        </w:tc>
        <w:tc>
          <w:tcPr>
            <w:tcW w:w="2327" w:type="dxa"/>
            <w:vAlign w:val="center"/>
          </w:tcPr>
          <w:p>
            <w:pPr>
              <w:jc w:val="center"/>
              <w:rPr>
                <w:rFonts w:ascii="Times New Roman" w:hAnsi="Times New Roman" w:eastAsia="仿宋_GB2312" w:cs="Times New Roman"/>
                <w:color w:val="auto"/>
                <w:sz w:val="24"/>
                <w:lang w:bidi="zh-CN"/>
              </w:rPr>
            </w:pPr>
            <w:r>
              <w:rPr>
                <w:rFonts w:ascii="Times New Roman" w:hAnsi="Times New Roman" w:eastAsia="仿宋_GB2312" w:cs="Times New Roman"/>
                <w:color w:val="auto"/>
                <w:sz w:val="24"/>
                <w:lang w:bidi="zh-CN"/>
              </w:rPr>
              <w:t>开发委、</w:t>
            </w:r>
            <w:r>
              <w:rPr>
                <w:rFonts w:ascii="Times New Roman" w:hAnsi="Times New Roman" w:eastAsia="仿宋_GB2312" w:cs="Times New Roman"/>
                <w:color w:val="auto"/>
                <w:sz w:val="24"/>
                <w:lang w:bidi="zh-CN"/>
              </w:rPr>
              <w:t>科技城建管办、</w:t>
            </w:r>
            <w:r>
              <w:rPr>
                <w:rFonts w:ascii="Times New Roman" w:hAnsi="Times New Roman" w:eastAsia="仿宋_GB2312" w:cs="Times New Roman"/>
                <w:color w:val="auto"/>
                <w:sz w:val="24"/>
                <w:lang w:bidi="zh-CN"/>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eastAsia="仿宋_GB2312" w:cs="Times New Roman"/>
                <w:color w:val="auto"/>
                <w:sz w:val="24"/>
                <w:lang w:val="en-US" w:bidi="zh-CN"/>
              </w:rPr>
            </w:pPr>
            <w:r>
              <w:rPr>
                <w:rFonts w:hint="eastAsia" w:ascii="Times New Roman" w:hAnsi="Times New Roman" w:eastAsia="仿宋_GB2312" w:cs="Times New Roman"/>
                <w:color w:val="auto"/>
                <w:sz w:val="24"/>
                <w:lang w:bidi="zh-CN"/>
              </w:rPr>
              <w:t>1</w:t>
            </w:r>
            <w:r>
              <w:rPr>
                <w:rFonts w:hint="eastAsia" w:ascii="Times New Roman" w:hAnsi="Times New Roman" w:eastAsia="仿宋_GB2312" w:cs="Times New Roman"/>
                <w:color w:val="auto"/>
                <w:sz w:val="24"/>
                <w:lang w:val="en-US" w:bidi="zh-CN"/>
              </w:rPr>
              <w:t>5</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both"/>
              <w:rPr>
                <w:rFonts w:ascii="Times New Roman" w:hAnsi="Times New Roman" w:eastAsia="仿宋_GB2312" w:cs="Times New Roman"/>
                <w:color w:val="auto"/>
                <w:sz w:val="24"/>
                <w:lang w:bidi="zh-CN"/>
              </w:rPr>
            </w:pPr>
            <w:r>
              <w:rPr>
                <w:rFonts w:ascii="Times New Roman" w:hAnsi="Times New Roman" w:eastAsia="仿宋_GB2312" w:cs="Times New Roman"/>
                <w:color w:val="auto"/>
                <w:sz w:val="24"/>
                <w:lang w:bidi="zh-CN"/>
              </w:rPr>
              <w:t>加快推进海归小镇建设，以航空航天、智能视觉为特色产业，积极招引行业技术领先的高层次人才研发团队，常态化举办海内外高层次人才创新创业大赛。</w:t>
            </w:r>
          </w:p>
        </w:tc>
        <w:tc>
          <w:tcPr>
            <w:tcW w:w="2327" w:type="dxa"/>
            <w:vAlign w:val="center"/>
          </w:tcPr>
          <w:p>
            <w:pPr>
              <w:jc w:val="center"/>
              <w:rPr>
                <w:rFonts w:ascii="Times New Roman" w:hAnsi="Times New Roman" w:eastAsia="仿宋_GB2312" w:cs="Times New Roman"/>
                <w:color w:val="auto"/>
                <w:sz w:val="24"/>
                <w:lang w:bidi="zh-CN"/>
              </w:rPr>
            </w:pPr>
            <w:r>
              <w:rPr>
                <w:rFonts w:ascii="Times New Roman" w:hAnsi="Times New Roman" w:eastAsia="仿宋_GB2312" w:cs="Times New Roman"/>
                <w:color w:val="auto"/>
                <w:sz w:val="24"/>
                <w:lang w:bidi="zh-CN"/>
              </w:rPr>
              <w:t>科技城建管办、</w:t>
            </w:r>
            <w:r>
              <w:rPr>
                <w:rFonts w:ascii="Times New Roman" w:hAnsi="Times New Roman" w:eastAsia="仿宋_GB2312" w:cs="Times New Roman"/>
                <w:color w:val="auto"/>
                <w:sz w:val="24"/>
                <w:lang w:bidi="zh-CN"/>
              </w:rPr>
              <w:t>市科技局、市委人才办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eastAsia="仿宋_GB2312" w:cs="Times New Roman"/>
                <w:color w:val="auto"/>
                <w:sz w:val="24"/>
                <w:lang w:val="en-US" w:bidi="zh-CN"/>
              </w:rPr>
            </w:pPr>
            <w:r>
              <w:rPr>
                <w:rFonts w:hint="eastAsia" w:ascii="Times New Roman" w:hAnsi="Times New Roman" w:eastAsia="仿宋_GB2312" w:cs="Times New Roman"/>
                <w:color w:val="auto"/>
                <w:sz w:val="24"/>
                <w:lang w:bidi="zh-CN"/>
              </w:rPr>
              <w:t>1</w:t>
            </w:r>
            <w:r>
              <w:rPr>
                <w:rFonts w:hint="eastAsia" w:ascii="Times New Roman" w:hAnsi="Times New Roman" w:eastAsia="仿宋_GB2312" w:cs="Times New Roman"/>
                <w:color w:val="auto"/>
                <w:sz w:val="24"/>
                <w:lang w:val="en-US" w:bidi="zh-CN"/>
              </w:rPr>
              <w:t>6</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both"/>
              <w:rPr>
                <w:rFonts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迭代升级袜业、珍珠等产业工程师协同创新中心。推动金属加工、珍珠两个绍兴市级创新联合体纳入省级试点，加快碳足迹、碳标签创新联合体建设进程。</w:t>
            </w:r>
          </w:p>
        </w:tc>
        <w:tc>
          <w:tcPr>
            <w:tcW w:w="2327" w:type="dxa"/>
            <w:vAlign w:val="center"/>
          </w:tcPr>
          <w:p>
            <w:pPr>
              <w:jc w:val="center"/>
              <w:rPr>
                <w:rFonts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市科技局、市经信局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eastAsia="仿宋_GB2312" w:cs="Times New Roman"/>
                <w:color w:val="auto"/>
                <w:sz w:val="24"/>
                <w:lang w:val="en-US" w:bidi="zh-CN"/>
              </w:rPr>
            </w:pPr>
            <w:r>
              <w:rPr>
                <w:rFonts w:hint="eastAsia" w:ascii="Times New Roman" w:hAnsi="Times New Roman" w:eastAsia="仿宋_GB2312" w:cs="Times New Roman"/>
                <w:color w:val="auto"/>
                <w:sz w:val="24"/>
                <w:lang w:bidi="zh-CN"/>
              </w:rPr>
              <w:t>1</w:t>
            </w:r>
            <w:r>
              <w:rPr>
                <w:rFonts w:hint="eastAsia" w:ascii="Times New Roman" w:hAnsi="Times New Roman" w:eastAsia="仿宋_GB2312" w:cs="Times New Roman"/>
                <w:color w:val="auto"/>
                <w:sz w:val="24"/>
                <w:lang w:val="en-US" w:bidi="zh-CN"/>
              </w:rPr>
              <w:t>7</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both"/>
              <w:rPr>
                <w:rFonts w:ascii="Times New Roman" w:hAnsi="Times New Roman" w:eastAsia="仿宋_GB2312" w:cs="Times New Roman"/>
                <w:color w:val="auto"/>
                <w:sz w:val="24"/>
                <w:lang w:bidi="zh-CN"/>
              </w:rPr>
            </w:pPr>
            <w:r>
              <w:rPr>
                <w:rFonts w:ascii="Times New Roman" w:hAnsi="Times New Roman" w:eastAsia="仿宋_GB2312" w:cs="Times New Roman"/>
                <w:color w:val="auto"/>
                <w:sz w:val="24"/>
                <w:lang w:bidi="zh-CN"/>
              </w:rPr>
              <w:t>支持行业骨干企业省级（重点）企业研究院、企业研发（技术）中心等企业研发机构优化整合，打造产业链重要环节的专业化单点技术创新优势，积极申报省级“尖兵”“领雁”研发攻关项目，探索实施我市科技强基（揭榜挂帅）项目。</w:t>
            </w:r>
          </w:p>
        </w:tc>
        <w:tc>
          <w:tcPr>
            <w:tcW w:w="2327" w:type="dxa"/>
            <w:vAlign w:val="center"/>
          </w:tcPr>
          <w:p>
            <w:pPr>
              <w:jc w:val="center"/>
              <w:rPr>
                <w:rFonts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市科技局、市经信局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eastAsia="仿宋_GB2312" w:cs="Times New Roman"/>
                <w:color w:val="auto"/>
                <w:sz w:val="24"/>
                <w:lang w:val="en-US" w:bidi="zh-CN"/>
              </w:rPr>
            </w:pPr>
            <w:r>
              <w:rPr>
                <w:rFonts w:hint="eastAsia" w:ascii="Times New Roman" w:hAnsi="Times New Roman" w:eastAsia="仿宋_GB2312" w:cs="Times New Roman"/>
                <w:color w:val="auto"/>
                <w:sz w:val="24"/>
                <w:lang w:bidi="zh-CN"/>
              </w:rPr>
              <w:t>1</w:t>
            </w:r>
            <w:r>
              <w:rPr>
                <w:rFonts w:hint="eastAsia" w:ascii="Times New Roman" w:hAnsi="Times New Roman" w:eastAsia="仿宋_GB2312" w:cs="Times New Roman"/>
                <w:color w:val="auto"/>
                <w:sz w:val="24"/>
                <w:lang w:val="en-US" w:bidi="zh-CN"/>
              </w:rPr>
              <w:t>8</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both"/>
              <w:rPr>
                <w:rFonts w:ascii="Times New Roman" w:hAnsi="Times New Roman" w:eastAsia="仿宋_GB2312" w:cs="Times New Roman"/>
                <w:color w:val="auto"/>
                <w:sz w:val="24"/>
                <w:lang w:bidi="zh-CN"/>
              </w:rPr>
            </w:pPr>
            <w:r>
              <w:rPr>
                <w:rFonts w:ascii="Times New Roman" w:hAnsi="Times New Roman" w:eastAsia="仿宋_GB2312" w:cs="Times New Roman"/>
                <w:color w:val="auto"/>
                <w:sz w:val="24"/>
                <w:lang w:bidi="zh-CN"/>
              </w:rPr>
              <w:t>加快中俄（诸暨）国际实验室、浣江实验室等落地建设</w:t>
            </w:r>
            <w:r>
              <w:rPr>
                <w:rFonts w:hint="eastAsia" w:ascii="Times New Roman" w:hAnsi="Times New Roman" w:eastAsia="仿宋_GB2312" w:cs="Times New Roman"/>
                <w:color w:val="auto"/>
                <w:sz w:val="24"/>
                <w:lang w:bidi="zh-CN"/>
              </w:rPr>
              <w:t>，</w:t>
            </w:r>
            <w:r>
              <w:rPr>
                <w:rFonts w:ascii="Times New Roman" w:hAnsi="Times New Roman" w:eastAsia="仿宋_GB2312" w:cs="Times New Roman"/>
                <w:color w:val="auto"/>
                <w:sz w:val="24"/>
                <w:lang w:bidi="zh-CN"/>
              </w:rPr>
              <w:t>加强与浙江大学、西安交通大学</w:t>
            </w:r>
            <w:r>
              <w:rPr>
                <w:rFonts w:hint="eastAsia" w:ascii="Times New Roman" w:hAnsi="Times New Roman" w:eastAsia="仿宋_GB2312" w:cs="Times New Roman"/>
                <w:color w:val="auto"/>
                <w:sz w:val="24"/>
                <w:lang w:bidi="zh-CN"/>
              </w:rPr>
              <w:t>等高校</w:t>
            </w:r>
            <w:r>
              <w:rPr>
                <w:rFonts w:ascii="Times New Roman" w:hAnsi="Times New Roman" w:eastAsia="仿宋_GB2312" w:cs="Times New Roman"/>
                <w:color w:val="auto"/>
                <w:sz w:val="24"/>
                <w:lang w:bidi="zh-CN"/>
              </w:rPr>
              <w:t>对接合作</w:t>
            </w:r>
            <w:r>
              <w:rPr>
                <w:rFonts w:hint="eastAsia" w:ascii="Times New Roman" w:hAnsi="Times New Roman" w:eastAsia="仿宋_GB2312" w:cs="Times New Roman"/>
                <w:color w:val="auto"/>
                <w:sz w:val="24"/>
                <w:lang w:val="en-US" w:bidi="zh-CN"/>
              </w:rPr>
              <w:t>。</w:t>
            </w:r>
          </w:p>
        </w:tc>
        <w:tc>
          <w:tcPr>
            <w:tcW w:w="2327" w:type="dxa"/>
            <w:vAlign w:val="center"/>
          </w:tcPr>
          <w:p>
            <w:pPr>
              <w:jc w:val="center"/>
              <w:rPr>
                <w:rFonts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eastAsia="仿宋_GB2312" w:cs="Times New Roman"/>
                <w:color w:val="auto"/>
                <w:sz w:val="24"/>
                <w:lang w:val="en-US" w:bidi="zh-CN"/>
              </w:rPr>
            </w:pPr>
            <w:r>
              <w:rPr>
                <w:rFonts w:hint="eastAsia" w:ascii="Times New Roman" w:hAnsi="Times New Roman" w:eastAsia="仿宋_GB2312" w:cs="Times New Roman"/>
                <w:color w:val="auto"/>
                <w:sz w:val="24"/>
                <w:lang w:val="en-US" w:bidi="zh-CN"/>
              </w:rPr>
              <w:t>19</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both"/>
              <w:rPr>
                <w:rFonts w:ascii="Times New Roman" w:hAnsi="Times New Roman" w:eastAsia="仿宋_GB2312" w:cs="Times New Roman"/>
                <w:color w:val="auto"/>
                <w:sz w:val="24"/>
                <w:lang w:bidi="zh-CN"/>
              </w:rPr>
            </w:pPr>
            <w:r>
              <w:rPr>
                <w:rFonts w:ascii="Times New Roman" w:hAnsi="Times New Roman" w:eastAsia="仿宋_GB2312" w:cs="Times New Roman"/>
                <w:color w:val="auto"/>
                <w:sz w:val="24"/>
                <w:lang w:bidi="zh-CN"/>
              </w:rPr>
              <w:t>高效运作人力资源服务产业园，引进、培育一批符合诸暨产业发展需求的人力资源服务企业</w:t>
            </w:r>
            <w:r>
              <w:rPr>
                <w:rFonts w:hint="eastAsia" w:ascii="Times New Roman" w:hAnsi="Times New Roman" w:eastAsia="仿宋_GB2312" w:cs="Times New Roman"/>
                <w:color w:val="auto"/>
                <w:sz w:val="24"/>
                <w:lang w:bidi="zh-CN"/>
              </w:rPr>
              <w:t>。</w:t>
            </w:r>
          </w:p>
        </w:tc>
        <w:tc>
          <w:tcPr>
            <w:tcW w:w="2327" w:type="dxa"/>
            <w:vAlign w:val="center"/>
          </w:tcPr>
          <w:p>
            <w:pPr>
              <w:jc w:val="center"/>
              <w:rPr>
                <w:rFonts w:ascii="Times New Roman" w:hAnsi="Times New Roman" w:eastAsia="仿宋_GB2312" w:cs="Times New Roman"/>
                <w:color w:val="auto"/>
                <w:sz w:val="24"/>
                <w:lang w:bidi="zh-CN"/>
              </w:rPr>
            </w:pPr>
            <w:r>
              <w:rPr>
                <w:rFonts w:ascii="Times New Roman" w:hAnsi="Times New Roman" w:eastAsia="仿宋_GB2312" w:cs="Times New Roman"/>
                <w:color w:val="auto"/>
                <w:sz w:val="24"/>
                <w:lang w:bidi="zh-CN"/>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eastAsia="仿宋_GB2312" w:cs="Times New Roman"/>
                <w:color w:val="auto"/>
                <w:kern w:val="2"/>
                <w:sz w:val="24"/>
                <w:szCs w:val="24"/>
                <w:lang w:val="en-US" w:eastAsia="zh-CN" w:bidi="zh-CN"/>
              </w:rPr>
            </w:pPr>
            <w:r>
              <w:rPr>
                <w:rFonts w:hint="eastAsia" w:ascii="Times New Roman" w:hAnsi="Times New Roman" w:eastAsia="仿宋_GB2312" w:cs="Times New Roman"/>
                <w:color w:val="auto"/>
                <w:sz w:val="24"/>
                <w:lang w:bidi="zh-CN"/>
              </w:rPr>
              <w:t>2</w:t>
            </w:r>
            <w:r>
              <w:rPr>
                <w:rFonts w:hint="eastAsia" w:ascii="Times New Roman" w:hAnsi="Times New Roman" w:eastAsia="仿宋_GB2312" w:cs="Times New Roman"/>
                <w:color w:val="auto"/>
                <w:sz w:val="24"/>
                <w:lang w:val="en-US" w:bidi="zh-CN"/>
              </w:rPr>
              <w:t>0</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both"/>
              <w:rPr>
                <w:rFonts w:ascii="Times New Roman" w:hAnsi="Times New Roman" w:eastAsia="仿宋_GB2312" w:cs="Times New Roman"/>
                <w:color w:val="auto"/>
                <w:sz w:val="24"/>
                <w:lang w:bidi="zh-CN"/>
              </w:rPr>
            </w:pPr>
            <w:r>
              <w:rPr>
                <w:rFonts w:ascii="Times New Roman" w:hAnsi="Times New Roman" w:eastAsia="仿宋_GB2312" w:cs="Times New Roman"/>
                <w:color w:val="auto"/>
                <w:sz w:val="24"/>
                <w:lang w:bidi="zh-CN"/>
              </w:rPr>
              <w:t>拓宽诸暨科技创新券通用通兑范围和领域，开放共享大型科研仪器设备。积极引进科技经纪、信息咨询、检验检测、工业设计等第三方服务机构，共建一体化知识产权公共服务平台，打通投资、交易和公共服务体系。</w:t>
            </w:r>
          </w:p>
        </w:tc>
        <w:tc>
          <w:tcPr>
            <w:tcW w:w="2327" w:type="dxa"/>
            <w:vAlign w:val="center"/>
          </w:tcPr>
          <w:p>
            <w:pPr>
              <w:jc w:val="center"/>
              <w:rPr>
                <w:rFonts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市科技局、市市场监管局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eastAsia="仿宋_GB2312" w:cs="Times New Roman"/>
                <w:color w:val="auto"/>
                <w:kern w:val="2"/>
                <w:sz w:val="24"/>
                <w:szCs w:val="24"/>
                <w:lang w:val="en-US" w:eastAsia="zh-CN" w:bidi="zh-CN"/>
              </w:rPr>
            </w:pPr>
            <w:r>
              <w:rPr>
                <w:rFonts w:hint="eastAsia" w:ascii="Times New Roman" w:hAnsi="Times New Roman" w:eastAsia="仿宋_GB2312" w:cs="Times New Roman"/>
                <w:color w:val="auto"/>
                <w:sz w:val="24"/>
                <w:lang w:bidi="zh-CN"/>
              </w:rPr>
              <w:t>2</w:t>
            </w:r>
            <w:r>
              <w:rPr>
                <w:rFonts w:hint="eastAsia" w:ascii="Times New Roman" w:hAnsi="Times New Roman" w:eastAsia="仿宋_GB2312" w:cs="Times New Roman"/>
                <w:color w:val="auto"/>
                <w:sz w:val="24"/>
                <w:lang w:val="en-US" w:bidi="zh-CN"/>
              </w:rPr>
              <w:t>1</w:t>
            </w:r>
          </w:p>
        </w:tc>
        <w:tc>
          <w:tcPr>
            <w:tcW w:w="1786" w:type="dxa"/>
            <w:vMerge w:val="restart"/>
            <w:vAlign w:val="center"/>
          </w:tcPr>
          <w:p>
            <w:pPr>
              <w:jc w:val="center"/>
              <w:rPr>
                <w:rFonts w:hint="default" w:ascii="Times New Roman" w:hAnsi="Times New Roman" w:eastAsia="仿宋_GB2312" w:cs="Times New Roman"/>
                <w:b/>
                <w:bCs/>
                <w:color w:val="auto"/>
                <w:sz w:val="24"/>
                <w:lang w:val="en-US" w:bidi="zh-CN"/>
              </w:rPr>
            </w:pPr>
            <w:r>
              <w:rPr>
                <w:rFonts w:ascii="Times New Roman" w:hAnsi="Times New Roman" w:eastAsia="仿宋_GB2312" w:cs="Times New Roman"/>
                <w:b/>
                <w:bCs/>
                <w:color w:val="auto"/>
                <w:sz w:val="24"/>
                <w:lang w:bidi="zh-CN"/>
              </w:rPr>
              <w:t>文旅品牌</w:t>
            </w:r>
            <w:r>
              <w:rPr>
                <w:rFonts w:hint="eastAsia" w:ascii="Times New Roman" w:hAnsi="Times New Roman" w:eastAsia="仿宋_GB2312" w:cs="Times New Roman"/>
                <w:b/>
                <w:bCs/>
                <w:color w:val="auto"/>
                <w:sz w:val="24"/>
                <w:lang w:val="en-US" w:bidi="zh-CN"/>
              </w:rPr>
              <w:t>共荣</w:t>
            </w:r>
            <w:r>
              <w:rPr>
                <w:rFonts w:ascii="Times New Roman" w:hAnsi="Times New Roman" w:eastAsia="仿宋_GB2312" w:cs="Times New Roman"/>
                <w:b/>
                <w:bCs/>
                <w:color w:val="auto"/>
                <w:sz w:val="24"/>
                <w:lang w:bidi="zh-CN"/>
              </w:rPr>
              <w:t>提升</w:t>
            </w:r>
            <w:r>
              <w:rPr>
                <w:rFonts w:hint="eastAsia" w:ascii="Times New Roman" w:hAnsi="Times New Roman" w:eastAsia="仿宋_GB2312" w:cs="Times New Roman"/>
                <w:b/>
                <w:bCs/>
                <w:color w:val="auto"/>
                <w:sz w:val="24"/>
                <w:lang w:val="en-US" w:bidi="zh-CN"/>
              </w:rPr>
              <w:t>行动</w:t>
            </w:r>
          </w:p>
        </w:tc>
        <w:tc>
          <w:tcPr>
            <w:tcW w:w="9040" w:type="dxa"/>
            <w:vAlign w:val="center"/>
          </w:tcPr>
          <w:p>
            <w:pPr>
              <w:jc w:val="both"/>
              <w:rPr>
                <w:rFonts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bidi="zh-CN"/>
              </w:rPr>
              <w:t>构筑以西施文化休闲名城、浦阳江生态旅游廊、内环休闲旅游带、外环生态康养度假带为主题的“一城、一廊、两环”旅游发展空间。重点推进珍珠小镇、西施故里“一江两岸”文旅项目、五泄旅游区改造提升项目、枫桥经验文化旅游项目、枫和里乡村旅游示范区等项目建设。到2025年，旅游产业增加值增速7%，旅游接待总人数540万人次。</w:t>
            </w:r>
          </w:p>
        </w:tc>
        <w:tc>
          <w:tcPr>
            <w:tcW w:w="2327" w:type="dxa"/>
            <w:vAlign w:val="center"/>
          </w:tcPr>
          <w:p>
            <w:pPr>
              <w:jc w:val="center"/>
              <w:rPr>
                <w:rFonts w:ascii="Times New Roman" w:hAnsi="Times New Roman" w:eastAsia="仿宋_GB2312" w:cs="Times New Roman"/>
                <w:bCs/>
                <w:color w:val="auto"/>
                <w:sz w:val="24"/>
                <w:lang w:bidi="zh-CN"/>
              </w:rPr>
            </w:pPr>
            <w:r>
              <w:rPr>
                <w:rFonts w:hint="eastAsia" w:ascii="Times New Roman" w:hAnsi="Times New Roman" w:eastAsia="仿宋_GB2312" w:cs="Times New Roman"/>
                <w:color w:val="auto"/>
                <w:sz w:val="24"/>
                <w:lang w:bidi="zh-CN"/>
              </w:rPr>
              <w:t>市文广旅游局、市委宣传部、市文旅集团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eastAsia="仿宋_GB2312" w:cs="Times New Roman"/>
                <w:color w:val="auto"/>
                <w:kern w:val="2"/>
                <w:sz w:val="24"/>
                <w:szCs w:val="24"/>
                <w:lang w:val="en-US" w:eastAsia="zh-CN" w:bidi="zh-CN"/>
              </w:rPr>
            </w:pPr>
            <w:r>
              <w:rPr>
                <w:rFonts w:hint="eastAsia" w:ascii="Times New Roman" w:hAnsi="Times New Roman" w:eastAsia="仿宋_GB2312" w:cs="Times New Roman"/>
                <w:color w:val="auto"/>
                <w:sz w:val="24"/>
                <w:lang w:val="en-US" w:bidi="zh-CN"/>
              </w:rPr>
              <w:t>22</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both"/>
              <w:rPr>
                <w:rFonts w:ascii="Times New Roman" w:hAnsi="Times New Roman" w:eastAsia="仿宋_GB2312" w:cs="Times New Roman"/>
                <w:color w:val="auto"/>
                <w:sz w:val="24"/>
                <w:lang w:bidi="zh-CN"/>
              </w:rPr>
            </w:pPr>
            <w:r>
              <w:rPr>
                <w:rFonts w:hint="eastAsia" w:ascii="Times New Roman" w:hAnsi="Times New Roman" w:eastAsia="仿宋_GB2312" w:cs="Times New Roman"/>
                <w:color w:val="auto"/>
                <w:sz w:val="24"/>
                <w:lang w:val="en-US" w:bidi="zh-CN"/>
              </w:rPr>
              <w:t>立足西施文化IP培育，与杭州联合开展品牌宣传推广，加快西施故里融入“江南绝色·吴越经典”，融合打造一批文旅精品和产业融合示范基地。到2025年，《梦寻西施》场景剧累计巡演不少于60场。</w:t>
            </w:r>
          </w:p>
        </w:tc>
        <w:tc>
          <w:tcPr>
            <w:tcW w:w="2327" w:type="dxa"/>
            <w:vAlign w:val="center"/>
          </w:tcPr>
          <w:p>
            <w:pPr>
              <w:jc w:val="center"/>
              <w:rPr>
                <w:rFonts w:ascii="Times New Roman" w:hAnsi="Times New Roman" w:eastAsia="仿宋_GB2312" w:cs="Times New Roman"/>
                <w:bCs/>
                <w:color w:val="auto"/>
                <w:sz w:val="24"/>
                <w:lang w:bidi="zh-CN"/>
              </w:rPr>
            </w:pPr>
            <w:r>
              <w:rPr>
                <w:rFonts w:hint="eastAsia" w:ascii="Times New Roman" w:hAnsi="Times New Roman" w:eastAsia="仿宋_GB2312" w:cs="Times New Roman"/>
                <w:color w:val="auto"/>
                <w:sz w:val="24"/>
                <w:lang w:bidi="zh-CN"/>
              </w:rPr>
              <w:t>市文广旅游局、市</w:t>
            </w:r>
            <w:r>
              <w:rPr>
                <w:rFonts w:hint="eastAsia" w:ascii="Times New Roman" w:hAnsi="Times New Roman" w:eastAsia="仿宋_GB2312" w:cs="Times New Roman"/>
                <w:color w:val="auto"/>
                <w:sz w:val="24"/>
                <w:lang w:val="en-US" w:bidi="zh-CN"/>
              </w:rPr>
              <w:t>交通运输局</w:t>
            </w:r>
            <w:r>
              <w:rPr>
                <w:rFonts w:hint="eastAsia" w:ascii="Times New Roman" w:hAnsi="Times New Roman" w:eastAsia="仿宋_GB2312" w:cs="Times New Roman"/>
                <w:color w:val="auto"/>
                <w:sz w:val="24"/>
                <w:lang w:bidi="zh-CN"/>
              </w:rPr>
              <w:t>、</w:t>
            </w:r>
            <w:r>
              <w:rPr>
                <w:rFonts w:hint="eastAsia" w:ascii="Times New Roman" w:hAnsi="Times New Roman" w:eastAsia="仿宋_GB2312" w:cs="Times New Roman"/>
                <w:color w:val="auto"/>
                <w:sz w:val="24"/>
                <w:lang w:val="en-US" w:bidi="zh-CN"/>
              </w:rPr>
              <w:t>市商务局、</w:t>
            </w:r>
            <w:r>
              <w:rPr>
                <w:rFonts w:hint="eastAsia" w:ascii="Times New Roman" w:hAnsi="Times New Roman" w:eastAsia="仿宋_GB2312" w:cs="Times New Roman"/>
                <w:color w:val="auto"/>
                <w:sz w:val="24"/>
                <w:lang w:bidi="zh-CN"/>
              </w:rPr>
              <w:t>市文旅集团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eastAsia="仿宋_GB2312" w:cs="Times New Roman"/>
                <w:color w:val="auto"/>
                <w:kern w:val="2"/>
                <w:sz w:val="24"/>
                <w:szCs w:val="24"/>
                <w:lang w:val="en-US" w:eastAsia="zh-CN" w:bidi="zh-CN"/>
              </w:rPr>
            </w:pPr>
            <w:r>
              <w:rPr>
                <w:rFonts w:hint="eastAsia" w:ascii="Times New Roman" w:hAnsi="Times New Roman" w:eastAsia="仿宋_GB2312" w:cs="Times New Roman"/>
                <w:color w:val="auto"/>
                <w:sz w:val="24"/>
                <w:lang w:val="en-US" w:bidi="zh-CN"/>
              </w:rPr>
              <w:t>23</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both"/>
              <w:rPr>
                <w:rFonts w:hint="default" w:ascii="Times New Roman" w:hAnsi="Times New Roman" w:eastAsia="仿宋_GB2312" w:cs="Times New Roman"/>
                <w:color w:val="auto"/>
                <w:sz w:val="24"/>
                <w:lang w:val="en-US" w:bidi="zh-CN"/>
              </w:rPr>
            </w:pPr>
            <w:r>
              <w:rPr>
                <w:rFonts w:hint="default" w:ascii="Times New Roman" w:hAnsi="Times New Roman" w:eastAsia="仿宋_GB2312" w:cs="Times New Roman"/>
                <w:color w:val="auto"/>
                <w:sz w:val="24"/>
                <w:lang w:val="en-US" w:bidi="zh-CN"/>
              </w:rPr>
              <w:t>建成市篮球中心，擦亮诸暨篮球城市金名片。大力发展“体育+”旅游，打造西施马拉松等赛事品牌。主动承接杭州亚运会外溢效应，开发电子竞技、智能体育等新兴体育业态，开展国家重点高水平体育后备人才基地建设。</w:t>
            </w:r>
          </w:p>
        </w:tc>
        <w:tc>
          <w:tcPr>
            <w:tcW w:w="2327" w:type="dxa"/>
            <w:vAlign w:val="center"/>
          </w:tcPr>
          <w:p>
            <w:pPr>
              <w:jc w:val="center"/>
              <w:rPr>
                <w:rFonts w:hint="default" w:ascii="Times New Roman" w:hAnsi="Times New Roman" w:eastAsia="仿宋_GB2312" w:cs="Times New Roman"/>
                <w:bCs/>
                <w:color w:val="auto"/>
                <w:sz w:val="24"/>
                <w:lang w:val="en-US" w:bidi="zh-CN"/>
              </w:rPr>
            </w:pPr>
            <w:r>
              <w:rPr>
                <w:rFonts w:hint="eastAsia" w:ascii="Times New Roman" w:hAnsi="Times New Roman" w:eastAsia="仿宋_GB2312" w:cs="Times New Roman"/>
                <w:bCs/>
                <w:color w:val="auto"/>
                <w:sz w:val="24"/>
                <w:lang w:bidi="zh-CN"/>
              </w:rPr>
              <w:t>市教体局、市文广旅</w:t>
            </w:r>
            <w:r>
              <w:rPr>
                <w:rFonts w:hint="eastAsia" w:ascii="Times New Roman" w:hAnsi="Times New Roman" w:eastAsia="仿宋_GB2312" w:cs="Times New Roman"/>
                <w:bCs/>
                <w:color w:val="auto"/>
                <w:sz w:val="24"/>
                <w:lang w:val="en-US" w:bidi="zh-CN"/>
              </w:rPr>
              <w:t>游</w:t>
            </w:r>
            <w:r>
              <w:rPr>
                <w:rFonts w:hint="eastAsia" w:ascii="Times New Roman" w:hAnsi="Times New Roman" w:eastAsia="仿宋_GB2312" w:cs="Times New Roman"/>
                <w:bCs/>
                <w:color w:val="auto"/>
                <w:sz w:val="24"/>
                <w:lang w:bidi="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eastAsia="仿宋_GB2312" w:cs="Times New Roman"/>
                <w:color w:val="auto"/>
                <w:kern w:val="2"/>
                <w:sz w:val="24"/>
                <w:szCs w:val="24"/>
                <w:lang w:val="en-US" w:eastAsia="zh-CN" w:bidi="zh-CN"/>
              </w:rPr>
            </w:pPr>
            <w:r>
              <w:rPr>
                <w:rFonts w:hint="eastAsia" w:ascii="Times New Roman" w:hAnsi="Times New Roman" w:eastAsia="仿宋_GB2312" w:cs="Times New Roman"/>
                <w:color w:val="auto"/>
                <w:sz w:val="24"/>
                <w:lang w:val="en-US" w:bidi="zh-CN"/>
              </w:rPr>
              <w:t>24</w:t>
            </w:r>
          </w:p>
        </w:tc>
        <w:tc>
          <w:tcPr>
            <w:tcW w:w="1786" w:type="dxa"/>
            <w:vMerge w:val="restart"/>
            <w:vAlign w:val="center"/>
          </w:tcPr>
          <w:p>
            <w:pPr>
              <w:jc w:val="center"/>
              <w:rPr>
                <w:rFonts w:ascii="Times New Roman" w:hAnsi="Times New Roman" w:eastAsia="仿宋_GB2312" w:cs="Times New Roman"/>
                <w:b/>
                <w:bCs/>
                <w:color w:val="auto"/>
                <w:sz w:val="24"/>
                <w:lang w:bidi="zh-CN"/>
              </w:rPr>
            </w:pPr>
            <w:r>
              <w:rPr>
                <w:rFonts w:ascii="Times New Roman" w:hAnsi="Times New Roman" w:eastAsia="仿宋_GB2312" w:cs="Times New Roman"/>
                <w:b/>
                <w:bCs/>
                <w:color w:val="auto"/>
                <w:sz w:val="24"/>
                <w:lang w:bidi="zh-CN"/>
              </w:rPr>
              <w:t>民生智慧共享提标行动</w:t>
            </w:r>
          </w:p>
        </w:tc>
        <w:tc>
          <w:tcPr>
            <w:tcW w:w="9040" w:type="dxa"/>
            <w:vAlign w:val="center"/>
          </w:tcPr>
          <w:p>
            <w:pPr>
              <w:jc w:val="both"/>
              <w:rPr>
                <w:rFonts w:ascii="Times New Roman" w:hAnsi="Times New Roman" w:eastAsia="仿宋_GB2312" w:cs="Times New Roman"/>
                <w:b/>
                <w:bCs/>
                <w:color w:val="auto"/>
                <w:sz w:val="24"/>
                <w:lang w:bidi="zh-CN"/>
              </w:rPr>
            </w:pPr>
            <w:r>
              <w:rPr>
                <w:rFonts w:ascii="Times New Roman" w:hAnsi="Times New Roman" w:eastAsia="仿宋_GB2312" w:cs="Times New Roman"/>
                <w:color w:val="auto"/>
                <w:sz w:val="24"/>
                <w:lang w:bidi="zh-CN"/>
              </w:rPr>
              <w:t>积极推行“高校+”合作办学模式，到2025年，设立教体人才孵化基地3个。</w:t>
            </w:r>
          </w:p>
        </w:tc>
        <w:tc>
          <w:tcPr>
            <w:tcW w:w="2327" w:type="dxa"/>
            <w:vAlign w:val="center"/>
          </w:tcPr>
          <w:p>
            <w:pPr>
              <w:jc w:val="center"/>
              <w:rPr>
                <w:rFonts w:ascii="Times New Roman" w:hAnsi="Times New Roman" w:eastAsia="仿宋_GB2312" w:cs="Times New Roman"/>
                <w:bCs/>
                <w:color w:val="auto"/>
                <w:sz w:val="24"/>
                <w:lang w:bidi="zh-CN"/>
              </w:rPr>
            </w:pPr>
            <w:r>
              <w:rPr>
                <w:rFonts w:ascii="Times New Roman" w:hAnsi="Times New Roman" w:eastAsia="仿宋_GB2312" w:cs="Times New Roman"/>
                <w:color w:val="auto"/>
                <w:sz w:val="24"/>
                <w:lang w:bidi="zh-CN"/>
              </w:rPr>
              <w:t>市教体局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eastAsia="仿宋_GB2312" w:cs="Times New Roman"/>
                <w:color w:val="auto"/>
                <w:kern w:val="2"/>
                <w:sz w:val="24"/>
                <w:szCs w:val="24"/>
                <w:lang w:val="en-US" w:eastAsia="zh-CN" w:bidi="zh-CN"/>
              </w:rPr>
            </w:pPr>
            <w:r>
              <w:rPr>
                <w:rFonts w:hint="eastAsia" w:ascii="Times New Roman" w:hAnsi="Times New Roman" w:eastAsia="仿宋_GB2312" w:cs="Times New Roman"/>
                <w:color w:val="auto"/>
                <w:sz w:val="24"/>
                <w:lang w:val="en-US" w:bidi="zh-CN"/>
              </w:rPr>
              <w:t>25</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both"/>
              <w:rPr>
                <w:rFonts w:ascii="Times New Roman" w:hAnsi="Times New Roman" w:eastAsia="仿宋_GB2312" w:cs="Times New Roman"/>
                <w:b/>
                <w:bCs/>
                <w:color w:val="auto"/>
                <w:sz w:val="24"/>
                <w:lang w:bidi="zh-CN"/>
              </w:rPr>
            </w:pPr>
            <w:r>
              <w:rPr>
                <w:rFonts w:ascii="Times New Roman" w:hAnsi="Times New Roman" w:eastAsia="仿宋_GB2312" w:cs="Times New Roman"/>
                <w:color w:val="auto"/>
                <w:sz w:val="24"/>
                <w:lang w:bidi="zh-CN"/>
              </w:rPr>
              <w:t>全面深化与沪杭绍知名中小学（幼儿园）合作</w:t>
            </w:r>
            <w:r>
              <w:rPr>
                <w:rFonts w:hint="eastAsia" w:ascii="Times New Roman" w:hAnsi="Times New Roman" w:eastAsia="仿宋_GB2312" w:cs="Times New Roman"/>
                <w:color w:val="auto"/>
                <w:sz w:val="24"/>
                <w:lang w:val="en-US" w:bidi="zh-CN"/>
              </w:rPr>
              <w:t>交流</w:t>
            </w:r>
            <w:r>
              <w:rPr>
                <w:rFonts w:ascii="Times New Roman" w:hAnsi="Times New Roman" w:eastAsia="仿宋_GB2312" w:cs="Times New Roman"/>
                <w:color w:val="auto"/>
                <w:sz w:val="24"/>
                <w:lang w:bidi="zh-CN"/>
              </w:rPr>
              <w:t>，到2025年，新增结对学校10家、杭州名师名校长诸暨工作室3个。</w:t>
            </w:r>
            <w:r>
              <w:rPr>
                <w:rFonts w:hint="eastAsia" w:ascii="Times New Roman" w:hAnsi="Times New Roman" w:eastAsia="仿宋_GB2312" w:cs="Times New Roman"/>
                <w:color w:val="auto"/>
                <w:sz w:val="24"/>
                <w:lang w:val="en-US" w:bidi="zh-CN"/>
              </w:rPr>
              <w:t>扩</w:t>
            </w:r>
            <w:r>
              <w:rPr>
                <w:rFonts w:hint="eastAsia" w:ascii="Times New Roman" w:hAnsi="Times New Roman" w:eastAsia="仿宋_GB2312" w:cs="Times New Roman"/>
                <w:color w:val="auto"/>
                <w:sz w:val="24"/>
                <w:lang w:bidi="zh-CN"/>
              </w:rPr>
              <w:t>大与在杭高职院校联办相关专业，拓宽中高职一体化合作培养途径，到2025年，中高职一体化招生占中职招生比例达40%以上。</w:t>
            </w:r>
          </w:p>
        </w:tc>
        <w:tc>
          <w:tcPr>
            <w:tcW w:w="2327" w:type="dxa"/>
            <w:vAlign w:val="center"/>
          </w:tcPr>
          <w:p>
            <w:pPr>
              <w:jc w:val="center"/>
              <w:rPr>
                <w:rFonts w:ascii="Times New Roman" w:hAnsi="Times New Roman" w:eastAsia="仿宋_GB2312" w:cs="Times New Roman"/>
                <w:bCs/>
                <w:color w:val="auto"/>
                <w:sz w:val="24"/>
                <w:lang w:bidi="zh-CN"/>
              </w:rPr>
            </w:pPr>
            <w:r>
              <w:rPr>
                <w:rFonts w:ascii="Times New Roman" w:hAnsi="Times New Roman" w:eastAsia="仿宋_GB2312" w:cs="Times New Roman"/>
                <w:color w:val="auto"/>
                <w:sz w:val="24"/>
                <w:lang w:bidi="zh-CN"/>
              </w:rPr>
              <w:t>市教体局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eastAsia="仿宋_GB2312" w:cs="Times New Roman"/>
                <w:color w:val="auto"/>
                <w:kern w:val="2"/>
                <w:sz w:val="24"/>
                <w:szCs w:val="24"/>
                <w:lang w:val="en-US" w:eastAsia="zh-CN" w:bidi="zh-CN"/>
              </w:rPr>
            </w:pPr>
            <w:r>
              <w:rPr>
                <w:rFonts w:hint="eastAsia" w:ascii="Times New Roman" w:hAnsi="Times New Roman" w:eastAsia="仿宋_GB2312" w:cs="Times New Roman"/>
                <w:color w:val="auto"/>
                <w:sz w:val="24"/>
                <w:lang w:val="en-US" w:bidi="zh-CN"/>
              </w:rPr>
              <w:t>26</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both"/>
              <w:rPr>
                <w:rFonts w:ascii="Times New Roman" w:hAnsi="Times New Roman" w:eastAsia="仿宋_GB2312" w:cs="Times New Roman"/>
                <w:b/>
                <w:bCs/>
                <w:color w:val="auto"/>
                <w:sz w:val="24"/>
                <w:lang w:bidi="zh-CN"/>
              </w:rPr>
            </w:pPr>
            <w:r>
              <w:rPr>
                <w:rFonts w:ascii="Times New Roman" w:hAnsi="Times New Roman" w:eastAsia="仿宋_GB2312" w:cs="Times New Roman"/>
                <w:color w:val="auto"/>
                <w:sz w:val="24"/>
                <w:lang w:bidi="zh-CN"/>
              </w:rPr>
              <w:t>深化诸暨市级医院与浙医一院、浙医二院、省妇产科医院、省儿童医院、省肿瘤医院等牵头医院合作，到2025年，新增引进名医工作室20个</w:t>
            </w:r>
            <w:r>
              <w:rPr>
                <w:rFonts w:hint="eastAsia" w:ascii="Times New Roman" w:hAnsi="Times New Roman" w:eastAsia="仿宋_GB2312" w:cs="Times New Roman"/>
                <w:color w:val="auto"/>
                <w:sz w:val="24"/>
                <w:lang w:bidi="zh-CN"/>
              </w:rPr>
              <w:t>，</w:t>
            </w:r>
            <w:r>
              <w:rPr>
                <w:rFonts w:ascii="Times New Roman" w:hAnsi="Times New Roman" w:eastAsia="仿宋_GB2312" w:cs="Times New Roman"/>
                <w:color w:val="auto"/>
                <w:sz w:val="24"/>
                <w:lang w:bidi="zh-CN"/>
              </w:rPr>
              <w:t>建立紧密协作型医联体5个、专科联盟5个。</w:t>
            </w:r>
          </w:p>
        </w:tc>
        <w:tc>
          <w:tcPr>
            <w:tcW w:w="2327" w:type="dxa"/>
            <w:vAlign w:val="center"/>
          </w:tcPr>
          <w:p>
            <w:pPr>
              <w:jc w:val="center"/>
              <w:rPr>
                <w:rFonts w:ascii="Times New Roman" w:hAnsi="Times New Roman" w:eastAsia="仿宋_GB2312" w:cs="Times New Roman"/>
                <w:bCs/>
                <w:color w:val="auto"/>
                <w:sz w:val="24"/>
                <w:lang w:bidi="zh-CN"/>
              </w:rPr>
            </w:pPr>
            <w:r>
              <w:rPr>
                <w:rFonts w:ascii="Times New Roman" w:hAnsi="Times New Roman" w:eastAsia="仿宋_GB2312" w:cs="Times New Roman"/>
                <w:color w:val="auto"/>
                <w:sz w:val="24"/>
                <w:lang w:bidi="zh-CN"/>
              </w:rPr>
              <w:t>市卫健局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eastAsia="仿宋_GB2312" w:cs="Times New Roman"/>
                <w:color w:val="auto"/>
                <w:kern w:val="2"/>
                <w:sz w:val="24"/>
                <w:szCs w:val="24"/>
                <w:lang w:val="en-US" w:eastAsia="zh-CN" w:bidi="zh-CN"/>
              </w:rPr>
            </w:pPr>
            <w:r>
              <w:rPr>
                <w:rFonts w:hint="eastAsia" w:ascii="Times New Roman" w:hAnsi="Times New Roman" w:eastAsia="仿宋_GB2312" w:cs="Times New Roman"/>
                <w:color w:val="auto"/>
                <w:sz w:val="24"/>
                <w:lang w:val="en-US" w:bidi="zh-CN"/>
              </w:rPr>
              <w:t>27</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both"/>
              <w:rPr>
                <w:rFonts w:ascii="Times New Roman" w:hAnsi="Times New Roman" w:eastAsia="仿宋_GB2312" w:cs="Times New Roman"/>
                <w:b/>
                <w:bCs/>
                <w:color w:val="auto"/>
                <w:sz w:val="24"/>
                <w:lang w:bidi="zh-CN"/>
              </w:rPr>
            </w:pPr>
            <w:r>
              <w:rPr>
                <w:rFonts w:ascii="Times New Roman" w:hAnsi="Times New Roman" w:eastAsia="仿宋_GB2312" w:cs="Times New Roman"/>
                <w:color w:val="auto"/>
                <w:sz w:val="24"/>
                <w:lang w:bidi="zh-CN"/>
              </w:rPr>
              <w:t>联接沪杭绍公共卫生资源，探索建立跨区域自主协同、多方联动、一体化和全周期公共卫生应急管理体系。</w:t>
            </w:r>
          </w:p>
        </w:tc>
        <w:tc>
          <w:tcPr>
            <w:tcW w:w="2327" w:type="dxa"/>
            <w:vAlign w:val="center"/>
          </w:tcPr>
          <w:p>
            <w:pPr>
              <w:jc w:val="center"/>
              <w:rPr>
                <w:rFonts w:ascii="Times New Roman" w:hAnsi="Times New Roman" w:eastAsia="仿宋_GB2312" w:cs="Times New Roman"/>
                <w:bCs/>
                <w:color w:val="auto"/>
                <w:sz w:val="24"/>
                <w:lang w:bidi="zh-CN"/>
              </w:rPr>
            </w:pPr>
            <w:r>
              <w:rPr>
                <w:rFonts w:ascii="Times New Roman" w:hAnsi="Times New Roman" w:eastAsia="仿宋_GB2312" w:cs="Times New Roman"/>
                <w:color w:val="auto"/>
                <w:sz w:val="24"/>
                <w:lang w:bidi="zh-CN"/>
              </w:rPr>
              <w:t>市卫健局、市应急管理局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eastAsia="仿宋_GB2312" w:cs="Times New Roman"/>
                <w:color w:val="auto"/>
                <w:kern w:val="2"/>
                <w:sz w:val="24"/>
                <w:szCs w:val="24"/>
                <w:lang w:val="en-US" w:eastAsia="zh-CN" w:bidi="zh-CN"/>
              </w:rPr>
            </w:pPr>
            <w:r>
              <w:rPr>
                <w:rFonts w:hint="eastAsia" w:ascii="Times New Roman" w:hAnsi="Times New Roman" w:eastAsia="仿宋_GB2312" w:cs="Times New Roman"/>
                <w:color w:val="auto"/>
                <w:sz w:val="24"/>
                <w:lang w:val="en-US" w:bidi="zh-CN"/>
              </w:rPr>
              <w:t>28</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both"/>
              <w:rPr>
                <w:rFonts w:hint="default" w:ascii="Times New Roman" w:hAnsi="Times New Roman" w:eastAsia="仿宋_GB2312" w:cs="Times New Roman"/>
                <w:color w:val="auto"/>
                <w:sz w:val="24"/>
                <w:szCs w:val="24"/>
                <w:lang w:bidi="zh-CN"/>
              </w:rPr>
            </w:pPr>
            <w:r>
              <w:rPr>
                <w:rFonts w:hint="default" w:ascii="Times New Roman" w:hAnsi="Times New Roman" w:eastAsia="仿宋_GB2312" w:cs="Times New Roman"/>
                <w:color w:val="auto"/>
                <w:sz w:val="24"/>
                <w:szCs w:val="24"/>
                <w:lang w:val="en-US" w:eastAsia="zh-CN" w:bidi="zh-CN"/>
              </w:rPr>
              <w:t>积极配合</w:t>
            </w:r>
            <w:r>
              <w:rPr>
                <w:rFonts w:hint="default" w:ascii="Times New Roman" w:hAnsi="Times New Roman" w:eastAsia="仿宋_GB2312" w:cs="Times New Roman"/>
                <w:color w:val="auto"/>
                <w:sz w:val="24"/>
                <w:szCs w:val="24"/>
                <w:lang w:bidi="zh-CN"/>
              </w:rPr>
              <w:t>推动</w:t>
            </w:r>
            <w:r>
              <w:rPr>
                <w:rFonts w:hint="default" w:ascii="Times New Roman" w:hAnsi="Times New Roman" w:eastAsia="仿宋_GB2312" w:cs="Times New Roman"/>
                <w:color w:val="auto"/>
                <w:sz w:val="24"/>
                <w:szCs w:val="24"/>
                <w:lang w:val="en-US" w:eastAsia="zh-CN" w:bidi="zh-CN"/>
              </w:rPr>
              <w:t>杭州</w:t>
            </w:r>
            <w:r>
              <w:rPr>
                <w:rFonts w:hint="default" w:ascii="Times New Roman" w:hAnsi="Times New Roman" w:eastAsia="仿宋_GB2312" w:cs="Times New Roman"/>
                <w:color w:val="auto"/>
                <w:sz w:val="24"/>
                <w:szCs w:val="24"/>
                <w:lang w:bidi="zh-CN"/>
              </w:rPr>
              <w:t>都市圈内医疗卫生机构医疗诊断和检查信息互认互联</w:t>
            </w:r>
            <w:r>
              <w:rPr>
                <w:rFonts w:hint="default" w:ascii="Times New Roman" w:hAnsi="Times New Roman" w:eastAsia="仿宋_GB2312" w:cs="Times New Roman"/>
                <w:color w:val="auto"/>
                <w:sz w:val="24"/>
                <w:szCs w:val="24"/>
                <w:lang w:eastAsia="zh-CN" w:bidi="zh-CN"/>
              </w:rPr>
              <w:t>，</w:t>
            </w:r>
            <w:r>
              <w:rPr>
                <w:rFonts w:hint="default" w:ascii="Times New Roman" w:hAnsi="Times New Roman" w:eastAsia="仿宋_GB2312" w:cs="Times New Roman"/>
                <w:color w:val="auto"/>
                <w:sz w:val="24"/>
                <w:szCs w:val="24"/>
                <w:lang w:val="en-US" w:eastAsia="zh-CN" w:bidi="zh-CN"/>
              </w:rPr>
              <w:t>配合做好</w:t>
            </w:r>
            <w:r>
              <w:rPr>
                <w:rFonts w:hint="default" w:ascii="Times New Roman" w:hAnsi="Times New Roman" w:eastAsia="仿宋_GB2312" w:cs="Times New Roman"/>
                <w:color w:val="auto"/>
                <w:sz w:val="24"/>
                <w:szCs w:val="24"/>
                <w:lang w:bidi="zh-CN"/>
              </w:rPr>
              <w:t>都市圈智慧医疗服务平台</w:t>
            </w:r>
            <w:r>
              <w:rPr>
                <w:rFonts w:hint="default" w:ascii="Times New Roman" w:hAnsi="Times New Roman" w:eastAsia="仿宋_GB2312" w:cs="Times New Roman"/>
                <w:color w:val="auto"/>
                <w:sz w:val="24"/>
                <w:szCs w:val="24"/>
                <w:lang w:val="en-US" w:eastAsia="zh-CN" w:bidi="zh-CN"/>
              </w:rPr>
              <w:t>搭建</w:t>
            </w:r>
            <w:r>
              <w:rPr>
                <w:rFonts w:hint="eastAsia" w:ascii="Times New Roman" w:hAnsi="Times New Roman" w:eastAsia="仿宋_GB2312" w:cs="Times New Roman"/>
                <w:color w:val="auto"/>
                <w:sz w:val="24"/>
                <w:szCs w:val="24"/>
                <w:lang w:bidi="zh-CN"/>
              </w:rPr>
              <w:t>。</w:t>
            </w:r>
          </w:p>
        </w:tc>
        <w:tc>
          <w:tcPr>
            <w:tcW w:w="2327" w:type="dxa"/>
            <w:vAlign w:val="center"/>
          </w:tcPr>
          <w:p>
            <w:pPr>
              <w:jc w:val="center"/>
              <w:rPr>
                <w:rFonts w:ascii="Times New Roman" w:hAnsi="Times New Roman" w:eastAsia="仿宋_GB2312" w:cs="Times New Roman"/>
                <w:bCs/>
                <w:color w:val="auto"/>
                <w:sz w:val="24"/>
                <w:lang w:bidi="zh-CN"/>
              </w:rPr>
            </w:pPr>
            <w:r>
              <w:rPr>
                <w:rFonts w:ascii="Times New Roman" w:hAnsi="Times New Roman" w:eastAsia="仿宋_GB2312" w:cs="Times New Roman"/>
                <w:color w:val="auto"/>
                <w:sz w:val="24"/>
                <w:lang w:bidi="zh-CN"/>
              </w:rPr>
              <w:t>市卫健局、市医保局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eastAsia="仿宋_GB2312" w:cs="Times New Roman"/>
                <w:color w:val="auto"/>
                <w:kern w:val="2"/>
                <w:sz w:val="24"/>
                <w:szCs w:val="24"/>
                <w:lang w:val="en-US" w:eastAsia="zh-CN" w:bidi="zh-CN"/>
              </w:rPr>
            </w:pPr>
            <w:r>
              <w:rPr>
                <w:rFonts w:hint="eastAsia" w:ascii="Times New Roman" w:hAnsi="Times New Roman" w:eastAsia="仿宋_GB2312" w:cs="Times New Roman"/>
                <w:color w:val="auto"/>
                <w:sz w:val="24"/>
                <w:lang w:val="en-US" w:bidi="zh-CN"/>
              </w:rPr>
              <w:t>29</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both"/>
              <w:rPr>
                <w:rFonts w:hint="default" w:ascii="Times New Roman" w:hAnsi="Times New Roman" w:eastAsia="仿宋_GB2312" w:cs="Times New Roman"/>
                <w:color w:val="auto"/>
                <w:sz w:val="24"/>
                <w:szCs w:val="24"/>
                <w:lang w:bidi="zh-CN"/>
              </w:rPr>
            </w:pPr>
            <w:r>
              <w:rPr>
                <w:rFonts w:hint="eastAsia" w:ascii="Times New Roman" w:hAnsi="Times New Roman" w:eastAsia="仿宋_GB2312" w:cs="Times New Roman"/>
                <w:color w:val="auto"/>
                <w:sz w:val="24"/>
                <w:szCs w:val="24"/>
                <w:lang w:bidi="zh-CN"/>
              </w:rPr>
              <w:t>全面推广应用“一网通办”平台，推进政务服务事项“全省通办”，2023年实现“一网通办”平台镇乡（街道）全覆盖。加快建成浙江政务服务网诸暨站“跨省通办”专区，签订区域间“跨省通办”合作协议，推动高频政务服务事项100%实现“跨省通办”。</w:t>
            </w:r>
            <w:r>
              <w:rPr>
                <w:rFonts w:ascii="Times New Roman" w:hAnsi="Times New Roman" w:eastAsia="仿宋_GB2312" w:cs="Times New Roman"/>
                <w:color w:val="auto"/>
                <w:sz w:val="24"/>
                <w:lang w:bidi="zh-CN"/>
              </w:rPr>
              <w:t>推进诸杭“城市大脑”横向互联，到2025年，诸杭跨区域“城市大脑”应用生态全面构建。</w:t>
            </w:r>
          </w:p>
        </w:tc>
        <w:tc>
          <w:tcPr>
            <w:tcW w:w="2327" w:type="dxa"/>
            <w:vAlign w:val="center"/>
          </w:tcPr>
          <w:p>
            <w:pPr>
              <w:jc w:val="center"/>
              <w:rPr>
                <w:rFonts w:ascii="Times New Roman" w:hAnsi="Times New Roman" w:eastAsia="仿宋_GB2312" w:cs="Times New Roman"/>
                <w:bCs/>
                <w:color w:val="auto"/>
                <w:sz w:val="24"/>
                <w:lang w:bidi="zh-CN"/>
              </w:rPr>
            </w:pPr>
            <w:r>
              <w:rPr>
                <w:rFonts w:ascii="Times New Roman" w:hAnsi="Times New Roman" w:eastAsia="仿宋_GB2312" w:cs="Times New Roman"/>
                <w:color w:val="auto"/>
                <w:sz w:val="24"/>
                <w:lang w:bidi="zh-CN"/>
              </w:rPr>
              <w:t>市大数据中心、市政务服务办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eastAsia="仿宋_GB2312" w:cs="Times New Roman"/>
                <w:color w:val="auto"/>
                <w:kern w:val="2"/>
                <w:sz w:val="24"/>
                <w:szCs w:val="24"/>
                <w:lang w:val="en-US" w:eastAsia="zh-CN" w:bidi="zh-CN"/>
              </w:rPr>
            </w:pPr>
            <w:r>
              <w:rPr>
                <w:rFonts w:hint="eastAsia" w:ascii="Times New Roman" w:hAnsi="Times New Roman" w:eastAsia="仿宋_GB2312" w:cs="Times New Roman"/>
                <w:color w:val="auto"/>
                <w:sz w:val="24"/>
                <w:lang w:val="en-US" w:bidi="zh-CN"/>
              </w:rPr>
              <w:t>30</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both"/>
              <w:rPr>
                <w:rFonts w:hint="default" w:ascii="Times New Roman" w:hAnsi="Times New Roman" w:eastAsia="仿宋_GB2312" w:cs="Times New Roman"/>
                <w:color w:val="auto"/>
                <w:sz w:val="24"/>
                <w:szCs w:val="24"/>
                <w:lang w:bidi="zh-CN"/>
              </w:rPr>
            </w:pPr>
            <w:r>
              <w:rPr>
                <w:rFonts w:hint="default" w:ascii="Times New Roman" w:hAnsi="Times New Roman" w:eastAsia="仿宋_GB2312" w:cs="Times New Roman"/>
                <w:color w:val="auto"/>
                <w:sz w:val="24"/>
                <w:szCs w:val="24"/>
                <w:lang w:bidi="zh-CN"/>
              </w:rPr>
              <w:t>联合调处化解诸杭两地跨区域矛盾纠纷，加快推动社会矛盾纠纷调处化解中心数据互联互通</w:t>
            </w:r>
            <w:r>
              <w:rPr>
                <w:rFonts w:hint="eastAsia" w:ascii="Times New Roman" w:hAnsi="Times New Roman" w:eastAsia="仿宋_GB2312" w:cs="Times New Roman"/>
                <w:color w:val="auto"/>
                <w:sz w:val="24"/>
                <w:szCs w:val="24"/>
                <w:lang w:bidi="zh-CN"/>
              </w:rPr>
              <w:t>，</w:t>
            </w:r>
            <w:r>
              <w:rPr>
                <w:rFonts w:hint="default" w:ascii="Times New Roman" w:hAnsi="Times New Roman" w:eastAsia="仿宋_GB2312" w:cs="Times New Roman"/>
                <w:color w:val="auto"/>
                <w:sz w:val="24"/>
                <w:szCs w:val="24"/>
                <w:lang w:bidi="zh-CN"/>
              </w:rPr>
              <w:t>探索都市圈“枫桥经验”新实践</w:t>
            </w:r>
            <w:r>
              <w:rPr>
                <w:rFonts w:hint="default" w:ascii="Times New Roman" w:hAnsi="Times New Roman" w:eastAsia="仿宋_GB2312" w:cs="Times New Roman"/>
                <w:color w:val="auto"/>
                <w:sz w:val="24"/>
                <w:szCs w:val="24"/>
                <w:lang w:bidi="zh-CN"/>
              </w:rPr>
              <w:t>。</w:t>
            </w:r>
          </w:p>
        </w:tc>
        <w:tc>
          <w:tcPr>
            <w:tcW w:w="2327" w:type="dxa"/>
            <w:vAlign w:val="center"/>
          </w:tcPr>
          <w:p>
            <w:pPr>
              <w:jc w:val="center"/>
              <w:rPr>
                <w:rFonts w:ascii="Times New Roman" w:hAnsi="Times New Roman" w:eastAsia="仿宋_GB2312" w:cs="Times New Roman"/>
                <w:bCs/>
                <w:color w:val="auto"/>
                <w:sz w:val="24"/>
                <w:lang w:bidi="zh-CN"/>
              </w:rPr>
            </w:pPr>
            <w:r>
              <w:rPr>
                <w:rFonts w:ascii="Times New Roman" w:hAnsi="Times New Roman" w:eastAsia="仿宋_GB2312" w:cs="Times New Roman"/>
                <w:color w:val="auto"/>
                <w:sz w:val="24"/>
                <w:lang w:bidi="zh-CN"/>
              </w:rPr>
              <w:t>市综合执法局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eastAsia="仿宋_GB2312" w:cs="Times New Roman"/>
                <w:color w:val="auto"/>
                <w:kern w:val="2"/>
                <w:sz w:val="24"/>
                <w:szCs w:val="24"/>
                <w:lang w:val="en-US" w:eastAsia="zh-CN" w:bidi="zh-CN"/>
              </w:rPr>
            </w:pPr>
            <w:r>
              <w:rPr>
                <w:rFonts w:hint="eastAsia" w:ascii="Times New Roman" w:hAnsi="Times New Roman" w:eastAsia="仿宋_GB2312" w:cs="Times New Roman"/>
                <w:color w:val="auto"/>
                <w:sz w:val="24"/>
                <w:lang w:val="en-US" w:bidi="zh-CN"/>
              </w:rPr>
              <w:t>31</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both"/>
              <w:rPr>
                <w:rFonts w:ascii="Times New Roman" w:hAnsi="Times New Roman" w:eastAsia="仿宋_GB2312" w:cs="Times New Roman"/>
                <w:b/>
                <w:bCs/>
                <w:color w:val="auto"/>
                <w:sz w:val="24"/>
                <w:lang w:bidi="zh-CN"/>
              </w:rPr>
            </w:pPr>
            <w:r>
              <w:rPr>
                <w:rFonts w:ascii="Times New Roman" w:hAnsi="Times New Roman" w:eastAsia="仿宋_GB2312" w:cs="Times New Roman"/>
                <w:color w:val="auto"/>
                <w:sz w:val="24"/>
                <w:lang w:bidi="zh-CN"/>
              </w:rPr>
              <w:t>强化社会治安联勤指挥系统，探索建立萧山</w:t>
            </w:r>
            <w:r>
              <w:rPr>
                <w:rFonts w:hint="eastAsia" w:ascii="Times New Roman" w:hAnsi="Times New Roman" w:eastAsia="仿宋_GB2312" w:cs="Times New Roman"/>
                <w:color w:val="auto"/>
                <w:sz w:val="24"/>
                <w:lang w:bidi="zh-CN"/>
              </w:rPr>
              <w:t>—</w:t>
            </w:r>
            <w:r>
              <w:rPr>
                <w:rFonts w:ascii="Times New Roman" w:hAnsi="Times New Roman" w:eastAsia="仿宋_GB2312" w:cs="Times New Roman"/>
                <w:color w:val="auto"/>
                <w:sz w:val="24"/>
                <w:lang w:bidi="zh-CN"/>
              </w:rPr>
              <w:t>诸暨毗邻区域相邻警种联勤联动、常态机动处突等警务一体化机制</w:t>
            </w:r>
            <w:r>
              <w:rPr>
                <w:rFonts w:hint="eastAsia" w:ascii="Times New Roman" w:hAnsi="Times New Roman" w:eastAsia="仿宋_GB2312" w:cs="Times New Roman"/>
                <w:color w:val="auto"/>
                <w:sz w:val="24"/>
                <w:lang w:eastAsia="zh-CN" w:bidi="zh-CN"/>
              </w:rPr>
              <w:t>。</w:t>
            </w:r>
          </w:p>
        </w:tc>
        <w:tc>
          <w:tcPr>
            <w:tcW w:w="2327" w:type="dxa"/>
            <w:vAlign w:val="center"/>
          </w:tcPr>
          <w:p>
            <w:pPr>
              <w:jc w:val="center"/>
              <w:rPr>
                <w:rFonts w:ascii="Times New Roman" w:hAnsi="Times New Roman" w:eastAsia="仿宋_GB2312" w:cs="Times New Roman"/>
                <w:bCs/>
                <w:color w:val="auto"/>
                <w:sz w:val="24"/>
                <w:lang w:bidi="zh-CN"/>
              </w:rPr>
            </w:pPr>
            <w:r>
              <w:rPr>
                <w:rFonts w:ascii="Times New Roman" w:hAnsi="Times New Roman" w:eastAsia="仿宋_GB2312" w:cs="Times New Roman"/>
                <w:color w:val="auto"/>
                <w:sz w:val="24"/>
                <w:lang w:bidi="zh-CN"/>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21" w:type="dxa"/>
            <w:vAlign w:val="center"/>
          </w:tcPr>
          <w:p>
            <w:pPr>
              <w:jc w:val="center"/>
              <w:rPr>
                <w:rFonts w:hint="default" w:ascii="Times New Roman" w:hAnsi="Times New Roman" w:eastAsia="仿宋_GB2312" w:cs="Times New Roman"/>
                <w:color w:val="auto"/>
                <w:kern w:val="2"/>
                <w:sz w:val="24"/>
                <w:szCs w:val="24"/>
                <w:lang w:val="en-US" w:eastAsia="zh-CN" w:bidi="zh-CN"/>
              </w:rPr>
            </w:pPr>
            <w:r>
              <w:rPr>
                <w:rFonts w:hint="eastAsia" w:ascii="Times New Roman" w:hAnsi="Times New Roman" w:eastAsia="仿宋_GB2312" w:cs="Times New Roman"/>
                <w:color w:val="auto"/>
                <w:sz w:val="24"/>
                <w:lang w:val="en-US" w:bidi="zh-CN"/>
              </w:rPr>
              <w:t>32</w:t>
            </w:r>
          </w:p>
        </w:tc>
        <w:tc>
          <w:tcPr>
            <w:tcW w:w="1786" w:type="dxa"/>
            <w:vMerge w:val="restart"/>
            <w:vAlign w:val="center"/>
          </w:tcPr>
          <w:p>
            <w:pPr>
              <w:jc w:val="center"/>
              <w:rPr>
                <w:rFonts w:ascii="Times New Roman" w:hAnsi="Times New Roman" w:eastAsia="仿宋_GB2312" w:cs="Times New Roman"/>
                <w:b/>
                <w:bCs/>
                <w:color w:val="auto"/>
                <w:sz w:val="24"/>
                <w:lang w:bidi="zh-CN"/>
              </w:rPr>
            </w:pPr>
            <w:r>
              <w:rPr>
                <w:rFonts w:ascii="Times New Roman" w:hAnsi="Times New Roman" w:eastAsia="仿宋_GB2312" w:cs="Times New Roman"/>
                <w:b/>
                <w:bCs/>
                <w:color w:val="auto"/>
                <w:sz w:val="24"/>
                <w:lang w:bidi="zh-CN"/>
              </w:rPr>
              <w:t>生态共管共治扩面行动</w:t>
            </w:r>
          </w:p>
        </w:tc>
        <w:tc>
          <w:tcPr>
            <w:tcW w:w="9040" w:type="dxa"/>
            <w:vAlign w:val="center"/>
          </w:tcPr>
          <w:p>
            <w:pPr>
              <w:jc w:val="both"/>
              <w:rPr>
                <w:rFonts w:hint="default" w:ascii="Times New Roman" w:hAnsi="Times New Roman" w:eastAsia="仿宋_GB2312" w:cs="Times New Roman"/>
                <w:b w:val="0"/>
                <w:bCs w:val="0"/>
                <w:color w:val="auto"/>
                <w:sz w:val="24"/>
                <w:lang w:val="en-US" w:bidi="zh-CN"/>
              </w:rPr>
            </w:pPr>
            <w:r>
              <w:rPr>
                <w:rFonts w:hint="eastAsia" w:ascii="Times New Roman" w:hAnsi="Times New Roman" w:eastAsia="仿宋_GB2312" w:cs="Times New Roman"/>
                <w:b w:val="0"/>
                <w:bCs w:val="0"/>
                <w:color w:val="auto"/>
                <w:sz w:val="24"/>
                <w:lang w:bidi="zh-CN"/>
              </w:rPr>
              <w:t>实施重要生态系统保护和修复重大工程，协同开展浦阳江重点流域和生态敏感区保护、生物多样性保护、古树名木保护</w:t>
            </w:r>
            <w:r>
              <w:rPr>
                <w:rFonts w:hint="eastAsia" w:ascii="Times New Roman" w:hAnsi="Times New Roman" w:eastAsia="仿宋_GB2312" w:cs="Times New Roman"/>
                <w:b w:val="0"/>
                <w:bCs w:val="0"/>
                <w:color w:val="auto"/>
                <w:sz w:val="24"/>
                <w:lang w:val="en-US" w:bidi="zh-CN"/>
              </w:rPr>
              <w:t>等专项行动。</w:t>
            </w:r>
          </w:p>
        </w:tc>
        <w:tc>
          <w:tcPr>
            <w:tcW w:w="2327" w:type="dxa"/>
            <w:vAlign w:val="center"/>
          </w:tcPr>
          <w:p>
            <w:pPr>
              <w:jc w:val="center"/>
              <w:rPr>
                <w:rFonts w:hint="eastAsia" w:ascii="Times New Roman" w:hAnsi="Times New Roman" w:eastAsia="仿宋_GB2312" w:cs="Times New Roman"/>
                <w:b w:val="0"/>
                <w:bCs w:val="0"/>
                <w:color w:val="auto"/>
                <w:sz w:val="24"/>
                <w:lang w:bidi="zh-CN"/>
              </w:rPr>
            </w:pPr>
            <w:r>
              <w:rPr>
                <w:rFonts w:hint="eastAsia" w:ascii="Times New Roman" w:hAnsi="Times New Roman" w:eastAsia="仿宋_GB2312" w:cs="Times New Roman"/>
                <w:b w:val="0"/>
                <w:bCs w:val="0"/>
                <w:color w:val="auto"/>
                <w:sz w:val="24"/>
                <w:lang w:bidi="zh-CN"/>
              </w:rPr>
              <w:t>市生态环境分局、市自然资源和规划局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eastAsia="仿宋_GB2312" w:cs="Times New Roman"/>
                <w:color w:val="auto"/>
                <w:kern w:val="2"/>
                <w:sz w:val="24"/>
                <w:szCs w:val="24"/>
                <w:lang w:val="en-US" w:eastAsia="zh-CN" w:bidi="zh-CN"/>
              </w:rPr>
            </w:pPr>
            <w:r>
              <w:rPr>
                <w:rFonts w:hint="eastAsia" w:ascii="Times New Roman" w:hAnsi="Times New Roman" w:eastAsia="仿宋_GB2312" w:cs="Times New Roman"/>
                <w:color w:val="auto"/>
                <w:sz w:val="24"/>
                <w:lang w:val="en-US" w:bidi="zh-CN"/>
              </w:rPr>
              <w:t>33</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both"/>
              <w:rPr>
                <w:rFonts w:ascii="Times New Roman" w:hAnsi="Times New Roman" w:eastAsia="仿宋_GB2312" w:cs="Times New Roman"/>
                <w:b w:val="0"/>
                <w:bCs w:val="0"/>
                <w:color w:val="auto"/>
                <w:sz w:val="24"/>
                <w:lang w:bidi="zh-CN"/>
              </w:rPr>
            </w:pPr>
            <w:r>
              <w:rPr>
                <w:rFonts w:hint="eastAsia" w:ascii="Times New Roman" w:hAnsi="Times New Roman" w:eastAsia="仿宋_GB2312" w:cs="Times New Roman"/>
                <w:b w:val="0"/>
                <w:bCs w:val="0"/>
                <w:color w:val="auto"/>
                <w:sz w:val="24"/>
                <w:lang w:bidi="zh-CN"/>
              </w:rPr>
              <w:t>协同推进诸杭产业绿色低碳转型，实施“花园云”大数据工程。创新生态价值产业实现路径，开发碳汇扶贫试点项目，运用市场化手段将全市脱贫户的林木资源纳入“森林生态银行”统一经营开发。</w:t>
            </w:r>
          </w:p>
        </w:tc>
        <w:tc>
          <w:tcPr>
            <w:tcW w:w="2327" w:type="dxa"/>
            <w:vAlign w:val="center"/>
          </w:tcPr>
          <w:p>
            <w:pPr>
              <w:jc w:val="center"/>
              <w:rPr>
                <w:rFonts w:hint="default" w:ascii="Times New Roman" w:hAnsi="Times New Roman" w:eastAsia="仿宋_GB2312" w:cs="Times New Roman"/>
                <w:b w:val="0"/>
                <w:bCs w:val="0"/>
                <w:color w:val="auto"/>
                <w:sz w:val="24"/>
                <w:lang w:val="en-US" w:eastAsia="zh-CN" w:bidi="zh-CN"/>
              </w:rPr>
            </w:pPr>
            <w:r>
              <w:rPr>
                <w:rFonts w:hint="default" w:ascii="Times New Roman" w:hAnsi="Times New Roman" w:eastAsia="仿宋_GB2312" w:cs="Times New Roman"/>
                <w:b w:val="0"/>
                <w:bCs w:val="0"/>
                <w:color w:val="auto"/>
                <w:sz w:val="24"/>
                <w:lang w:val="en-US" w:eastAsia="zh-CN" w:bidi="zh-CN"/>
              </w:rPr>
              <w:t>市生态环境分局、市发改局、市金融办、市经信局、市农业农村局、市文广旅游局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hint="default" w:ascii="Times New Roman" w:hAnsi="Times New Roman" w:eastAsia="仿宋_GB2312" w:cs="Times New Roman"/>
                <w:color w:val="auto"/>
                <w:kern w:val="2"/>
                <w:sz w:val="24"/>
                <w:szCs w:val="24"/>
                <w:lang w:val="en-US" w:eastAsia="zh-CN" w:bidi="zh-CN"/>
              </w:rPr>
            </w:pPr>
            <w:r>
              <w:rPr>
                <w:rFonts w:hint="eastAsia" w:ascii="Times New Roman" w:hAnsi="Times New Roman" w:eastAsia="仿宋_GB2312" w:cs="Times New Roman"/>
                <w:color w:val="auto"/>
                <w:sz w:val="24"/>
                <w:lang w:val="en-US" w:bidi="zh-CN"/>
              </w:rPr>
              <w:t>34</w:t>
            </w:r>
          </w:p>
        </w:tc>
        <w:tc>
          <w:tcPr>
            <w:tcW w:w="1786" w:type="dxa"/>
            <w:vMerge w:val="continue"/>
            <w:vAlign w:val="center"/>
          </w:tcPr>
          <w:p>
            <w:pPr>
              <w:jc w:val="center"/>
              <w:rPr>
                <w:rFonts w:ascii="Times New Roman" w:hAnsi="Times New Roman" w:eastAsia="仿宋_GB2312" w:cs="Times New Roman"/>
                <w:b/>
                <w:bCs/>
                <w:color w:val="auto"/>
                <w:sz w:val="24"/>
                <w:lang w:bidi="zh-CN"/>
              </w:rPr>
            </w:pPr>
          </w:p>
        </w:tc>
        <w:tc>
          <w:tcPr>
            <w:tcW w:w="9040" w:type="dxa"/>
            <w:vAlign w:val="center"/>
          </w:tcPr>
          <w:p>
            <w:pPr>
              <w:jc w:val="both"/>
              <w:rPr>
                <w:rFonts w:hint="eastAsia" w:ascii="Times New Roman" w:hAnsi="Times New Roman" w:eastAsia="仿宋_GB2312" w:cs="Times New Roman"/>
                <w:b w:val="0"/>
                <w:bCs w:val="0"/>
                <w:color w:val="auto"/>
                <w:sz w:val="24"/>
                <w:lang w:bidi="zh-CN"/>
              </w:rPr>
            </w:pPr>
            <w:r>
              <w:rPr>
                <w:rFonts w:hint="eastAsia" w:ascii="Times New Roman" w:hAnsi="Times New Roman" w:eastAsia="仿宋_GB2312" w:cs="Times New Roman"/>
                <w:b w:val="0"/>
                <w:bCs w:val="0"/>
                <w:color w:val="auto"/>
                <w:sz w:val="24"/>
                <w:lang w:bidi="zh-CN"/>
              </w:rPr>
              <w:t>以萧南—诸北板块为重点协同开展浦阳江综合治理工程，积极参与环杭州湾区域大气污染防治协作，加强与周边县市的大气污染联防联控，强化重污染天气预警和应对。加快建设生态环保大数据平台，加强与杭州企业在生态环保领域科技创新团队</w:t>
            </w:r>
            <w:r>
              <w:rPr>
                <w:rFonts w:hint="eastAsia" w:ascii="Times New Roman" w:hAnsi="Times New Roman" w:eastAsia="仿宋_GB2312" w:cs="Times New Roman"/>
                <w:b w:val="0"/>
                <w:bCs w:val="0"/>
                <w:color w:val="auto"/>
                <w:sz w:val="24"/>
                <w:lang w:val="en-US" w:bidi="zh-CN"/>
              </w:rPr>
              <w:t>共建</w:t>
            </w:r>
            <w:r>
              <w:rPr>
                <w:rFonts w:hint="eastAsia" w:ascii="Times New Roman" w:hAnsi="Times New Roman" w:eastAsia="仿宋_GB2312" w:cs="Times New Roman"/>
                <w:b w:val="0"/>
                <w:bCs w:val="0"/>
                <w:color w:val="auto"/>
                <w:sz w:val="24"/>
                <w:lang w:bidi="zh-CN"/>
              </w:rPr>
              <w:t>和关键技术研发。</w:t>
            </w:r>
          </w:p>
        </w:tc>
        <w:tc>
          <w:tcPr>
            <w:tcW w:w="2327" w:type="dxa"/>
            <w:vAlign w:val="center"/>
          </w:tcPr>
          <w:p>
            <w:pPr>
              <w:jc w:val="center"/>
              <w:rPr>
                <w:rFonts w:hint="default" w:ascii="Times New Roman" w:hAnsi="Times New Roman" w:eastAsia="仿宋_GB2312" w:cs="Times New Roman"/>
                <w:b w:val="0"/>
                <w:bCs w:val="0"/>
                <w:color w:val="auto"/>
                <w:sz w:val="24"/>
                <w:lang w:val="en-US" w:eastAsia="zh-CN" w:bidi="zh-CN"/>
              </w:rPr>
            </w:pPr>
            <w:r>
              <w:rPr>
                <w:rFonts w:hint="eastAsia" w:ascii="Times New Roman" w:hAnsi="Times New Roman" w:eastAsia="仿宋_GB2312" w:cs="Times New Roman"/>
                <w:b w:val="0"/>
                <w:bCs w:val="0"/>
                <w:color w:val="auto"/>
                <w:sz w:val="24"/>
                <w:lang w:val="en-US" w:bidi="zh-CN"/>
              </w:rPr>
              <w:t>市</w:t>
            </w:r>
            <w:r>
              <w:rPr>
                <w:rFonts w:hint="eastAsia" w:ascii="Times New Roman" w:hAnsi="Times New Roman" w:eastAsia="仿宋_GB2312" w:cs="Times New Roman"/>
                <w:b w:val="0"/>
                <w:bCs w:val="0"/>
                <w:color w:val="auto"/>
                <w:sz w:val="24"/>
                <w:lang w:bidi="zh-CN"/>
              </w:rPr>
              <w:t>生态环境分局</w:t>
            </w:r>
          </w:p>
        </w:tc>
      </w:tr>
    </w:tbl>
    <w:p>
      <w:pPr>
        <w:spacing w:line="560" w:lineRule="exact"/>
        <w:outlineLvl w:val="0"/>
        <w:rPr>
          <w:rFonts w:ascii="Times New Roman" w:hAnsi="Times New Roman" w:eastAsia="黑体" w:cs="Times New Roman"/>
          <w:color w:val="auto"/>
          <w:sz w:val="32"/>
          <w:szCs w:val="32"/>
        </w:rPr>
      </w:pPr>
      <w:bookmarkStart w:id="31" w:name="_Toc18814"/>
    </w:p>
    <w:p>
      <w:pPr>
        <w:spacing w:line="560" w:lineRule="exact"/>
        <w:outlineLvl w:val="0"/>
        <w:rPr>
          <w:rFonts w:ascii="Times New Roman" w:hAnsi="Times New Roman" w:eastAsia="黑体" w:cs="Times New Roman"/>
          <w:color w:val="auto"/>
          <w:sz w:val="32"/>
          <w:szCs w:val="32"/>
        </w:rPr>
      </w:pPr>
    </w:p>
    <w:p>
      <w:pPr>
        <w:spacing w:line="560" w:lineRule="exact"/>
        <w:outlineLvl w:val="0"/>
        <w:rPr>
          <w:rFonts w:ascii="Times New Roman" w:hAnsi="Times New Roman" w:eastAsia="黑体" w:cs="Times New Roman"/>
          <w:color w:val="auto"/>
          <w:sz w:val="32"/>
          <w:szCs w:val="32"/>
        </w:rPr>
      </w:pPr>
    </w:p>
    <w:p>
      <w:pPr>
        <w:spacing w:line="560" w:lineRule="exact"/>
        <w:outlineLvl w:val="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附件2</w:t>
      </w:r>
      <w:bookmarkEnd w:id="31"/>
    </w:p>
    <w:p>
      <w:pPr>
        <w:pStyle w:val="4"/>
        <w:bidi w:val="0"/>
        <w:ind w:left="0" w:leftChars="0" w:firstLine="0" w:firstLineChars="0"/>
        <w:jc w:val="center"/>
        <w:rPr>
          <w:color w:val="auto"/>
        </w:rPr>
      </w:pPr>
      <w:bookmarkStart w:id="32" w:name="_Toc11593"/>
      <w:r>
        <w:rPr>
          <w:color w:val="auto"/>
        </w:rPr>
        <w:t>诸暨市“杭绍同城”</w:t>
      </w:r>
      <w:r>
        <w:rPr>
          <w:rFonts w:hint="eastAsia"/>
          <w:color w:val="auto"/>
          <w:lang w:val="en-US" w:eastAsia="zh-CN"/>
        </w:rPr>
        <w:t>三年</w:t>
      </w:r>
      <w:r>
        <w:rPr>
          <w:color w:val="auto"/>
        </w:rPr>
        <w:t>行动计划（2023-2025）重点项目建设表</w:t>
      </w:r>
      <w:bookmarkEnd w:id="32"/>
    </w:p>
    <w:p>
      <w:pPr>
        <w:rPr>
          <w:color w:val="auto"/>
        </w:rPr>
      </w:pPr>
    </w:p>
    <w:tbl>
      <w:tblPr>
        <w:tblStyle w:val="11"/>
        <w:tblW w:w="13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1646"/>
        <w:gridCol w:w="3486"/>
        <w:gridCol w:w="2060"/>
        <w:gridCol w:w="2280"/>
        <w:gridCol w:w="3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85" w:type="dxa"/>
            <w:vAlign w:val="center"/>
          </w:tcPr>
          <w:p>
            <w:pPr>
              <w:pStyle w:val="2"/>
              <w:keepNext w:val="0"/>
              <w:keepLines w:val="0"/>
              <w:pageBreakBefore w:val="0"/>
              <w:kinsoku/>
              <w:wordWrap/>
              <w:overflowPunct/>
              <w:topLinePunct w:val="0"/>
              <w:autoSpaceDE/>
              <w:autoSpaceDN/>
              <w:bidi w:val="0"/>
              <w:adjustRightInd/>
              <w:snapToGrid/>
              <w:spacing w:line="300" w:lineRule="exact"/>
              <w:jc w:val="center"/>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序号</w:t>
            </w:r>
          </w:p>
        </w:tc>
        <w:tc>
          <w:tcPr>
            <w:tcW w:w="1646" w:type="dxa"/>
            <w:vAlign w:val="center"/>
          </w:tcPr>
          <w:p>
            <w:pPr>
              <w:pStyle w:val="2"/>
              <w:keepNext w:val="0"/>
              <w:keepLines w:val="0"/>
              <w:pageBreakBefore w:val="0"/>
              <w:kinsoku/>
              <w:wordWrap/>
              <w:overflowPunct/>
              <w:topLinePunct w:val="0"/>
              <w:autoSpaceDE/>
              <w:autoSpaceDN/>
              <w:bidi w:val="0"/>
              <w:adjustRightInd/>
              <w:snapToGrid/>
              <w:spacing w:line="300" w:lineRule="exact"/>
              <w:jc w:val="center"/>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项目类型</w:t>
            </w:r>
          </w:p>
        </w:tc>
        <w:tc>
          <w:tcPr>
            <w:tcW w:w="3486" w:type="dxa"/>
            <w:vAlign w:val="center"/>
          </w:tcPr>
          <w:p>
            <w:pPr>
              <w:pStyle w:val="2"/>
              <w:keepNext w:val="0"/>
              <w:keepLines w:val="0"/>
              <w:pageBreakBefore w:val="0"/>
              <w:kinsoku/>
              <w:wordWrap/>
              <w:overflowPunct/>
              <w:topLinePunct w:val="0"/>
              <w:autoSpaceDE/>
              <w:autoSpaceDN/>
              <w:bidi w:val="0"/>
              <w:adjustRightInd/>
              <w:snapToGrid/>
              <w:spacing w:line="300" w:lineRule="exact"/>
              <w:jc w:val="center"/>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项目名称</w:t>
            </w:r>
          </w:p>
        </w:tc>
        <w:tc>
          <w:tcPr>
            <w:tcW w:w="2060" w:type="dxa"/>
            <w:vAlign w:val="center"/>
          </w:tcPr>
          <w:p>
            <w:pPr>
              <w:pStyle w:val="2"/>
              <w:keepNext w:val="0"/>
              <w:keepLines w:val="0"/>
              <w:pageBreakBefore w:val="0"/>
              <w:kinsoku/>
              <w:wordWrap/>
              <w:overflowPunct/>
              <w:topLinePunct w:val="0"/>
              <w:autoSpaceDE/>
              <w:autoSpaceDN/>
              <w:bidi w:val="0"/>
              <w:adjustRightInd/>
              <w:snapToGrid/>
              <w:spacing w:line="300" w:lineRule="exact"/>
              <w:jc w:val="center"/>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计划总投资</w:t>
            </w:r>
          </w:p>
          <w:p>
            <w:pPr>
              <w:pStyle w:val="2"/>
              <w:keepNext w:val="0"/>
              <w:keepLines w:val="0"/>
              <w:pageBreakBefore w:val="0"/>
              <w:kinsoku/>
              <w:wordWrap/>
              <w:overflowPunct/>
              <w:topLinePunct w:val="0"/>
              <w:autoSpaceDE/>
              <w:autoSpaceDN/>
              <w:bidi w:val="0"/>
              <w:adjustRightInd/>
              <w:snapToGrid/>
              <w:spacing w:line="300" w:lineRule="exact"/>
              <w:jc w:val="center"/>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（亿元）</w:t>
            </w:r>
          </w:p>
        </w:tc>
        <w:tc>
          <w:tcPr>
            <w:tcW w:w="2280" w:type="dxa"/>
            <w:vAlign w:val="center"/>
          </w:tcPr>
          <w:p>
            <w:pPr>
              <w:pStyle w:val="2"/>
              <w:keepNext w:val="0"/>
              <w:keepLines w:val="0"/>
              <w:pageBreakBefore w:val="0"/>
              <w:kinsoku/>
              <w:wordWrap/>
              <w:overflowPunct/>
              <w:topLinePunct w:val="0"/>
              <w:autoSpaceDE/>
              <w:autoSpaceDN/>
              <w:bidi w:val="0"/>
              <w:adjustRightInd/>
              <w:snapToGrid/>
              <w:spacing w:line="300" w:lineRule="exact"/>
              <w:jc w:val="center"/>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建设期限</w:t>
            </w:r>
          </w:p>
        </w:tc>
        <w:tc>
          <w:tcPr>
            <w:tcW w:w="3490" w:type="dxa"/>
            <w:vAlign w:val="center"/>
          </w:tcPr>
          <w:p>
            <w:pPr>
              <w:pStyle w:val="2"/>
              <w:keepNext w:val="0"/>
              <w:keepLines w:val="0"/>
              <w:pageBreakBefore w:val="0"/>
              <w:kinsoku/>
              <w:wordWrap/>
              <w:overflowPunct/>
              <w:topLinePunct w:val="0"/>
              <w:autoSpaceDE/>
              <w:autoSpaceDN/>
              <w:bidi w:val="0"/>
              <w:adjustRightInd/>
              <w:snapToGrid/>
              <w:spacing w:line="300" w:lineRule="exact"/>
              <w:jc w:val="center"/>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建设单位（责任单位）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w:t>
            </w:r>
          </w:p>
        </w:tc>
        <w:tc>
          <w:tcPr>
            <w:tcW w:w="1646" w:type="dxa"/>
            <w:vMerge w:val="restart"/>
            <w:vAlign w:val="center"/>
          </w:tcPr>
          <w:p>
            <w:pPr>
              <w:jc w:val="center"/>
              <w:rPr>
                <w:rFonts w:hint="default" w:ascii="Times New Roman" w:hAnsi="Times New Roman" w:eastAsia="仿宋_GB2312" w:cs="Times New Roman"/>
                <w:b/>
                <w:bCs/>
                <w:color w:val="auto"/>
                <w:kern w:val="2"/>
                <w:sz w:val="24"/>
                <w:szCs w:val="24"/>
                <w:lang w:val="en-US" w:eastAsia="zh-CN" w:bidi="zh-CN"/>
              </w:rPr>
            </w:pPr>
            <w:r>
              <w:rPr>
                <w:rFonts w:hint="default" w:ascii="Times New Roman" w:hAnsi="Times New Roman" w:eastAsia="仿宋_GB2312" w:cs="Times New Roman"/>
                <w:b/>
                <w:bCs/>
                <w:color w:val="auto"/>
                <w:kern w:val="2"/>
                <w:sz w:val="24"/>
                <w:szCs w:val="24"/>
                <w:lang w:val="en-US" w:eastAsia="zh-CN" w:bidi="zh-CN"/>
              </w:rPr>
              <w:t>交通互通</w:t>
            </w:r>
          </w:p>
          <w:p>
            <w:pPr>
              <w:jc w:val="center"/>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b/>
                <w:bCs/>
                <w:color w:val="auto"/>
                <w:kern w:val="2"/>
                <w:sz w:val="24"/>
                <w:szCs w:val="24"/>
                <w:lang w:val="en-US" w:eastAsia="zh-CN" w:bidi="zh-CN"/>
              </w:rPr>
              <w:t>共网</w:t>
            </w: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柯诸高速诸暨段</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117</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2022-2026</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柯诸高速为绍兴市柯诸高速公路有限公司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w:t>
            </w:r>
          </w:p>
        </w:tc>
        <w:tc>
          <w:tcPr>
            <w:tcW w:w="1646" w:type="dxa"/>
            <w:vMerge w:val="continue"/>
            <w:vAlign w:val="center"/>
          </w:tcPr>
          <w:p>
            <w:pPr>
              <w:jc w:val="center"/>
              <w:rPr>
                <w:rFonts w:hint="default" w:ascii="Times New Roman" w:hAnsi="Times New Roman" w:eastAsia="仿宋_GB2312" w:cs="Times New Roman"/>
                <w:color w:val="auto"/>
                <w:sz w:val="24"/>
                <w:szCs w:val="24"/>
                <w:vertAlign w:val="baseline"/>
                <w:lang w:val="en-US" w:eastAsia="zh-CN"/>
              </w:rPr>
            </w:pP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诸永高速直埠至街亭枢纽段改扩建</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63</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2023-2025</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省交投浙中专班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3</w:t>
            </w:r>
          </w:p>
        </w:tc>
        <w:tc>
          <w:tcPr>
            <w:tcW w:w="1646" w:type="dxa"/>
            <w:vMerge w:val="continue"/>
            <w:vAlign w:val="center"/>
          </w:tcPr>
          <w:p>
            <w:pPr>
              <w:jc w:val="center"/>
              <w:rPr>
                <w:rFonts w:hint="default" w:ascii="Times New Roman" w:hAnsi="Times New Roman" w:eastAsia="仿宋_GB2312" w:cs="Times New Roman"/>
                <w:color w:val="auto"/>
                <w:sz w:val="24"/>
                <w:szCs w:val="24"/>
                <w:vertAlign w:val="baseline"/>
                <w:lang w:val="en-US" w:eastAsia="zh-CN"/>
              </w:rPr>
            </w:pP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合温高速诸暨段</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25</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w:t>
            </w:r>
            <w:r>
              <w:rPr>
                <w:rFonts w:hint="eastAsia" w:ascii="Times New Roman" w:hAnsi="Times New Roman" w:eastAsia="仿宋_GB2312" w:cs="Times New Roman"/>
                <w:b w:val="0"/>
                <w:bCs w:val="0"/>
                <w:color w:val="auto"/>
                <w:sz w:val="24"/>
                <w:szCs w:val="24"/>
                <w:lang w:val="en-US" w:eastAsia="zh-CN" w:bidi="zh-CN"/>
              </w:rPr>
              <w:t>4</w:t>
            </w:r>
            <w:r>
              <w:rPr>
                <w:rFonts w:hint="default" w:ascii="Times New Roman" w:hAnsi="Times New Roman" w:eastAsia="仿宋_GB2312" w:cs="Times New Roman"/>
                <w:b w:val="0"/>
                <w:bCs w:val="0"/>
                <w:color w:val="auto"/>
                <w:sz w:val="24"/>
                <w:szCs w:val="24"/>
                <w:lang w:val="en-US" w:eastAsia="zh-CN" w:bidi="zh-CN"/>
              </w:rPr>
              <w:t>-202</w:t>
            </w:r>
            <w:r>
              <w:rPr>
                <w:rFonts w:hint="eastAsia" w:ascii="Times New Roman" w:hAnsi="Times New Roman" w:eastAsia="仿宋_GB2312" w:cs="Times New Roman"/>
                <w:b w:val="0"/>
                <w:bCs w:val="0"/>
                <w:color w:val="auto"/>
                <w:sz w:val="24"/>
                <w:szCs w:val="24"/>
                <w:lang w:val="en-US" w:eastAsia="zh-CN" w:bidi="zh-CN"/>
              </w:rPr>
              <w:t>7</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省交投浙中专班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4</w:t>
            </w:r>
          </w:p>
        </w:tc>
        <w:tc>
          <w:tcPr>
            <w:tcW w:w="1646" w:type="dxa"/>
            <w:vMerge w:val="continue"/>
            <w:vAlign w:val="center"/>
          </w:tcPr>
          <w:p>
            <w:pPr>
              <w:jc w:val="center"/>
              <w:rPr>
                <w:rFonts w:hint="default" w:ascii="Times New Roman" w:hAnsi="Times New Roman" w:eastAsia="仿宋_GB2312" w:cs="Times New Roman"/>
                <w:color w:val="auto"/>
                <w:sz w:val="24"/>
                <w:szCs w:val="24"/>
                <w:vertAlign w:val="baseline"/>
                <w:lang w:val="en-US" w:eastAsia="zh-CN"/>
              </w:rPr>
            </w:pP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G235国道诸暨安华至萧山河上段</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65.8</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2020-2024</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诸暨市交通基础设施建设有限公司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5</w:t>
            </w:r>
          </w:p>
        </w:tc>
        <w:tc>
          <w:tcPr>
            <w:tcW w:w="1646" w:type="dxa"/>
            <w:vMerge w:val="continue"/>
            <w:vAlign w:val="center"/>
          </w:tcPr>
          <w:p>
            <w:pPr>
              <w:jc w:val="center"/>
              <w:rPr>
                <w:rFonts w:hint="default" w:ascii="Times New Roman" w:hAnsi="Times New Roman" w:eastAsia="仿宋_GB2312" w:cs="Times New Roman"/>
                <w:color w:val="auto"/>
                <w:sz w:val="24"/>
                <w:szCs w:val="24"/>
                <w:vertAlign w:val="baseline"/>
                <w:lang w:val="en-US" w:eastAsia="zh-CN"/>
              </w:rPr>
            </w:pP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诸暨至萧山浦阳公路</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27.5</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w:t>
            </w:r>
            <w:r>
              <w:rPr>
                <w:rFonts w:hint="eastAsia" w:ascii="Times New Roman" w:hAnsi="Times New Roman" w:eastAsia="仿宋_GB2312" w:cs="Times New Roman"/>
                <w:b w:val="0"/>
                <w:bCs w:val="0"/>
                <w:color w:val="auto"/>
                <w:sz w:val="24"/>
                <w:szCs w:val="24"/>
                <w:lang w:val="en-US" w:eastAsia="zh-CN" w:bidi="zh-CN"/>
              </w:rPr>
              <w:t>4</w:t>
            </w:r>
            <w:r>
              <w:rPr>
                <w:rFonts w:hint="default" w:ascii="Times New Roman" w:hAnsi="Times New Roman" w:eastAsia="仿宋_GB2312" w:cs="Times New Roman"/>
                <w:b w:val="0"/>
                <w:bCs w:val="0"/>
                <w:color w:val="auto"/>
                <w:sz w:val="24"/>
                <w:szCs w:val="24"/>
                <w:lang w:val="en-US" w:eastAsia="zh-CN" w:bidi="zh-CN"/>
              </w:rPr>
              <w:t>-202</w:t>
            </w:r>
            <w:r>
              <w:rPr>
                <w:rFonts w:hint="eastAsia" w:ascii="Times New Roman" w:hAnsi="Times New Roman" w:eastAsia="仿宋_GB2312" w:cs="Times New Roman"/>
                <w:b w:val="0"/>
                <w:bCs w:val="0"/>
                <w:color w:val="auto"/>
                <w:sz w:val="24"/>
                <w:szCs w:val="24"/>
                <w:lang w:val="en-US" w:eastAsia="zh-CN" w:bidi="zh-CN"/>
              </w:rPr>
              <w:t>6</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诸暨市交通基础设施建设有限公司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6</w:t>
            </w:r>
          </w:p>
        </w:tc>
        <w:tc>
          <w:tcPr>
            <w:tcW w:w="1646" w:type="dxa"/>
            <w:vMerge w:val="continue"/>
            <w:vAlign w:val="center"/>
          </w:tcPr>
          <w:p>
            <w:pPr>
              <w:jc w:val="center"/>
              <w:rPr>
                <w:rFonts w:hint="default" w:ascii="Times New Roman" w:hAnsi="Times New Roman" w:eastAsia="仿宋_GB2312" w:cs="Times New Roman"/>
                <w:color w:val="auto"/>
                <w:sz w:val="24"/>
                <w:szCs w:val="24"/>
                <w:vertAlign w:val="baseline"/>
                <w:lang w:val="en-US" w:eastAsia="zh-CN"/>
              </w:rPr>
            </w:pP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S211绍大线枫桥段改建工程</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22</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2023-202</w:t>
            </w:r>
            <w:r>
              <w:rPr>
                <w:rFonts w:hint="eastAsia" w:ascii="Times New Roman" w:hAnsi="Times New Roman" w:eastAsia="仿宋_GB2312" w:cs="Times New Roman"/>
                <w:b w:val="0"/>
                <w:bCs w:val="0"/>
                <w:color w:val="auto"/>
                <w:sz w:val="24"/>
                <w:szCs w:val="24"/>
                <w:lang w:val="en-US" w:eastAsia="zh-CN" w:bidi="zh-CN"/>
              </w:rPr>
              <w:t>6</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诸暨市交通基础设施建设有限公司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7</w:t>
            </w:r>
          </w:p>
        </w:tc>
        <w:tc>
          <w:tcPr>
            <w:tcW w:w="1646" w:type="dxa"/>
            <w:vMerge w:val="continue"/>
            <w:vAlign w:val="center"/>
          </w:tcPr>
          <w:p>
            <w:pPr>
              <w:jc w:val="center"/>
              <w:rPr>
                <w:rFonts w:hint="default" w:ascii="Times New Roman" w:hAnsi="Times New Roman" w:eastAsia="仿宋_GB2312" w:cs="Times New Roman"/>
                <w:color w:val="auto"/>
                <w:sz w:val="24"/>
                <w:szCs w:val="24"/>
                <w:vertAlign w:val="baseline"/>
                <w:lang w:val="en-US" w:eastAsia="zh-CN"/>
              </w:rPr>
            </w:pP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白门至大路杨</w:t>
            </w:r>
          </w:p>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公路</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13.3</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2022-202</w:t>
            </w:r>
            <w:r>
              <w:rPr>
                <w:rFonts w:hint="eastAsia" w:ascii="Times New Roman" w:hAnsi="Times New Roman" w:eastAsia="仿宋_GB2312" w:cs="Times New Roman"/>
                <w:b w:val="0"/>
                <w:bCs w:val="0"/>
                <w:color w:val="auto"/>
                <w:sz w:val="24"/>
                <w:szCs w:val="24"/>
                <w:lang w:val="en-US" w:eastAsia="zh-CN" w:bidi="zh-CN"/>
              </w:rPr>
              <w:t>5</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白门至大路杨公路建设工程有限公司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8</w:t>
            </w:r>
          </w:p>
        </w:tc>
        <w:tc>
          <w:tcPr>
            <w:tcW w:w="1646" w:type="dxa"/>
            <w:vMerge w:val="continue"/>
            <w:vAlign w:val="center"/>
          </w:tcPr>
          <w:p>
            <w:pPr>
              <w:jc w:val="center"/>
              <w:rPr>
                <w:rFonts w:hint="default" w:ascii="Times New Roman" w:hAnsi="Times New Roman" w:eastAsia="仿宋_GB2312" w:cs="Times New Roman"/>
                <w:color w:val="auto"/>
                <w:sz w:val="24"/>
                <w:szCs w:val="24"/>
                <w:vertAlign w:val="baseline"/>
                <w:lang w:val="en-US" w:eastAsia="zh-CN"/>
              </w:rPr>
            </w:pP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诸暨市店口综合港区工程</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7.6</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2020-2023</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诸暨市交通基础设施建设有限公司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9</w:t>
            </w:r>
          </w:p>
        </w:tc>
        <w:tc>
          <w:tcPr>
            <w:tcW w:w="1646" w:type="dxa"/>
            <w:vMerge w:val="continue"/>
            <w:vAlign w:val="center"/>
          </w:tcPr>
          <w:p>
            <w:pPr>
              <w:jc w:val="center"/>
              <w:rPr>
                <w:rFonts w:hint="default" w:ascii="Times New Roman" w:hAnsi="Times New Roman" w:eastAsia="仿宋_GB2312" w:cs="Times New Roman"/>
                <w:color w:val="auto"/>
                <w:sz w:val="24"/>
                <w:szCs w:val="24"/>
                <w:vertAlign w:val="baseline"/>
                <w:lang w:val="en-US" w:eastAsia="zh-CN"/>
              </w:rPr>
            </w:pP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诸暨站综合枢纽改造工程</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15</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w:t>
            </w:r>
            <w:r>
              <w:rPr>
                <w:rFonts w:hint="eastAsia" w:ascii="Times New Roman" w:hAnsi="Times New Roman" w:eastAsia="仿宋_GB2312" w:cs="Times New Roman"/>
                <w:b w:val="0"/>
                <w:bCs w:val="0"/>
                <w:color w:val="auto"/>
                <w:sz w:val="24"/>
                <w:szCs w:val="24"/>
                <w:lang w:val="en-US" w:eastAsia="zh-CN" w:bidi="zh-CN"/>
              </w:rPr>
              <w:t>5</w:t>
            </w:r>
            <w:r>
              <w:rPr>
                <w:rFonts w:hint="default" w:ascii="Times New Roman" w:hAnsi="Times New Roman" w:eastAsia="仿宋_GB2312" w:cs="Times New Roman"/>
                <w:b w:val="0"/>
                <w:bCs w:val="0"/>
                <w:color w:val="auto"/>
                <w:sz w:val="24"/>
                <w:szCs w:val="24"/>
                <w:lang w:val="en-US" w:eastAsia="zh-CN" w:bidi="zh-CN"/>
              </w:rPr>
              <w:t>-20</w:t>
            </w:r>
            <w:r>
              <w:rPr>
                <w:rFonts w:hint="eastAsia" w:ascii="Times New Roman" w:hAnsi="Times New Roman" w:eastAsia="仿宋_GB2312" w:cs="Times New Roman"/>
                <w:b w:val="0"/>
                <w:bCs w:val="0"/>
                <w:color w:val="auto"/>
                <w:sz w:val="24"/>
                <w:szCs w:val="24"/>
                <w:lang w:val="en-US" w:eastAsia="zh-CN" w:bidi="zh-CN"/>
              </w:rPr>
              <w:t>30</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诸暨市新城投资开发集团有限公司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10</w:t>
            </w:r>
          </w:p>
        </w:tc>
        <w:tc>
          <w:tcPr>
            <w:tcW w:w="1646" w:type="dxa"/>
            <w:vMerge w:val="restart"/>
            <w:vAlign w:val="center"/>
          </w:tcPr>
          <w:p>
            <w:pPr>
              <w:jc w:val="center"/>
              <w:rPr>
                <w:rFonts w:hint="default" w:ascii="Times New Roman" w:hAnsi="Times New Roman" w:eastAsia="仿宋_GB2312" w:cs="Times New Roman"/>
                <w:b/>
                <w:bCs/>
                <w:color w:val="auto"/>
                <w:kern w:val="2"/>
                <w:sz w:val="24"/>
                <w:szCs w:val="24"/>
                <w:lang w:val="en-US" w:eastAsia="zh-CN" w:bidi="zh-CN"/>
              </w:rPr>
            </w:pPr>
            <w:r>
              <w:rPr>
                <w:rFonts w:hint="default" w:ascii="Times New Roman" w:hAnsi="Times New Roman" w:eastAsia="仿宋_GB2312" w:cs="Times New Roman"/>
                <w:b/>
                <w:bCs/>
                <w:color w:val="auto"/>
                <w:kern w:val="2"/>
                <w:sz w:val="24"/>
                <w:szCs w:val="24"/>
                <w:lang w:val="en-US" w:eastAsia="zh-CN" w:bidi="zh-CN"/>
              </w:rPr>
              <w:t>产业互联</w:t>
            </w:r>
          </w:p>
          <w:p>
            <w:pPr>
              <w:jc w:val="center"/>
              <w:rPr>
                <w:rFonts w:hint="default" w:ascii="Times New Roman" w:hAnsi="Times New Roman" w:eastAsia="仿宋_GB2312" w:cs="Times New Roman"/>
                <w:b/>
                <w:bCs/>
                <w:color w:val="auto"/>
                <w:kern w:val="2"/>
                <w:sz w:val="24"/>
                <w:szCs w:val="24"/>
                <w:lang w:val="en-US" w:eastAsia="zh-CN" w:bidi="zh-CN"/>
              </w:rPr>
            </w:pPr>
            <w:r>
              <w:rPr>
                <w:rFonts w:hint="default" w:ascii="Times New Roman" w:hAnsi="Times New Roman" w:eastAsia="仿宋_GB2312" w:cs="Times New Roman"/>
                <w:b/>
                <w:bCs/>
                <w:color w:val="auto"/>
                <w:kern w:val="2"/>
                <w:sz w:val="24"/>
                <w:szCs w:val="24"/>
                <w:lang w:val="en-US" w:eastAsia="zh-CN" w:bidi="zh-CN"/>
              </w:rPr>
              <w:t>共链</w:t>
            </w: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eastAsia" w:ascii="Times New Roman" w:hAnsi="Times New Roman" w:eastAsia="仿宋_GB2312" w:cs="Times New Roman"/>
                <w:b w:val="0"/>
                <w:bCs w:val="0"/>
                <w:color w:val="auto"/>
                <w:sz w:val="24"/>
                <w:szCs w:val="24"/>
                <w:lang w:val="en-US" w:eastAsia="zh-CN" w:bidi="zh-CN"/>
              </w:rPr>
              <w:t>安华欧意数字家电家居智造产业园</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20.8</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2021-202</w:t>
            </w:r>
            <w:r>
              <w:rPr>
                <w:rFonts w:hint="eastAsia" w:ascii="Times New Roman" w:hAnsi="Times New Roman" w:eastAsia="仿宋_GB2312" w:cs="Times New Roman"/>
                <w:b w:val="0"/>
                <w:bCs w:val="0"/>
                <w:color w:val="auto"/>
                <w:sz w:val="24"/>
                <w:szCs w:val="24"/>
                <w:lang w:val="en-US" w:eastAsia="zh-CN" w:bidi="zh-CN"/>
              </w:rPr>
              <w:t>3</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浙江欧意数字科技有限公司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11</w:t>
            </w:r>
          </w:p>
        </w:tc>
        <w:tc>
          <w:tcPr>
            <w:tcW w:w="1646" w:type="dxa"/>
            <w:vMerge w:val="continue"/>
            <w:vAlign w:val="center"/>
          </w:tcPr>
          <w:p>
            <w:pPr>
              <w:jc w:val="center"/>
              <w:rPr>
                <w:rFonts w:hint="default" w:ascii="Times New Roman" w:hAnsi="Times New Roman" w:eastAsia="仿宋_GB2312" w:cs="Times New Roman"/>
                <w:b/>
                <w:bCs/>
                <w:color w:val="auto"/>
                <w:kern w:val="2"/>
                <w:sz w:val="24"/>
                <w:szCs w:val="24"/>
                <w:lang w:val="en-US" w:eastAsia="zh-CN" w:bidi="zh-CN"/>
              </w:rPr>
            </w:pP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新建磁悬浮电机的制造项目</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2.6</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2021-2024</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浙江兆盛机械制造有限公司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12</w:t>
            </w:r>
          </w:p>
        </w:tc>
        <w:tc>
          <w:tcPr>
            <w:tcW w:w="1646" w:type="dxa"/>
            <w:vMerge w:val="continue"/>
            <w:vAlign w:val="center"/>
          </w:tcPr>
          <w:p>
            <w:pPr>
              <w:jc w:val="center"/>
              <w:rPr>
                <w:rFonts w:hint="default" w:ascii="Times New Roman" w:hAnsi="Times New Roman" w:eastAsia="仿宋_GB2312" w:cs="Times New Roman"/>
                <w:b/>
                <w:bCs/>
                <w:color w:val="auto"/>
                <w:kern w:val="2"/>
                <w:sz w:val="24"/>
                <w:szCs w:val="24"/>
                <w:lang w:val="en-US" w:eastAsia="zh-CN" w:bidi="zh-CN"/>
              </w:rPr>
            </w:pP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年产高性能磁性材料52000吨建设项目</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4.3</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2021-2024</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浙江安立磁材股份有限公司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13</w:t>
            </w:r>
          </w:p>
        </w:tc>
        <w:tc>
          <w:tcPr>
            <w:tcW w:w="1646" w:type="dxa"/>
            <w:vMerge w:val="continue"/>
            <w:vAlign w:val="center"/>
          </w:tcPr>
          <w:p>
            <w:pPr>
              <w:jc w:val="center"/>
              <w:rPr>
                <w:rFonts w:hint="default" w:ascii="Times New Roman" w:hAnsi="Times New Roman" w:eastAsia="仿宋_GB2312" w:cs="Times New Roman"/>
                <w:b/>
                <w:bCs/>
                <w:color w:val="auto"/>
                <w:kern w:val="2"/>
                <w:sz w:val="24"/>
                <w:szCs w:val="24"/>
                <w:lang w:val="en-US" w:eastAsia="zh-CN" w:bidi="zh-CN"/>
              </w:rPr>
            </w:pP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高端集成电路产品FT测试项目</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10</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2021-2023</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芯云半导体（诸暨）有限公司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14</w:t>
            </w:r>
          </w:p>
        </w:tc>
        <w:tc>
          <w:tcPr>
            <w:tcW w:w="1646" w:type="dxa"/>
            <w:vMerge w:val="continue"/>
            <w:vAlign w:val="center"/>
          </w:tcPr>
          <w:p>
            <w:pPr>
              <w:jc w:val="center"/>
              <w:rPr>
                <w:rFonts w:hint="default" w:ascii="Times New Roman" w:hAnsi="Times New Roman" w:eastAsia="仿宋_GB2312" w:cs="Times New Roman"/>
                <w:b/>
                <w:bCs/>
                <w:color w:val="auto"/>
                <w:kern w:val="2"/>
                <w:sz w:val="24"/>
                <w:szCs w:val="24"/>
                <w:lang w:val="en-US" w:eastAsia="zh-CN" w:bidi="zh-CN"/>
              </w:rPr>
            </w:pP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年产清洁能源装备300台套、锅炉辅机200套项目</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10</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2021-2023</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西子（诸暨）新能源装备有限公司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15</w:t>
            </w:r>
          </w:p>
        </w:tc>
        <w:tc>
          <w:tcPr>
            <w:tcW w:w="1646" w:type="dxa"/>
            <w:vMerge w:val="continue"/>
            <w:vAlign w:val="center"/>
          </w:tcPr>
          <w:p>
            <w:pPr>
              <w:jc w:val="center"/>
              <w:rPr>
                <w:rFonts w:hint="default" w:ascii="Times New Roman" w:hAnsi="Times New Roman" w:eastAsia="仿宋_GB2312" w:cs="Times New Roman"/>
                <w:b/>
                <w:bCs/>
                <w:color w:val="auto"/>
                <w:kern w:val="2"/>
                <w:sz w:val="24"/>
                <w:szCs w:val="24"/>
                <w:lang w:val="en-US" w:eastAsia="zh-CN" w:bidi="zh-CN"/>
              </w:rPr>
            </w:pP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协鑫换电项目</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16</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2021-2023</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诸暨协鑫科技发展有限公司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16</w:t>
            </w:r>
          </w:p>
        </w:tc>
        <w:tc>
          <w:tcPr>
            <w:tcW w:w="1646" w:type="dxa"/>
            <w:vMerge w:val="continue"/>
            <w:vAlign w:val="center"/>
          </w:tcPr>
          <w:p>
            <w:pPr>
              <w:jc w:val="center"/>
              <w:rPr>
                <w:rFonts w:hint="default" w:ascii="Times New Roman" w:hAnsi="Times New Roman" w:eastAsia="仿宋_GB2312" w:cs="Times New Roman"/>
                <w:b/>
                <w:bCs/>
                <w:color w:val="auto"/>
                <w:kern w:val="2"/>
                <w:sz w:val="24"/>
                <w:szCs w:val="24"/>
                <w:lang w:val="en-US" w:eastAsia="zh-CN" w:bidi="zh-CN"/>
              </w:rPr>
            </w:pP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四驱汽车及玻璃器皿领域高精度齿形链生产基地项目</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10</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2021-2023</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浙江恒久传动科技股份有限公司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17</w:t>
            </w:r>
          </w:p>
        </w:tc>
        <w:tc>
          <w:tcPr>
            <w:tcW w:w="1646" w:type="dxa"/>
            <w:vMerge w:val="continue"/>
            <w:vAlign w:val="center"/>
          </w:tcPr>
          <w:p>
            <w:pPr>
              <w:jc w:val="center"/>
              <w:rPr>
                <w:rFonts w:hint="default" w:ascii="Times New Roman" w:hAnsi="Times New Roman" w:eastAsia="仿宋_GB2312" w:cs="Times New Roman"/>
                <w:b/>
                <w:bCs/>
                <w:color w:val="auto"/>
                <w:kern w:val="2"/>
                <w:sz w:val="24"/>
                <w:szCs w:val="24"/>
                <w:lang w:val="en-US" w:eastAsia="zh-CN" w:bidi="zh-CN"/>
              </w:rPr>
            </w:pP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eastAsia" w:ascii="Times New Roman" w:hAnsi="Times New Roman" w:eastAsia="仿宋_GB2312" w:cs="Times New Roman"/>
                <w:b w:val="0"/>
                <w:bCs w:val="0"/>
                <w:color w:val="auto"/>
                <w:sz w:val="24"/>
                <w:szCs w:val="24"/>
                <w:lang w:val="en-US" w:eastAsia="zh-CN" w:bidi="zh-CN"/>
              </w:rPr>
              <w:t>智能视觉产业园</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eastAsia" w:ascii="Times New Roman" w:hAnsi="Times New Roman" w:eastAsia="仿宋_GB2312" w:cs="Times New Roman"/>
                <w:b w:val="0"/>
                <w:bCs w:val="0"/>
                <w:color w:val="auto"/>
                <w:sz w:val="24"/>
                <w:szCs w:val="24"/>
                <w:lang w:val="en-US" w:eastAsia="zh-CN" w:bidi="zh-CN"/>
              </w:rPr>
              <w:t>10</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2020-2025</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浙江友地安顺安防科技有限公司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18</w:t>
            </w:r>
          </w:p>
        </w:tc>
        <w:tc>
          <w:tcPr>
            <w:tcW w:w="1646" w:type="dxa"/>
            <w:vMerge w:val="continue"/>
            <w:vAlign w:val="center"/>
          </w:tcPr>
          <w:p>
            <w:pPr>
              <w:jc w:val="center"/>
              <w:rPr>
                <w:rFonts w:hint="default" w:ascii="Times New Roman" w:hAnsi="Times New Roman" w:eastAsia="仿宋_GB2312" w:cs="Times New Roman"/>
                <w:b/>
                <w:bCs/>
                <w:color w:val="auto"/>
                <w:kern w:val="2"/>
                <w:sz w:val="24"/>
                <w:szCs w:val="24"/>
                <w:lang w:val="en-US" w:eastAsia="zh-CN" w:bidi="zh-CN"/>
              </w:rPr>
            </w:pP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软控长三角智能装备产业基地项目</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100</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2021-2024</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软控（诸暨）智能装备有限公司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19</w:t>
            </w:r>
          </w:p>
        </w:tc>
        <w:tc>
          <w:tcPr>
            <w:tcW w:w="1646" w:type="dxa"/>
            <w:vMerge w:val="restart"/>
            <w:vAlign w:val="center"/>
          </w:tcPr>
          <w:p>
            <w:pPr>
              <w:jc w:val="center"/>
              <w:rPr>
                <w:rFonts w:hint="default" w:ascii="Times New Roman" w:hAnsi="Times New Roman" w:eastAsia="仿宋_GB2312" w:cs="Times New Roman"/>
                <w:b/>
                <w:bCs/>
                <w:color w:val="auto"/>
                <w:kern w:val="2"/>
                <w:sz w:val="24"/>
                <w:szCs w:val="24"/>
                <w:lang w:val="en-US" w:eastAsia="zh-CN" w:bidi="zh-CN"/>
              </w:rPr>
            </w:pPr>
            <w:r>
              <w:rPr>
                <w:rFonts w:hint="default" w:ascii="Times New Roman" w:hAnsi="Times New Roman" w:eastAsia="仿宋_GB2312" w:cs="Times New Roman"/>
                <w:b/>
                <w:bCs/>
                <w:color w:val="auto"/>
                <w:kern w:val="2"/>
                <w:sz w:val="24"/>
                <w:szCs w:val="24"/>
                <w:lang w:val="en-US" w:eastAsia="zh-CN" w:bidi="zh-CN"/>
              </w:rPr>
              <w:t>创新协同</w:t>
            </w:r>
          </w:p>
          <w:p>
            <w:pPr>
              <w:jc w:val="center"/>
              <w:rPr>
                <w:rFonts w:hint="default" w:ascii="Times New Roman" w:hAnsi="Times New Roman" w:eastAsia="仿宋" w:cs="Times New Roman"/>
                <w:b/>
                <w:bCs/>
                <w:color w:val="auto"/>
                <w:kern w:val="2"/>
                <w:sz w:val="24"/>
                <w:szCs w:val="24"/>
                <w:highlight w:val="yellow"/>
                <w:lang w:val="en-US" w:eastAsia="zh-CN" w:bidi="zh-CN"/>
              </w:rPr>
            </w:pPr>
            <w:r>
              <w:rPr>
                <w:rFonts w:hint="default" w:ascii="Times New Roman" w:hAnsi="Times New Roman" w:eastAsia="仿宋_GB2312" w:cs="Times New Roman"/>
                <w:b/>
                <w:bCs/>
                <w:color w:val="auto"/>
                <w:kern w:val="2"/>
                <w:sz w:val="24"/>
                <w:szCs w:val="24"/>
                <w:lang w:val="en-US" w:eastAsia="zh-CN" w:bidi="zh-CN"/>
              </w:rPr>
              <w:t>共兴</w:t>
            </w: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eastAsia" w:ascii="Times New Roman" w:hAnsi="Times New Roman" w:eastAsia="仿宋_GB2312" w:cs="Times New Roman"/>
                <w:b w:val="0"/>
                <w:bCs w:val="0"/>
                <w:color w:val="auto"/>
                <w:sz w:val="24"/>
                <w:szCs w:val="24"/>
                <w:lang w:val="en-US" w:eastAsia="zh-CN" w:bidi="zh-CN"/>
              </w:rPr>
              <w:t>诸暨科技城</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eastAsia" w:ascii="Times New Roman" w:hAnsi="Times New Roman" w:eastAsia="仿宋_GB2312" w:cs="Times New Roman"/>
                <w:b w:val="0"/>
                <w:bCs w:val="0"/>
                <w:color w:val="auto"/>
                <w:sz w:val="24"/>
                <w:szCs w:val="24"/>
                <w:lang w:val="en-US" w:eastAsia="zh-CN" w:bidi="zh-CN"/>
              </w:rPr>
              <w:t>50</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2022-2026</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eastAsia" w:ascii="Times New Roman" w:hAnsi="Times New Roman" w:eastAsia="仿宋_GB2312" w:cs="Times New Roman"/>
                <w:b w:val="0"/>
                <w:bCs w:val="0"/>
                <w:color w:val="auto"/>
                <w:sz w:val="24"/>
                <w:szCs w:val="24"/>
                <w:lang w:val="en-US" w:eastAsia="zh-CN" w:bidi="zh-CN"/>
              </w:rPr>
              <w:t>诸暨科技城建管办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eastAsia" w:ascii="Times New Roman" w:hAnsi="Times New Roman" w:eastAsia="仿宋" w:cs="Times New Roman"/>
                <w:color w:val="auto"/>
                <w:sz w:val="24"/>
                <w:szCs w:val="24"/>
                <w:vertAlign w:val="baseline"/>
                <w:lang w:val="en-US" w:eastAsia="zh-CN"/>
              </w:rPr>
              <w:t>20</w:t>
            </w:r>
          </w:p>
        </w:tc>
        <w:tc>
          <w:tcPr>
            <w:tcW w:w="1646" w:type="dxa"/>
            <w:vMerge w:val="continue"/>
            <w:vAlign w:val="center"/>
          </w:tcPr>
          <w:p>
            <w:pPr>
              <w:jc w:val="center"/>
              <w:rPr>
                <w:rFonts w:hint="default" w:ascii="Times New Roman" w:hAnsi="Times New Roman" w:eastAsia="仿宋" w:cs="Times New Roman"/>
                <w:b/>
                <w:bCs/>
                <w:color w:val="auto"/>
                <w:kern w:val="2"/>
                <w:sz w:val="24"/>
                <w:szCs w:val="24"/>
                <w:highlight w:val="yellow"/>
                <w:lang w:val="en-US" w:eastAsia="zh-CN" w:bidi="zh-CN"/>
              </w:rPr>
            </w:pPr>
          </w:p>
        </w:tc>
        <w:tc>
          <w:tcPr>
            <w:tcW w:w="3486" w:type="dxa"/>
            <w:vAlign w:val="center"/>
          </w:tcPr>
          <w:p>
            <w:pPr>
              <w:jc w:val="center"/>
              <w:rPr>
                <w:rFonts w:hint="eastAsia" w:ascii="Times New Roman" w:hAnsi="Times New Roman" w:eastAsia="仿宋_GB2312" w:cs="Times New Roman"/>
                <w:b w:val="0"/>
                <w:bCs w:val="0"/>
                <w:color w:val="auto"/>
                <w:sz w:val="24"/>
                <w:szCs w:val="24"/>
                <w:lang w:val="en-US" w:eastAsia="zh-CN" w:bidi="zh-CN"/>
              </w:rPr>
            </w:pPr>
            <w:r>
              <w:rPr>
                <w:rFonts w:hint="eastAsia" w:ascii="Times New Roman" w:hAnsi="Times New Roman" w:eastAsia="仿宋_GB2312" w:cs="Times New Roman"/>
                <w:b w:val="0"/>
                <w:bCs w:val="0"/>
                <w:color w:val="auto"/>
                <w:sz w:val="24"/>
                <w:szCs w:val="24"/>
                <w:lang w:val="en-US" w:eastAsia="zh-CN" w:bidi="zh-CN"/>
              </w:rPr>
              <w:t>瑞祥科技园</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eastAsia" w:ascii="Times New Roman" w:hAnsi="Times New Roman" w:eastAsia="仿宋_GB2312" w:cs="Times New Roman"/>
                <w:b w:val="0"/>
                <w:bCs w:val="0"/>
                <w:color w:val="auto"/>
                <w:sz w:val="24"/>
                <w:szCs w:val="24"/>
                <w:lang w:val="en-US" w:eastAsia="zh-CN" w:bidi="zh-CN"/>
              </w:rPr>
              <w:t>5</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2021-2028</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eastAsia" w:ascii="Times New Roman" w:hAnsi="Times New Roman" w:eastAsia="仿宋_GB2312" w:cs="Times New Roman"/>
                <w:b w:val="0"/>
                <w:bCs w:val="0"/>
                <w:color w:val="auto"/>
                <w:sz w:val="24"/>
                <w:szCs w:val="24"/>
                <w:lang w:val="en-US" w:eastAsia="zh-CN" w:bidi="zh-CN"/>
              </w:rPr>
              <w:t>杭州瑞祥资产管理有限公司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eastAsia" w:ascii="Times New Roman" w:hAnsi="Times New Roman" w:eastAsia="仿宋" w:cs="Times New Roman"/>
                <w:color w:val="auto"/>
                <w:sz w:val="24"/>
                <w:szCs w:val="24"/>
                <w:vertAlign w:val="baseline"/>
                <w:lang w:val="en-US" w:eastAsia="zh-CN"/>
              </w:rPr>
              <w:t>21</w:t>
            </w:r>
          </w:p>
        </w:tc>
        <w:tc>
          <w:tcPr>
            <w:tcW w:w="1646" w:type="dxa"/>
            <w:vMerge w:val="continue"/>
            <w:vAlign w:val="center"/>
          </w:tcPr>
          <w:p>
            <w:pPr>
              <w:jc w:val="center"/>
              <w:rPr>
                <w:rFonts w:hint="default" w:ascii="Times New Roman" w:hAnsi="Times New Roman" w:eastAsia="仿宋" w:cs="Times New Roman"/>
                <w:b/>
                <w:bCs/>
                <w:color w:val="auto"/>
                <w:kern w:val="2"/>
                <w:sz w:val="24"/>
                <w:szCs w:val="24"/>
                <w:highlight w:val="yellow"/>
                <w:lang w:val="en-US" w:eastAsia="zh-CN" w:bidi="zh-CN"/>
              </w:rPr>
            </w:pPr>
          </w:p>
        </w:tc>
        <w:tc>
          <w:tcPr>
            <w:tcW w:w="3486" w:type="dxa"/>
            <w:vAlign w:val="center"/>
          </w:tcPr>
          <w:p>
            <w:pPr>
              <w:jc w:val="center"/>
              <w:rPr>
                <w:rFonts w:hint="eastAsia" w:ascii="Times New Roman" w:hAnsi="Times New Roman" w:eastAsia="仿宋_GB2312" w:cs="Times New Roman"/>
                <w:b w:val="0"/>
                <w:bCs w:val="0"/>
                <w:color w:val="auto"/>
                <w:sz w:val="24"/>
                <w:szCs w:val="24"/>
                <w:lang w:val="en-US" w:eastAsia="zh-CN" w:bidi="zh-CN"/>
              </w:rPr>
            </w:pPr>
            <w:r>
              <w:rPr>
                <w:rFonts w:hint="eastAsia" w:ascii="Times New Roman" w:hAnsi="Times New Roman" w:eastAsia="仿宋_GB2312" w:cs="Times New Roman"/>
                <w:b w:val="0"/>
                <w:bCs w:val="0"/>
                <w:color w:val="auto"/>
                <w:sz w:val="24"/>
                <w:szCs w:val="24"/>
                <w:lang w:val="en-US" w:eastAsia="zh-CN" w:bidi="zh-CN"/>
              </w:rPr>
              <w:t>诸暨</w:t>
            </w:r>
            <w:r>
              <w:rPr>
                <w:rFonts w:hint="default" w:ascii="Times New Roman" w:hAnsi="Times New Roman" w:eastAsia="仿宋_GB2312" w:cs="Times New Roman"/>
                <w:b w:val="0"/>
                <w:bCs w:val="0"/>
                <w:color w:val="auto"/>
                <w:sz w:val="24"/>
                <w:szCs w:val="24"/>
                <w:lang w:val="en-US" w:eastAsia="zh-CN" w:bidi="zh-CN"/>
              </w:rPr>
              <w:t>“</w:t>
            </w:r>
            <w:r>
              <w:rPr>
                <w:rFonts w:hint="eastAsia" w:ascii="Times New Roman" w:hAnsi="Times New Roman" w:eastAsia="仿宋_GB2312" w:cs="Times New Roman"/>
                <w:b w:val="0"/>
                <w:bCs w:val="0"/>
                <w:color w:val="auto"/>
                <w:sz w:val="24"/>
                <w:szCs w:val="24"/>
                <w:lang w:val="en-US" w:eastAsia="zh-CN" w:bidi="zh-CN"/>
              </w:rPr>
              <w:t>杭州港</w:t>
            </w:r>
            <w:r>
              <w:rPr>
                <w:rFonts w:hint="default" w:ascii="Times New Roman" w:hAnsi="Times New Roman" w:eastAsia="仿宋_GB2312" w:cs="Times New Roman"/>
                <w:b w:val="0"/>
                <w:bCs w:val="0"/>
                <w:color w:val="auto"/>
                <w:sz w:val="24"/>
                <w:szCs w:val="24"/>
                <w:lang w:val="en-US" w:eastAsia="zh-CN" w:bidi="zh-CN"/>
              </w:rPr>
              <w:t>”</w:t>
            </w:r>
            <w:r>
              <w:rPr>
                <w:rFonts w:hint="eastAsia" w:ascii="Times New Roman" w:hAnsi="Times New Roman" w:eastAsia="仿宋_GB2312" w:cs="Times New Roman"/>
                <w:b w:val="0"/>
                <w:bCs w:val="0"/>
                <w:color w:val="auto"/>
                <w:sz w:val="24"/>
                <w:szCs w:val="24"/>
                <w:lang w:val="en-US" w:eastAsia="zh-CN" w:bidi="zh-CN"/>
              </w:rPr>
              <w:t>生物医药创业园</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eastAsia" w:ascii="Times New Roman" w:hAnsi="Times New Roman" w:eastAsia="仿宋_GB2312" w:cs="Times New Roman"/>
                <w:b w:val="0"/>
                <w:bCs w:val="0"/>
                <w:color w:val="auto"/>
                <w:sz w:val="24"/>
                <w:szCs w:val="24"/>
                <w:lang w:val="en-US" w:eastAsia="zh-CN" w:bidi="zh-CN"/>
              </w:rPr>
              <w:t>5</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2020-2023</w:t>
            </w:r>
          </w:p>
        </w:tc>
        <w:tc>
          <w:tcPr>
            <w:tcW w:w="3490" w:type="dxa"/>
            <w:vAlign w:val="center"/>
          </w:tcPr>
          <w:p>
            <w:pPr>
              <w:jc w:val="center"/>
              <w:rPr>
                <w:rFonts w:hint="eastAsia"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诸暨市新城投资开发集团有限公司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eastAsia" w:ascii="Times New Roman" w:hAnsi="Times New Roman" w:eastAsia="仿宋" w:cs="Times New Roman"/>
                <w:color w:val="auto"/>
                <w:sz w:val="24"/>
                <w:szCs w:val="24"/>
                <w:vertAlign w:val="baseline"/>
                <w:lang w:val="en-US" w:eastAsia="zh-CN"/>
              </w:rPr>
              <w:t>22</w:t>
            </w:r>
          </w:p>
        </w:tc>
        <w:tc>
          <w:tcPr>
            <w:tcW w:w="1646" w:type="dxa"/>
            <w:vMerge w:val="continue"/>
            <w:vAlign w:val="center"/>
          </w:tcPr>
          <w:p>
            <w:pPr>
              <w:jc w:val="center"/>
              <w:rPr>
                <w:rFonts w:hint="default" w:ascii="Times New Roman" w:hAnsi="Times New Roman" w:eastAsia="仿宋" w:cs="Times New Roman"/>
                <w:b/>
                <w:bCs/>
                <w:color w:val="auto"/>
                <w:kern w:val="2"/>
                <w:sz w:val="24"/>
                <w:szCs w:val="24"/>
                <w:highlight w:val="yellow"/>
                <w:lang w:val="en-US" w:eastAsia="zh-CN" w:bidi="zh-CN"/>
              </w:rPr>
            </w:pPr>
          </w:p>
        </w:tc>
        <w:tc>
          <w:tcPr>
            <w:tcW w:w="3486" w:type="dxa"/>
            <w:vAlign w:val="center"/>
          </w:tcPr>
          <w:p>
            <w:pPr>
              <w:jc w:val="center"/>
              <w:rPr>
                <w:rFonts w:hint="eastAsia" w:ascii="Times New Roman" w:hAnsi="Times New Roman" w:eastAsia="仿宋_GB2312" w:cs="Times New Roman"/>
                <w:b w:val="0"/>
                <w:bCs w:val="0"/>
                <w:color w:val="auto"/>
                <w:sz w:val="24"/>
                <w:szCs w:val="24"/>
                <w:lang w:val="en-US" w:eastAsia="zh-CN" w:bidi="zh-CN"/>
              </w:rPr>
            </w:pPr>
            <w:r>
              <w:rPr>
                <w:rFonts w:hint="eastAsia" w:ascii="Times New Roman" w:hAnsi="Times New Roman" w:eastAsia="仿宋_GB2312" w:cs="Times New Roman"/>
                <w:b w:val="0"/>
                <w:bCs w:val="0"/>
                <w:color w:val="auto"/>
                <w:sz w:val="24"/>
                <w:szCs w:val="24"/>
                <w:lang w:val="en-US" w:eastAsia="zh-CN" w:bidi="zh-CN"/>
              </w:rPr>
              <w:t>海亮生物科技创新研究中心</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eastAsia" w:ascii="Times New Roman" w:hAnsi="Times New Roman" w:eastAsia="仿宋_GB2312" w:cs="Times New Roman"/>
                <w:b w:val="0"/>
                <w:bCs w:val="0"/>
                <w:color w:val="auto"/>
                <w:sz w:val="24"/>
                <w:szCs w:val="24"/>
                <w:lang w:val="en-US" w:eastAsia="zh-CN" w:bidi="zh-CN"/>
              </w:rPr>
              <w:t>10</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2021-2028</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eastAsia" w:ascii="Times New Roman" w:hAnsi="Times New Roman" w:eastAsia="仿宋_GB2312" w:cs="Times New Roman"/>
                <w:b w:val="0"/>
                <w:bCs w:val="0"/>
                <w:color w:val="auto"/>
                <w:sz w:val="24"/>
                <w:szCs w:val="24"/>
                <w:lang w:val="en-US" w:eastAsia="zh-CN" w:bidi="zh-CN"/>
              </w:rPr>
              <w:t>浙江海亮生物科技有限公司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eastAsia" w:ascii="Times New Roman" w:hAnsi="Times New Roman" w:eastAsia="仿宋" w:cs="Times New Roman"/>
                <w:color w:val="auto"/>
                <w:sz w:val="24"/>
                <w:szCs w:val="24"/>
                <w:vertAlign w:val="baseline"/>
                <w:lang w:val="en-US" w:eastAsia="zh-CN"/>
              </w:rPr>
              <w:t>23</w:t>
            </w:r>
          </w:p>
        </w:tc>
        <w:tc>
          <w:tcPr>
            <w:tcW w:w="1646" w:type="dxa"/>
            <w:vMerge w:val="continue"/>
            <w:vAlign w:val="center"/>
          </w:tcPr>
          <w:p>
            <w:pPr>
              <w:jc w:val="center"/>
              <w:rPr>
                <w:rFonts w:hint="default" w:ascii="Times New Roman" w:hAnsi="Times New Roman" w:eastAsia="仿宋" w:cs="Times New Roman"/>
                <w:b/>
                <w:bCs/>
                <w:color w:val="auto"/>
                <w:kern w:val="2"/>
                <w:sz w:val="24"/>
                <w:szCs w:val="24"/>
                <w:highlight w:val="yellow"/>
                <w:lang w:val="en-US" w:eastAsia="zh-CN" w:bidi="zh-CN"/>
              </w:rPr>
            </w:pPr>
          </w:p>
        </w:tc>
        <w:tc>
          <w:tcPr>
            <w:tcW w:w="3486" w:type="dxa"/>
            <w:vAlign w:val="center"/>
          </w:tcPr>
          <w:p>
            <w:pPr>
              <w:jc w:val="center"/>
              <w:rPr>
                <w:rFonts w:hint="eastAsia" w:ascii="Times New Roman" w:hAnsi="Times New Roman" w:eastAsia="仿宋_GB2312" w:cs="Times New Roman"/>
                <w:b w:val="0"/>
                <w:bCs w:val="0"/>
                <w:color w:val="auto"/>
                <w:sz w:val="24"/>
                <w:szCs w:val="24"/>
                <w:lang w:val="en-US" w:eastAsia="zh-CN" w:bidi="zh-CN"/>
              </w:rPr>
            </w:pPr>
            <w:r>
              <w:rPr>
                <w:rFonts w:hint="eastAsia" w:ascii="Times New Roman" w:hAnsi="Times New Roman" w:eastAsia="仿宋_GB2312" w:cs="Times New Roman"/>
                <w:b w:val="0"/>
                <w:bCs w:val="0"/>
                <w:color w:val="auto"/>
                <w:sz w:val="24"/>
                <w:szCs w:val="24"/>
                <w:lang w:val="en-US" w:eastAsia="zh-CN" w:bidi="zh-CN"/>
              </w:rPr>
              <w:t>国际商业航天飞行控制中心</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eastAsia" w:ascii="Times New Roman" w:hAnsi="Times New Roman" w:eastAsia="仿宋_GB2312" w:cs="Times New Roman"/>
                <w:b w:val="0"/>
                <w:bCs w:val="0"/>
                <w:color w:val="auto"/>
                <w:sz w:val="24"/>
                <w:szCs w:val="24"/>
                <w:lang w:val="en-US" w:eastAsia="zh-CN" w:bidi="zh-CN"/>
              </w:rPr>
              <w:t>3</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2021-2025</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eastAsia" w:ascii="Times New Roman" w:hAnsi="Times New Roman" w:eastAsia="仿宋_GB2312" w:cs="Times New Roman"/>
                <w:b w:val="0"/>
                <w:bCs w:val="0"/>
                <w:color w:val="auto"/>
                <w:sz w:val="24"/>
                <w:szCs w:val="24"/>
                <w:lang w:val="en-US" w:eastAsia="zh-CN" w:bidi="zh-CN"/>
              </w:rPr>
              <w:t>浙江天链航天科技有限公司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eastAsia" w:ascii="Times New Roman" w:hAnsi="Times New Roman" w:eastAsia="仿宋" w:cs="Times New Roman"/>
                <w:color w:val="auto"/>
                <w:sz w:val="24"/>
                <w:szCs w:val="24"/>
                <w:vertAlign w:val="baseline"/>
                <w:lang w:val="en-US" w:eastAsia="zh-CN"/>
              </w:rPr>
              <w:t>24</w:t>
            </w:r>
          </w:p>
        </w:tc>
        <w:tc>
          <w:tcPr>
            <w:tcW w:w="1646" w:type="dxa"/>
            <w:vMerge w:val="restart"/>
            <w:vAlign w:val="center"/>
          </w:tcPr>
          <w:p>
            <w:pPr>
              <w:jc w:val="center"/>
              <w:rPr>
                <w:rFonts w:hint="default" w:ascii="Times New Roman" w:hAnsi="Times New Roman" w:eastAsia="仿宋" w:cs="Times New Roman"/>
                <w:b/>
                <w:bCs/>
                <w:color w:val="auto"/>
                <w:kern w:val="2"/>
                <w:sz w:val="24"/>
                <w:szCs w:val="24"/>
                <w:lang w:val="en-US" w:eastAsia="zh-CN" w:bidi="zh-CN"/>
              </w:rPr>
            </w:pPr>
            <w:r>
              <w:rPr>
                <w:rFonts w:hint="default" w:ascii="Times New Roman" w:hAnsi="Times New Roman" w:eastAsia="仿宋" w:cs="Times New Roman"/>
                <w:b/>
                <w:bCs/>
                <w:color w:val="auto"/>
                <w:kern w:val="2"/>
                <w:sz w:val="24"/>
                <w:szCs w:val="24"/>
                <w:lang w:val="en-US" w:eastAsia="zh-CN" w:bidi="zh-CN"/>
              </w:rPr>
              <w:t>文旅品牌</w:t>
            </w:r>
          </w:p>
          <w:p>
            <w:pPr>
              <w:jc w:val="center"/>
              <w:rPr>
                <w:rFonts w:hint="default" w:ascii="Times New Roman" w:hAnsi="Times New Roman" w:eastAsia="仿宋" w:cs="Times New Roman"/>
                <w:b/>
                <w:bCs/>
                <w:color w:val="auto"/>
                <w:kern w:val="2"/>
                <w:sz w:val="24"/>
                <w:szCs w:val="24"/>
                <w:lang w:val="en-US" w:eastAsia="zh-CN" w:bidi="zh-CN"/>
              </w:rPr>
            </w:pPr>
            <w:r>
              <w:rPr>
                <w:rFonts w:hint="default" w:ascii="Times New Roman" w:hAnsi="Times New Roman" w:eastAsia="仿宋" w:cs="Times New Roman"/>
                <w:b/>
                <w:bCs/>
                <w:color w:val="auto"/>
                <w:kern w:val="2"/>
                <w:sz w:val="24"/>
                <w:szCs w:val="24"/>
                <w:lang w:val="en-US" w:eastAsia="zh-CN" w:bidi="zh-CN"/>
              </w:rPr>
              <w:t>共荣</w:t>
            </w: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西施IP项目</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30</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2021-2025</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诸暨市文化旅游集团有限公司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w:t>
            </w:r>
            <w:r>
              <w:rPr>
                <w:rFonts w:hint="eastAsia" w:ascii="Times New Roman" w:hAnsi="Times New Roman" w:eastAsia="仿宋" w:cs="Times New Roman"/>
                <w:color w:val="auto"/>
                <w:sz w:val="24"/>
                <w:szCs w:val="24"/>
                <w:vertAlign w:val="baseline"/>
                <w:lang w:val="en-US" w:eastAsia="zh-CN"/>
              </w:rPr>
              <w:t>5</w:t>
            </w:r>
          </w:p>
        </w:tc>
        <w:tc>
          <w:tcPr>
            <w:tcW w:w="1646" w:type="dxa"/>
            <w:vMerge w:val="continue"/>
            <w:vAlign w:val="center"/>
          </w:tcPr>
          <w:p>
            <w:pPr>
              <w:jc w:val="center"/>
              <w:rPr>
                <w:rFonts w:hint="default" w:ascii="Times New Roman" w:hAnsi="Times New Roman" w:eastAsia="仿宋" w:cs="Times New Roman"/>
                <w:b/>
                <w:bCs/>
                <w:color w:val="auto"/>
                <w:kern w:val="2"/>
                <w:sz w:val="24"/>
                <w:szCs w:val="24"/>
                <w:lang w:val="en-US" w:eastAsia="zh-CN" w:bidi="zh-CN"/>
              </w:rPr>
            </w:pP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枫桥经验文化旅游项目</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10</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2021-2025</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诸暨市文化旅游集团有限公司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w:t>
            </w:r>
            <w:r>
              <w:rPr>
                <w:rFonts w:hint="eastAsia" w:ascii="Times New Roman" w:hAnsi="Times New Roman" w:eastAsia="仿宋" w:cs="Times New Roman"/>
                <w:color w:val="auto"/>
                <w:sz w:val="24"/>
                <w:szCs w:val="24"/>
                <w:vertAlign w:val="baseline"/>
                <w:lang w:val="en-US" w:eastAsia="zh-CN"/>
              </w:rPr>
              <w:t>6</w:t>
            </w:r>
          </w:p>
        </w:tc>
        <w:tc>
          <w:tcPr>
            <w:tcW w:w="1646" w:type="dxa"/>
            <w:vMerge w:val="continue"/>
            <w:vAlign w:val="center"/>
          </w:tcPr>
          <w:p>
            <w:pPr>
              <w:jc w:val="center"/>
              <w:rPr>
                <w:rFonts w:hint="default" w:ascii="Times New Roman" w:hAnsi="Times New Roman" w:eastAsia="仿宋" w:cs="Times New Roman"/>
                <w:b/>
                <w:bCs/>
                <w:color w:val="auto"/>
                <w:kern w:val="2"/>
                <w:sz w:val="24"/>
                <w:szCs w:val="24"/>
                <w:lang w:val="en-US" w:eastAsia="zh-CN" w:bidi="zh-CN"/>
              </w:rPr>
            </w:pP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山下湖珍珠产业文化创意项目</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15</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2021-2025</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诸暨市文化旅游集团有限公司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kern w:val="2"/>
                <w:sz w:val="24"/>
                <w:szCs w:val="24"/>
                <w:vertAlign w:val="baseline"/>
                <w:lang w:val="en-US" w:eastAsia="zh-CN" w:bidi="ar-SA"/>
              </w:rPr>
              <w:t>2</w:t>
            </w:r>
            <w:r>
              <w:rPr>
                <w:rFonts w:hint="eastAsia" w:ascii="Times New Roman" w:hAnsi="Times New Roman" w:eastAsia="仿宋" w:cs="Times New Roman"/>
                <w:color w:val="auto"/>
                <w:kern w:val="2"/>
                <w:sz w:val="24"/>
                <w:szCs w:val="24"/>
                <w:vertAlign w:val="baseline"/>
                <w:lang w:val="en-US" w:eastAsia="zh-CN" w:bidi="ar-SA"/>
              </w:rPr>
              <w:t>7</w:t>
            </w:r>
          </w:p>
        </w:tc>
        <w:tc>
          <w:tcPr>
            <w:tcW w:w="1646" w:type="dxa"/>
            <w:vMerge w:val="restart"/>
            <w:vAlign w:val="center"/>
          </w:tcPr>
          <w:p>
            <w:pPr>
              <w:jc w:val="center"/>
              <w:rPr>
                <w:rFonts w:hint="default" w:ascii="Times New Roman" w:hAnsi="Times New Roman" w:eastAsia="仿宋" w:cs="Times New Roman"/>
                <w:b/>
                <w:bCs/>
                <w:color w:val="auto"/>
                <w:kern w:val="2"/>
                <w:sz w:val="24"/>
                <w:szCs w:val="24"/>
                <w:lang w:val="en-US" w:eastAsia="zh-CN" w:bidi="zh-CN"/>
              </w:rPr>
            </w:pPr>
            <w:r>
              <w:rPr>
                <w:rFonts w:hint="default" w:ascii="Times New Roman" w:hAnsi="Times New Roman" w:eastAsia="仿宋" w:cs="Times New Roman"/>
                <w:b/>
                <w:bCs/>
                <w:color w:val="auto"/>
                <w:kern w:val="2"/>
                <w:sz w:val="24"/>
                <w:szCs w:val="24"/>
                <w:lang w:val="en-US" w:eastAsia="zh-CN" w:bidi="zh-CN"/>
              </w:rPr>
              <w:t>民生智慧</w:t>
            </w:r>
          </w:p>
          <w:p>
            <w:pPr>
              <w:jc w:val="center"/>
              <w:rPr>
                <w:rFonts w:hint="default" w:ascii="Times New Roman" w:hAnsi="Times New Roman" w:eastAsia="仿宋" w:cs="Times New Roman"/>
                <w:b/>
                <w:bCs/>
                <w:color w:val="auto"/>
                <w:kern w:val="2"/>
                <w:sz w:val="24"/>
                <w:szCs w:val="24"/>
                <w:lang w:val="en-US" w:eastAsia="zh-CN" w:bidi="zh-CN"/>
              </w:rPr>
            </w:pPr>
            <w:r>
              <w:rPr>
                <w:rFonts w:hint="default" w:ascii="Times New Roman" w:hAnsi="Times New Roman" w:eastAsia="仿宋" w:cs="Times New Roman"/>
                <w:b/>
                <w:bCs/>
                <w:color w:val="auto"/>
                <w:kern w:val="2"/>
                <w:sz w:val="24"/>
                <w:szCs w:val="24"/>
                <w:lang w:val="en-US" w:eastAsia="zh-CN" w:bidi="zh-CN"/>
              </w:rPr>
              <w:t>共享</w:t>
            </w: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诸暨市文化中心</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8</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2022-2024</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诸暨市文化旅游集团有限公司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kern w:val="2"/>
                <w:sz w:val="24"/>
                <w:szCs w:val="24"/>
                <w:vertAlign w:val="baseline"/>
                <w:lang w:val="en-US" w:eastAsia="zh-CN" w:bidi="ar-SA"/>
              </w:rPr>
              <w:t>2</w:t>
            </w:r>
            <w:r>
              <w:rPr>
                <w:rFonts w:hint="eastAsia" w:ascii="Times New Roman" w:hAnsi="Times New Roman" w:eastAsia="仿宋" w:cs="Times New Roman"/>
                <w:color w:val="auto"/>
                <w:kern w:val="2"/>
                <w:sz w:val="24"/>
                <w:szCs w:val="24"/>
                <w:vertAlign w:val="baseline"/>
                <w:lang w:val="en-US" w:eastAsia="zh-CN" w:bidi="ar-SA"/>
              </w:rPr>
              <w:t>8</w:t>
            </w:r>
          </w:p>
        </w:tc>
        <w:tc>
          <w:tcPr>
            <w:tcW w:w="1646" w:type="dxa"/>
            <w:vMerge w:val="continue"/>
            <w:vAlign w:val="center"/>
          </w:tcPr>
          <w:p>
            <w:pPr>
              <w:jc w:val="center"/>
              <w:rPr>
                <w:rFonts w:hint="default" w:ascii="Times New Roman" w:hAnsi="Times New Roman" w:eastAsia="仿宋" w:cs="Times New Roman"/>
                <w:b/>
                <w:bCs/>
                <w:color w:val="auto"/>
                <w:kern w:val="2"/>
                <w:sz w:val="24"/>
                <w:szCs w:val="24"/>
                <w:lang w:val="en-US" w:eastAsia="zh-CN" w:bidi="zh-CN"/>
              </w:rPr>
            </w:pP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诸暨开发区篮球中心项目</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2022-2024</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诸暨祥生弘跃置业有限公司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kern w:val="2"/>
                <w:sz w:val="24"/>
                <w:szCs w:val="24"/>
                <w:vertAlign w:val="baseline"/>
                <w:lang w:val="en-US" w:eastAsia="zh-CN" w:bidi="ar-SA"/>
              </w:rPr>
              <w:t>2</w:t>
            </w:r>
            <w:r>
              <w:rPr>
                <w:rFonts w:hint="eastAsia" w:ascii="Times New Roman" w:hAnsi="Times New Roman" w:eastAsia="仿宋" w:cs="Times New Roman"/>
                <w:color w:val="auto"/>
                <w:kern w:val="2"/>
                <w:sz w:val="24"/>
                <w:szCs w:val="24"/>
                <w:vertAlign w:val="baseline"/>
                <w:lang w:val="en-US" w:eastAsia="zh-CN" w:bidi="ar-SA"/>
              </w:rPr>
              <w:t>9</w:t>
            </w:r>
          </w:p>
        </w:tc>
        <w:tc>
          <w:tcPr>
            <w:tcW w:w="1646" w:type="dxa"/>
            <w:vMerge w:val="continue"/>
            <w:vAlign w:val="center"/>
          </w:tcPr>
          <w:p>
            <w:pPr>
              <w:jc w:val="center"/>
              <w:rPr>
                <w:rFonts w:hint="default" w:ascii="Times New Roman" w:hAnsi="Times New Roman" w:eastAsia="仿宋" w:cs="Times New Roman"/>
                <w:b/>
                <w:bCs/>
                <w:color w:val="auto"/>
                <w:kern w:val="2"/>
                <w:sz w:val="24"/>
                <w:szCs w:val="24"/>
                <w:lang w:val="en-US" w:eastAsia="zh-CN" w:bidi="zh-CN"/>
              </w:rPr>
            </w:pP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诸暨技师学院提升扩建工程</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5.5</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2024-2026</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eastAsia" w:ascii="Times New Roman" w:hAnsi="Times New Roman" w:eastAsia="仿宋" w:cs="Times New Roman"/>
                <w:color w:val="auto"/>
                <w:sz w:val="24"/>
                <w:szCs w:val="24"/>
                <w:vertAlign w:val="baseline"/>
                <w:lang w:val="en-US" w:eastAsia="zh-CN"/>
              </w:rPr>
              <w:t>30</w:t>
            </w:r>
          </w:p>
        </w:tc>
        <w:tc>
          <w:tcPr>
            <w:tcW w:w="1646" w:type="dxa"/>
            <w:vMerge w:val="continue"/>
            <w:vAlign w:val="center"/>
          </w:tcPr>
          <w:p>
            <w:pPr>
              <w:jc w:val="center"/>
              <w:rPr>
                <w:rFonts w:hint="default" w:ascii="Times New Roman" w:hAnsi="Times New Roman" w:eastAsia="仿宋" w:cs="Times New Roman"/>
                <w:b/>
                <w:bCs/>
                <w:color w:val="auto"/>
                <w:kern w:val="2"/>
                <w:sz w:val="24"/>
                <w:szCs w:val="24"/>
                <w:lang w:val="en-US" w:eastAsia="zh-CN" w:bidi="zh-CN"/>
              </w:rPr>
            </w:pP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诸暨市人民医院二期工程建设项目</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10</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2022-2025</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eastAsia" w:ascii="Times New Roman" w:hAnsi="Times New Roman" w:eastAsia="仿宋" w:cs="Times New Roman"/>
                <w:color w:val="auto"/>
                <w:sz w:val="24"/>
                <w:szCs w:val="24"/>
                <w:vertAlign w:val="baseline"/>
                <w:lang w:val="en-US" w:eastAsia="zh-CN"/>
              </w:rPr>
              <w:t>31</w:t>
            </w:r>
          </w:p>
        </w:tc>
        <w:tc>
          <w:tcPr>
            <w:tcW w:w="1646" w:type="dxa"/>
            <w:vMerge w:val="continue"/>
            <w:vAlign w:val="center"/>
          </w:tcPr>
          <w:p>
            <w:pPr>
              <w:jc w:val="center"/>
              <w:rPr>
                <w:rFonts w:hint="default" w:ascii="Times New Roman" w:hAnsi="Times New Roman" w:eastAsia="仿宋" w:cs="Times New Roman"/>
                <w:b/>
                <w:bCs/>
                <w:color w:val="auto"/>
                <w:kern w:val="2"/>
                <w:sz w:val="24"/>
                <w:szCs w:val="24"/>
                <w:lang w:val="en-US" w:eastAsia="zh-CN" w:bidi="zh-CN"/>
              </w:rPr>
            </w:pP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诸暨市中医院三期工程</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2.2</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p>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2019-2023</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eastAsia" w:ascii="Times New Roman" w:hAnsi="Times New Roman" w:eastAsia="仿宋" w:cs="Times New Roman"/>
                <w:color w:val="auto"/>
                <w:sz w:val="24"/>
                <w:szCs w:val="24"/>
                <w:vertAlign w:val="baseline"/>
                <w:lang w:val="en-US" w:eastAsia="zh-CN"/>
              </w:rPr>
              <w:t>32</w:t>
            </w:r>
          </w:p>
        </w:tc>
        <w:tc>
          <w:tcPr>
            <w:tcW w:w="1646" w:type="dxa"/>
            <w:vMerge w:val="restart"/>
            <w:vAlign w:val="center"/>
          </w:tcPr>
          <w:p>
            <w:pPr>
              <w:jc w:val="center"/>
              <w:rPr>
                <w:rFonts w:hint="default" w:ascii="Times New Roman" w:hAnsi="Times New Roman" w:eastAsia="仿宋" w:cs="Times New Roman"/>
                <w:b/>
                <w:bCs/>
                <w:color w:val="auto"/>
                <w:kern w:val="2"/>
                <w:sz w:val="24"/>
                <w:szCs w:val="24"/>
                <w:lang w:val="en-US" w:eastAsia="zh-CN" w:bidi="zh-CN"/>
              </w:rPr>
            </w:pPr>
            <w:r>
              <w:rPr>
                <w:rFonts w:hint="default" w:ascii="Times New Roman" w:hAnsi="Times New Roman" w:eastAsia="仿宋" w:cs="Times New Roman"/>
                <w:b/>
                <w:bCs/>
                <w:color w:val="auto"/>
                <w:kern w:val="2"/>
                <w:sz w:val="24"/>
                <w:szCs w:val="24"/>
                <w:lang w:val="en-US" w:eastAsia="zh-CN" w:bidi="zh-CN"/>
              </w:rPr>
              <w:t>生态共管</w:t>
            </w:r>
          </w:p>
          <w:p>
            <w:pPr>
              <w:jc w:val="center"/>
              <w:rPr>
                <w:rFonts w:hint="default" w:ascii="Times New Roman" w:hAnsi="Times New Roman" w:eastAsia="仿宋" w:cs="Times New Roman"/>
                <w:b/>
                <w:bCs/>
                <w:color w:val="auto"/>
                <w:kern w:val="2"/>
                <w:sz w:val="24"/>
                <w:szCs w:val="24"/>
                <w:lang w:val="en-US" w:eastAsia="zh-CN" w:bidi="zh-CN"/>
              </w:rPr>
            </w:pPr>
            <w:r>
              <w:rPr>
                <w:rFonts w:hint="default" w:ascii="Times New Roman" w:hAnsi="Times New Roman" w:eastAsia="仿宋" w:cs="Times New Roman"/>
                <w:b/>
                <w:bCs/>
                <w:color w:val="auto"/>
                <w:kern w:val="2"/>
                <w:sz w:val="24"/>
                <w:szCs w:val="24"/>
                <w:lang w:val="en-US" w:eastAsia="zh-CN" w:bidi="zh-CN"/>
              </w:rPr>
              <w:t>共治</w:t>
            </w: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诸暨市第二污水处理厂清洁排放提标改造工程项目</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1.95</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2022-2023</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诸暨海东水处理有限公司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jc w:val="center"/>
              <w:rPr>
                <w:rFonts w:hint="default" w:ascii="Times New Roman" w:hAnsi="Times New Roman" w:eastAsia="仿宋" w:cs="Times New Roman"/>
                <w:color w:val="auto"/>
                <w:sz w:val="24"/>
                <w:szCs w:val="24"/>
                <w:vertAlign w:val="baseline"/>
                <w:lang w:val="en-US" w:eastAsia="zh-CN"/>
              </w:rPr>
            </w:pPr>
            <w:r>
              <w:rPr>
                <w:rFonts w:hint="eastAsia" w:ascii="Times New Roman" w:hAnsi="Times New Roman" w:eastAsia="仿宋" w:cs="Times New Roman"/>
                <w:color w:val="auto"/>
                <w:sz w:val="24"/>
                <w:szCs w:val="24"/>
                <w:vertAlign w:val="baseline"/>
                <w:lang w:val="en-US" w:eastAsia="zh-CN"/>
              </w:rPr>
              <w:t>33</w:t>
            </w:r>
          </w:p>
        </w:tc>
        <w:tc>
          <w:tcPr>
            <w:tcW w:w="1646" w:type="dxa"/>
            <w:vMerge w:val="continue"/>
            <w:vAlign w:val="center"/>
          </w:tcPr>
          <w:p>
            <w:pPr>
              <w:jc w:val="center"/>
              <w:rPr>
                <w:rFonts w:hint="default" w:ascii="Times New Roman" w:hAnsi="Times New Roman" w:eastAsia="仿宋" w:cs="Times New Roman"/>
                <w:b/>
                <w:bCs/>
                <w:color w:val="auto"/>
                <w:kern w:val="2"/>
                <w:sz w:val="24"/>
                <w:szCs w:val="24"/>
                <w:lang w:val="en-US" w:eastAsia="zh-CN" w:bidi="zh-CN"/>
              </w:rPr>
            </w:pPr>
          </w:p>
        </w:tc>
        <w:tc>
          <w:tcPr>
            <w:tcW w:w="3486"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诸暨市浦阳江治理三期工程</w:t>
            </w:r>
          </w:p>
        </w:tc>
        <w:tc>
          <w:tcPr>
            <w:tcW w:w="206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25</w:t>
            </w:r>
          </w:p>
        </w:tc>
        <w:tc>
          <w:tcPr>
            <w:tcW w:w="228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2022-2025</w:t>
            </w:r>
          </w:p>
        </w:tc>
        <w:tc>
          <w:tcPr>
            <w:tcW w:w="3490" w:type="dxa"/>
            <w:vAlign w:val="center"/>
          </w:tcPr>
          <w:p>
            <w:pPr>
              <w:jc w:val="center"/>
              <w:rPr>
                <w:rFonts w:hint="default" w:ascii="Times New Roman" w:hAnsi="Times New Roman" w:eastAsia="仿宋_GB2312" w:cs="Times New Roman"/>
                <w:b w:val="0"/>
                <w:bCs w:val="0"/>
                <w:color w:val="auto"/>
                <w:sz w:val="24"/>
                <w:szCs w:val="24"/>
                <w:lang w:val="en-US" w:eastAsia="zh-CN" w:bidi="zh-CN"/>
              </w:rPr>
            </w:pPr>
            <w:r>
              <w:rPr>
                <w:rFonts w:hint="default" w:ascii="Times New Roman" w:hAnsi="Times New Roman" w:eastAsia="仿宋_GB2312" w:cs="Times New Roman"/>
                <w:b w:val="0"/>
                <w:bCs w:val="0"/>
                <w:color w:val="auto"/>
                <w:sz w:val="24"/>
                <w:szCs w:val="24"/>
                <w:lang w:val="en-US" w:eastAsia="zh-CN" w:bidi="zh-CN"/>
              </w:rPr>
              <w:t>诸暨市水利投资发展有限公司</w:t>
            </w:r>
          </w:p>
        </w:tc>
      </w:tr>
    </w:tbl>
    <w:p>
      <w:pPr>
        <w:pStyle w:val="3"/>
        <w:ind w:left="0" w:leftChars="0" w:firstLine="0" w:firstLineChars="0"/>
        <w:rPr>
          <w:rFonts w:hint="eastAsia" w:ascii="Times New Roman" w:hAnsi="Times New Roman" w:eastAsia="方正仿宋_GBK" w:cs="Times New Roman"/>
          <w:color w:val="auto"/>
          <w:lang w:val="en-US" w:eastAsia="zh-CN"/>
        </w:rPr>
      </w:pPr>
    </w:p>
    <w:bookmarkEnd w:id="33"/>
    <w:sectPr>
      <w:pgSz w:w="16838" w:h="11906" w:orient="landscape"/>
      <w:pgMar w:top="1803" w:right="1440" w:bottom="1803" w:left="1440"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7000661-7A4B-4039-BE9A-17EDDA0A4BE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embedRegular r:id="rId2" w:fontKey="{C6BB7AF3-5AB2-4890-9334-E6C455A2AB21}"/>
  </w:font>
  <w:font w:name="方正仿宋_GBK">
    <w:altName w:val="微软雅黑"/>
    <w:panose1 w:val="00000000000000000000"/>
    <w:charset w:val="86"/>
    <w:family w:val="script"/>
    <w:pitch w:val="default"/>
    <w:sig w:usb0="00000000" w:usb1="00000000" w:usb2="00000000" w:usb3="00000000" w:csb0="00040000" w:csb1="00000000"/>
    <w:embedRegular r:id="rId3" w:fontKey="{1F685912-8141-4C65-AF79-C90AED558A9D}"/>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4" w:fontKey="{120FFF60-5E52-45F3-B8E9-2212ED43C18A}"/>
  </w:font>
  <w:font w:name="方正小标宋简体">
    <w:panose1 w:val="02000000000000000000"/>
    <w:charset w:val="86"/>
    <w:family w:val="auto"/>
    <w:pitch w:val="default"/>
    <w:sig w:usb0="00000001" w:usb1="08000000" w:usb2="00000000" w:usb3="00000000" w:csb0="00040000" w:csb1="00000000"/>
    <w:embedRegular r:id="rId5" w:fontKey="{786C1D41-E3D9-4B98-8431-EC69C48C6406}"/>
  </w:font>
  <w:font w:name="华文仿宋">
    <w:panose1 w:val="02010600040101010101"/>
    <w:charset w:val="86"/>
    <w:family w:val="auto"/>
    <w:pitch w:val="default"/>
    <w:sig w:usb0="00000287" w:usb1="080F0000" w:usb2="00000000" w:usb3="00000000" w:csb0="0004009F" w:csb1="DFD70000"/>
    <w:embedRegular r:id="rId6" w:fontKey="{ADF70A17-C547-4030-A933-2250DD9EF1F4}"/>
  </w:font>
  <w:font w:name="仿宋">
    <w:panose1 w:val="02010609060101010101"/>
    <w:charset w:val="86"/>
    <w:family w:val="modern"/>
    <w:pitch w:val="default"/>
    <w:sig w:usb0="800002BF" w:usb1="38CF7CFA" w:usb2="00000016" w:usb3="00000000" w:csb0="00040001" w:csb1="00000000"/>
    <w:embedRegular r:id="rId7" w:fontKey="{99C77091-B627-4054-BD37-BF1E515B1D9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66A4E9"/>
    <w:multiLevelType w:val="singleLevel"/>
    <w:tmpl w:val="8D66A4E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VlOTg0MWY1MzI0MGE1M2RkNjZhNDA2Y2Y3ZDRhYmQifQ=="/>
  </w:docVars>
  <w:rsids>
    <w:rsidRoot w:val="7B4629A4"/>
    <w:rsid w:val="0000786A"/>
    <w:rsid w:val="00087683"/>
    <w:rsid w:val="000D3B33"/>
    <w:rsid w:val="000F226B"/>
    <w:rsid w:val="00151CA2"/>
    <w:rsid w:val="002221B6"/>
    <w:rsid w:val="00297448"/>
    <w:rsid w:val="002B7B28"/>
    <w:rsid w:val="0030638D"/>
    <w:rsid w:val="0030652B"/>
    <w:rsid w:val="00365FD1"/>
    <w:rsid w:val="0039543D"/>
    <w:rsid w:val="00397160"/>
    <w:rsid w:val="003C4E80"/>
    <w:rsid w:val="004746FB"/>
    <w:rsid w:val="00537002"/>
    <w:rsid w:val="00554DF1"/>
    <w:rsid w:val="00621556"/>
    <w:rsid w:val="00672F5F"/>
    <w:rsid w:val="0068134B"/>
    <w:rsid w:val="007430E8"/>
    <w:rsid w:val="00753F72"/>
    <w:rsid w:val="00814BF7"/>
    <w:rsid w:val="008700C2"/>
    <w:rsid w:val="00894B95"/>
    <w:rsid w:val="00927E36"/>
    <w:rsid w:val="00A3710E"/>
    <w:rsid w:val="00AA7D03"/>
    <w:rsid w:val="00AB13CB"/>
    <w:rsid w:val="00AB5C91"/>
    <w:rsid w:val="00AC7774"/>
    <w:rsid w:val="00AF2998"/>
    <w:rsid w:val="00B50E72"/>
    <w:rsid w:val="00BA10E3"/>
    <w:rsid w:val="00C40E3A"/>
    <w:rsid w:val="00C50C69"/>
    <w:rsid w:val="00CB4050"/>
    <w:rsid w:val="00D054CF"/>
    <w:rsid w:val="00D21560"/>
    <w:rsid w:val="00D31312"/>
    <w:rsid w:val="00D35567"/>
    <w:rsid w:val="00E655B4"/>
    <w:rsid w:val="00E974EA"/>
    <w:rsid w:val="00F027E6"/>
    <w:rsid w:val="00F4415B"/>
    <w:rsid w:val="00F85586"/>
    <w:rsid w:val="025711F7"/>
    <w:rsid w:val="02C92C8C"/>
    <w:rsid w:val="03625C80"/>
    <w:rsid w:val="0381098F"/>
    <w:rsid w:val="06460F30"/>
    <w:rsid w:val="07381FA1"/>
    <w:rsid w:val="0833011F"/>
    <w:rsid w:val="08882559"/>
    <w:rsid w:val="0A0F4611"/>
    <w:rsid w:val="0A575BDC"/>
    <w:rsid w:val="0B2E1E80"/>
    <w:rsid w:val="0B405D78"/>
    <w:rsid w:val="0C896996"/>
    <w:rsid w:val="0E5468DA"/>
    <w:rsid w:val="106C186E"/>
    <w:rsid w:val="10BD13D3"/>
    <w:rsid w:val="110F2EF6"/>
    <w:rsid w:val="11C04507"/>
    <w:rsid w:val="14CF5677"/>
    <w:rsid w:val="179F0313"/>
    <w:rsid w:val="186E651A"/>
    <w:rsid w:val="191F6AE2"/>
    <w:rsid w:val="1C6C106C"/>
    <w:rsid w:val="1D153897"/>
    <w:rsid w:val="1DF709D7"/>
    <w:rsid w:val="1E790E3B"/>
    <w:rsid w:val="1EC46BFE"/>
    <w:rsid w:val="21BA320B"/>
    <w:rsid w:val="230812D9"/>
    <w:rsid w:val="231E32E1"/>
    <w:rsid w:val="23241E05"/>
    <w:rsid w:val="23982C70"/>
    <w:rsid w:val="23C502CF"/>
    <w:rsid w:val="240F02AE"/>
    <w:rsid w:val="24A91E9D"/>
    <w:rsid w:val="24E652B1"/>
    <w:rsid w:val="25A420E7"/>
    <w:rsid w:val="25AE50B1"/>
    <w:rsid w:val="25EF2E93"/>
    <w:rsid w:val="26D60AE7"/>
    <w:rsid w:val="26EA00EF"/>
    <w:rsid w:val="271111E2"/>
    <w:rsid w:val="294A77E5"/>
    <w:rsid w:val="29CD192F"/>
    <w:rsid w:val="2AC12FD0"/>
    <w:rsid w:val="2CAE2083"/>
    <w:rsid w:val="2EFF0FAA"/>
    <w:rsid w:val="319F3D3E"/>
    <w:rsid w:val="322F0C02"/>
    <w:rsid w:val="32821FC4"/>
    <w:rsid w:val="32F823E5"/>
    <w:rsid w:val="34311D7A"/>
    <w:rsid w:val="35490860"/>
    <w:rsid w:val="37247427"/>
    <w:rsid w:val="37360E23"/>
    <w:rsid w:val="37BF6BBF"/>
    <w:rsid w:val="3834278F"/>
    <w:rsid w:val="39B51E95"/>
    <w:rsid w:val="3A864FF0"/>
    <w:rsid w:val="3CA4205D"/>
    <w:rsid w:val="3CB23005"/>
    <w:rsid w:val="3DD87AA8"/>
    <w:rsid w:val="40885F49"/>
    <w:rsid w:val="40A818E5"/>
    <w:rsid w:val="444E2AAB"/>
    <w:rsid w:val="45882B2B"/>
    <w:rsid w:val="45B17E68"/>
    <w:rsid w:val="45EE37F1"/>
    <w:rsid w:val="472830EC"/>
    <w:rsid w:val="490115D2"/>
    <w:rsid w:val="4B701FAD"/>
    <w:rsid w:val="4E1F474B"/>
    <w:rsid w:val="4E7F5E29"/>
    <w:rsid w:val="4EE923B5"/>
    <w:rsid w:val="5056535D"/>
    <w:rsid w:val="51DD6408"/>
    <w:rsid w:val="51FB2977"/>
    <w:rsid w:val="52F13A9D"/>
    <w:rsid w:val="530028C4"/>
    <w:rsid w:val="53251642"/>
    <w:rsid w:val="539B21D4"/>
    <w:rsid w:val="56E859E3"/>
    <w:rsid w:val="571212D6"/>
    <w:rsid w:val="59695C96"/>
    <w:rsid w:val="59B04BCE"/>
    <w:rsid w:val="5A4B6B1B"/>
    <w:rsid w:val="5B501E94"/>
    <w:rsid w:val="5C9F2BA9"/>
    <w:rsid w:val="5E0C79E2"/>
    <w:rsid w:val="5F020478"/>
    <w:rsid w:val="5FBE2F34"/>
    <w:rsid w:val="609716A8"/>
    <w:rsid w:val="61B551C2"/>
    <w:rsid w:val="62802C76"/>
    <w:rsid w:val="644F7208"/>
    <w:rsid w:val="65B604F3"/>
    <w:rsid w:val="66A745DE"/>
    <w:rsid w:val="68885117"/>
    <w:rsid w:val="69ED1B3A"/>
    <w:rsid w:val="6B6276B0"/>
    <w:rsid w:val="6B925A81"/>
    <w:rsid w:val="6BFB3E36"/>
    <w:rsid w:val="6C0B610A"/>
    <w:rsid w:val="6CEE5158"/>
    <w:rsid w:val="71523F9F"/>
    <w:rsid w:val="717778BB"/>
    <w:rsid w:val="71DD6A8F"/>
    <w:rsid w:val="72A63EFC"/>
    <w:rsid w:val="733D76B9"/>
    <w:rsid w:val="75C93EDB"/>
    <w:rsid w:val="760F61CA"/>
    <w:rsid w:val="76371C63"/>
    <w:rsid w:val="76A258BD"/>
    <w:rsid w:val="79370B15"/>
    <w:rsid w:val="799D53E3"/>
    <w:rsid w:val="79A74F98"/>
    <w:rsid w:val="79C769DC"/>
    <w:rsid w:val="7A076088"/>
    <w:rsid w:val="7B4629A4"/>
    <w:rsid w:val="7FBA1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0" w:afterAutospacing="0" w:line="560" w:lineRule="exact"/>
      <w:ind w:firstLine="420" w:firstLineChars="200"/>
      <w:jc w:val="left"/>
      <w:outlineLvl w:val="0"/>
    </w:pPr>
    <w:rPr>
      <w:rFonts w:hint="eastAsia" w:ascii="宋体" w:hAnsi="宋体" w:eastAsia="黑体" w:cs="Times New Roman"/>
      <w:bCs/>
      <w:kern w:val="44"/>
      <w:sz w:val="32"/>
      <w:szCs w:val="48"/>
    </w:rPr>
  </w:style>
  <w:style w:type="paragraph" w:styleId="5">
    <w:name w:val="heading 2"/>
    <w:basedOn w:val="1"/>
    <w:next w:val="1"/>
    <w:link w:val="18"/>
    <w:unhideWhenUsed/>
    <w:qFormat/>
    <w:uiPriority w:val="0"/>
    <w:pPr>
      <w:keepNext/>
      <w:keepLines/>
      <w:spacing w:line="560" w:lineRule="exact"/>
      <w:ind w:firstLine="420" w:firstLineChars="200"/>
      <w:outlineLvl w:val="1"/>
    </w:pPr>
    <w:rPr>
      <w:rFonts w:eastAsia="楷体_GB2312" w:asciiTheme="majorAscii" w:hAnsiTheme="majorAscii" w:cstheme="majorBidi"/>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Body Text First Indent1"/>
    <w:basedOn w:val="2"/>
    <w:next w:val="1"/>
    <w:qFormat/>
    <w:uiPriority w:val="0"/>
    <w:pPr>
      <w:spacing w:after="0"/>
      <w:ind w:firstLine="720"/>
    </w:pPr>
    <w:rPr>
      <w:rFonts w:eastAsia="方正仿宋_GBK"/>
      <w:sz w:val="30"/>
    </w:rPr>
  </w:style>
  <w:style w:type="paragraph" w:styleId="6">
    <w:name w:val="caption"/>
    <w:basedOn w:val="1"/>
    <w:next w:val="1"/>
    <w:unhideWhenUsed/>
    <w:qFormat/>
    <w:uiPriority w:val="0"/>
    <w:rPr>
      <w:rFonts w:eastAsia="黑体" w:asciiTheme="majorHAnsi" w:hAnsiTheme="majorHAnsi" w:cstheme="majorBidi"/>
      <w:sz w:val="20"/>
      <w:szCs w:val="20"/>
    </w:rPr>
  </w:style>
  <w:style w:type="paragraph" w:styleId="7">
    <w:name w:val="annotation text"/>
    <w:basedOn w:val="1"/>
    <w:qFormat/>
    <w:uiPriority w:val="0"/>
    <w:pPr>
      <w:jc w:val="left"/>
    </w:p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Emphasis"/>
    <w:basedOn w:val="12"/>
    <w:qFormat/>
    <w:uiPriority w:val="0"/>
    <w:rPr>
      <w:i/>
    </w:rPr>
  </w:style>
  <w:style w:type="paragraph" w:customStyle="1" w:styleId="15">
    <w:name w:val="Char"/>
    <w:basedOn w:val="1"/>
    <w:semiHidden/>
    <w:qFormat/>
    <w:uiPriority w:val="99"/>
    <w:rPr>
      <w:rFonts w:ascii="Times New Roman" w:hAnsi="Times New Roman"/>
      <w:sz w:val="32"/>
    </w:rPr>
  </w:style>
  <w:style w:type="character" w:customStyle="1" w:styleId="16">
    <w:name w:val="页眉 字符"/>
    <w:basedOn w:val="12"/>
    <w:link w:val="9"/>
    <w:qFormat/>
    <w:uiPriority w:val="0"/>
    <w:rPr>
      <w:rFonts w:asciiTheme="minorHAnsi" w:hAnsiTheme="minorHAnsi" w:eastAsiaTheme="minorEastAsia" w:cstheme="minorBidi"/>
      <w:kern w:val="2"/>
      <w:sz w:val="18"/>
      <w:szCs w:val="18"/>
    </w:rPr>
  </w:style>
  <w:style w:type="character" w:customStyle="1" w:styleId="17">
    <w:name w:val="页脚 字符"/>
    <w:basedOn w:val="12"/>
    <w:link w:val="8"/>
    <w:qFormat/>
    <w:uiPriority w:val="0"/>
    <w:rPr>
      <w:rFonts w:asciiTheme="minorHAnsi" w:hAnsiTheme="minorHAnsi" w:eastAsiaTheme="minorEastAsia" w:cstheme="minorBidi"/>
      <w:kern w:val="2"/>
      <w:sz w:val="18"/>
      <w:szCs w:val="18"/>
    </w:rPr>
  </w:style>
  <w:style w:type="character" w:customStyle="1" w:styleId="18">
    <w:name w:val="标题 2 字符"/>
    <w:basedOn w:val="12"/>
    <w:link w:val="5"/>
    <w:semiHidden/>
    <w:qFormat/>
    <w:uiPriority w:val="0"/>
    <w:rPr>
      <w:rFonts w:eastAsia="楷体_GB2312" w:asciiTheme="majorAscii" w:hAnsiTheme="majorAscii" w:cstheme="majorBidi"/>
      <w:bCs/>
      <w:kern w:val="2"/>
      <w:sz w:val="32"/>
      <w:szCs w:val="32"/>
    </w:rPr>
  </w:style>
  <w:style w:type="character" w:customStyle="1" w:styleId="19">
    <w:name w:val="fontstyle01"/>
    <w:basedOn w:val="12"/>
    <w:qFormat/>
    <w:uiPriority w:val="0"/>
    <w:rPr>
      <w:rFonts w:hint="eastAsia" w:ascii="仿宋_GB2312" w:eastAsia="仿宋_GB2312"/>
      <w:color w:val="000000"/>
      <w:sz w:val="32"/>
      <w:szCs w:val="32"/>
    </w:rPr>
  </w:style>
  <w:style w:type="paragraph" w:customStyle="1" w:styleId="20">
    <w:name w:val="正文缩进1"/>
    <w:basedOn w:val="1"/>
    <w:qFormat/>
    <w:uiPriority w:val="99"/>
    <w:pPr>
      <w:ind w:firstLine="420" w:firstLineChars="200"/>
    </w:pPr>
    <w:rPr>
      <w:rFonts w:ascii="Calibri" w:hAnsi="Calibri" w:eastAsia="宋体" w:cs="Calibri"/>
      <w:szCs w:val="21"/>
    </w:rPr>
  </w:style>
  <w:style w:type="character" w:customStyle="1" w:styleId="21">
    <w:name w:val="font21"/>
    <w:basedOn w:val="12"/>
    <w:qFormat/>
    <w:uiPriority w:val="0"/>
    <w:rPr>
      <w:rFonts w:ascii="宋体" w:hAnsi="宋体" w:eastAsia="宋体" w:cs="宋体"/>
      <w:b/>
      <w:bCs/>
      <w:color w:val="FF0000"/>
      <w:sz w:val="18"/>
      <w:szCs w:val="18"/>
      <w:u w:val="none"/>
    </w:rPr>
  </w:style>
  <w:style w:type="character" w:customStyle="1" w:styleId="22">
    <w:name w:val="font11"/>
    <w:basedOn w:val="12"/>
    <w:qFormat/>
    <w:uiPriority w:val="0"/>
    <w:rPr>
      <w:rFonts w:ascii="宋体" w:hAnsi="宋体" w:eastAsia="宋体" w:cs="宋体"/>
      <w:color w:val="FF0000"/>
      <w:sz w:val="18"/>
      <w:szCs w:val="18"/>
      <w:u w:val="none"/>
    </w:rPr>
  </w:style>
  <w:style w:type="character" w:customStyle="1" w:styleId="23">
    <w:name w:val="font31"/>
    <w:basedOn w:val="12"/>
    <w:qFormat/>
    <w:uiPriority w:val="0"/>
    <w:rPr>
      <w:rFonts w:hint="eastAsia" w:ascii="宋体" w:hAnsi="宋体" w:eastAsia="宋体" w:cs="宋体"/>
      <w:color w:val="FF0000"/>
      <w:sz w:val="20"/>
      <w:szCs w:val="20"/>
      <w:u w:val="none"/>
    </w:rPr>
  </w:style>
  <w:style w:type="character" w:customStyle="1" w:styleId="24">
    <w:name w:val="font41"/>
    <w:basedOn w:val="12"/>
    <w:qFormat/>
    <w:uiPriority w:val="0"/>
    <w:rPr>
      <w:rFonts w:hint="default" w:ascii="Times New Roman" w:hAnsi="Times New Roman" w:cs="Times New Roman"/>
      <w:color w:val="000000"/>
      <w:sz w:val="20"/>
      <w:szCs w:val="20"/>
      <w:u w:val="none"/>
    </w:rPr>
  </w:style>
  <w:style w:type="character" w:customStyle="1" w:styleId="25">
    <w:name w:val="font51"/>
    <w:basedOn w:val="12"/>
    <w:qFormat/>
    <w:uiPriority w:val="0"/>
    <w:rPr>
      <w:rFonts w:hint="eastAsia" w:ascii="仿宋_GB2312" w:eastAsia="仿宋_GB2312" w:cs="仿宋_GB2312"/>
      <w:color w:val="000000"/>
      <w:sz w:val="20"/>
      <w:szCs w:val="20"/>
      <w:u w:val="none"/>
    </w:rPr>
  </w:style>
  <w:style w:type="character" w:customStyle="1" w:styleId="26">
    <w:name w:val="font61"/>
    <w:basedOn w:val="12"/>
    <w:qFormat/>
    <w:uiPriority w:val="0"/>
    <w:rPr>
      <w:rFonts w:hint="default" w:ascii="Times New Roman" w:hAnsi="Times New Roman" w:cs="Times New Roman"/>
      <w:color w:val="000000"/>
      <w:sz w:val="20"/>
      <w:szCs w:val="20"/>
      <w:u w:val="none"/>
    </w:rPr>
  </w:style>
  <w:style w:type="character" w:customStyle="1" w:styleId="27">
    <w:name w:val="font71"/>
    <w:basedOn w:val="12"/>
    <w:qFormat/>
    <w:uiPriority w:val="0"/>
    <w:rPr>
      <w:rFonts w:ascii="仿宋_GB2312" w:eastAsia="仿宋_GB2312" w:cs="仿宋_GB2312"/>
      <w:color w:val="000000"/>
      <w:sz w:val="20"/>
      <w:szCs w:val="20"/>
      <w:u w:val="none"/>
    </w:rPr>
  </w:style>
  <w:style w:type="character" w:customStyle="1" w:styleId="28">
    <w:name w:val="font01"/>
    <w:basedOn w:val="12"/>
    <w:qFormat/>
    <w:uiPriority w:val="0"/>
    <w:rPr>
      <w:rFonts w:hint="eastAsia" w:ascii="宋体" w:hAnsi="宋体" w:eastAsia="宋体" w:cs="宋体"/>
      <w:color w:val="000000"/>
      <w:sz w:val="20"/>
      <w:szCs w:val="20"/>
      <w:u w:val="none"/>
    </w:rPr>
  </w:style>
  <w:style w:type="paragraph" w:customStyle="1" w:styleId="29">
    <w:name w:val="WPSOffice手动目录 1"/>
    <w:qFormat/>
    <w:uiPriority w:val="0"/>
    <w:pPr>
      <w:ind w:leftChars="0"/>
    </w:pPr>
    <w:rPr>
      <w:rFonts w:ascii="Times New Roman" w:hAnsi="Times New Roman" w:eastAsia="宋体" w:cs="Times New Roman"/>
      <w:sz w:val="20"/>
      <w:szCs w:val="20"/>
    </w:rPr>
  </w:style>
  <w:style w:type="paragraph" w:customStyle="1" w:styleId="30">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15929</Words>
  <Characters>16670</Characters>
  <Lines>106</Lines>
  <Paragraphs>30</Paragraphs>
  <TotalTime>16</TotalTime>
  <ScaleCrop>false</ScaleCrop>
  <LinksUpToDate>false</LinksUpToDate>
  <CharactersWithSpaces>17607</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2022-07-25T02:26:00Z</dcterms:created>
  <dc:creator>Dairy Queen</dc:creator>
  <cp:lastModifiedBy>金科</cp:lastModifiedBy>
  <cp:lastPrinted>2022-10-27T04:23:00Z</cp:lastPrinted>
  <dcterms:modified xsi:type="dcterms:W3CDTF">2022-11-07T02:45:36Z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357295451C8D41D7B55FD0F6D95D2DB9</vt:lpwstr>
  </property>
</Properties>
</file>