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after="0" w:afterAutospacing="0" w:line="600" w:lineRule="exact"/>
        <w:jc w:val="center"/>
        <w:rPr>
          <w:rFonts w:hint="eastAsia" w:ascii="宋体" w:hAnsi="宋体" w:eastAsia="宋体"/>
          <w:b/>
          <w:sz w:val="44"/>
          <w:szCs w:val="44"/>
        </w:rPr>
      </w:pPr>
      <w:r>
        <w:rPr>
          <w:rFonts w:hint="eastAsia" w:ascii="宋体" w:hAnsi="宋体" w:eastAsia="宋体"/>
          <w:b/>
          <w:sz w:val="44"/>
          <w:szCs w:val="44"/>
        </w:rPr>
        <w:t>宁波市关于委托第三方机构参与</w:t>
      </w:r>
    </w:p>
    <w:p>
      <w:pPr>
        <w:pStyle w:val="6"/>
        <w:spacing w:before="0" w:beforeAutospacing="0" w:after="0" w:afterAutospacing="0" w:line="600" w:lineRule="exact"/>
        <w:jc w:val="center"/>
        <w:rPr>
          <w:rFonts w:ascii="宋体" w:hAnsi="宋体" w:eastAsia="宋体"/>
          <w:b/>
          <w:sz w:val="44"/>
          <w:szCs w:val="44"/>
        </w:rPr>
      </w:pPr>
      <w:r>
        <w:rPr>
          <w:rFonts w:hint="eastAsia" w:ascii="宋体" w:hAnsi="宋体" w:eastAsia="宋体"/>
          <w:b/>
          <w:sz w:val="44"/>
          <w:szCs w:val="44"/>
        </w:rPr>
        <w:t>预算绩效管理工作管理办法（试行）</w:t>
      </w:r>
    </w:p>
    <w:p>
      <w:pPr>
        <w:pStyle w:val="6"/>
        <w:spacing w:before="0" w:beforeAutospacing="0" w:after="0" w:afterAutospacing="0" w:line="600" w:lineRule="exact"/>
        <w:jc w:val="center"/>
        <w:rPr>
          <w:rFonts w:hint="eastAsia" w:ascii="宋体" w:hAnsi="宋体"/>
          <w:sz w:val="24"/>
          <w:szCs w:val="24"/>
          <w:lang w:val="en-US" w:eastAsia="zh-CN"/>
        </w:rPr>
      </w:pPr>
      <w:bookmarkStart w:id="0" w:name="_GoBack"/>
      <w:r>
        <w:rPr>
          <w:rFonts w:hint="eastAsia" w:ascii="宋体" w:hAnsi="宋体"/>
          <w:sz w:val="24"/>
          <w:szCs w:val="24"/>
          <w:lang w:val="en-US" w:eastAsia="zh-CN"/>
        </w:rPr>
        <w:t>(征求意见稿）</w:t>
      </w:r>
    </w:p>
    <w:bookmarkEnd w:id="0"/>
    <w:p>
      <w:pPr>
        <w:pStyle w:val="6"/>
        <w:spacing w:before="0" w:beforeAutospacing="0" w:after="0" w:afterAutospacing="0" w:line="600" w:lineRule="exact"/>
        <w:jc w:val="center"/>
        <w:rPr>
          <w:rFonts w:hint="eastAsia" w:ascii="宋体" w:hAnsi="宋体"/>
          <w:sz w:val="24"/>
          <w:szCs w:val="24"/>
          <w:lang w:val="en-US" w:eastAsia="zh-CN"/>
        </w:rPr>
      </w:pPr>
    </w:p>
    <w:p>
      <w:pPr>
        <w:pStyle w:val="6"/>
        <w:spacing w:before="0" w:beforeAutospacing="0" w:after="0" w:afterAutospacing="0" w:line="600" w:lineRule="exact"/>
        <w:ind w:firstLine="3200" w:firstLineChars="1000"/>
        <w:rPr>
          <w:rFonts w:ascii="黑体" w:hAnsi="黑体" w:eastAsia="黑体"/>
          <w:sz w:val="32"/>
          <w:szCs w:val="32"/>
        </w:rPr>
      </w:pPr>
      <w:r>
        <w:rPr>
          <w:rFonts w:hint="eastAsia" w:ascii="黑体" w:hAnsi="黑体" w:eastAsia="黑体"/>
          <w:sz w:val="32"/>
          <w:szCs w:val="32"/>
        </w:rPr>
        <w:t>第一章 总则</w:t>
      </w:r>
    </w:p>
    <w:p>
      <w:pPr>
        <w:pStyle w:val="6"/>
        <w:spacing w:before="0" w:beforeAutospacing="0" w:after="0" w:afterAutospacing="0"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推进我市预算绩效管理，规范委托第三方机构参与预算绩效管理工作，推动第三方机构有序参与预算绩效管理，提高客观性、专业性和科学性，根据《中华人民共和国预算法》、《中华人民共和国预算法实施细则》、《财政部关于委托第三方机构参与预算绩效管理的指导意见》、《中共宁波市委宁波市人民政府关于全面落实预算绩效管理的实施意见》以及政府采购管理、政府购买服务管理有关规定，制定本办法。</w:t>
      </w:r>
    </w:p>
    <w:p>
      <w:pPr>
        <w:autoSpaceDE w:val="0"/>
        <w:autoSpaceDN w:val="0"/>
        <w:adjustRightInd w:val="0"/>
        <w:spacing w:line="600" w:lineRule="exact"/>
        <w:ind w:firstLine="643" w:firstLineChars="200"/>
        <w:jc w:val="left"/>
        <w:rPr>
          <w:rFonts w:ascii="仿宋_GB2312" w:hAnsi="宋体" w:cs="仿宋_GB2312"/>
          <w:szCs w:val="32"/>
        </w:rPr>
      </w:pPr>
      <w:r>
        <w:rPr>
          <w:rFonts w:hint="eastAsia" w:ascii="仿宋_GB2312" w:hAnsi="宋体" w:cs="黑体"/>
          <w:b/>
          <w:kern w:val="0"/>
          <w:szCs w:val="32"/>
        </w:rPr>
        <w:t>第二条</w:t>
      </w:r>
      <w:r>
        <w:rPr>
          <w:rFonts w:hint="eastAsia" w:ascii="仿宋_GB2312" w:hAnsi="宋体" w:cs="黑体"/>
          <w:kern w:val="0"/>
          <w:szCs w:val="32"/>
        </w:rPr>
        <w:t xml:space="preserve">  全市各级财政部门、预算部门（单位）等</w:t>
      </w:r>
      <w:r>
        <w:rPr>
          <w:rFonts w:hint="eastAsia" w:ascii="仿宋_GB2312" w:hAnsi="宋体" w:cs="仿宋_GB2312"/>
          <w:szCs w:val="32"/>
        </w:rPr>
        <w:t>管理和使用财政预算资金主体（以下统称委托方），确因工作量大、专业性强以及管理需要，</w:t>
      </w:r>
      <w:r>
        <w:rPr>
          <w:rFonts w:hint="eastAsia" w:ascii="仿宋_GB2312" w:hAnsi="宋体" w:cs="仿宋_GB2312"/>
          <w:kern w:val="0"/>
          <w:szCs w:val="32"/>
        </w:rPr>
        <w:t>可将以下预算绩效管理工作内容委托第三方机构组织实施：一是事前绩效评估和绩效目标审核；二是绩效评价或评价结果复核；三是绩效指标和标准体系建设；四是预算绩效管理相关课题研究。</w:t>
      </w:r>
    </w:p>
    <w:p>
      <w:pPr>
        <w:pStyle w:val="6"/>
        <w:shd w:val="clear" w:color="auto" w:fill="FFFFFF"/>
        <w:spacing w:beforeAutospacing="0" w:afterAutospacing="0" w:line="600" w:lineRule="exact"/>
        <w:ind w:firstLine="610" w:firstLineChars="190"/>
        <w:rPr>
          <w:rFonts w:ascii="仿宋_GB2312" w:hAnsi="宋体" w:eastAsia="仿宋_GB2312" w:cs="微软雅黑"/>
          <w:color w:val="333333"/>
          <w:sz w:val="32"/>
          <w:szCs w:val="32"/>
        </w:rPr>
      </w:pPr>
      <w:r>
        <w:rPr>
          <w:rFonts w:hint="eastAsia" w:ascii="仿宋_GB2312" w:hAnsi="宋体" w:eastAsia="仿宋_GB2312"/>
          <w:b/>
          <w:snapToGrid w:val="0"/>
          <w:sz w:val="32"/>
          <w:szCs w:val="32"/>
        </w:rPr>
        <w:t>第三条</w:t>
      </w:r>
      <w:r>
        <w:rPr>
          <w:rFonts w:hint="eastAsia" w:ascii="仿宋_GB2312" w:hAnsi="宋体" w:eastAsia="仿宋_GB2312"/>
          <w:snapToGrid w:val="0"/>
          <w:sz w:val="32"/>
          <w:szCs w:val="32"/>
        </w:rPr>
        <w:t xml:space="preserve">  本办法所称</w:t>
      </w:r>
      <w:r>
        <w:rPr>
          <w:rFonts w:hint="eastAsia" w:ascii="仿宋_GB2312" w:hAnsi="宋体" w:eastAsia="仿宋_GB2312"/>
          <w:sz w:val="32"/>
          <w:szCs w:val="32"/>
        </w:rPr>
        <w:t>第三方机构是指依法设立且独立于委托方和预算绩效管理对象的组织，主要包括高等院校、科研院所、会计师事务所、资产评估机构、社会咨询机构等具有专业预算绩效管理服务能力的事业单位、中介机构及其他社会组织等。</w:t>
      </w:r>
    </w:p>
    <w:p>
      <w:pPr>
        <w:autoSpaceDE w:val="0"/>
        <w:autoSpaceDN w:val="0"/>
        <w:adjustRightInd w:val="0"/>
        <w:spacing w:line="600" w:lineRule="exact"/>
        <w:ind w:firstLine="643" w:firstLineChars="200"/>
        <w:jc w:val="left"/>
        <w:rPr>
          <w:rFonts w:ascii="仿宋_GB2312" w:hAnsi="宋体" w:cs="仿宋_GB2312"/>
          <w:szCs w:val="32"/>
        </w:rPr>
      </w:pPr>
      <w:r>
        <w:rPr>
          <w:rFonts w:hint="eastAsia" w:ascii="仿宋_GB2312" w:hAnsi="宋体"/>
          <w:b/>
          <w:snapToGrid w:val="0"/>
          <w:kern w:val="0"/>
          <w:szCs w:val="32"/>
        </w:rPr>
        <w:t>第四条</w:t>
      </w:r>
      <w:r>
        <w:rPr>
          <w:rFonts w:hint="eastAsia" w:ascii="仿宋_GB2312" w:hAnsi="宋体" w:cs="黑体"/>
          <w:kern w:val="0"/>
          <w:szCs w:val="32"/>
        </w:rPr>
        <w:t xml:space="preserve">  </w:t>
      </w:r>
      <w:r>
        <w:rPr>
          <w:rFonts w:hint="eastAsia" w:ascii="仿宋_GB2312" w:hAnsi="宋体" w:cs="仿宋_GB2312"/>
          <w:kern w:val="0"/>
          <w:szCs w:val="32"/>
        </w:rPr>
        <w:t>委托方可以根据委托事项的性质，采用全部委托或部分委托、单独委托或多家委托等方式，并根据不同委托方式界定第三方机构的工作定位和责任分担，发挥好第三方机构的作用。委托方应当尊重第三方机构的专业性和独立性，不得干预其独立、公正开展工作</w:t>
      </w:r>
      <w:r>
        <w:rPr>
          <w:rFonts w:hint="eastAsia" w:ascii="仿宋_GB2312" w:hAnsi="宋体" w:cs="仿宋_GB2312"/>
          <w:szCs w:val="32"/>
        </w:rPr>
        <w:t>。</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第五条</w:t>
      </w:r>
      <w:r>
        <w:rPr>
          <w:rFonts w:hint="eastAsia" w:ascii="仿宋_GB2312" w:hAnsi="宋体" w:cs="黑体"/>
          <w:kern w:val="0"/>
          <w:szCs w:val="32"/>
        </w:rPr>
        <w:t xml:space="preserve">  委托方</w:t>
      </w:r>
      <w:r>
        <w:rPr>
          <w:rFonts w:hint="eastAsia" w:ascii="仿宋_GB2312" w:hAnsi="宋体" w:cs="仿宋_GB2312"/>
          <w:kern w:val="0"/>
          <w:szCs w:val="32"/>
        </w:rPr>
        <w:t>不得委托第三方机构对自身绩效管理工作开展评价；对于绩效目标设定、绩效运行监控、单位自评等属于预算部门或单位强化内部管理的事项，原则上不得委托第三方机构开展，确需第三方机构协助的，要严格限定各方责任，第三方机构仅限于协助委托方完成部分事务性工作，不得以第三方机构名义代替委托方对外出具相关报告和结论。</w:t>
      </w:r>
    </w:p>
    <w:p>
      <w:pPr>
        <w:autoSpaceDE w:val="0"/>
        <w:autoSpaceDN w:val="0"/>
        <w:adjustRightInd w:val="0"/>
        <w:spacing w:line="600" w:lineRule="exact"/>
        <w:ind w:firstLine="640" w:firstLineChars="200"/>
        <w:jc w:val="center"/>
        <w:rPr>
          <w:rFonts w:ascii="黑体" w:hAnsi="黑体" w:eastAsia="黑体" w:cs="黑体"/>
          <w:kern w:val="0"/>
          <w:szCs w:val="32"/>
        </w:rPr>
      </w:pPr>
      <w:r>
        <w:rPr>
          <w:rFonts w:hint="eastAsia" w:ascii="黑体" w:hAnsi="黑体" w:eastAsia="黑体" w:cs="黑体"/>
          <w:kern w:val="0"/>
          <w:szCs w:val="32"/>
        </w:rPr>
        <w:t>第二章 职责分工</w:t>
      </w:r>
    </w:p>
    <w:p>
      <w:pPr>
        <w:autoSpaceDE w:val="0"/>
        <w:autoSpaceDN w:val="0"/>
        <w:adjustRightInd w:val="0"/>
        <w:spacing w:line="600" w:lineRule="exact"/>
        <w:ind w:firstLine="643" w:firstLineChars="200"/>
        <w:jc w:val="left"/>
        <w:rPr>
          <w:rFonts w:ascii="仿宋_GB2312" w:hAnsi="宋体" w:cs="黑体"/>
          <w:kern w:val="0"/>
          <w:szCs w:val="32"/>
        </w:rPr>
      </w:pPr>
      <w:r>
        <w:rPr>
          <w:rFonts w:hint="eastAsia" w:ascii="仿宋_GB2312" w:hAnsi="宋体" w:cs="黑体"/>
          <w:b/>
          <w:kern w:val="0"/>
          <w:szCs w:val="32"/>
        </w:rPr>
        <w:t>第六条</w:t>
      </w:r>
      <w:r>
        <w:rPr>
          <w:rFonts w:hint="eastAsia" w:ascii="仿宋_GB2312" w:hAnsi="宋体" w:cs="黑体"/>
          <w:kern w:val="0"/>
          <w:szCs w:val="32"/>
        </w:rPr>
        <w:t xml:space="preserve">  财政部门应加强对第三方机构及其工作人员从事预算绩效管理业务的培训和指导，鼓励社会力量依法依规开展预算绩效管理业务培训，增强第三方机构及其工作人员的政策水平和业务能力。</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第七条</w:t>
      </w:r>
      <w:r>
        <w:rPr>
          <w:rFonts w:hint="eastAsia" w:ascii="仿宋_GB2312" w:hAnsi="宋体" w:cs="黑体"/>
          <w:kern w:val="0"/>
          <w:szCs w:val="32"/>
        </w:rPr>
        <w:t xml:space="preserve">  </w:t>
      </w:r>
      <w:r>
        <w:rPr>
          <w:rFonts w:hint="eastAsia" w:ascii="仿宋_GB2312" w:hAnsi="宋体" w:cs="仿宋_GB2312"/>
          <w:kern w:val="0"/>
          <w:szCs w:val="32"/>
        </w:rPr>
        <w:t>委托方应当严格按照预算绩效管理有关规章制度要求，指导、督促第三方机构开展相关工作，主要职责包括：</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（一）明确委托事项具体内容、工作要求和工作规范；</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（二）选定第三方机构，办理相关委托手续；</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（三）审定第三方机构提交的工作实施方案；</w:t>
      </w:r>
    </w:p>
    <w:p>
      <w:pPr>
        <w:pStyle w:val="6"/>
        <w:shd w:val="clear" w:color="auto" w:fill="FFFFFF"/>
        <w:spacing w:before="0" w:beforeAutospacing="0" w:after="0" w:afterAutospacing="0" w:line="600" w:lineRule="exact"/>
        <w:ind w:firstLine="640" w:firstLineChars="20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（四）协调有关单位配合第三方机构开展预算绩效管理工作，提供必要的工作资料和工作条件，并要求对所提供资料的完整性、真实性、准确性、有效性负责，确保委托的预算绩效管理相关工作正常开展；</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（五）对第三方机构的工作进行指导、跟踪和监督，提出改进意见并督促落实；</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（六）对第三方机构提交的工作成果及相关资料进行审核、验收、考评；</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（七）其他相关事项。</w:t>
      </w:r>
    </w:p>
    <w:p>
      <w:pPr>
        <w:autoSpaceDE w:val="0"/>
        <w:autoSpaceDN w:val="0"/>
        <w:adjustRightInd w:val="0"/>
        <w:spacing w:line="600" w:lineRule="exact"/>
        <w:ind w:firstLine="643" w:firstLineChars="200"/>
        <w:jc w:val="left"/>
        <w:rPr>
          <w:rFonts w:ascii="仿宋_GB2312" w:hAnsi="宋体" w:cs="仿宋_GB2312"/>
          <w:szCs w:val="32"/>
        </w:rPr>
      </w:pPr>
      <w:r>
        <w:rPr>
          <w:rFonts w:hint="eastAsia" w:ascii="仿宋_GB2312" w:hAnsi="宋体" w:cs="黑体"/>
          <w:b/>
          <w:kern w:val="0"/>
          <w:szCs w:val="32"/>
        </w:rPr>
        <w:t>第八条</w:t>
      </w:r>
      <w:r>
        <w:rPr>
          <w:rFonts w:hint="eastAsia" w:ascii="仿宋_GB2312" w:hAnsi="宋体" w:cs="黑体"/>
          <w:kern w:val="0"/>
          <w:szCs w:val="32"/>
        </w:rPr>
        <w:t xml:space="preserve">  </w:t>
      </w:r>
      <w:r>
        <w:rPr>
          <w:rFonts w:hint="eastAsia" w:ascii="仿宋_GB2312" w:hAnsi="宋体" w:cs="仿宋_GB2312"/>
          <w:szCs w:val="32"/>
        </w:rPr>
        <w:t>第三方机构按照有关法律法规要求、预算绩效管理各项业务规定独立开展工作，主要职责包括：</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（一）客观公正、规范有序开展预算绩效管理业务，并全程接受委托方督导，确保独立性、客观性、公正性、专业性；</w:t>
      </w:r>
    </w:p>
    <w:p>
      <w:pPr>
        <w:autoSpaceDE w:val="0"/>
        <w:autoSpaceDN w:val="0"/>
        <w:adjustRightInd w:val="0"/>
        <w:spacing w:line="600" w:lineRule="exact"/>
        <w:ind w:left="640"/>
        <w:jc w:val="left"/>
        <w:rPr>
          <w:rFonts w:ascii="仿宋_GB2312" w:hAnsi="宋体" w:cs="仿宋_GB2312"/>
          <w:szCs w:val="32"/>
        </w:rPr>
      </w:pPr>
      <w:r>
        <w:rPr>
          <w:rFonts w:hint="eastAsia" w:ascii="仿宋_GB2312" w:hAnsi="宋体" w:cs="仿宋_GB2312"/>
          <w:szCs w:val="32"/>
        </w:rPr>
        <w:t>（二）拟订工作实施方案，报委托方审定；</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（三）在协议约定的时间内完成相关工作，提交符合要求的工作成果及相关资料，并对提交的工作成果的客观性、公正性负责；</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（四）根据工作需要，聘请相关领域或行业的专家参与受托业务；</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（五）在受托开展工作过程中，及时向委托方反馈工作进度、重要事项和相关问题；</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（六）对工作中获悉的国家秘密、商业秘密和工作信息负有保密义务；未经委托方同意，不得以任何形式对外提供、泄露或公开委托事项的有关情况；</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（七）做好相关信息资料归档保管工作；</w:t>
      </w:r>
    </w:p>
    <w:p>
      <w:pPr>
        <w:autoSpaceDE w:val="0"/>
        <w:autoSpaceDN w:val="0"/>
        <w:adjustRightInd w:val="0"/>
        <w:spacing w:line="600" w:lineRule="exact"/>
        <w:ind w:firstLine="640" w:firstLineChars="200"/>
        <w:jc w:val="left"/>
        <w:rPr>
          <w:rFonts w:ascii="仿宋_GB2312" w:hAnsi="宋体" w:cs="仿宋_GB2312"/>
          <w:szCs w:val="32"/>
        </w:rPr>
      </w:pPr>
      <w:r>
        <w:rPr>
          <w:rFonts w:hint="eastAsia" w:ascii="仿宋_GB2312" w:hAnsi="宋体" w:cs="仿宋_GB2312"/>
          <w:szCs w:val="32"/>
        </w:rPr>
        <w:t>（八）其他相关事项。</w:t>
      </w:r>
    </w:p>
    <w:p>
      <w:pPr>
        <w:autoSpaceDE w:val="0"/>
        <w:autoSpaceDN w:val="0"/>
        <w:adjustRightInd w:val="0"/>
        <w:spacing w:line="600" w:lineRule="exact"/>
        <w:jc w:val="center"/>
        <w:rPr>
          <w:rFonts w:ascii="黑体" w:hAnsi="黑体" w:eastAsia="黑体"/>
          <w:szCs w:val="32"/>
        </w:rPr>
      </w:pPr>
      <w:r>
        <w:rPr>
          <w:rFonts w:hint="eastAsia" w:ascii="黑体" w:hAnsi="黑体" w:eastAsia="黑体"/>
          <w:kern w:val="0"/>
          <w:szCs w:val="32"/>
        </w:rPr>
        <w:t>第三章</w:t>
      </w:r>
      <w:r>
        <w:rPr>
          <w:rFonts w:hint="eastAsia" w:ascii="黑体" w:hAnsi="黑体" w:eastAsia="黑体" w:cs="黑体"/>
          <w:kern w:val="0"/>
          <w:szCs w:val="32"/>
        </w:rPr>
        <w:t xml:space="preserve"> 第三方机构的选取与委托</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第九条</w:t>
      </w:r>
      <w:r>
        <w:rPr>
          <w:rFonts w:hint="eastAsia" w:ascii="仿宋_GB2312" w:hAnsi="宋体" w:cs="黑体"/>
          <w:kern w:val="0"/>
          <w:szCs w:val="32"/>
        </w:rPr>
        <w:t xml:space="preserve">  </w:t>
      </w:r>
      <w:r>
        <w:rPr>
          <w:rFonts w:hint="eastAsia" w:ascii="仿宋_GB2312" w:hAnsi="宋体" w:cs="仿宋_GB2312"/>
          <w:kern w:val="0"/>
          <w:szCs w:val="32"/>
        </w:rPr>
        <w:t>委托方选取第三方机构，应遵循以下原则：</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（一）依法依规。针对委托事项的不同类别、内容，遵循政府购买服务和政府采购的有关规定，选取第三方机构。</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（二）择优选取。优先选取专业能力突出、资质优良、管理规范、职业信誉较好的第三方机构参与预算绩效管理工作。</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第十条</w:t>
      </w:r>
      <w:r>
        <w:rPr>
          <w:rFonts w:hint="eastAsia" w:ascii="仿宋_GB2312" w:hAnsi="宋体" w:cs="黑体"/>
          <w:kern w:val="0"/>
          <w:szCs w:val="32"/>
        </w:rPr>
        <w:t xml:space="preserve">  </w:t>
      </w:r>
      <w:r>
        <w:rPr>
          <w:rFonts w:hint="eastAsia" w:ascii="仿宋_GB2312" w:hAnsi="宋体" w:cs="仿宋_GB2312"/>
          <w:kern w:val="0"/>
          <w:szCs w:val="32"/>
        </w:rPr>
        <w:t>提供预算绩效管理工作服务的第三方机构，应具备以下基本条件：</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（一）依法设立，</w:t>
      </w:r>
      <w:r>
        <w:rPr>
          <w:rFonts w:hint="eastAsia" w:ascii="仿宋_GB2312" w:hAnsi="宋体" w:cs="微软雅黑"/>
          <w:color w:val="333333"/>
          <w:szCs w:val="32"/>
          <w:shd w:val="clear" w:color="auto" w:fill="FFFFFF"/>
        </w:rPr>
        <w:t>具有相关行业管理部门认可的专业资质，</w:t>
      </w:r>
      <w:r>
        <w:rPr>
          <w:rFonts w:hint="eastAsia" w:ascii="仿宋_GB2312" w:hAnsi="宋体" w:cs="仿宋_GB2312"/>
          <w:kern w:val="0"/>
          <w:szCs w:val="32"/>
        </w:rPr>
        <w:t>能独立承担民事责任；</w:t>
      </w:r>
    </w:p>
    <w:p>
      <w:pPr>
        <w:pStyle w:val="6"/>
        <w:shd w:val="clear" w:color="auto" w:fill="FFFFFF"/>
        <w:spacing w:before="0" w:beforeAutospacing="0" w:after="0" w:afterAutospacing="0" w:line="600" w:lineRule="exact"/>
        <w:ind w:firstLine="640" w:firstLineChars="20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（二）治理结构健全，内部质量控制完善，具有规范健全的财务会计和资产管理制度；</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（三）具备开展受托工作业务所必需的人员、专业技术能力等；</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（四）信誉情况良好，最近三年的经营活动中无重大违法记录。</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（五）法律法规以及预算绩效管理制度要求的其他条件。</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第十一条</w:t>
      </w:r>
      <w:r>
        <w:rPr>
          <w:rFonts w:hint="eastAsia" w:ascii="仿宋_GB2312" w:hAnsi="宋体" w:cs="黑体"/>
          <w:kern w:val="0"/>
          <w:szCs w:val="32"/>
        </w:rPr>
        <w:t xml:space="preserve">  </w:t>
      </w:r>
      <w:r>
        <w:rPr>
          <w:rFonts w:hint="eastAsia" w:ascii="仿宋_GB2312" w:hAnsi="宋体" w:cs="仿宋_GB2312"/>
          <w:kern w:val="0"/>
          <w:szCs w:val="32"/>
        </w:rPr>
        <w:t>确定受托第三方机构后，委托方和受托第三方机构应根据有关规定签订委托协议或合同，明确工作范围、要求、服务期限、委托服务费用支付金额以及双方的权利和义务等；涉及保密事项的，应当签订保密协议。</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第十二条</w:t>
      </w:r>
      <w:r>
        <w:rPr>
          <w:rFonts w:hint="eastAsia" w:ascii="仿宋_GB2312" w:hAnsi="宋体" w:cs="黑体"/>
          <w:kern w:val="0"/>
          <w:szCs w:val="32"/>
        </w:rPr>
        <w:t xml:space="preserve">  </w:t>
      </w:r>
      <w:r>
        <w:rPr>
          <w:rFonts w:hint="eastAsia" w:ascii="仿宋_GB2312" w:hAnsi="宋体" w:cs="仿宋_GB2312"/>
          <w:kern w:val="0"/>
          <w:szCs w:val="32"/>
        </w:rPr>
        <w:t>委托方应当遵循“谁委托、谁付费”的原则，综合考虑委托业务的难易程度和工作量、工作时间与人员资质要求等因素，合理确定委托费用，原则上通过项目支出或公用经费解决。具体费用的计算核定可参考以下方法：</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（一）差额计费法。依据委托业务的资金总额、分档费率、难度系数等因素测算委托服务费用。</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（二）工作量法。根据委托业务所需实际工作天数和人数，参照一定的费用标准计算委托服务费用。</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以上二种测算方法计费参考标准详见附件。</w:t>
      </w:r>
    </w:p>
    <w:p>
      <w:pPr>
        <w:autoSpaceDE w:val="0"/>
        <w:autoSpaceDN w:val="0"/>
        <w:adjustRightInd w:val="0"/>
        <w:spacing w:line="600" w:lineRule="exact"/>
        <w:ind w:firstLine="640" w:firstLineChars="200"/>
        <w:jc w:val="left"/>
        <w:rPr>
          <w:rFonts w:ascii="仿宋_GB2312" w:hAnsi="宋体" w:cs="仿宋_GB2312"/>
          <w:kern w:val="0"/>
          <w:szCs w:val="32"/>
        </w:rPr>
      </w:pPr>
      <w:r>
        <w:rPr>
          <w:rFonts w:hint="eastAsia" w:ascii="仿宋_GB2312" w:hAnsi="宋体" w:cs="仿宋_GB2312"/>
          <w:kern w:val="0"/>
          <w:szCs w:val="32"/>
        </w:rPr>
        <w:t>各地财政部门可根据当地情况，制定适合当地工作实际和经济发展水平的费用标准。</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仿宋_GB2312"/>
          <w:b/>
          <w:kern w:val="0"/>
          <w:szCs w:val="32"/>
        </w:rPr>
        <w:t>第十三条</w:t>
      </w:r>
      <w:r>
        <w:rPr>
          <w:rFonts w:hint="eastAsia" w:ascii="仿宋_GB2312" w:hAnsi="宋体" w:cs="仿宋_GB2312"/>
          <w:kern w:val="0"/>
          <w:szCs w:val="32"/>
        </w:rPr>
        <w:t xml:space="preserve">  第三方机构应当在了解受托预算绩效管理服务基本情况的基础上，充分考虑自身胜任能力以及能否保持独立性，决定是否接受业务委托，并在</w:t>
      </w:r>
      <w:r>
        <w:rPr>
          <w:rFonts w:hint="eastAsia" w:ascii="仿宋_GB2312" w:hAnsi="宋体" w:cs="仿宋_GB2312"/>
          <w:szCs w:val="32"/>
        </w:rPr>
        <w:t>安排人员时主动实行回避制度。</w:t>
      </w:r>
    </w:p>
    <w:p>
      <w:pPr>
        <w:autoSpaceDE w:val="0"/>
        <w:autoSpaceDN w:val="0"/>
        <w:adjustRightInd w:val="0"/>
        <w:spacing w:line="600" w:lineRule="exact"/>
        <w:jc w:val="center"/>
        <w:rPr>
          <w:rFonts w:ascii="黑体" w:hAnsi="黑体" w:eastAsia="黑体" w:cs="黑体"/>
          <w:kern w:val="0"/>
          <w:szCs w:val="32"/>
        </w:rPr>
      </w:pPr>
      <w:r>
        <w:rPr>
          <w:rFonts w:hint="eastAsia" w:ascii="黑体" w:hAnsi="黑体" w:eastAsia="黑体" w:cs="黑体"/>
          <w:kern w:val="0"/>
          <w:szCs w:val="32"/>
        </w:rPr>
        <w:t>第四章 对第三方机构工作的管理与考核</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第十四条</w:t>
      </w:r>
      <w:r>
        <w:rPr>
          <w:rFonts w:hint="eastAsia" w:ascii="仿宋_GB2312" w:hAnsi="宋体" w:cs="黑体"/>
          <w:kern w:val="0"/>
          <w:szCs w:val="32"/>
        </w:rPr>
        <w:t xml:space="preserve">  </w:t>
      </w:r>
      <w:r>
        <w:rPr>
          <w:rFonts w:hint="eastAsia" w:ascii="仿宋_GB2312" w:hAnsi="宋体" w:cs="仿宋_GB2312"/>
          <w:kern w:val="0"/>
          <w:szCs w:val="32"/>
        </w:rPr>
        <w:t>委托方应对第三方机构进行必要的培训和指导，及时跟踪掌握第三方机构工作进度，加强付费管理和质量控制，推动第三方机构履职尽责。</w:t>
      </w:r>
    </w:p>
    <w:p>
      <w:pPr>
        <w:autoSpaceDE w:val="0"/>
        <w:autoSpaceDN w:val="0"/>
        <w:adjustRightInd w:val="0"/>
        <w:spacing w:line="600" w:lineRule="exact"/>
        <w:ind w:firstLine="643" w:firstLineChars="200"/>
        <w:jc w:val="left"/>
        <w:rPr>
          <w:rFonts w:ascii="仿宋_GB2312" w:hAnsi="宋体" w:cs="黑体"/>
          <w:kern w:val="0"/>
          <w:szCs w:val="32"/>
        </w:rPr>
      </w:pPr>
      <w:r>
        <w:rPr>
          <w:rFonts w:hint="eastAsia" w:ascii="仿宋_GB2312" w:hAnsi="宋体" w:cs="黑体"/>
          <w:b/>
          <w:kern w:val="0"/>
          <w:szCs w:val="32"/>
        </w:rPr>
        <w:t>第十五条</w:t>
      </w:r>
      <w:r>
        <w:rPr>
          <w:rFonts w:hint="eastAsia" w:ascii="宋体" w:hAnsi="宋体" w:cs="黑体"/>
          <w:kern w:val="0"/>
          <w:szCs w:val="32"/>
        </w:rPr>
        <w:t> </w:t>
      </w:r>
      <w:r>
        <w:rPr>
          <w:rFonts w:hint="eastAsia" w:ascii="仿宋_GB2312" w:hAnsi="宋体" w:cs="黑体"/>
          <w:kern w:val="0"/>
          <w:szCs w:val="32"/>
        </w:rPr>
        <w:t>委托方应当对第三方机构依据委托协议出具的评估、评审、评价报告等工作成果进行质量审查；对报告中存在逻辑混乱、数据不实、结论避重就轻、刻意隐瞒问题等情况，委托方有权提出修改意见。</w:t>
      </w:r>
    </w:p>
    <w:p>
      <w:pPr>
        <w:autoSpaceDE w:val="0"/>
        <w:autoSpaceDN w:val="0"/>
        <w:adjustRightInd w:val="0"/>
        <w:spacing w:line="600" w:lineRule="exact"/>
        <w:ind w:firstLine="643" w:firstLineChars="200"/>
        <w:jc w:val="left"/>
        <w:rPr>
          <w:rFonts w:ascii="仿宋_GB2312" w:hAnsi="宋体" w:cs="仿宋_GB2312"/>
          <w:szCs w:val="32"/>
        </w:rPr>
      </w:pPr>
      <w:r>
        <w:rPr>
          <w:rFonts w:hint="eastAsia" w:ascii="仿宋_GB2312" w:hAnsi="宋体" w:cs="黑体"/>
          <w:b/>
          <w:kern w:val="0"/>
          <w:szCs w:val="32"/>
        </w:rPr>
        <w:t>第十六条</w:t>
      </w:r>
      <w:r>
        <w:rPr>
          <w:rFonts w:hint="eastAsia" w:ascii="仿宋_GB2312" w:hAnsi="宋体" w:cs="黑体"/>
          <w:kern w:val="0"/>
          <w:szCs w:val="32"/>
        </w:rPr>
        <w:t xml:space="preserve">  </w:t>
      </w:r>
      <w:r>
        <w:rPr>
          <w:rFonts w:hint="eastAsia" w:ascii="仿宋_GB2312" w:hAnsi="宋体" w:cs="仿宋_GB2312"/>
          <w:kern w:val="0"/>
          <w:szCs w:val="32"/>
        </w:rPr>
        <w:t>委托方可对第三方机构提供的服务进行考评，考评内容主要为工作结果质量考核（包括实施方案、工作实施质量、情况分析、结论的客观性、工作成果质量以及档案管理等内容）；工作过程管理情况考核（包括人员配备、组织实施、工作规范性、工作时效以及工作纪律等）。</w:t>
      </w:r>
      <w:r>
        <w:rPr>
          <w:rFonts w:hint="eastAsia" w:ascii="仿宋_GB2312" w:hAnsi="宋体" w:cs="仿宋_GB2312"/>
          <w:szCs w:val="32"/>
        </w:rPr>
        <w:t>考评结果作为委托服务费用支付、以后年度选取第三方机构承担业务的参考依据。</w:t>
      </w:r>
    </w:p>
    <w:p>
      <w:pPr>
        <w:autoSpaceDE w:val="0"/>
        <w:autoSpaceDN w:val="0"/>
        <w:adjustRightInd w:val="0"/>
        <w:spacing w:line="600" w:lineRule="exact"/>
        <w:ind w:firstLine="643" w:firstLineChars="200"/>
        <w:rPr>
          <w:rFonts w:ascii="仿宋_GB2312" w:hAnsi="宋体" w:cs="仿宋_GB2312"/>
          <w:kern w:val="0"/>
          <w:szCs w:val="32"/>
        </w:rPr>
      </w:pPr>
      <w:r>
        <w:rPr>
          <w:rFonts w:hint="eastAsia" w:ascii="仿宋_GB2312" w:hAnsi="宋体" w:cs="仿宋_GB2312"/>
          <w:b/>
          <w:kern w:val="0"/>
          <w:szCs w:val="32"/>
        </w:rPr>
        <w:t>第十七条</w:t>
      </w:r>
      <w:r>
        <w:rPr>
          <w:rFonts w:hint="eastAsia" w:ascii="仿宋_GB2312" w:hAnsi="宋体" w:cs="仿宋_GB2312"/>
          <w:kern w:val="0"/>
          <w:szCs w:val="32"/>
        </w:rPr>
        <w:t xml:space="preserve">  财政部门应当推动预算绩效信息公开，开展</w:t>
      </w:r>
      <w:r>
        <w:rPr>
          <w:rFonts w:hint="eastAsia" w:ascii="仿宋_GB2312" w:hAnsi="宋体" w:cs="黑体"/>
          <w:kern w:val="0"/>
          <w:szCs w:val="32"/>
        </w:rPr>
        <w:t>第三方机构参与预算绩效管理的诚信体系建设，推动信息共享。委托方应当按要求记录第三方机构履职情况，协助财政部门强化信用管理。</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第十八条</w:t>
      </w:r>
      <w:r>
        <w:rPr>
          <w:rFonts w:hint="eastAsia" w:ascii="仿宋_GB2312" w:hAnsi="宋体" w:cs="黑体"/>
          <w:kern w:val="0"/>
          <w:szCs w:val="32"/>
        </w:rPr>
        <w:t xml:space="preserve">  </w:t>
      </w:r>
      <w:r>
        <w:rPr>
          <w:rFonts w:hint="eastAsia" w:ascii="仿宋_GB2312" w:hAnsi="宋体" w:cs="仿宋_GB2312"/>
          <w:kern w:val="0"/>
          <w:szCs w:val="32"/>
        </w:rPr>
        <w:t>财政部门、主管部门应当按照职责，加强对第三方机构参与预算绩效管理工作的执业质量监管，对第三方机构工作开展情况进行跟踪抽查。第三方机构有违背职业操守，或违反财政部门、预算部门相关规定及有关法律法规等行为的，要依法依规及时处理。</w:t>
      </w:r>
    </w:p>
    <w:p>
      <w:pPr>
        <w:autoSpaceDE w:val="0"/>
        <w:autoSpaceDN w:val="0"/>
        <w:adjustRightInd w:val="0"/>
        <w:spacing w:line="600" w:lineRule="exact"/>
        <w:ind w:firstLine="643" w:firstLineChars="200"/>
        <w:jc w:val="left"/>
        <w:rPr>
          <w:rFonts w:ascii="仿宋_GB2312" w:hAnsi="宋体" w:cs="微软雅黑"/>
          <w:color w:val="333333"/>
          <w:szCs w:val="32"/>
        </w:rPr>
      </w:pPr>
      <w:r>
        <w:rPr>
          <w:rFonts w:hint="eastAsia" w:ascii="仿宋_GB2312" w:hAnsi="宋体" w:cs="微软雅黑"/>
          <w:b/>
          <w:color w:val="333333"/>
          <w:szCs w:val="32"/>
          <w:shd w:val="clear" w:color="auto" w:fill="FFFFFF"/>
        </w:rPr>
        <w:t>第十九条</w:t>
      </w:r>
      <w:r>
        <w:rPr>
          <w:rFonts w:hint="eastAsia" w:ascii="宋体" w:hAnsi="宋体" w:cs="微软雅黑"/>
          <w:color w:val="333333"/>
          <w:szCs w:val="32"/>
          <w:shd w:val="clear" w:color="auto" w:fill="FFFFFF"/>
        </w:rPr>
        <w:t> </w:t>
      </w:r>
      <w:r>
        <w:rPr>
          <w:rFonts w:hint="eastAsia" w:ascii="仿宋_GB2312" w:hAnsi="宋体" w:cs="微软雅黑"/>
          <w:color w:val="333333"/>
          <w:szCs w:val="32"/>
          <w:shd w:val="clear" w:color="auto" w:fill="FFFFFF"/>
        </w:rPr>
        <w:t>第三方机构在受托开展预算绩效管理工作中，</w:t>
      </w:r>
      <w:r>
        <w:rPr>
          <w:rFonts w:hint="eastAsia" w:ascii="仿宋_GB2312" w:hAnsi="宋体" w:cs="仿宋_GB2312"/>
          <w:kern w:val="0"/>
          <w:szCs w:val="32"/>
        </w:rPr>
        <w:t>工作人员应当严格遵守国家相关法律制度规定，遵守职业道德和有关预算绩效管理工作规程。</w:t>
      </w:r>
      <w:r>
        <w:rPr>
          <w:rFonts w:hint="eastAsia" w:ascii="仿宋_GB2312" w:hAnsi="宋体" w:cs="微软雅黑"/>
          <w:color w:val="333333"/>
          <w:szCs w:val="32"/>
          <w:shd w:val="clear" w:color="auto" w:fill="FFFFFF"/>
        </w:rPr>
        <w:t>有下列情形之一的，委托方有权终止委托业务。</w:t>
      </w:r>
      <w:r>
        <w:rPr>
          <w:rFonts w:hint="eastAsia" w:ascii="宋体" w:hAnsi="宋体" w:cs="微软雅黑"/>
          <w:color w:val="333333"/>
          <w:szCs w:val="32"/>
          <w:shd w:val="clear" w:color="auto" w:fill="FFFFFF"/>
        </w:rPr>
        <w:t> </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（一）违反委托协议事项约定和职业道德要求的；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（二）在政府采购中有舞弊行为的；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（三）提供虚假数据和结论的；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（四）应当回避而未回避的；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（五）擅自泄露委托事项相关信息、结论等有关情况的；</w:t>
      </w:r>
      <w:r>
        <w:rPr>
          <w:rFonts w:ascii="仿宋_GB2312" w:hAnsi="宋体" w:eastAsia="仿宋_GB2312" w:cs="微软雅黑"/>
          <w:color w:val="333333"/>
          <w:sz w:val="32"/>
          <w:szCs w:val="32"/>
        </w:rPr>
        <w:t xml:space="preserve"> </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（六）由于自身原因未在规定的时间内完成工作的；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rPr>
      </w:pPr>
      <w:r>
        <w:rPr>
          <w:rFonts w:hint="eastAsia" w:ascii="仿宋_GB2312" w:hAnsi="宋体" w:eastAsia="仿宋_GB2312" w:cs="微软雅黑"/>
          <w:color w:val="333333"/>
          <w:sz w:val="32"/>
          <w:szCs w:val="32"/>
          <w:shd w:val="clear" w:color="auto" w:fill="FFFFFF"/>
        </w:rPr>
        <w:t>（七）提供服务质量没有达到协议约定标准的；</w:t>
      </w:r>
    </w:p>
    <w:p>
      <w:pPr>
        <w:pStyle w:val="6"/>
        <w:shd w:val="clear" w:color="auto" w:fill="FFFFFF"/>
        <w:spacing w:before="0" w:beforeAutospacing="0" w:after="0" w:afterAutospacing="0" w:line="600" w:lineRule="exact"/>
        <w:ind w:firstLine="420"/>
        <w:jc w:val="both"/>
        <w:rPr>
          <w:rFonts w:ascii="仿宋_GB2312" w:hAnsi="宋体" w:eastAsia="仿宋_GB2312" w:cs="微软雅黑"/>
          <w:color w:val="333333"/>
          <w:sz w:val="32"/>
          <w:szCs w:val="32"/>
          <w:shd w:val="clear" w:color="auto" w:fill="FFFFFF"/>
        </w:rPr>
      </w:pPr>
      <w:r>
        <w:rPr>
          <w:rFonts w:hint="eastAsia" w:ascii="仿宋_GB2312" w:hAnsi="宋体" w:eastAsia="仿宋_GB2312" w:cs="微软雅黑"/>
          <w:color w:val="333333"/>
          <w:sz w:val="32"/>
          <w:szCs w:val="32"/>
          <w:shd w:val="clear" w:color="auto" w:fill="FFFFFF"/>
        </w:rPr>
        <w:t>（八）存在其他涉嫌违法违规违纪行为的。</w:t>
      </w:r>
    </w:p>
    <w:p>
      <w:pPr>
        <w:autoSpaceDE w:val="0"/>
        <w:autoSpaceDN w:val="0"/>
        <w:adjustRightInd w:val="0"/>
        <w:spacing w:line="600" w:lineRule="exact"/>
        <w:ind w:firstLine="640" w:firstLineChars="200"/>
        <w:rPr>
          <w:rFonts w:ascii="仿宋_GB2312" w:hAnsi="宋体" w:cs="黑体"/>
          <w:kern w:val="0"/>
          <w:szCs w:val="32"/>
        </w:rPr>
      </w:pPr>
      <w:r>
        <w:rPr>
          <w:rFonts w:hint="eastAsia" w:ascii="仿宋_GB2312" w:hAnsi="宋体" w:cs="黑体"/>
          <w:kern w:val="0"/>
          <w:szCs w:val="32"/>
        </w:rPr>
        <w:t>涉嫌违法违规的，委托方应当向有关行业监管或主管部门报送违法违规情况。</w:t>
      </w:r>
    </w:p>
    <w:p>
      <w:pPr>
        <w:autoSpaceDE w:val="0"/>
        <w:autoSpaceDN w:val="0"/>
        <w:adjustRightInd w:val="0"/>
        <w:spacing w:line="600" w:lineRule="exact"/>
        <w:ind w:firstLine="320" w:firstLineChars="100"/>
        <w:jc w:val="center"/>
        <w:rPr>
          <w:rFonts w:ascii="黑体" w:hAnsi="黑体" w:eastAsia="黑体" w:cs="黑体"/>
          <w:kern w:val="0"/>
          <w:szCs w:val="32"/>
        </w:rPr>
      </w:pPr>
      <w:r>
        <w:rPr>
          <w:rFonts w:hint="eastAsia" w:ascii="黑体" w:hAnsi="黑体" w:eastAsia="黑体" w:cs="黑体"/>
          <w:kern w:val="0"/>
          <w:szCs w:val="32"/>
        </w:rPr>
        <w:t>第五章 档案管理</w:t>
      </w:r>
    </w:p>
    <w:p>
      <w:pPr>
        <w:autoSpaceDE w:val="0"/>
        <w:autoSpaceDN w:val="0"/>
        <w:adjustRightInd w:val="0"/>
        <w:spacing w:line="600" w:lineRule="exact"/>
        <w:ind w:firstLine="643" w:firstLineChars="200"/>
        <w:rPr>
          <w:rFonts w:ascii="仿宋_GB2312" w:hAnsi="宋体" w:cs="黑体"/>
          <w:kern w:val="0"/>
          <w:szCs w:val="32"/>
        </w:rPr>
      </w:pPr>
      <w:r>
        <w:rPr>
          <w:rFonts w:hint="eastAsia" w:ascii="仿宋_GB2312" w:hAnsi="宋体" w:cs="黑体"/>
          <w:b/>
          <w:kern w:val="0"/>
          <w:szCs w:val="32"/>
        </w:rPr>
        <w:t>第二十条</w:t>
      </w:r>
      <w:r>
        <w:rPr>
          <w:rFonts w:hint="eastAsia" w:ascii="仿宋_GB2312" w:hAnsi="宋体" w:cs="黑体"/>
          <w:kern w:val="0"/>
          <w:szCs w:val="32"/>
        </w:rPr>
        <w:t xml:space="preserve">  委托方应按照档案管理的有关规定，做好对委托协议、评审报告、评价报告等工作成果报告以及相关重要材料的档案管理。</w:t>
      </w:r>
    </w:p>
    <w:p>
      <w:pPr>
        <w:autoSpaceDE w:val="0"/>
        <w:autoSpaceDN w:val="0"/>
        <w:adjustRightInd w:val="0"/>
        <w:spacing w:line="600" w:lineRule="exact"/>
        <w:ind w:firstLine="643" w:firstLineChars="200"/>
        <w:rPr>
          <w:rFonts w:ascii="仿宋_GB2312" w:hAnsi="宋体" w:cs="仿宋_GB2312"/>
          <w:kern w:val="0"/>
          <w:szCs w:val="32"/>
        </w:rPr>
      </w:pPr>
      <w:r>
        <w:rPr>
          <w:rFonts w:hint="eastAsia" w:ascii="仿宋_GB2312" w:hAnsi="宋体" w:cs="黑体"/>
          <w:b/>
          <w:kern w:val="0"/>
          <w:szCs w:val="32"/>
        </w:rPr>
        <w:t>第二十一条</w:t>
      </w:r>
      <w:r>
        <w:rPr>
          <w:rFonts w:hint="eastAsia" w:ascii="仿宋_GB2312" w:hAnsi="宋体" w:cs="黑体"/>
          <w:kern w:val="0"/>
          <w:szCs w:val="32"/>
        </w:rPr>
        <w:t xml:space="preserve">  </w:t>
      </w:r>
      <w:r>
        <w:rPr>
          <w:rFonts w:hint="eastAsia" w:ascii="仿宋_GB2312" w:hAnsi="宋体" w:cs="仿宋_GB2312"/>
          <w:kern w:val="0"/>
          <w:szCs w:val="32"/>
        </w:rPr>
        <w:t>第三方机构应建立档案管理制度。按照完整、有序、规范要求，反映和记录预算绩效管理工作过程，及时对相关业务资料进行分类归集、整理造册，规范存档和保管，并对所保管的档案材料承担保密责任。</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第二十二条</w:t>
      </w:r>
      <w:r>
        <w:rPr>
          <w:rFonts w:hint="eastAsia" w:ascii="仿宋_GB2312" w:hAnsi="宋体" w:cs="黑体"/>
          <w:kern w:val="0"/>
          <w:szCs w:val="32"/>
        </w:rPr>
        <w:t xml:space="preserve">  </w:t>
      </w:r>
      <w:r>
        <w:rPr>
          <w:rFonts w:hint="eastAsia" w:ascii="仿宋_GB2312" w:hAnsi="宋体" w:cs="仿宋_GB2312"/>
          <w:kern w:val="0"/>
          <w:szCs w:val="32"/>
        </w:rPr>
        <w:t>第三方机构归档资料范围。主要包括：立项性材料（业务委托协议或合同等）；证明性材料（工作实施方案、基础数据表、数据信息核查情况及相关证明材料，工作底稿及附件、调查问卷等）；结论性材料（绩效目标论证评审意见、事前绩效评估报告、绩效评价报告，专家评审意见、有关单位的反馈意见、反馈意见采纳情况等书面材料）。</w:t>
      </w:r>
    </w:p>
    <w:p>
      <w:pPr>
        <w:autoSpaceDE w:val="0"/>
        <w:autoSpaceDN w:val="0"/>
        <w:adjustRightInd w:val="0"/>
        <w:spacing w:line="600" w:lineRule="exact"/>
        <w:ind w:firstLine="630" w:firstLineChars="196"/>
        <w:jc w:val="left"/>
        <w:rPr>
          <w:rFonts w:ascii="仿宋_GB2312" w:hAnsi="宋体" w:cs="仿宋_GB2312"/>
          <w:kern w:val="0"/>
          <w:szCs w:val="32"/>
        </w:rPr>
      </w:pPr>
      <w:r>
        <w:rPr>
          <w:rFonts w:hint="eastAsia" w:ascii="仿宋_GB2312" w:hAnsi="宋体" w:cs="黑体"/>
          <w:b/>
          <w:kern w:val="0"/>
          <w:szCs w:val="32"/>
        </w:rPr>
        <w:t>第二十三条</w:t>
      </w:r>
      <w:r>
        <w:rPr>
          <w:rFonts w:hint="eastAsia" w:ascii="仿宋_GB2312" w:hAnsi="宋体" w:cs="黑体"/>
          <w:kern w:val="0"/>
          <w:szCs w:val="32"/>
        </w:rPr>
        <w:t xml:space="preserve">  </w:t>
      </w:r>
      <w:r>
        <w:rPr>
          <w:rFonts w:hint="eastAsia" w:ascii="仿宋_GB2312" w:hAnsi="宋体" w:cs="仿宋_GB2312"/>
          <w:kern w:val="0"/>
          <w:szCs w:val="32"/>
        </w:rPr>
        <w:t>第三方机构存档方式及期限。工作底稿及附件、调查问卷和相关证明材料可只保留纸质文档，其他资料档案同时采用纸质文档与电子文档（光盘）形式保存,保存期限不低于10 年。</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第二十四条</w:t>
      </w:r>
      <w:r>
        <w:rPr>
          <w:rFonts w:hint="eastAsia" w:ascii="仿宋_GB2312" w:hAnsi="宋体" w:cs="黑体"/>
          <w:kern w:val="0"/>
          <w:szCs w:val="32"/>
        </w:rPr>
        <w:t xml:space="preserve">  </w:t>
      </w:r>
      <w:r>
        <w:rPr>
          <w:rFonts w:hint="eastAsia" w:ascii="仿宋_GB2312" w:hAnsi="宋体" w:cs="仿宋_GB2312"/>
          <w:kern w:val="0"/>
          <w:szCs w:val="32"/>
        </w:rPr>
        <w:t>第三方机构因合并、撤销、解散、破产或其他原因而终止的，应将受托开展的相关工作档案资料移交存续方或委托方管理。</w:t>
      </w:r>
    </w:p>
    <w:p>
      <w:pPr>
        <w:pStyle w:val="6"/>
        <w:shd w:val="clear" w:color="auto" w:fill="FFFFFF"/>
        <w:spacing w:before="0" w:beforeAutospacing="0" w:after="0" w:afterAutospacing="0" w:line="600" w:lineRule="exact"/>
        <w:ind w:firstLine="581" w:firstLineChars="181"/>
        <w:jc w:val="both"/>
        <w:rPr>
          <w:rFonts w:ascii="仿宋_GB2312" w:hAnsi="宋体" w:eastAsia="仿宋_GB2312" w:cs="微软雅黑"/>
          <w:color w:val="333333"/>
          <w:sz w:val="32"/>
          <w:szCs w:val="32"/>
        </w:rPr>
      </w:pPr>
      <w:r>
        <w:rPr>
          <w:rFonts w:hint="eastAsia" w:ascii="仿宋_GB2312" w:hAnsi="宋体" w:eastAsia="仿宋_GB2312" w:cs="微软雅黑"/>
          <w:b/>
          <w:color w:val="333333"/>
          <w:sz w:val="32"/>
          <w:szCs w:val="32"/>
          <w:shd w:val="clear" w:color="auto" w:fill="FFFFFF"/>
        </w:rPr>
        <w:t>第二十五条</w:t>
      </w:r>
      <w:r>
        <w:rPr>
          <w:rFonts w:hint="eastAsia" w:ascii="仿宋_GB2312" w:hAnsi="宋体" w:eastAsia="仿宋_GB2312" w:cs="微软雅黑"/>
          <w:color w:val="333333"/>
          <w:sz w:val="32"/>
          <w:szCs w:val="32"/>
          <w:shd w:val="clear" w:color="auto" w:fill="FFFFFF"/>
        </w:rPr>
        <w:t xml:space="preserve">  财政部门、委托方有权调阅、查询和复制第三方机构保存的受托预算绩效管理工作相关档案资料。</w:t>
      </w:r>
    </w:p>
    <w:p>
      <w:pPr>
        <w:autoSpaceDE w:val="0"/>
        <w:autoSpaceDN w:val="0"/>
        <w:adjustRightInd w:val="0"/>
        <w:spacing w:line="600" w:lineRule="exact"/>
        <w:jc w:val="center"/>
        <w:rPr>
          <w:rFonts w:ascii="黑体" w:hAnsi="黑体" w:eastAsia="黑体" w:cs="黑体"/>
          <w:kern w:val="0"/>
          <w:szCs w:val="32"/>
        </w:rPr>
      </w:pPr>
      <w:r>
        <w:rPr>
          <w:rFonts w:hint="eastAsia" w:ascii="黑体" w:hAnsi="黑体" w:eastAsia="黑体" w:cs="黑体"/>
          <w:kern w:val="0"/>
          <w:szCs w:val="32"/>
        </w:rPr>
        <w:t>第六章 附 则</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第二十六条</w:t>
      </w:r>
      <w:r>
        <w:rPr>
          <w:rFonts w:hint="eastAsia" w:ascii="仿宋_GB2312" w:hAnsi="宋体" w:cs="黑体"/>
          <w:kern w:val="0"/>
          <w:szCs w:val="32"/>
        </w:rPr>
        <w:t xml:space="preserve">  原</w:t>
      </w:r>
      <w:r>
        <w:rPr>
          <w:rFonts w:hint="eastAsia" w:ascii="仿宋_GB2312" w:hAnsi="宋体" w:cs="仿宋_GB2312"/>
          <w:kern w:val="0"/>
          <w:szCs w:val="32"/>
        </w:rPr>
        <w:t>《宁波市中介机构参与绩效评价工作暂行办法》（甬财政预〔2011〕298号）作废。</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第二十七条</w:t>
      </w:r>
      <w:r>
        <w:rPr>
          <w:rFonts w:hint="eastAsia" w:ascii="仿宋_GB2312" w:hAnsi="宋体" w:cs="黑体"/>
          <w:kern w:val="0"/>
          <w:szCs w:val="32"/>
        </w:rPr>
        <w:t xml:space="preserve">  各市级部门、县（市）区财政局</w:t>
      </w:r>
      <w:r>
        <w:rPr>
          <w:rFonts w:hint="eastAsia" w:ascii="仿宋_GB2312" w:hAnsi="宋体" w:cs="仿宋_GB2312"/>
          <w:kern w:val="0"/>
          <w:szCs w:val="32"/>
        </w:rPr>
        <w:t>可结合实际制定实施细则。</w:t>
      </w:r>
    </w:p>
    <w:p>
      <w:pPr>
        <w:autoSpaceDE w:val="0"/>
        <w:autoSpaceDN w:val="0"/>
        <w:adjustRightInd w:val="0"/>
        <w:spacing w:line="600" w:lineRule="exact"/>
        <w:ind w:firstLine="643" w:firstLineChars="200"/>
        <w:jc w:val="left"/>
        <w:rPr>
          <w:rFonts w:ascii="仿宋_GB2312" w:hAnsi="宋体" w:cs="仿宋_GB2312"/>
          <w:kern w:val="0"/>
          <w:szCs w:val="32"/>
        </w:rPr>
      </w:pPr>
      <w:r>
        <w:rPr>
          <w:rFonts w:hint="eastAsia" w:ascii="仿宋_GB2312" w:hAnsi="宋体" w:cs="黑体"/>
          <w:b/>
          <w:kern w:val="0"/>
          <w:szCs w:val="32"/>
        </w:rPr>
        <w:t>第二十八条</w:t>
      </w:r>
      <w:r>
        <w:rPr>
          <w:rFonts w:hint="eastAsia" w:ascii="仿宋_GB2312" w:hAnsi="宋体" w:cs="黑体"/>
          <w:kern w:val="0"/>
          <w:szCs w:val="32"/>
        </w:rPr>
        <w:t xml:space="preserve">  </w:t>
      </w:r>
      <w:r>
        <w:rPr>
          <w:rFonts w:hint="eastAsia" w:ascii="仿宋_GB2312" w:hAnsi="宋体" w:cs="仿宋_GB2312"/>
          <w:kern w:val="0"/>
          <w:szCs w:val="32"/>
        </w:rPr>
        <w:t>本办法自  年  月  日后施行。</w:t>
      </w:r>
    </w:p>
    <w:p>
      <w:pPr>
        <w:autoSpaceDE w:val="0"/>
        <w:autoSpaceDN w:val="0"/>
        <w:adjustRightInd w:val="0"/>
        <w:spacing w:line="600" w:lineRule="exact"/>
        <w:jc w:val="left"/>
        <w:rPr>
          <w:rFonts w:ascii="仿宋_GB2312" w:hAnsi="宋体" w:cs="仿宋_GB2312"/>
          <w:kern w:val="0"/>
          <w:szCs w:val="32"/>
        </w:rPr>
      </w:pPr>
    </w:p>
    <w:p>
      <w:pPr>
        <w:autoSpaceDE w:val="0"/>
        <w:autoSpaceDN w:val="0"/>
        <w:adjustRightInd w:val="0"/>
        <w:spacing w:line="600" w:lineRule="exact"/>
        <w:ind w:left="1440" w:leftChars="200" w:hanging="800" w:hangingChars="250"/>
        <w:jc w:val="left"/>
        <w:rPr>
          <w:rFonts w:ascii="仿宋_GB2312" w:hAnsi="宋体"/>
          <w:szCs w:val="32"/>
        </w:rPr>
      </w:pPr>
      <w:r>
        <w:rPr>
          <w:rFonts w:hint="eastAsia" w:ascii="仿宋_GB2312" w:hAnsi="宋体"/>
          <w:szCs w:val="32"/>
        </w:rPr>
        <w:t>附件：宁波市第三方机构参与预算绩效管理工作计费参考标准</w:t>
      </w:r>
    </w:p>
    <w:p>
      <w:pPr>
        <w:adjustRightInd w:val="0"/>
        <w:snapToGrid w:val="0"/>
        <w:spacing w:line="360" w:lineRule="auto"/>
        <w:rPr>
          <w:rFonts w:ascii="黑体" w:hAnsi="黑体" w:eastAsia="黑体" w:cs="宋体"/>
          <w:kern w:val="0"/>
          <w:szCs w:val="32"/>
        </w:rPr>
      </w:pPr>
      <w:r>
        <w:rPr>
          <w:rFonts w:ascii="仿宋_GB2312" w:hAnsi="宋体"/>
          <w:szCs w:val="32"/>
        </w:rPr>
        <w:br w:type="page"/>
      </w:r>
      <w:r>
        <w:rPr>
          <w:rFonts w:hint="eastAsia" w:ascii="黑体" w:hAnsi="黑体" w:eastAsia="黑体" w:cs="宋体"/>
          <w:kern w:val="0"/>
          <w:szCs w:val="32"/>
        </w:rPr>
        <w:t>附件</w:t>
      </w:r>
    </w:p>
    <w:p>
      <w:pPr>
        <w:adjustRightInd w:val="0"/>
        <w:snapToGrid w:val="0"/>
        <w:spacing w:line="360" w:lineRule="auto"/>
        <w:ind w:firstLine="720" w:firstLineChars="200"/>
        <w:jc w:val="center"/>
        <w:rPr>
          <w:rFonts w:ascii="宋体" w:hAnsi="宋体" w:eastAsia="宋体" w:cs="宋体"/>
          <w:kern w:val="0"/>
          <w:sz w:val="36"/>
          <w:szCs w:val="36"/>
        </w:rPr>
      </w:pPr>
      <w:r>
        <w:rPr>
          <w:rFonts w:hint="eastAsia" w:ascii="宋体" w:hAnsi="宋体" w:eastAsia="宋体" w:cs="宋体"/>
          <w:kern w:val="0"/>
          <w:sz w:val="36"/>
          <w:szCs w:val="36"/>
        </w:rPr>
        <w:t>第三方机构参与预算绩效管理工作计费参考标准</w:t>
      </w:r>
    </w:p>
    <w:p>
      <w:pPr>
        <w:adjustRightInd w:val="0"/>
        <w:snapToGrid w:val="0"/>
        <w:spacing w:line="360" w:lineRule="auto"/>
        <w:ind w:firstLine="420" w:firstLineChars="200"/>
        <w:jc w:val="center"/>
        <w:rPr>
          <w:rFonts w:ascii="宋体" w:hAnsi="宋体" w:eastAsia="宋体" w:cs="宋体"/>
          <w:kern w:val="0"/>
          <w:sz w:val="21"/>
          <w:szCs w:val="21"/>
        </w:rPr>
      </w:pPr>
    </w:p>
    <w:p>
      <w:pPr>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（1）工作量法。即根据第三方机构实施评价工作的有效天数和人数，按照一定的标准计算工作费用。</w:t>
      </w:r>
    </w:p>
    <w:tbl>
      <w:tblPr>
        <w:tblStyle w:val="8"/>
        <w:tblW w:w="9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675"/>
        <w:gridCol w:w="3261"/>
        <w:gridCol w:w="2409"/>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675"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3261"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工作人员类别</w:t>
            </w:r>
          </w:p>
        </w:tc>
        <w:tc>
          <w:tcPr>
            <w:tcW w:w="2409"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计费标准</w:t>
            </w:r>
          </w:p>
        </w:tc>
        <w:tc>
          <w:tcPr>
            <w:tcW w:w="2694"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675"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3261"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评价组（工作组）主要工作人员</w:t>
            </w:r>
          </w:p>
        </w:tc>
        <w:tc>
          <w:tcPr>
            <w:tcW w:w="2409"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不超过800元/半天</w:t>
            </w:r>
          </w:p>
        </w:tc>
        <w:tc>
          <w:tcPr>
            <w:tcW w:w="2694"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一般不超过3人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675"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3261"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其他辅助人员</w:t>
            </w:r>
          </w:p>
        </w:tc>
        <w:tc>
          <w:tcPr>
            <w:tcW w:w="2409" w:type="dxa"/>
            <w:vAlign w:val="center"/>
          </w:tcPr>
          <w:p>
            <w:pPr>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不超过500元/半天</w:t>
            </w:r>
          </w:p>
        </w:tc>
        <w:tc>
          <w:tcPr>
            <w:tcW w:w="2694" w:type="dxa"/>
            <w:vAlign w:val="center"/>
          </w:tcPr>
          <w:p>
            <w:pPr>
              <w:adjustRightInd w:val="0"/>
              <w:snapToGrid w:val="0"/>
              <w:jc w:val="center"/>
              <w:rPr>
                <w:rFonts w:ascii="宋体" w:hAnsi="宋体" w:eastAsia="宋体" w:cs="宋体"/>
                <w:kern w:val="0"/>
                <w:sz w:val="21"/>
                <w:szCs w:val="21"/>
              </w:rPr>
            </w:pPr>
          </w:p>
        </w:tc>
      </w:tr>
    </w:tbl>
    <w:p>
      <w:pPr>
        <w:adjustRightInd w:val="0"/>
        <w:snapToGrid w:val="0"/>
        <w:spacing w:line="5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适用范围：</w:t>
      </w:r>
      <w:r>
        <w:rPr>
          <w:rFonts w:hint="eastAsia" w:ascii="宋体" w:hAnsi="宋体" w:eastAsia="宋体" w:cs="宋体"/>
          <w:bCs/>
          <w:kern w:val="0"/>
          <w:sz w:val="21"/>
          <w:szCs w:val="21"/>
        </w:rPr>
        <w:t>主要适用于宁波市本级的部门整体评价、下级政府财政运行情况综合评价、政策评价、项目评价（不涉及到对区县市的转移支付且项目实施和绩效情况比较简单或项目投资总额在200万元及以下）</w:t>
      </w:r>
      <w:r>
        <w:rPr>
          <w:rFonts w:hint="eastAsia" w:ascii="宋体" w:hAnsi="宋体" w:eastAsia="宋体" w:cs="宋体"/>
          <w:kern w:val="0"/>
          <w:sz w:val="21"/>
          <w:szCs w:val="21"/>
        </w:rPr>
        <w:t>；对财政支出项目立项和预算安排的事前评估；其他有关绩效管理工作。</w:t>
      </w:r>
    </w:p>
    <w:p>
      <w:pPr>
        <w:adjustRightInd w:val="0"/>
        <w:snapToGrid w:val="0"/>
        <w:spacing w:line="520" w:lineRule="exact"/>
        <w:ind w:firstLine="420" w:firstLineChars="200"/>
        <w:rPr>
          <w:rFonts w:ascii="宋体" w:hAnsi="宋体" w:eastAsia="宋体"/>
          <w:sz w:val="21"/>
          <w:szCs w:val="32"/>
        </w:rPr>
      </w:pPr>
      <w:r>
        <w:rPr>
          <w:rFonts w:hint="eastAsia" w:ascii="宋体" w:hAnsi="宋体" w:eastAsia="宋体" w:cs="宋体"/>
          <w:kern w:val="0"/>
          <w:sz w:val="21"/>
          <w:szCs w:val="21"/>
        </w:rPr>
        <w:t>（2）</w:t>
      </w:r>
      <w:r>
        <w:rPr>
          <w:rFonts w:hint="eastAsia" w:ascii="宋体" w:hAnsi="宋体" w:eastAsia="宋体"/>
          <w:sz w:val="21"/>
          <w:szCs w:val="32"/>
        </w:rPr>
        <w:t>差额计费法。即按委托评价金额大小划分费率档次，分档计算各档的付费额，各档付费额累计之和为分档费用，分档费用*（1+难度系数）即为付给第三方机构的基本服务费。</w:t>
      </w:r>
    </w:p>
    <w:tbl>
      <w:tblPr>
        <w:tblStyle w:val="8"/>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19"/>
        <w:gridCol w:w="1917"/>
        <w:gridCol w:w="3015"/>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5" w:hRule="atLeast"/>
        </w:trPr>
        <w:tc>
          <w:tcPr>
            <w:tcW w:w="3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费用构成</w:t>
            </w:r>
          </w:p>
        </w:tc>
        <w:tc>
          <w:tcPr>
            <w:tcW w:w="19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计费依据</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分段累进资金总额</w:t>
            </w:r>
          </w:p>
        </w:tc>
        <w:tc>
          <w:tcPr>
            <w:tcW w:w="11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适用费率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分档费用（投资总额*费率）</w:t>
            </w:r>
          </w:p>
        </w:tc>
        <w:tc>
          <w:tcPr>
            <w:tcW w:w="19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市本级实际投资总额</w:t>
            </w: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200-500万元(含)</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500万元-2000万元（含）</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2000万元-5000万元（含）</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5000万元-1亿元（含）</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1亿元-10亿元（含）</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trPr>
        <w:tc>
          <w:tcPr>
            <w:tcW w:w="3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301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10亿元以上</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3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难度系数</w:t>
            </w:r>
          </w:p>
        </w:tc>
        <w:tc>
          <w:tcPr>
            <w:tcW w:w="604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综合考虑委托业务现场核查覆盖面或资金涉及年度等因素增加难度系数。其中：</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1、对于有区县（市）转移支付的项目，现场核查5个以下区县（市）的系数增加10%，现场核查5-10个区县（市）的系数增加20%，现场核查10个及以上区县（市）的系数增加30%；</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2、委托业务涉及多项专项资金的，每增加一项专项资金且对评价工作量影响较大的，系数增加10%，最多不超过50%；</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3、委托业务涉及多个年度的，每增加一个年度，系数增加10%，最多不超过20%。</w:t>
            </w:r>
          </w:p>
        </w:tc>
      </w:tr>
    </w:tbl>
    <w:p>
      <w:pPr>
        <w:adjustRightInd w:val="0"/>
        <w:snapToGrid w:val="0"/>
        <w:spacing w:before="156" w:beforeLines="50"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适用范围：主要适用于难以采用工作量法计费的宁波市本级的绩效评价项目〔包括涉及到对区县（市）的转移支付〕。</w:t>
      </w:r>
    </w:p>
    <w:p>
      <w:pPr>
        <w:autoSpaceDE w:val="0"/>
        <w:autoSpaceDN w:val="0"/>
        <w:adjustRightInd w:val="0"/>
        <w:spacing w:line="600" w:lineRule="exact"/>
        <w:jc w:val="left"/>
        <w:rPr>
          <w:rFonts w:hint="eastAsia" w:ascii="仿宋_GB2312" w:hAnsi="宋体"/>
          <w:szCs w:val="32"/>
        </w:rPr>
      </w:pPr>
    </w:p>
    <w:sectPr>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1D97431"/>
    <w:rsid w:val="00002A7A"/>
    <w:rsid w:val="00002DA6"/>
    <w:rsid w:val="0000462A"/>
    <w:rsid w:val="00021F76"/>
    <w:rsid w:val="0002329D"/>
    <w:rsid w:val="00045BD3"/>
    <w:rsid w:val="00054383"/>
    <w:rsid w:val="000613DA"/>
    <w:rsid w:val="00066B4C"/>
    <w:rsid w:val="00067D7F"/>
    <w:rsid w:val="0008627C"/>
    <w:rsid w:val="00093330"/>
    <w:rsid w:val="000B5C28"/>
    <w:rsid w:val="000B5EF6"/>
    <w:rsid w:val="000C07D2"/>
    <w:rsid w:val="000C0B61"/>
    <w:rsid w:val="000C3AC0"/>
    <w:rsid w:val="000C4618"/>
    <w:rsid w:val="000C4A07"/>
    <w:rsid w:val="000D311A"/>
    <w:rsid w:val="000E3463"/>
    <w:rsid w:val="001145C9"/>
    <w:rsid w:val="001417F2"/>
    <w:rsid w:val="001424DB"/>
    <w:rsid w:val="0014297A"/>
    <w:rsid w:val="0015670C"/>
    <w:rsid w:val="00163184"/>
    <w:rsid w:val="00171818"/>
    <w:rsid w:val="00172B05"/>
    <w:rsid w:val="00183736"/>
    <w:rsid w:val="001845B8"/>
    <w:rsid w:val="0019406F"/>
    <w:rsid w:val="00197745"/>
    <w:rsid w:val="001A1CB6"/>
    <w:rsid w:val="001A2107"/>
    <w:rsid w:val="001B1A45"/>
    <w:rsid w:val="001B7C60"/>
    <w:rsid w:val="001D10CF"/>
    <w:rsid w:val="001F7263"/>
    <w:rsid w:val="00214C45"/>
    <w:rsid w:val="0022369F"/>
    <w:rsid w:val="002366B6"/>
    <w:rsid w:val="0024117E"/>
    <w:rsid w:val="00245C12"/>
    <w:rsid w:val="002571F5"/>
    <w:rsid w:val="00257F03"/>
    <w:rsid w:val="00263DD8"/>
    <w:rsid w:val="00266A67"/>
    <w:rsid w:val="00296C70"/>
    <w:rsid w:val="002A1490"/>
    <w:rsid w:val="002A3884"/>
    <w:rsid w:val="002D677A"/>
    <w:rsid w:val="002D6F31"/>
    <w:rsid w:val="002E01EB"/>
    <w:rsid w:val="002E5449"/>
    <w:rsid w:val="003078E7"/>
    <w:rsid w:val="00311738"/>
    <w:rsid w:val="0031190F"/>
    <w:rsid w:val="00311C59"/>
    <w:rsid w:val="0031297A"/>
    <w:rsid w:val="00320269"/>
    <w:rsid w:val="003222EB"/>
    <w:rsid w:val="00335B4F"/>
    <w:rsid w:val="00352DE7"/>
    <w:rsid w:val="00380662"/>
    <w:rsid w:val="003A6EE7"/>
    <w:rsid w:val="003A72DB"/>
    <w:rsid w:val="003B5751"/>
    <w:rsid w:val="003C5854"/>
    <w:rsid w:val="003C5D62"/>
    <w:rsid w:val="003C67BE"/>
    <w:rsid w:val="003D1CDB"/>
    <w:rsid w:val="003D4D96"/>
    <w:rsid w:val="003E4026"/>
    <w:rsid w:val="0040161B"/>
    <w:rsid w:val="00407B8A"/>
    <w:rsid w:val="00413D64"/>
    <w:rsid w:val="00415BF2"/>
    <w:rsid w:val="004227DA"/>
    <w:rsid w:val="0042547B"/>
    <w:rsid w:val="004504EC"/>
    <w:rsid w:val="00470049"/>
    <w:rsid w:val="00470608"/>
    <w:rsid w:val="00480165"/>
    <w:rsid w:val="00491E15"/>
    <w:rsid w:val="004A596E"/>
    <w:rsid w:val="004B3585"/>
    <w:rsid w:val="004C06D8"/>
    <w:rsid w:val="004C13BE"/>
    <w:rsid w:val="004D653E"/>
    <w:rsid w:val="004E0091"/>
    <w:rsid w:val="004E7B76"/>
    <w:rsid w:val="004F047E"/>
    <w:rsid w:val="00503F39"/>
    <w:rsid w:val="00514D01"/>
    <w:rsid w:val="00524EFA"/>
    <w:rsid w:val="00525BEC"/>
    <w:rsid w:val="00526E03"/>
    <w:rsid w:val="005306C7"/>
    <w:rsid w:val="00537EBA"/>
    <w:rsid w:val="00547E50"/>
    <w:rsid w:val="00550CE2"/>
    <w:rsid w:val="00556895"/>
    <w:rsid w:val="005725E0"/>
    <w:rsid w:val="00573EC2"/>
    <w:rsid w:val="00574FAB"/>
    <w:rsid w:val="0057766C"/>
    <w:rsid w:val="0058026A"/>
    <w:rsid w:val="005A75F4"/>
    <w:rsid w:val="005C12E8"/>
    <w:rsid w:val="005C5DBA"/>
    <w:rsid w:val="005E0F91"/>
    <w:rsid w:val="005E2198"/>
    <w:rsid w:val="005E5DBB"/>
    <w:rsid w:val="005E6B2B"/>
    <w:rsid w:val="005F2B9B"/>
    <w:rsid w:val="006030F5"/>
    <w:rsid w:val="00624A07"/>
    <w:rsid w:val="00630AB8"/>
    <w:rsid w:val="00640DAE"/>
    <w:rsid w:val="006447BA"/>
    <w:rsid w:val="00670285"/>
    <w:rsid w:val="006729C7"/>
    <w:rsid w:val="00684FA9"/>
    <w:rsid w:val="006856F9"/>
    <w:rsid w:val="00690FAE"/>
    <w:rsid w:val="00694BBA"/>
    <w:rsid w:val="006C51ED"/>
    <w:rsid w:val="006D78C8"/>
    <w:rsid w:val="006E2C7E"/>
    <w:rsid w:val="006E6C31"/>
    <w:rsid w:val="007154E5"/>
    <w:rsid w:val="0072485E"/>
    <w:rsid w:val="007358FA"/>
    <w:rsid w:val="00736FCC"/>
    <w:rsid w:val="00743766"/>
    <w:rsid w:val="00745FBE"/>
    <w:rsid w:val="00756342"/>
    <w:rsid w:val="00757BAF"/>
    <w:rsid w:val="00763461"/>
    <w:rsid w:val="00767BAB"/>
    <w:rsid w:val="007A7444"/>
    <w:rsid w:val="007B548F"/>
    <w:rsid w:val="007C50A7"/>
    <w:rsid w:val="007C795F"/>
    <w:rsid w:val="007D41E2"/>
    <w:rsid w:val="007D4807"/>
    <w:rsid w:val="007E20FB"/>
    <w:rsid w:val="007F2ED3"/>
    <w:rsid w:val="00807D94"/>
    <w:rsid w:val="00811A91"/>
    <w:rsid w:val="008179B0"/>
    <w:rsid w:val="00822C1A"/>
    <w:rsid w:val="00840B86"/>
    <w:rsid w:val="0087482C"/>
    <w:rsid w:val="00875B39"/>
    <w:rsid w:val="008814B6"/>
    <w:rsid w:val="00882241"/>
    <w:rsid w:val="008C4529"/>
    <w:rsid w:val="008F553C"/>
    <w:rsid w:val="00904788"/>
    <w:rsid w:val="00913D45"/>
    <w:rsid w:val="00923D5C"/>
    <w:rsid w:val="00953BF5"/>
    <w:rsid w:val="009826F5"/>
    <w:rsid w:val="00990C62"/>
    <w:rsid w:val="00993F91"/>
    <w:rsid w:val="009A34FC"/>
    <w:rsid w:val="009B39DB"/>
    <w:rsid w:val="009C4C2F"/>
    <w:rsid w:val="009C5DEC"/>
    <w:rsid w:val="009D75AB"/>
    <w:rsid w:val="009E5F39"/>
    <w:rsid w:val="009F505C"/>
    <w:rsid w:val="009F7264"/>
    <w:rsid w:val="00A01EC5"/>
    <w:rsid w:val="00A04F1D"/>
    <w:rsid w:val="00A066DA"/>
    <w:rsid w:val="00A14746"/>
    <w:rsid w:val="00A410B6"/>
    <w:rsid w:val="00A41988"/>
    <w:rsid w:val="00A4266F"/>
    <w:rsid w:val="00A53242"/>
    <w:rsid w:val="00A56873"/>
    <w:rsid w:val="00A73345"/>
    <w:rsid w:val="00AB30BC"/>
    <w:rsid w:val="00AC15A4"/>
    <w:rsid w:val="00AC2E3A"/>
    <w:rsid w:val="00AE435B"/>
    <w:rsid w:val="00AE695D"/>
    <w:rsid w:val="00AE6D24"/>
    <w:rsid w:val="00AF0100"/>
    <w:rsid w:val="00B009D9"/>
    <w:rsid w:val="00B159A5"/>
    <w:rsid w:val="00B22677"/>
    <w:rsid w:val="00B34767"/>
    <w:rsid w:val="00B377DA"/>
    <w:rsid w:val="00B47150"/>
    <w:rsid w:val="00B54C3D"/>
    <w:rsid w:val="00B6386E"/>
    <w:rsid w:val="00B64B04"/>
    <w:rsid w:val="00B85F59"/>
    <w:rsid w:val="00B94F4D"/>
    <w:rsid w:val="00BA1B31"/>
    <w:rsid w:val="00BA7873"/>
    <w:rsid w:val="00BB1ABD"/>
    <w:rsid w:val="00BB6C04"/>
    <w:rsid w:val="00BD6B53"/>
    <w:rsid w:val="00BD71B6"/>
    <w:rsid w:val="00BE642D"/>
    <w:rsid w:val="00BF1C0A"/>
    <w:rsid w:val="00BF4062"/>
    <w:rsid w:val="00BF79B7"/>
    <w:rsid w:val="00C073FD"/>
    <w:rsid w:val="00C12CFE"/>
    <w:rsid w:val="00C3399E"/>
    <w:rsid w:val="00C35EB1"/>
    <w:rsid w:val="00C42701"/>
    <w:rsid w:val="00C5375F"/>
    <w:rsid w:val="00C62CCE"/>
    <w:rsid w:val="00C631CB"/>
    <w:rsid w:val="00C6604C"/>
    <w:rsid w:val="00CA1E74"/>
    <w:rsid w:val="00CA2D65"/>
    <w:rsid w:val="00CB1D9E"/>
    <w:rsid w:val="00CC1126"/>
    <w:rsid w:val="00CC6084"/>
    <w:rsid w:val="00CF76A1"/>
    <w:rsid w:val="00D06BD8"/>
    <w:rsid w:val="00D10591"/>
    <w:rsid w:val="00D34D3A"/>
    <w:rsid w:val="00D35FFE"/>
    <w:rsid w:val="00D62C0A"/>
    <w:rsid w:val="00D65425"/>
    <w:rsid w:val="00D667EB"/>
    <w:rsid w:val="00D835E9"/>
    <w:rsid w:val="00D85520"/>
    <w:rsid w:val="00D96037"/>
    <w:rsid w:val="00DA2D93"/>
    <w:rsid w:val="00DA5E9A"/>
    <w:rsid w:val="00DC77E8"/>
    <w:rsid w:val="00DE7D4C"/>
    <w:rsid w:val="00DF0FDB"/>
    <w:rsid w:val="00E031F5"/>
    <w:rsid w:val="00E24B68"/>
    <w:rsid w:val="00E31F93"/>
    <w:rsid w:val="00E45148"/>
    <w:rsid w:val="00E5042D"/>
    <w:rsid w:val="00E51C02"/>
    <w:rsid w:val="00E63DF7"/>
    <w:rsid w:val="00E644D3"/>
    <w:rsid w:val="00E710A7"/>
    <w:rsid w:val="00E87F1C"/>
    <w:rsid w:val="00EB7CD1"/>
    <w:rsid w:val="00EE0BA3"/>
    <w:rsid w:val="00EE1771"/>
    <w:rsid w:val="00EF59D6"/>
    <w:rsid w:val="00F03362"/>
    <w:rsid w:val="00F12FE9"/>
    <w:rsid w:val="00F16E49"/>
    <w:rsid w:val="00F2036C"/>
    <w:rsid w:val="00F26614"/>
    <w:rsid w:val="00F3380E"/>
    <w:rsid w:val="00F35726"/>
    <w:rsid w:val="00F4243F"/>
    <w:rsid w:val="00F42E13"/>
    <w:rsid w:val="00F5343F"/>
    <w:rsid w:val="00F57AD1"/>
    <w:rsid w:val="00F6305D"/>
    <w:rsid w:val="00F67A60"/>
    <w:rsid w:val="00F82550"/>
    <w:rsid w:val="00F9382E"/>
    <w:rsid w:val="00FA5C6D"/>
    <w:rsid w:val="00FB60C0"/>
    <w:rsid w:val="00FB7C3A"/>
    <w:rsid w:val="00FC475B"/>
    <w:rsid w:val="00FE2821"/>
    <w:rsid w:val="00FE2C3F"/>
    <w:rsid w:val="31D97431"/>
    <w:rsid w:val="5D4B3A0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10"/>
    <w:uiPriority w:val="0"/>
    <w:rPr>
      <w:rFonts w:ascii="宋体" w:hAnsi="Courier New" w:eastAsia="宋体"/>
      <w:sz w:val="21"/>
      <w:szCs w:val="21"/>
    </w:r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300" w:lineRule="atLeast"/>
      <w:jc w:val="left"/>
    </w:pPr>
    <w:rPr>
      <w:rFonts w:eastAsia="宋体"/>
      <w:kern w:val="0"/>
      <w:sz w:val="18"/>
      <w:szCs w:val="18"/>
    </w:rPr>
  </w:style>
  <w:style w:type="paragraph" w:customStyle="1" w:styleId="9">
    <w:name w:val="Revision"/>
    <w:hidden/>
    <w:unhideWhenUsed/>
    <w:uiPriority w:val="99"/>
    <w:rPr>
      <w:rFonts w:ascii="Times New Roman" w:hAnsi="Times New Roman" w:eastAsia="仿宋_GB2312" w:cs="Times New Roman"/>
      <w:kern w:val="2"/>
      <w:sz w:val="32"/>
      <w:lang w:val="en-US" w:eastAsia="zh-CN" w:bidi="ar-SA"/>
    </w:rPr>
  </w:style>
  <w:style w:type="character" w:customStyle="1" w:styleId="10">
    <w:name w:val="纯文本 Char"/>
    <w:basedOn w:val="7"/>
    <w:link w:val="2"/>
    <w:uiPriority w:val="0"/>
    <w:rPr>
      <w:rFonts w:ascii="宋体" w:hAnsi="Courier New"/>
      <w:kern w:val="2"/>
      <w:sz w:val="21"/>
      <w:szCs w:val="21"/>
    </w:rPr>
  </w:style>
  <w:style w:type="character" w:customStyle="1" w:styleId="11">
    <w:name w:val="页眉 Char"/>
    <w:basedOn w:val="7"/>
    <w:link w:val="5"/>
    <w:uiPriority w:val="99"/>
    <w:rPr>
      <w:rFonts w:eastAsia="仿宋_GB2312"/>
      <w:kern w:val="2"/>
      <w:sz w:val="18"/>
      <w:szCs w:val="18"/>
    </w:rPr>
  </w:style>
  <w:style w:type="character" w:customStyle="1" w:styleId="12">
    <w:name w:val="页脚 Char"/>
    <w:basedOn w:val="7"/>
    <w:link w:val="4"/>
    <w:uiPriority w:val="99"/>
    <w:rPr>
      <w:kern w:val="2"/>
      <w:sz w:val="18"/>
    </w:rPr>
  </w:style>
  <w:style w:type="character" w:customStyle="1" w:styleId="13">
    <w:name w:val="批注框文本 Char"/>
    <w:basedOn w:val="7"/>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685</Words>
  <Characters>3911</Characters>
  <Lines>32</Lines>
  <Paragraphs>9</Paragraphs>
  <TotalTime>0</TotalTime>
  <ScaleCrop>false</ScaleCrop>
  <LinksUpToDate>false</LinksUpToDate>
  <CharactersWithSpaces>0</CharactersWithSpaces>
  <Application>WPS Office_9.1.0.5134_{F1E327BC-269C-435d-A152-05C5408002CA}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2021-07-11T23:50:00Z</dcterms:created>
  <dc:creator>Dell</dc:creator>
  <cp:lastModifiedBy>dell</cp:lastModifiedBy>
  <cp:lastPrinted>2021-07-21T02:44:00Z</cp:lastPrinted>
  <dcterms:modified xsi:type="dcterms:W3CDTF">2021-07-22T03:48:43Z</dcterms:modified>
  <dc:title>广州市番禺区财政局委托第三方中介机构参与财政绩效管理工作规程（试行）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