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37" w:rsidRDefault="00E65F37">
      <w:pPr>
        <w:overflowPunct w:val="0"/>
        <w:adjustRightInd w:val="0"/>
        <w:snapToGrid w:val="0"/>
        <w:spacing w:line="580" w:lineRule="exact"/>
        <w:jc w:val="center"/>
        <w:rPr>
          <w:rFonts w:ascii="方正小标宋简体" w:eastAsia="方正小标宋简体"/>
          <w:sz w:val="44"/>
          <w:szCs w:val="44"/>
        </w:rPr>
      </w:pPr>
    </w:p>
    <w:p w:rsidR="00AB3282" w:rsidRDefault="00F16801" w:rsidP="00AB3282">
      <w:pPr>
        <w:overflowPunct w:val="0"/>
        <w:adjustRightInd w:val="0"/>
        <w:snapToGrid w:val="0"/>
        <w:spacing w:line="580" w:lineRule="exact"/>
        <w:jc w:val="center"/>
        <w:rPr>
          <w:rFonts w:eastAsia="方正小标宋简体" w:cs="黑体" w:hint="eastAsia"/>
          <w:sz w:val="44"/>
          <w:szCs w:val="44"/>
        </w:rPr>
      </w:pPr>
      <w:r>
        <w:rPr>
          <w:rFonts w:eastAsia="方正小标宋简体" w:cs="黑体" w:hint="eastAsia"/>
          <w:sz w:val="44"/>
          <w:szCs w:val="44"/>
        </w:rPr>
        <w:t>金融支持高质量发展若干政策实施细则</w:t>
      </w:r>
    </w:p>
    <w:p w:rsidR="00E65F37" w:rsidRPr="00AB3282" w:rsidRDefault="00AB3282" w:rsidP="00AB3282">
      <w:pPr>
        <w:overflowPunct w:val="0"/>
        <w:adjustRightInd w:val="0"/>
        <w:snapToGrid w:val="0"/>
        <w:spacing w:line="580" w:lineRule="exact"/>
        <w:jc w:val="center"/>
        <w:rPr>
          <w:rFonts w:eastAsia="方正小标宋简体" w:cs="黑体"/>
          <w:sz w:val="44"/>
          <w:szCs w:val="44"/>
        </w:rPr>
      </w:pPr>
      <w:r>
        <w:rPr>
          <w:rFonts w:eastAsia="黑体" w:hint="eastAsia"/>
          <w:szCs w:val="32"/>
        </w:rPr>
        <w:t>（征求意见稿）</w:t>
      </w:r>
    </w:p>
    <w:p w:rsidR="00E65F37" w:rsidRDefault="00F16801">
      <w:pPr>
        <w:overflowPunct w:val="0"/>
        <w:adjustRightInd w:val="0"/>
        <w:snapToGrid w:val="0"/>
        <w:spacing w:line="580" w:lineRule="exact"/>
        <w:ind w:firstLineChars="200" w:firstLine="640"/>
        <w:rPr>
          <w:rFonts w:eastAsia="黑体"/>
          <w:szCs w:val="32"/>
        </w:rPr>
      </w:pPr>
      <w:r>
        <w:rPr>
          <w:rFonts w:eastAsia="黑体"/>
          <w:szCs w:val="32"/>
        </w:rPr>
        <w:t>一、关于加强金融服务保障的操作细则</w:t>
      </w:r>
    </w:p>
    <w:p w:rsidR="00E65F37" w:rsidRDefault="00F16801" w:rsidP="00803A22">
      <w:pPr>
        <w:spacing w:line="560" w:lineRule="exact"/>
        <w:ind w:firstLineChars="200" w:firstLine="640"/>
        <w:rPr>
          <w:color w:val="000000"/>
          <w:szCs w:val="32"/>
        </w:rPr>
      </w:pPr>
      <w:r w:rsidRPr="00803A22">
        <w:rPr>
          <w:rFonts w:eastAsia="楷体_GB2312" w:cs="楷体_GB2312"/>
          <w:b/>
          <w:szCs w:val="32"/>
        </w:rPr>
        <w:t>（一）政策条款</w:t>
      </w:r>
      <w:r>
        <w:rPr>
          <w:bCs/>
          <w:szCs w:val="32"/>
        </w:rPr>
        <w:t>：</w:t>
      </w:r>
      <w:r>
        <w:rPr>
          <w:rFonts w:hint="eastAsia"/>
          <w:color w:val="000000"/>
          <w:szCs w:val="32"/>
        </w:rPr>
        <w:t>银行业金融机构考评。设置存贷款增量与增幅、制造业贷款、人才企业贷款、政府性融资担保及不良处置、社会责任</w:t>
      </w:r>
      <w:r w:rsidR="001D4C1F">
        <w:rPr>
          <w:rFonts w:hint="eastAsia"/>
          <w:color w:val="000000"/>
          <w:szCs w:val="32"/>
        </w:rPr>
        <w:t>等考评指标，季度考评与年度考评相结合，按照考评结果确定优秀等级，</w:t>
      </w:r>
      <w:r w:rsidR="001D4C1F" w:rsidRPr="001D4C1F">
        <w:rPr>
          <w:rFonts w:hint="eastAsia"/>
          <w:color w:val="000000"/>
          <w:szCs w:val="32"/>
        </w:rPr>
        <w:t>考核结果纳入市级财政专户资金竞争性存放考评。</w:t>
      </w:r>
    </w:p>
    <w:p w:rsidR="00E65F37" w:rsidRDefault="00F16801" w:rsidP="00803A22">
      <w:pPr>
        <w:overflowPunct w:val="0"/>
        <w:adjustRightInd w:val="0"/>
        <w:snapToGrid w:val="0"/>
        <w:spacing w:line="580" w:lineRule="exact"/>
        <w:ind w:firstLineChars="200" w:firstLine="643"/>
        <w:rPr>
          <w:szCs w:val="32"/>
        </w:rPr>
      </w:pPr>
      <w:r>
        <w:rPr>
          <w:b/>
          <w:bCs/>
          <w:szCs w:val="32"/>
        </w:rPr>
        <w:t>考核程序：</w:t>
      </w:r>
      <w:r>
        <w:rPr>
          <w:szCs w:val="32"/>
        </w:rPr>
        <w:t>市金融办会同市财政局、人行绍兴市中心支行和绍兴银保监分局根据《</w:t>
      </w:r>
      <w:r>
        <w:rPr>
          <w:rFonts w:hint="eastAsia"/>
          <w:szCs w:val="32"/>
        </w:rPr>
        <w:t>银行机构考核指标体系</w:t>
      </w:r>
      <w:r>
        <w:rPr>
          <w:szCs w:val="32"/>
        </w:rPr>
        <w:t>》（附件</w:t>
      </w:r>
      <w:r>
        <w:rPr>
          <w:szCs w:val="32"/>
        </w:rPr>
        <w:t>1</w:t>
      </w:r>
      <w:r>
        <w:rPr>
          <w:szCs w:val="32"/>
        </w:rPr>
        <w:t>、</w:t>
      </w:r>
      <w:r>
        <w:rPr>
          <w:szCs w:val="32"/>
        </w:rPr>
        <w:t>2</w:t>
      </w:r>
      <w:r>
        <w:rPr>
          <w:szCs w:val="32"/>
        </w:rPr>
        <w:t>）进行评分。</w:t>
      </w:r>
    </w:p>
    <w:p w:rsidR="00E65F37" w:rsidRDefault="00F16801" w:rsidP="00803A22">
      <w:pPr>
        <w:pStyle w:val="Char1"/>
        <w:spacing w:line="580" w:lineRule="exact"/>
        <w:ind w:firstLineChars="200" w:firstLine="640"/>
        <w:rPr>
          <w:rFonts w:ascii="Times New Roman" w:eastAsia="仿宋_GB2312" w:hAnsi="Times New Roman"/>
          <w:color w:val="000000"/>
          <w:sz w:val="32"/>
          <w:szCs w:val="32"/>
        </w:rPr>
      </w:pPr>
      <w:r w:rsidRPr="00803A22">
        <w:rPr>
          <w:rFonts w:ascii="Times New Roman" w:eastAsia="楷体_GB2312" w:hAnsi="Times New Roman" w:cs="楷体_GB2312"/>
          <w:b/>
          <w:kern w:val="2"/>
          <w:sz w:val="32"/>
          <w:szCs w:val="32"/>
        </w:rPr>
        <w:t>（二）政策条款</w:t>
      </w:r>
      <w:r>
        <w:rPr>
          <w:rFonts w:ascii="Times New Roman" w:eastAsia="楷体_GB2312" w:hAnsi="Times New Roman"/>
          <w:bCs/>
          <w:szCs w:val="32"/>
        </w:rPr>
        <w:t>：</w:t>
      </w:r>
      <w:r>
        <w:rPr>
          <w:rFonts w:ascii="Times New Roman" w:eastAsia="仿宋_GB2312" w:hAnsi="Times New Roman" w:hint="eastAsia"/>
          <w:color w:val="000000"/>
          <w:sz w:val="32"/>
          <w:szCs w:val="32"/>
        </w:rPr>
        <w:t>保险公司年度考评。设置赔款与给付、服务效率、保费收入增量、保险服务质量、政保合作情况等考评指标，并按财产保险公司、人寿保险公司两个类型分别评价，按照考评结果确定优秀等级。</w:t>
      </w:r>
    </w:p>
    <w:p w:rsidR="00E65F37" w:rsidRDefault="00F16801" w:rsidP="00803A22">
      <w:pPr>
        <w:overflowPunct w:val="0"/>
        <w:adjustRightInd w:val="0"/>
        <w:snapToGrid w:val="0"/>
        <w:spacing w:line="580" w:lineRule="exact"/>
        <w:ind w:firstLineChars="200" w:firstLine="643"/>
        <w:rPr>
          <w:b/>
          <w:bCs/>
          <w:szCs w:val="32"/>
        </w:rPr>
      </w:pPr>
      <w:r>
        <w:rPr>
          <w:b/>
          <w:bCs/>
          <w:szCs w:val="32"/>
        </w:rPr>
        <w:t>考核程序：</w:t>
      </w:r>
      <w:r>
        <w:rPr>
          <w:szCs w:val="32"/>
        </w:rPr>
        <w:t>市金融办会同绍兴银保监分局根据《</w:t>
      </w:r>
      <w:r>
        <w:rPr>
          <w:rFonts w:hint="eastAsia"/>
          <w:szCs w:val="32"/>
        </w:rPr>
        <w:t>保险公司考核指标体系</w:t>
      </w:r>
      <w:r>
        <w:rPr>
          <w:szCs w:val="32"/>
        </w:rPr>
        <w:t>》（附件</w:t>
      </w:r>
      <w:r>
        <w:rPr>
          <w:szCs w:val="32"/>
        </w:rPr>
        <w:t>3</w:t>
      </w:r>
      <w:r>
        <w:rPr>
          <w:szCs w:val="32"/>
        </w:rPr>
        <w:t>）进行评分。</w:t>
      </w:r>
    </w:p>
    <w:p w:rsidR="00E65F37" w:rsidRDefault="00F16801" w:rsidP="00803A22">
      <w:pPr>
        <w:overflowPunct w:val="0"/>
        <w:adjustRightInd w:val="0"/>
        <w:snapToGrid w:val="0"/>
        <w:spacing w:line="580" w:lineRule="exact"/>
        <w:ind w:firstLineChars="200" w:firstLine="640"/>
        <w:rPr>
          <w:szCs w:val="32"/>
        </w:rPr>
      </w:pPr>
      <w:r w:rsidRPr="00803A22">
        <w:rPr>
          <w:rFonts w:eastAsia="楷体_GB2312" w:cs="楷体_GB2312"/>
          <w:b/>
          <w:szCs w:val="32"/>
        </w:rPr>
        <w:t>（三）政策条款</w:t>
      </w:r>
      <w:r>
        <w:rPr>
          <w:rFonts w:eastAsia="楷体_GB2312"/>
          <w:bCs/>
          <w:szCs w:val="32"/>
        </w:rPr>
        <w:t>：</w:t>
      </w:r>
      <w:r>
        <w:rPr>
          <w:rFonts w:hint="eastAsia"/>
          <w:color w:val="000000"/>
          <w:szCs w:val="32"/>
        </w:rPr>
        <w:t>证券期货机构年度考评。设置地方贡献、交易总额、业务创新、社会责任等考评指标，按照考评结果确定优秀等级。</w:t>
      </w:r>
    </w:p>
    <w:p w:rsidR="00E65F37" w:rsidRDefault="00F16801" w:rsidP="00803A22">
      <w:pPr>
        <w:overflowPunct w:val="0"/>
        <w:adjustRightInd w:val="0"/>
        <w:snapToGrid w:val="0"/>
        <w:spacing w:line="580" w:lineRule="exact"/>
        <w:ind w:firstLineChars="200" w:firstLine="643"/>
      </w:pPr>
      <w:r>
        <w:rPr>
          <w:b/>
          <w:bCs/>
          <w:szCs w:val="32"/>
        </w:rPr>
        <w:t>考核程序：</w:t>
      </w:r>
      <w:r>
        <w:rPr>
          <w:szCs w:val="32"/>
        </w:rPr>
        <w:t>市金融办根据《</w:t>
      </w:r>
      <w:r>
        <w:rPr>
          <w:rFonts w:hint="eastAsia"/>
          <w:szCs w:val="32"/>
        </w:rPr>
        <w:t>证券期货机构考核指标体系</w:t>
      </w:r>
      <w:r>
        <w:rPr>
          <w:szCs w:val="32"/>
        </w:rPr>
        <w:t>》（附件</w:t>
      </w:r>
      <w:r>
        <w:rPr>
          <w:szCs w:val="32"/>
        </w:rPr>
        <w:t>4</w:t>
      </w:r>
      <w:r>
        <w:rPr>
          <w:szCs w:val="32"/>
        </w:rPr>
        <w:t>）进行评分。</w:t>
      </w:r>
    </w:p>
    <w:p w:rsidR="00E65F37" w:rsidRDefault="00F16801" w:rsidP="00803A22">
      <w:pPr>
        <w:spacing w:line="560" w:lineRule="exact"/>
        <w:ind w:firstLineChars="200" w:firstLine="640"/>
        <w:rPr>
          <w:szCs w:val="32"/>
        </w:rPr>
      </w:pPr>
      <w:r w:rsidRPr="00803A22">
        <w:rPr>
          <w:rFonts w:eastAsia="楷体_GB2312" w:cs="楷体_GB2312" w:hint="eastAsia"/>
          <w:b/>
          <w:szCs w:val="32"/>
        </w:rPr>
        <w:t>（</w:t>
      </w:r>
      <w:r w:rsidRPr="00803A22">
        <w:rPr>
          <w:rFonts w:eastAsia="楷体_GB2312" w:cs="楷体_GB2312"/>
          <w:b/>
          <w:szCs w:val="32"/>
        </w:rPr>
        <w:t>四</w:t>
      </w:r>
      <w:r w:rsidRPr="00803A22">
        <w:rPr>
          <w:rFonts w:eastAsia="楷体_GB2312" w:cs="楷体_GB2312" w:hint="eastAsia"/>
          <w:b/>
          <w:szCs w:val="32"/>
        </w:rPr>
        <w:t>）</w:t>
      </w:r>
      <w:r w:rsidRPr="00803A22">
        <w:rPr>
          <w:rFonts w:eastAsia="楷体_GB2312" w:cs="楷体_GB2312"/>
          <w:b/>
          <w:szCs w:val="32"/>
        </w:rPr>
        <w:t>政策条款</w:t>
      </w:r>
      <w:r>
        <w:rPr>
          <w:bCs/>
          <w:szCs w:val="32"/>
        </w:rPr>
        <w:t>：</w:t>
      </w:r>
      <w:r>
        <w:rPr>
          <w:rFonts w:hint="eastAsia"/>
          <w:szCs w:val="32"/>
        </w:rPr>
        <w:t>地方金融组织年度考评。设置地方贡</w:t>
      </w:r>
      <w:r>
        <w:rPr>
          <w:rFonts w:hint="eastAsia"/>
          <w:szCs w:val="32"/>
        </w:rPr>
        <w:lastRenderedPageBreak/>
        <w:t>献、业务总额、业务笔数等考评指标，按照考评结果确定优秀等级。</w:t>
      </w:r>
    </w:p>
    <w:p w:rsidR="00E65F37" w:rsidRDefault="00F16801" w:rsidP="00803A22">
      <w:pPr>
        <w:overflowPunct w:val="0"/>
        <w:adjustRightInd w:val="0"/>
        <w:snapToGrid w:val="0"/>
        <w:spacing w:line="580" w:lineRule="exact"/>
        <w:ind w:firstLineChars="200" w:firstLine="643"/>
      </w:pPr>
      <w:r>
        <w:rPr>
          <w:b/>
          <w:bCs/>
          <w:szCs w:val="32"/>
        </w:rPr>
        <w:t>考核程序：</w:t>
      </w:r>
      <w:r>
        <w:rPr>
          <w:szCs w:val="32"/>
        </w:rPr>
        <w:t>市金融办根据《</w:t>
      </w:r>
      <w:r>
        <w:rPr>
          <w:snapToGrid w:val="0"/>
          <w:kern w:val="0"/>
          <w:szCs w:val="32"/>
        </w:rPr>
        <w:t>地方金融组织</w:t>
      </w:r>
      <w:r>
        <w:rPr>
          <w:rFonts w:hint="eastAsia"/>
          <w:szCs w:val="32"/>
        </w:rPr>
        <w:t>考核指标体系</w:t>
      </w:r>
      <w:r>
        <w:rPr>
          <w:szCs w:val="32"/>
        </w:rPr>
        <w:t>》（附件</w:t>
      </w:r>
      <w:r>
        <w:rPr>
          <w:rFonts w:hint="eastAsia"/>
          <w:szCs w:val="32"/>
        </w:rPr>
        <w:t>5</w:t>
      </w:r>
      <w:r>
        <w:rPr>
          <w:rFonts w:hint="eastAsia"/>
          <w:szCs w:val="32"/>
        </w:rPr>
        <w:t>、</w:t>
      </w:r>
      <w:r>
        <w:rPr>
          <w:rFonts w:hint="eastAsia"/>
          <w:szCs w:val="32"/>
        </w:rPr>
        <w:t>6</w:t>
      </w:r>
      <w:r>
        <w:rPr>
          <w:rFonts w:hint="eastAsia"/>
          <w:szCs w:val="32"/>
        </w:rPr>
        <w:t>、</w:t>
      </w:r>
      <w:r>
        <w:rPr>
          <w:rFonts w:hint="eastAsia"/>
          <w:szCs w:val="32"/>
        </w:rPr>
        <w:t>7</w:t>
      </w:r>
      <w:r>
        <w:rPr>
          <w:szCs w:val="32"/>
        </w:rPr>
        <w:t>）进行评分。</w:t>
      </w:r>
    </w:p>
    <w:p w:rsidR="00E65F37" w:rsidRDefault="00F16801" w:rsidP="00467CE8">
      <w:pPr>
        <w:overflowPunct w:val="0"/>
        <w:spacing w:line="580" w:lineRule="exact"/>
        <w:ind w:firstLineChars="200" w:firstLine="640"/>
        <w:rPr>
          <w:color w:val="000000"/>
          <w:kern w:val="0"/>
          <w:szCs w:val="32"/>
        </w:rPr>
      </w:pPr>
      <w:r w:rsidRPr="00803A22">
        <w:rPr>
          <w:rFonts w:eastAsia="楷体_GB2312" w:cs="楷体_GB2312" w:hint="eastAsia"/>
          <w:b/>
          <w:szCs w:val="32"/>
        </w:rPr>
        <w:t>（五）</w:t>
      </w:r>
      <w:r w:rsidRPr="00803A22">
        <w:rPr>
          <w:rFonts w:eastAsia="楷体_GB2312" w:cs="楷体_GB2312"/>
          <w:b/>
          <w:szCs w:val="32"/>
        </w:rPr>
        <w:t>政策条款</w:t>
      </w:r>
      <w:r>
        <w:rPr>
          <w:bCs/>
          <w:szCs w:val="32"/>
        </w:rPr>
        <w:t>：</w:t>
      </w:r>
      <w:r>
        <w:rPr>
          <w:rFonts w:hint="eastAsia"/>
          <w:color w:val="000000"/>
          <w:kern w:val="0"/>
          <w:szCs w:val="32"/>
        </w:rPr>
        <w:t>制造业贷款激励。对企业投向先进制造、高新技术制造领域的项目贷款利息给予一定补助，具体按《绍兴市制造业企业“长高长壮”专项激励政策》执行。</w:t>
      </w:r>
      <w:r>
        <w:rPr>
          <w:szCs w:val="32"/>
        </w:rPr>
        <w:t>（快兑）</w:t>
      </w:r>
    </w:p>
    <w:p w:rsidR="00E65F37" w:rsidRDefault="00F16801" w:rsidP="001D4C1F">
      <w:pPr>
        <w:overflowPunct w:val="0"/>
        <w:adjustRightInd w:val="0"/>
        <w:snapToGrid w:val="0"/>
        <w:spacing w:line="580" w:lineRule="exact"/>
        <w:ind w:firstLineChars="200" w:firstLine="643"/>
        <w:rPr>
          <w:b/>
          <w:bCs/>
          <w:szCs w:val="32"/>
        </w:rPr>
      </w:pPr>
      <w:r>
        <w:rPr>
          <w:b/>
          <w:bCs/>
          <w:szCs w:val="32"/>
        </w:rPr>
        <w:t>1.</w:t>
      </w:r>
      <w:r>
        <w:rPr>
          <w:b/>
          <w:bCs/>
          <w:szCs w:val="32"/>
        </w:rPr>
        <w:t>扶持对象</w:t>
      </w:r>
    </w:p>
    <w:p w:rsidR="00E65F37" w:rsidRDefault="00F16801">
      <w:pPr>
        <w:overflowPunct w:val="0"/>
        <w:adjustRightInd w:val="0"/>
        <w:snapToGrid w:val="0"/>
        <w:spacing w:line="580" w:lineRule="exact"/>
        <w:ind w:firstLineChars="200" w:firstLine="640"/>
        <w:rPr>
          <w:szCs w:val="32"/>
        </w:rPr>
      </w:pPr>
      <w:r>
        <w:rPr>
          <w:szCs w:val="32"/>
        </w:rPr>
        <w:t>绍兴市制造业</w:t>
      </w:r>
      <w:r>
        <w:rPr>
          <w:szCs w:val="32"/>
        </w:rPr>
        <w:t>“</w:t>
      </w:r>
      <w:r>
        <w:rPr>
          <w:szCs w:val="32"/>
        </w:rPr>
        <w:t>长高长壮</w:t>
      </w:r>
      <w:r>
        <w:rPr>
          <w:szCs w:val="32"/>
        </w:rPr>
        <w:t>”</w:t>
      </w:r>
      <w:r>
        <w:rPr>
          <w:szCs w:val="32"/>
        </w:rPr>
        <w:t>加速库、冲刺库企业。</w:t>
      </w:r>
    </w:p>
    <w:p w:rsidR="00E65F37" w:rsidRDefault="00F16801" w:rsidP="001D4C1F">
      <w:pPr>
        <w:overflowPunct w:val="0"/>
        <w:adjustRightInd w:val="0"/>
        <w:snapToGrid w:val="0"/>
        <w:spacing w:line="580" w:lineRule="exact"/>
        <w:ind w:firstLineChars="200" w:firstLine="643"/>
        <w:rPr>
          <w:b/>
          <w:bCs/>
          <w:szCs w:val="32"/>
        </w:rPr>
      </w:pPr>
      <w:r>
        <w:rPr>
          <w:b/>
          <w:bCs/>
          <w:szCs w:val="32"/>
        </w:rPr>
        <w:t>2.</w:t>
      </w:r>
      <w:r>
        <w:rPr>
          <w:b/>
          <w:bCs/>
          <w:szCs w:val="32"/>
        </w:rPr>
        <w:t>扶持标准</w:t>
      </w:r>
    </w:p>
    <w:p w:rsidR="00E65F37" w:rsidRDefault="00F16801">
      <w:pPr>
        <w:widowControl/>
        <w:spacing w:line="580" w:lineRule="exact"/>
        <w:ind w:firstLineChars="200" w:firstLine="640"/>
        <w:rPr>
          <w:color w:val="000000"/>
          <w:kern w:val="0"/>
          <w:szCs w:val="32"/>
        </w:rPr>
      </w:pPr>
      <w:r>
        <w:rPr>
          <w:color w:val="000000"/>
          <w:kern w:val="0"/>
          <w:szCs w:val="32"/>
        </w:rPr>
        <w:t>对入库企业投向先进制造、高新技术制造项目超</w:t>
      </w:r>
      <w:r>
        <w:rPr>
          <w:color w:val="000000"/>
          <w:kern w:val="0"/>
          <w:szCs w:val="32"/>
        </w:rPr>
        <w:t>1</w:t>
      </w:r>
      <w:r>
        <w:rPr>
          <w:color w:val="000000"/>
          <w:kern w:val="0"/>
          <w:szCs w:val="32"/>
        </w:rPr>
        <w:t>亿元（含）的项目贷款，按照企业实际支付项目贷款利息的</w:t>
      </w:r>
      <w:r>
        <w:rPr>
          <w:color w:val="000000"/>
          <w:kern w:val="0"/>
          <w:szCs w:val="32"/>
        </w:rPr>
        <w:t>10%</w:t>
      </w:r>
      <w:r>
        <w:rPr>
          <w:color w:val="000000"/>
          <w:kern w:val="0"/>
          <w:szCs w:val="32"/>
        </w:rPr>
        <w:t>给予补助；补助期限自第一笔符合条件的贷款发生期开始计算，不超过</w:t>
      </w:r>
      <w:r>
        <w:rPr>
          <w:color w:val="000000"/>
          <w:kern w:val="0"/>
          <w:szCs w:val="32"/>
        </w:rPr>
        <w:t>3</w:t>
      </w:r>
      <w:r>
        <w:rPr>
          <w:color w:val="000000"/>
          <w:kern w:val="0"/>
          <w:szCs w:val="32"/>
        </w:rPr>
        <w:t>个年度，单个企业年度最高不超过</w:t>
      </w:r>
      <w:r>
        <w:rPr>
          <w:color w:val="000000"/>
          <w:kern w:val="0"/>
          <w:szCs w:val="32"/>
        </w:rPr>
        <w:t>300</w:t>
      </w:r>
      <w:r>
        <w:rPr>
          <w:color w:val="000000"/>
          <w:kern w:val="0"/>
          <w:szCs w:val="32"/>
        </w:rPr>
        <w:t>万元。</w:t>
      </w:r>
    </w:p>
    <w:p w:rsidR="00E65F37" w:rsidRDefault="00F16801" w:rsidP="001D4C1F">
      <w:pPr>
        <w:overflowPunct w:val="0"/>
        <w:adjustRightInd w:val="0"/>
        <w:snapToGrid w:val="0"/>
        <w:spacing w:line="580" w:lineRule="exact"/>
        <w:ind w:firstLineChars="200" w:firstLine="643"/>
        <w:rPr>
          <w:b/>
          <w:bCs/>
          <w:szCs w:val="32"/>
        </w:rPr>
      </w:pPr>
      <w:r>
        <w:rPr>
          <w:b/>
          <w:bCs/>
          <w:szCs w:val="32"/>
        </w:rPr>
        <w:t>3.</w:t>
      </w:r>
      <w:r>
        <w:rPr>
          <w:b/>
          <w:bCs/>
          <w:szCs w:val="32"/>
        </w:rPr>
        <w:t>申请材料</w:t>
      </w:r>
    </w:p>
    <w:p w:rsidR="00E65F37" w:rsidRDefault="00F16801">
      <w:pPr>
        <w:overflowPunct w:val="0"/>
        <w:adjustRightInd w:val="0"/>
        <w:snapToGrid w:val="0"/>
        <w:spacing w:line="580" w:lineRule="exact"/>
        <w:ind w:firstLineChars="200" w:firstLine="640"/>
        <w:rPr>
          <w:szCs w:val="32"/>
        </w:rPr>
      </w:pPr>
      <w:r>
        <w:rPr>
          <w:szCs w:val="32"/>
        </w:rPr>
        <w:t>（</w:t>
      </w:r>
      <w:r>
        <w:rPr>
          <w:szCs w:val="32"/>
        </w:rPr>
        <w:t>1</w:t>
      </w:r>
      <w:r>
        <w:rPr>
          <w:szCs w:val="32"/>
        </w:rPr>
        <w:t>）借款借据；</w:t>
      </w:r>
    </w:p>
    <w:p w:rsidR="00E65F37" w:rsidRDefault="00F16801">
      <w:pPr>
        <w:overflowPunct w:val="0"/>
        <w:adjustRightInd w:val="0"/>
        <w:snapToGrid w:val="0"/>
        <w:spacing w:line="580" w:lineRule="exact"/>
        <w:ind w:firstLineChars="200" w:firstLine="640"/>
        <w:rPr>
          <w:szCs w:val="32"/>
        </w:rPr>
      </w:pPr>
      <w:r>
        <w:rPr>
          <w:szCs w:val="32"/>
        </w:rPr>
        <w:t>（</w:t>
      </w:r>
      <w:r>
        <w:rPr>
          <w:szCs w:val="32"/>
        </w:rPr>
        <w:t>2</w:t>
      </w:r>
      <w:r>
        <w:rPr>
          <w:szCs w:val="32"/>
        </w:rPr>
        <w:t>）付息凭证。</w:t>
      </w:r>
    </w:p>
    <w:p w:rsidR="00E65F37" w:rsidRDefault="00F16801" w:rsidP="001D4C1F">
      <w:pPr>
        <w:overflowPunct w:val="0"/>
        <w:adjustRightInd w:val="0"/>
        <w:snapToGrid w:val="0"/>
        <w:spacing w:line="580" w:lineRule="exact"/>
        <w:ind w:firstLineChars="200" w:firstLine="643"/>
        <w:rPr>
          <w:b/>
          <w:bCs/>
          <w:szCs w:val="32"/>
        </w:rPr>
      </w:pPr>
      <w:r>
        <w:rPr>
          <w:b/>
          <w:bCs/>
          <w:szCs w:val="32"/>
        </w:rPr>
        <w:t>4.</w:t>
      </w:r>
      <w:r>
        <w:rPr>
          <w:b/>
          <w:bCs/>
          <w:szCs w:val="32"/>
        </w:rPr>
        <w:t>审批程序</w:t>
      </w:r>
    </w:p>
    <w:p w:rsidR="00E65F37" w:rsidRDefault="00F16801">
      <w:pPr>
        <w:overflowPunct w:val="0"/>
        <w:adjustRightInd w:val="0"/>
        <w:snapToGrid w:val="0"/>
        <w:spacing w:line="580" w:lineRule="exact"/>
        <w:ind w:firstLineChars="200" w:firstLine="640"/>
        <w:rPr>
          <w:szCs w:val="32"/>
        </w:rPr>
      </w:pPr>
      <w:r>
        <w:rPr>
          <w:szCs w:val="32"/>
        </w:rPr>
        <w:t>（</w:t>
      </w:r>
      <w:r>
        <w:rPr>
          <w:szCs w:val="32"/>
        </w:rPr>
        <w:t>1</w:t>
      </w:r>
      <w:r>
        <w:rPr>
          <w:szCs w:val="32"/>
        </w:rPr>
        <w:t>）申请。符合条件的企业通过</w:t>
      </w:r>
      <w:r>
        <w:rPr>
          <w:color w:val="FF0000"/>
          <w:szCs w:val="32"/>
        </w:rPr>
        <w:t>绍兴市经济高质量发展政策兑现系统</w:t>
      </w:r>
      <w:r>
        <w:rPr>
          <w:rFonts w:cs="仿宋_GB2312" w:hint="eastAsia"/>
          <w:color w:val="FF0000"/>
          <w:szCs w:val="32"/>
        </w:rPr>
        <w:t>（</w:t>
      </w:r>
      <w:r w:rsidR="00467CE8">
        <w:rPr>
          <w:rFonts w:cs="仿宋_GB2312"/>
          <w:color w:val="FF0000"/>
          <w:szCs w:val="32"/>
        </w:rPr>
        <w:t>https://reward.sx.gov.cn/#/</w:t>
      </w:r>
      <w:r>
        <w:rPr>
          <w:rFonts w:cs="仿宋_GB2312" w:hint="eastAsia"/>
          <w:color w:val="FF0000"/>
          <w:szCs w:val="32"/>
        </w:rPr>
        <w:t>）</w:t>
      </w:r>
      <w:r>
        <w:rPr>
          <w:szCs w:val="32"/>
        </w:rPr>
        <w:t>，向属地金融办提出申请；</w:t>
      </w:r>
    </w:p>
    <w:p w:rsidR="00E65F37" w:rsidRDefault="00F16801">
      <w:pPr>
        <w:overflowPunct w:val="0"/>
        <w:adjustRightInd w:val="0"/>
        <w:snapToGrid w:val="0"/>
        <w:spacing w:line="580" w:lineRule="exact"/>
        <w:ind w:firstLineChars="200" w:firstLine="640"/>
        <w:rPr>
          <w:szCs w:val="32"/>
        </w:rPr>
      </w:pPr>
      <w:r>
        <w:rPr>
          <w:szCs w:val="32"/>
        </w:rPr>
        <w:t>（</w:t>
      </w:r>
      <w:r>
        <w:rPr>
          <w:szCs w:val="32"/>
        </w:rPr>
        <w:t>2</w:t>
      </w:r>
      <w:r>
        <w:rPr>
          <w:szCs w:val="32"/>
        </w:rPr>
        <w:t>）审核。属地金融办负责审核申请材料，在征求相关部门意见的基础上，提出审核意见并公示（内容应包括但</w:t>
      </w:r>
      <w:r>
        <w:rPr>
          <w:szCs w:val="32"/>
        </w:rPr>
        <w:lastRenderedPageBreak/>
        <w:t>不限于机构名称、项目内容、补偿金额、联系方式等）；</w:t>
      </w:r>
    </w:p>
    <w:p w:rsidR="00E65F37" w:rsidRDefault="00F16801">
      <w:pPr>
        <w:overflowPunct w:val="0"/>
        <w:adjustRightInd w:val="0"/>
        <w:snapToGrid w:val="0"/>
        <w:spacing w:line="580" w:lineRule="exact"/>
        <w:ind w:firstLineChars="200" w:firstLine="640"/>
        <w:rPr>
          <w:rFonts w:eastAsia="黑体"/>
          <w:snapToGrid w:val="0"/>
          <w:color w:val="000000"/>
          <w:kern w:val="0"/>
          <w:szCs w:val="32"/>
        </w:rPr>
      </w:pPr>
      <w:r>
        <w:rPr>
          <w:szCs w:val="32"/>
        </w:rPr>
        <w:t>（</w:t>
      </w:r>
      <w:r>
        <w:rPr>
          <w:szCs w:val="32"/>
        </w:rPr>
        <w:t>3</w:t>
      </w:r>
      <w:r>
        <w:rPr>
          <w:szCs w:val="32"/>
        </w:rPr>
        <w:t>）拨付</w:t>
      </w:r>
      <w:r>
        <w:rPr>
          <w:spacing w:val="-11"/>
          <w:szCs w:val="32"/>
        </w:rPr>
        <w:t>。公示期满无异议后，属地金融办下拨相关奖励资金。</w:t>
      </w:r>
    </w:p>
    <w:p w:rsidR="00E65F37" w:rsidRDefault="00F16801">
      <w:pPr>
        <w:overflowPunct w:val="0"/>
        <w:adjustRightInd w:val="0"/>
        <w:snapToGrid w:val="0"/>
        <w:spacing w:line="580" w:lineRule="exact"/>
        <w:ind w:firstLineChars="200" w:firstLine="640"/>
        <w:rPr>
          <w:rFonts w:eastAsia="黑体" w:cs="黑体"/>
          <w:szCs w:val="32"/>
        </w:rPr>
      </w:pPr>
      <w:r>
        <w:rPr>
          <w:rFonts w:eastAsia="黑体" w:cs="黑体" w:hint="eastAsia"/>
          <w:szCs w:val="32"/>
        </w:rPr>
        <w:t>二、关于强化融资担保增信的操作细则</w:t>
      </w:r>
    </w:p>
    <w:p w:rsidR="00E65F37" w:rsidRDefault="00F16801" w:rsidP="00803A22">
      <w:pPr>
        <w:widowControl/>
        <w:spacing w:line="560" w:lineRule="exact"/>
        <w:ind w:firstLineChars="200" w:firstLine="640"/>
        <w:jc w:val="left"/>
        <w:rPr>
          <w:rFonts w:cs="仿宋_GB2312"/>
          <w:szCs w:val="32"/>
        </w:rPr>
      </w:pPr>
      <w:r w:rsidRPr="00803A22">
        <w:rPr>
          <w:rFonts w:eastAsia="楷体_GB2312" w:cs="楷体_GB2312" w:hint="eastAsia"/>
          <w:b/>
          <w:szCs w:val="32"/>
        </w:rPr>
        <w:t>（六）政策条款</w:t>
      </w:r>
      <w:r>
        <w:rPr>
          <w:rFonts w:eastAsia="楷体_GB2312" w:cs="楷体_GB2312" w:hint="eastAsia"/>
          <w:szCs w:val="32"/>
        </w:rPr>
        <w:t>：</w:t>
      </w:r>
      <w:r>
        <w:rPr>
          <w:color w:val="000000"/>
          <w:kern w:val="0"/>
          <w:szCs w:val="32"/>
        </w:rPr>
        <w:t>对政府性融资担保机构进行风险补偿，补偿比例为年度小微企业和</w:t>
      </w:r>
      <w:r>
        <w:rPr>
          <w:color w:val="000000"/>
          <w:kern w:val="0"/>
          <w:szCs w:val="32"/>
        </w:rPr>
        <w:t>“</w:t>
      </w:r>
      <w:r>
        <w:rPr>
          <w:color w:val="000000"/>
          <w:kern w:val="0"/>
          <w:szCs w:val="32"/>
        </w:rPr>
        <w:t>三农</w:t>
      </w:r>
      <w:r>
        <w:rPr>
          <w:color w:val="000000"/>
          <w:kern w:val="0"/>
          <w:szCs w:val="32"/>
        </w:rPr>
        <w:t>”</w:t>
      </w:r>
      <w:r>
        <w:rPr>
          <w:color w:val="000000"/>
          <w:kern w:val="0"/>
          <w:szCs w:val="32"/>
        </w:rPr>
        <w:t>担保实际损失的</w:t>
      </w:r>
      <w:r>
        <w:rPr>
          <w:color w:val="000000"/>
          <w:kern w:val="0"/>
          <w:szCs w:val="32"/>
        </w:rPr>
        <w:t>30%</w:t>
      </w:r>
      <w:r>
        <w:rPr>
          <w:color w:val="000000"/>
          <w:kern w:val="0"/>
          <w:szCs w:val="32"/>
        </w:rPr>
        <w:t>，单个担保机构年度最高不超过</w:t>
      </w:r>
      <w:r>
        <w:rPr>
          <w:color w:val="000000"/>
          <w:kern w:val="0"/>
          <w:szCs w:val="32"/>
        </w:rPr>
        <w:t>500</w:t>
      </w:r>
      <w:r>
        <w:rPr>
          <w:color w:val="000000"/>
          <w:kern w:val="0"/>
          <w:szCs w:val="32"/>
        </w:rPr>
        <w:t>万元。</w:t>
      </w:r>
      <w:r>
        <w:rPr>
          <w:rFonts w:cs="仿宋_GB2312" w:hint="eastAsia"/>
          <w:szCs w:val="32"/>
        </w:rPr>
        <w:t>（快兑）</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 w:hint="eastAsia"/>
          <w:color w:val="191F25"/>
          <w:szCs w:val="32"/>
          <w:shd w:val="clear" w:color="auto" w:fill="FFFFFF"/>
        </w:rPr>
        <w:t>年末平均担保费率</w:t>
      </w:r>
      <w:r>
        <w:rPr>
          <w:rFonts w:cs="仿宋" w:hint="eastAsia"/>
          <w:color w:val="191F25"/>
          <w:szCs w:val="32"/>
          <w:shd w:val="clear" w:color="auto" w:fill="FFFFFF"/>
        </w:rPr>
        <w:t>1%</w:t>
      </w:r>
      <w:r>
        <w:rPr>
          <w:rFonts w:cs="仿宋" w:hint="eastAsia"/>
          <w:color w:val="191F25"/>
          <w:szCs w:val="32"/>
          <w:shd w:val="clear" w:color="auto" w:fill="FFFFFF"/>
        </w:rPr>
        <w:t>以下、融资担保代偿率不高于</w:t>
      </w:r>
      <w:r>
        <w:rPr>
          <w:rFonts w:cs="仿宋" w:hint="eastAsia"/>
          <w:color w:val="191F25"/>
          <w:szCs w:val="32"/>
          <w:shd w:val="clear" w:color="auto" w:fill="FFFFFF"/>
        </w:rPr>
        <w:t>5%</w:t>
      </w:r>
      <w:r>
        <w:rPr>
          <w:rFonts w:cs="仿宋" w:hint="eastAsia"/>
          <w:color w:val="191F25"/>
          <w:szCs w:val="32"/>
          <w:shd w:val="clear" w:color="auto" w:fill="FFFFFF"/>
        </w:rPr>
        <w:t>、小微企业和“三农”担保比例</w:t>
      </w:r>
      <w:r>
        <w:rPr>
          <w:rFonts w:cs="仿宋" w:hint="eastAsia"/>
          <w:color w:val="191F25"/>
          <w:szCs w:val="32"/>
          <w:shd w:val="clear" w:color="auto" w:fill="FFFFFF"/>
        </w:rPr>
        <w:t>80%</w:t>
      </w:r>
      <w:r>
        <w:rPr>
          <w:rFonts w:cs="仿宋" w:hint="eastAsia"/>
          <w:color w:val="191F25"/>
          <w:szCs w:val="32"/>
          <w:shd w:val="clear" w:color="auto" w:fill="FFFFFF"/>
        </w:rPr>
        <w:t>以上、完成年度融资担保计划任务数的绍兴市辖内</w:t>
      </w:r>
      <w:r>
        <w:rPr>
          <w:rFonts w:cs="仿宋" w:hint="eastAsia"/>
          <w:szCs w:val="32"/>
          <w:shd w:val="clear" w:color="auto" w:fill="FFFFFF"/>
        </w:rPr>
        <w:t>政府性融资担保机构。</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szCs w:val="32"/>
        </w:rPr>
      </w:pPr>
      <w:r>
        <w:rPr>
          <w:rFonts w:hint="eastAsia"/>
          <w:szCs w:val="32"/>
        </w:rPr>
        <w:t>按照当年小微企业和“三农”融资担保实际损失的</w:t>
      </w:r>
      <w:r>
        <w:rPr>
          <w:szCs w:val="32"/>
        </w:rPr>
        <w:t>30%</w:t>
      </w:r>
      <w:r>
        <w:rPr>
          <w:rFonts w:hint="eastAsia"/>
          <w:szCs w:val="32"/>
        </w:rPr>
        <w:t>予以风险补偿，单个担保机构年度最高不超过</w:t>
      </w:r>
      <w:r>
        <w:rPr>
          <w:rFonts w:hint="eastAsia"/>
          <w:szCs w:val="32"/>
        </w:rPr>
        <w:t>5</w:t>
      </w:r>
      <w:r>
        <w:rPr>
          <w:szCs w:val="32"/>
        </w:rPr>
        <w:t>00</w:t>
      </w:r>
      <w:r>
        <w:rPr>
          <w:rFonts w:hint="eastAsia"/>
          <w:szCs w:val="32"/>
        </w:rPr>
        <w:t>万元。实际损失以当年度确定无法收回部分为准（须提供司法文书或相关批文）；若该损失在以后年度收回，则相应扣减或予以退回。</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pPr>
      <w:r>
        <w:rPr>
          <w:rFonts w:hint="eastAsia"/>
          <w:color w:val="000000"/>
        </w:rPr>
        <w:t>（</w:t>
      </w:r>
      <w:r>
        <w:rPr>
          <w:rFonts w:hint="eastAsia"/>
          <w:color w:val="000000"/>
        </w:rPr>
        <w:t>1</w:t>
      </w:r>
      <w:r>
        <w:rPr>
          <w:rFonts w:hint="eastAsia"/>
          <w:color w:val="000000"/>
        </w:rPr>
        <w:t>）需补偿业务对应的</w:t>
      </w:r>
      <w:r>
        <w:rPr>
          <w:rFonts w:hint="eastAsia"/>
        </w:rPr>
        <w:t>贷款担保合同</w:t>
      </w:r>
      <w:r>
        <w:t>；</w:t>
      </w:r>
    </w:p>
    <w:p w:rsidR="00E65F37" w:rsidRDefault="00F16801">
      <w:pPr>
        <w:overflowPunct w:val="0"/>
        <w:adjustRightInd w:val="0"/>
        <w:snapToGrid w:val="0"/>
        <w:spacing w:line="580" w:lineRule="exact"/>
        <w:ind w:firstLineChars="200" w:firstLine="640"/>
      </w:pPr>
      <w:r>
        <w:rPr>
          <w:rFonts w:hint="eastAsia"/>
          <w:color w:val="000000"/>
        </w:rPr>
        <w:t>（</w:t>
      </w:r>
      <w:r>
        <w:rPr>
          <w:rFonts w:hint="eastAsia"/>
          <w:color w:val="000000"/>
        </w:rPr>
        <w:t>2</w:t>
      </w:r>
      <w:r>
        <w:rPr>
          <w:rFonts w:hint="eastAsia"/>
          <w:color w:val="000000"/>
        </w:rPr>
        <w:t>）</w:t>
      </w:r>
      <w:r>
        <w:rPr>
          <w:rFonts w:hint="eastAsia"/>
        </w:rPr>
        <w:t>融资担保机构和</w:t>
      </w:r>
      <w:r>
        <w:t>协作银行</w:t>
      </w:r>
      <w:r>
        <w:rPr>
          <w:rFonts w:hint="eastAsia"/>
        </w:rPr>
        <w:t>共同盖章确认</w:t>
      </w:r>
      <w:r>
        <w:t>的</w:t>
      </w:r>
      <w:r>
        <w:rPr>
          <w:rFonts w:hint="eastAsia"/>
        </w:rPr>
        <w:t>政府性融资担保机构在保业务明细表</w:t>
      </w:r>
      <w:r>
        <w:t>（附件</w:t>
      </w:r>
      <w:r>
        <w:rPr>
          <w:rFonts w:hint="eastAsia"/>
        </w:rPr>
        <w:t>8</w:t>
      </w:r>
      <w:r>
        <w:t>）；</w:t>
      </w:r>
    </w:p>
    <w:p w:rsidR="00E65F37" w:rsidRDefault="00F16801">
      <w:pPr>
        <w:overflowPunct w:val="0"/>
        <w:adjustRightInd w:val="0"/>
        <w:snapToGrid w:val="0"/>
        <w:spacing w:line="580" w:lineRule="exact"/>
        <w:ind w:firstLineChars="200" w:firstLine="640"/>
        <w:rPr>
          <w:szCs w:val="32"/>
        </w:rPr>
      </w:pPr>
      <w:r>
        <w:t>（</w:t>
      </w:r>
      <w:r>
        <w:rPr>
          <w:rFonts w:hint="eastAsia"/>
        </w:rPr>
        <w:t>3</w:t>
      </w:r>
      <w:r>
        <w:t>）</w:t>
      </w:r>
      <w:r>
        <w:rPr>
          <w:rFonts w:hint="eastAsia"/>
          <w:szCs w:val="32"/>
        </w:rPr>
        <w:t>司法文书或相关批文。</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szCs w:val="32"/>
        </w:rPr>
        <w:t>1</w:t>
      </w:r>
      <w:r>
        <w:rPr>
          <w:rFonts w:cs="仿宋_GB2312" w:hint="eastAsia"/>
          <w:szCs w:val="32"/>
        </w:rPr>
        <w:t>）申请。</w:t>
      </w:r>
      <w:r>
        <w:rPr>
          <w:rFonts w:hint="eastAsia"/>
          <w:szCs w:val="32"/>
        </w:rPr>
        <w:t>符合条件的企业通过</w:t>
      </w:r>
      <w:r>
        <w:rPr>
          <w:rFonts w:cs="仿宋_GB2312" w:hint="eastAsia"/>
          <w:szCs w:val="32"/>
        </w:rPr>
        <w:t>绍兴市经济高质量发</w:t>
      </w:r>
      <w:r>
        <w:rPr>
          <w:rFonts w:cs="仿宋_GB2312" w:hint="eastAsia"/>
          <w:szCs w:val="32"/>
        </w:rPr>
        <w:lastRenderedPageBreak/>
        <w:t>展政策兑现系统（</w:t>
      </w:r>
      <w:r w:rsidR="00467CE8">
        <w:rPr>
          <w:rFonts w:cs="仿宋_GB2312"/>
          <w:szCs w:val="32"/>
        </w:rPr>
        <w:t>https://reward.sx.gov.cn/#/</w:t>
      </w:r>
      <w:r>
        <w:rPr>
          <w:rFonts w:cs="仿宋_GB2312" w:hint="eastAsia"/>
          <w:szCs w:val="32"/>
        </w:rPr>
        <w:t>）</w:t>
      </w:r>
      <w:r>
        <w:rPr>
          <w:rFonts w:hint="eastAsia"/>
          <w:szCs w:val="32"/>
        </w:rPr>
        <w:t>，向属地金融办提出申请</w:t>
      </w:r>
      <w:r>
        <w:rPr>
          <w:rFonts w:cs="仿宋_GB2312" w:hint="eastAsia"/>
          <w:szCs w:val="32"/>
        </w:rPr>
        <w:t>；</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szCs w:val="32"/>
        </w:rPr>
        <w:t>2</w:t>
      </w:r>
      <w:r>
        <w:rPr>
          <w:rFonts w:cs="仿宋_GB2312" w:hint="eastAsia"/>
          <w:szCs w:val="32"/>
        </w:rPr>
        <w:t>）审核。属地金融办会同有关部门对申报项目进行会商审核，在征求相关部门意见的基础上，提出审核意见并公示（内容应包括但不限于机构名称、项目内容、补偿金额、联系方式等）；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szCs w:val="32"/>
        </w:rPr>
        <w:t>3</w:t>
      </w:r>
      <w:r>
        <w:rPr>
          <w:rFonts w:cs="仿宋_GB2312" w:hint="eastAsia"/>
          <w:szCs w:val="32"/>
        </w:rPr>
        <w:t>）拨付。公示期满无异议后，属地金融办下拨相关奖励资金。</w:t>
      </w:r>
    </w:p>
    <w:p w:rsidR="00E65F37" w:rsidRDefault="00F16801" w:rsidP="00467CE8">
      <w:pPr>
        <w:overflowPunct w:val="0"/>
        <w:spacing w:line="580" w:lineRule="exact"/>
        <w:ind w:firstLineChars="200" w:firstLine="640"/>
        <w:rPr>
          <w:rFonts w:eastAsia="微软雅黑"/>
          <w:color w:val="171A1D"/>
          <w:szCs w:val="21"/>
          <w:shd w:val="clear" w:color="auto" w:fill="FFFFFF"/>
        </w:rPr>
      </w:pPr>
      <w:r>
        <w:rPr>
          <w:rFonts w:eastAsia="楷体_GB2312" w:cs="楷体_GB2312" w:hint="eastAsia"/>
          <w:b/>
          <w:szCs w:val="32"/>
        </w:rPr>
        <w:t>（七）政策条款</w:t>
      </w:r>
      <w:r>
        <w:rPr>
          <w:rFonts w:eastAsia="楷体_GB2312" w:cs="楷体_GB2312" w:hint="eastAsia"/>
          <w:szCs w:val="32"/>
        </w:rPr>
        <w:t>：</w:t>
      </w:r>
      <w:r>
        <w:rPr>
          <w:color w:val="000000"/>
          <w:kern w:val="0"/>
          <w:szCs w:val="32"/>
        </w:rPr>
        <w:t>对政府性融资担保机构进行保费补贴，补贴比例为政府性担保机构当年末担保业务余额的</w:t>
      </w:r>
      <w:r>
        <w:rPr>
          <w:color w:val="000000"/>
          <w:kern w:val="0"/>
          <w:szCs w:val="32"/>
        </w:rPr>
        <w:t>0.5%</w:t>
      </w:r>
      <w:r>
        <w:rPr>
          <w:color w:val="000000"/>
          <w:kern w:val="0"/>
          <w:szCs w:val="32"/>
        </w:rPr>
        <w:t>，单个担保机构年度最高不超过</w:t>
      </w:r>
      <w:r>
        <w:rPr>
          <w:color w:val="000000"/>
          <w:kern w:val="0"/>
          <w:szCs w:val="32"/>
        </w:rPr>
        <w:t>500</w:t>
      </w:r>
      <w:r>
        <w:rPr>
          <w:color w:val="000000"/>
          <w:kern w:val="0"/>
          <w:szCs w:val="32"/>
        </w:rPr>
        <w:t>万元。</w:t>
      </w:r>
      <w:r>
        <w:rPr>
          <w:rFonts w:cs="仿宋_GB2312" w:hint="eastAsia"/>
          <w:szCs w:val="32"/>
        </w:rPr>
        <w:t>（快兑）</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 w:hint="eastAsia"/>
          <w:color w:val="191F25"/>
          <w:szCs w:val="32"/>
          <w:shd w:val="clear" w:color="auto" w:fill="FFFFFF"/>
        </w:rPr>
        <w:t>年末平均担保费率</w:t>
      </w:r>
      <w:r>
        <w:rPr>
          <w:rFonts w:cs="仿宋" w:hint="eastAsia"/>
          <w:color w:val="191F25"/>
          <w:szCs w:val="32"/>
          <w:shd w:val="clear" w:color="auto" w:fill="FFFFFF"/>
        </w:rPr>
        <w:t>1%</w:t>
      </w:r>
      <w:r>
        <w:rPr>
          <w:rFonts w:cs="仿宋" w:hint="eastAsia"/>
          <w:color w:val="191F25"/>
          <w:szCs w:val="32"/>
          <w:shd w:val="clear" w:color="auto" w:fill="FFFFFF"/>
        </w:rPr>
        <w:t>以下、融资担保代偿率不高于</w:t>
      </w:r>
      <w:r>
        <w:rPr>
          <w:rFonts w:cs="仿宋" w:hint="eastAsia"/>
          <w:color w:val="191F25"/>
          <w:szCs w:val="32"/>
          <w:shd w:val="clear" w:color="auto" w:fill="FFFFFF"/>
        </w:rPr>
        <w:t>5%</w:t>
      </w:r>
      <w:r>
        <w:rPr>
          <w:rFonts w:cs="仿宋" w:hint="eastAsia"/>
          <w:color w:val="191F25"/>
          <w:szCs w:val="32"/>
          <w:shd w:val="clear" w:color="auto" w:fill="FFFFFF"/>
        </w:rPr>
        <w:t>、小微企业和“三农”担保比例</w:t>
      </w:r>
      <w:r>
        <w:rPr>
          <w:rFonts w:cs="仿宋" w:hint="eastAsia"/>
          <w:color w:val="191F25"/>
          <w:szCs w:val="32"/>
          <w:shd w:val="clear" w:color="auto" w:fill="FFFFFF"/>
        </w:rPr>
        <w:t>80%</w:t>
      </w:r>
      <w:r>
        <w:rPr>
          <w:rFonts w:cs="仿宋" w:hint="eastAsia"/>
          <w:color w:val="191F25"/>
          <w:szCs w:val="32"/>
          <w:shd w:val="clear" w:color="auto" w:fill="FFFFFF"/>
        </w:rPr>
        <w:t>以上、完成年度融资担保计划任务数的绍兴市辖内</w:t>
      </w:r>
      <w:r>
        <w:rPr>
          <w:rFonts w:cs="仿宋" w:hint="eastAsia"/>
          <w:szCs w:val="32"/>
          <w:shd w:val="clear" w:color="auto" w:fill="FFFFFF"/>
        </w:rPr>
        <w:t>政府性融资担保机构。</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szCs w:val="32"/>
        </w:rPr>
      </w:pPr>
      <w:r>
        <w:rPr>
          <w:rFonts w:hint="eastAsia"/>
          <w:szCs w:val="32"/>
        </w:rPr>
        <w:t>按政府性担保机构当年末担保业务余额的</w:t>
      </w:r>
      <w:r>
        <w:rPr>
          <w:rFonts w:hint="eastAsia"/>
          <w:szCs w:val="32"/>
        </w:rPr>
        <w:t>0.5%</w:t>
      </w:r>
      <w:r>
        <w:rPr>
          <w:rFonts w:hint="eastAsia"/>
          <w:szCs w:val="32"/>
        </w:rPr>
        <w:t>给予补贴，单个担保机构年度最高不超过</w:t>
      </w:r>
      <w:r>
        <w:rPr>
          <w:rFonts w:hint="eastAsia"/>
          <w:szCs w:val="32"/>
        </w:rPr>
        <w:t>500</w:t>
      </w:r>
      <w:r>
        <w:rPr>
          <w:rFonts w:hint="eastAsia"/>
          <w:szCs w:val="32"/>
        </w:rPr>
        <w:t>万元。</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pPr>
      <w:r>
        <w:rPr>
          <w:rFonts w:hint="eastAsia"/>
        </w:rPr>
        <w:t>融资担保机构和</w:t>
      </w:r>
      <w:r>
        <w:t>协作银行</w:t>
      </w:r>
      <w:r>
        <w:rPr>
          <w:rFonts w:hint="eastAsia"/>
        </w:rPr>
        <w:t>共同盖章确认政府性融资担保机构在保业务明细表</w:t>
      </w:r>
      <w:r>
        <w:t>（附件</w:t>
      </w:r>
      <w:r>
        <w:rPr>
          <w:rFonts w:hint="eastAsia"/>
        </w:rPr>
        <w:t>8</w:t>
      </w:r>
      <w:r>
        <w:t>）</w:t>
      </w:r>
      <w:r>
        <w:rPr>
          <w:rFonts w:hint="eastAsia"/>
        </w:rPr>
        <w:t>。</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szCs w:val="32"/>
        </w:rPr>
        <w:t>1</w:t>
      </w:r>
      <w:r>
        <w:rPr>
          <w:rFonts w:cs="仿宋_GB2312" w:hint="eastAsia"/>
          <w:szCs w:val="32"/>
        </w:rPr>
        <w:t>）申请。</w:t>
      </w:r>
      <w:r>
        <w:rPr>
          <w:rFonts w:hint="eastAsia"/>
          <w:szCs w:val="32"/>
        </w:rPr>
        <w:t>符合条件的企业通过</w:t>
      </w:r>
      <w:r>
        <w:rPr>
          <w:rFonts w:cs="仿宋_GB2312" w:hint="eastAsia"/>
          <w:szCs w:val="32"/>
        </w:rPr>
        <w:t>绍兴市经济高质量发展政策兑现系统（</w:t>
      </w:r>
      <w:r w:rsidR="00467CE8">
        <w:rPr>
          <w:rFonts w:cs="仿宋_GB2312"/>
          <w:szCs w:val="32"/>
        </w:rPr>
        <w:t>https://reward.sx.gov.cn/#/</w:t>
      </w:r>
      <w:r>
        <w:rPr>
          <w:rFonts w:cs="仿宋_GB2312" w:hint="eastAsia"/>
          <w:szCs w:val="32"/>
        </w:rPr>
        <w:t>）</w:t>
      </w:r>
      <w:r>
        <w:rPr>
          <w:rFonts w:hint="eastAsia"/>
          <w:szCs w:val="32"/>
        </w:rPr>
        <w:t>，向属地金融办</w:t>
      </w:r>
      <w:r>
        <w:rPr>
          <w:rFonts w:hint="eastAsia"/>
          <w:szCs w:val="32"/>
        </w:rPr>
        <w:lastRenderedPageBreak/>
        <w:t>提出申请</w:t>
      </w:r>
      <w:r>
        <w:rPr>
          <w:rFonts w:cs="仿宋_GB2312" w:hint="eastAsia"/>
          <w:szCs w:val="32"/>
        </w:rPr>
        <w:t>；</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szCs w:val="32"/>
        </w:rPr>
        <w:t>2</w:t>
      </w:r>
      <w:r>
        <w:rPr>
          <w:rFonts w:cs="仿宋_GB2312" w:hint="eastAsia"/>
          <w:szCs w:val="32"/>
        </w:rPr>
        <w:t>）审核。属地金融办会同有关部门对申报项目进行会商审核，在征求相关部门意见的基础上，提出审核意见并公示（内容应包括但不限于机构名称、项目内容、补偿金额、联系方式等）；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szCs w:val="32"/>
        </w:rPr>
        <w:t>3</w:t>
      </w:r>
      <w:r>
        <w:rPr>
          <w:rFonts w:cs="仿宋_GB2312" w:hint="eastAsia"/>
          <w:szCs w:val="32"/>
        </w:rPr>
        <w:t>）拨付。公示期满无异议后，属地金融办下拨相关奖励资金。</w:t>
      </w:r>
    </w:p>
    <w:p w:rsidR="00E65F37" w:rsidRDefault="00F16801" w:rsidP="00467CE8">
      <w:pPr>
        <w:overflowPunct w:val="0"/>
        <w:adjustRightInd w:val="0"/>
        <w:snapToGrid w:val="0"/>
        <w:spacing w:line="580" w:lineRule="exact"/>
        <w:ind w:firstLineChars="200" w:firstLine="640"/>
        <w:rPr>
          <w:rFonts w:cs="仿宋_GB2312"/>
          <w:szCs w:val="32"/>
        </w:rPr>
      </w:pPr>
      <w:r>
        <w:rPr>
          <w:rFonts w:eastAsia="楷体_GB2312" w:cs="楷体_GB2312" w:hint="eastAsia"/>
          <w:b/>
          <w:szCs w:val="32"/>
        </w:rPr>
        <w:t>（八）政策条款</w:t>
      </w:r>
      <w:r>
        <w:rPr>
          <w:rFonts w:eastAsia="楷体_GB2312" w:cs="楷体_GB2312" w:hint="eastAsia"/>
          <w:szCs w:val="32"/>
        </w:rPr>
        <w:t>：</w:t>
      </w:r>
      <w:r>
        <w:rPr>
          <w:rFonts w:cs="仿宋_GB2312" w:hint="eastAsia"/>
          <w:szCs w:val="32"/>
        </w:rPr>
        <w:t>对政府性融资担保机构小微外贸企业汇率避险增信服务按</w:t>
      </w:r>
      <w:r w:rsidRPr="000E579F">
        <w:rPr>
          <w:rFonts w:cs="仿宋_GB2312" w:hint="eastAsia"/>
          <w:szCs w:val="32"/>
        </w:rPr>
        <w:t>不超过</w:t>
      </w:r>
      <w:r w:rsidRPr="000E579F">
        <w:rPr>
          <w:rFonts w:cs="仿宋_GB2312" w:hint="eastAsia"/>
          <w:szCs w:val="32"/>
        </w:rPr>
        <w:t>1%</w:t>
      </w:r>
      <w:r w:rsidRPr="000E579F">
        <w:rPr>
          <w:rFonts w:cs="仿宋_GB2312" w:hint="eastAsia"/>
          <w:szCs w:val="32"/>
        </w:rPr>
        <w:t>的担保费给予费用补贴（计算基数为担保保函额</w:t>
      </w:r>
      <w:r>
        <w:rPr>
          <w:rFonts w:cs="仿宋_GB2312" w:hint="eastAsia"/>
          <w:szCs w:val="32"/>
        </w:rPr>
        <w:t>度）。</w:t>
      </w:r>
      <w:r w:rsidRPr="000E579F">
        <w:rPr>
          <w:rFonts w:cs="仿宋_GB2312" w:hint="eastAsia"/>
          <w:szCs w:val="32"/>
        </w:rPr>
        <w:t>（快兑）</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 w:hint="eastAsia"/>
          <w:szCs w:val="32"/>
          <w:shd w:val="clear" w:color="auto" w:fill="FFFFFF"/>
        </w:rPr>
        <w:t>绍兴市辖内政府性融资担保机构。</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对小微外贸企业汇率避险增信服务业务以担保保函额度为计算基数，按不超过</w:t>
      </w:r>
      <w:r>
        <w:rPr>
          <w:rFonts w:cs="仿宋_GB2312" w:hint="eastAsia"/>
          <w:szCs w:val="32"/>
        </w:rPr>
        <w:t>1%</w:t>
      </w:r>
      <w:r>
        <w:rPr>
          <w:rFonts w:cs="仿宋_GB2312" w:hint="eastAsia"/>
          <w:szCs w:val="32"/>
        </w:rPr>
        <w:t>的担保费给予费用补贴。</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pPr>
      <w:r>
        <w:rPr>
          <w:rFonts w:hint="eastAsia"/>
        </w:rPr>
        <w:t>融资担保机构和</w:t>
      </w:r>
      <w:r>
        <w:t>协作银行</w:t>
      </w:r>
      <w:r>
        <w:rPr>
          <w:rFonts w:hint="eastAsia"/>
        </w:rPr>
        <w:t>共同盖章确认的政府性融资担保机构</w:t>
      </w:r>
      <w:r>
        <w:rPr>
          <w:rFonts w:cs="仿宋_GB2312" w:hint="eastAsia"/>
          <w:szCs w:val="32"/>
        </w:rPr>
        <w:t>小微外贸企业汇率避险增信服务</w:t>
      </w:r>
      <w:r>
        <w:rPr>
          <w:rFonts w:hint="eastAsia"/>
        </w:rPr>
        <w:t>业务明细表</w:t>
      </w:r>
      <w:r>
        <w:t>（附件</w:t>
      </w:r>
      <w:r>
        <w:rPr>
          <w:rFonts w:hint="eastAsia"/>
        </w:rPr>
        <w:t>9</w:t>
      </w:r>
      <w:r>
        <w:t>）</w:t>
      </w:r>
      <w:r>
        <w:rPr>
          <w:rFonts w:hint="eastAsia"/>
        </w:rPr>
        <w:t>。</w:t>
      </w:r>
    </w:p>
    <w:p w:rsidR="00E65F37" w:rsidRDefault="00F16801" w:rsidP="001D4C1F">
      <w:pPr>
        <w:overflowPunct w:val="0"/>
        <w:adjustRightInd w:val="0"/>
        <w:snapToGrid w:val="0"/>
        <w:spacing w:line="580" w:lineRule="exact"/>
        <w:ind w:firstLineChars="200" w:firstLine="643"/>
        <w:rPr>
          <w:rFonts w:cs="仿宋_GB2312"/>
          <w:b/>
          <w:bCs/>
          <w:szCs w:val="32"/>
        </w:rPr>
      </w:pPr>
      <w:r>
        <w:rPr>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szCs w:val="32"/>
        </w:rPr>
        <w:t>1</w:t>
      </w:r>
      <w:r>
        <w:rPr>
          <w:rFonts w:cs="仿宋_GB2312" w:hint="eastAsia"/>
          <w:szCs w:val="32"/>
        </w:rPr>
        <w:t>）申请。</w:t>
      </w:r>
      <w:r>
        <w:rPr>
          <w:rFonts w:hint="eastAsia"/>
          <w:szCs w:val="32"/>
        </w:rPr>
        <w:t>符合条件的企业通过</w:t>
      </w:r>
      <w:r>
        <w:rPr>
          <w:rFonts w:cs="仿宋_GB2312" w:hint="eastAsia"/>
          <w:szCs w:val="32"/>
        </w:rPr>
        <w:t>绍兴市经济高质量发展政策兑现系统（</w:t>
      </w:r>
      <w:r w:rsidR="00467CE8">
        <w:rPr>
          <w:rFonts w:cs="仿宋_GB2312"/>
          <w:szCs w:val="32"/>
        </w:rPr>
        <w:t>https://reward.sx.gov.cn/#/</w:t>
      </w:r>
      <w:r>
        <w:rPr>
          <w:rFonts w:cs="仿宋_GB2312" w:hint="eastAsia"/>
          <w:szCs w:val="32"/>
        </w:rPr>
        <w:t>）</w:t>
      </w:r>
      <w:r>
        <w:rPr>
          <w:rFonts w:hint="eastAsia"/>
          <w:szCs w:val="32"/>
        </w:rPr>
        <w:t>，向属地金融办提出申请</w:t>
      </w:r>
      <w:r>
        <w:rPr>
          <w:rFonts w:cs="仿宋_GB2312" w:hint="eastAsia"/>
          <w:szCs w:val="32"/>
        </w:rPr>
        <w:t>；</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szCs w:val="32"/>
        </w:rPr>
        <w:t>2</w:t>
      </w:r>
      <w:r>
        <w:rPr>
          <w:rFonts w:cs="仿宋_GB2312" w:hint="eastAsia"/>
          <w:szCs w:val="32"/>
        </w:rPr>
        <w:t>）审核。属地金融办会同有关部门对申报项目进行</w:t>
      </w:r>
      <w:r>
        <w:rPr>
          <w:rFonts w:cs="仿宋_GB2312" w:hint="eastAsia"/>
          <w:szCs w:val="32"/>
        </w:rPr>
        <w:lastRenderedPageBreak/>
        <w:t>会商审核，在征求相关部门意见的基础上，提出审核意见并公示（内容应包括但不限于机构名称、项目内容、补偿金额、联系方式等）；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szCs w:val="32"/>
        </w:rPr>
        <w:t>3</w:t>
      </w:r>
      <w:r>
        <w:rPr>
          <w:rFonts w:cs="仿宋_GB2312" w:hint="eastAsia"/>
          <w:szCs w:val="32"/>
        </w:rPr>
        <w:t>）拨付。公示期满无异议后，属地金融办下拨相关奖励资金。</w:t>
      </w:r>
    </w:p>
    <w:p w:rsidR="00E65F37" w:rsidRDefault="00F16801" w:rsidP="0014798B">
      <w:pPr>
        <w:overflowPunct w:val="0"/>
        <w:adjustRightInd w:val="0"/>
        <w:snapToGrid w:val="0"/>
        <w:spacing w:line="580" w:lineRule="exact"/>
        <w:rPr>
          <w:rFonts w:eastAsia="黑体"/>
          <w:szCs w:val="32"/>
        </w:rPr>
      </w:pPr>
      <w:r>
        <w:rPr>
          <w:rFonts w:eastAsia="黑体" w:hint="eastAsia"/>
          <w:szCs w:val="32"/>
        </w:rPr>
        <w:t>三、关于加快资本市场发展的操作细则</w:t>
      </w:r>
    </w:p>
    <w:p w:rsidR="00E65F37" w:rsidRDefault="00F16801" w:rsidP="00467CE8">
      <w:pPr>
        <w:overflowPunct w:val="0"/>
        <w:adjustRightInd w:val="0"/>
        <w:snapToGrid w:val="0"/>
        <w:spacing w:line="580" w:lineRule="exact"/>
        <w:ind w:firstLineChars="200" w:firstLine="640"/>
        <w:rPr>
          <w:rFonts w:cs="仿宋_GB2312"/>
          <w:szCs w:val="32"/>
        </w:rPr>
      </w:pPr>
      <w:r w:rsidRPr="00803A22">
        <w:rPr>
          <w:rFonts w:eastAsia="楷体_GB2312" w:cs="楷体_GB2312" w:hint="eastAsia"/>
          <w:b/>
          <w:szCs w:val="32"/>
        </w:rPr>
        <w:t>（九）政策条款</w:t>
      </w:r>
      <w:r>
        <w:rPr>
          <w:rFonts w:cs="仿宋_GB2312" w:hint="eastAsia"/>
          <w:szCs w:val="32"/>
        </w:rPr>
        <w:t>：企业完成浙江证监局辅导备案受理奖励</w:t>
      </w:r>
      <w:r>
        <w:rPr>
          <w:rFonts w:cs="仿宋_GB2312" w:hint="eastAsia"/>
          <w:szCs w:val="32"/>
        </w:rPr>
        <w:t>100</w:t>
      </w:r>
      <w:r>
        <w:rPr>
          <w:rFonts w:cs="仿宋_GB2312" w:hint="eastAsia"/>
          <w:szCs w:val="32"/>
        </w:rPr>
        <w:t>万元。</w:t>
      </w:r>
      <w:r>
        <w:rPr>
          <w:rFonts w:cs="仿宋_GB2312" w:hint="eastAsia"/>
          <w:szCs w:val="32"/>
        </w:rPr>
        <w:t>(</w:t>
      </w:r>
      <w:r>
        <w:rPr>
          <w:rFonts w:cs="仿宋_GB2312" w:hint="eastAsia"/>
          <w:szCs w:val="32"/>
        </w:rPr>
        <w:t>直兑</w:t>
      </w:r>
      <w:r>
        <w:rPr>
          <w:rFonts w:cs="仿宋_GB2312" w:hint="eastAsia"/>
          <w:szCs w:val="32"/>
        </w:rPr>
        <w:t xml:space="preserve">) </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绍兴市行政区域内注册设立、完成浙江证监局上市辅导备案受理的企业。</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企业完成浙江证监局上市辅导备案受理奖励</w:t>
      </w:r>
      <w:r>
        <w:rPr>
          <w:rFonts w:cs="仿宋_GB2312" w:hint="eastAsia"/>
          <w:szCs w:val="32"/>
        </w:rPr>
        <w:t>100</w:t>
      </w:r>
      <w:r>
        <w:rPr>
          <w:rFonts w:cs="仿宋_GB2312" w:hint="eastAsia"/>
          <w:szCs w:val="32"/>
        </w:rPr>
        <w:t>万元。</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）审核。属地金融办根据浙江证监局公开信息</w:t>
      </w:r>
      <w:r>
        <w:rPr>
          <w:rFonts w:cs="仿宋_GB2312" w:hint="eastAsia"/>
          <w:szCs w:val="32"/>
        </w:rPr>
        <w:t>(</w:t>
      </w:r>
      <w:r>
        <w:rPr>
          <w:rFonts w:cs="仿宋_GB2312" w:hint="eastAsia"/>
          <w:szCs w:val="32"/>
        </w:rPr>
        <w:t>浙江证监局辅导备案公告文件</w:t>
      </w:r>
      <w:r>
        <w:rPr>
          <w:rFonts w:cs="仿宋_GB2312" w:hint="eastAsia"/>
          <w:szCs w:val="32"/>
        </w:rPr>
        <w:t>)</w:t>
      </w:r>
      <w:r>
        <w:rPr>
          <w:rFonts w:cs="仿宋_GB2312" w:hint="eastAsia"/>
          <w:szCs w:val="32"/>
        </w:rPr>
        <w:t>对奖励项目进行审核，通过绍兴市经济高质量发展政策兑现系统（</w:t>
      </w:r>
      <w:r w:rsidR="00467CE8">
        <w:rPr>
          <w:rFonts w:cs="仿宋_GB2312" w:hint="eastAsia"/>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）拨付。属地金融办下拨相关奖励资金。</w:t>
      </w:r>
    </w:p>
    <w:p w:rsidR="00E65F37" w:rsidRDefault="00F16801" w:rsidP="00467CE8">
      <w:pPr>
        <w:overflowPunct w:val="0"/>
        <w:adjustRightInd w:val="0"/>
        <w:snapToGrid w:val="0"/>
        <w:spacing w:line="580" w:lineRule="exact"/>
        <w:ind w:firstLineChars="200" w:firstLine="640"/>
        <w:rPr>
          <w:rFonts w:cs="仿宋_GB2312"/>
          <w:szCs w:val="32"/>
        </w:rPr>
      </w:pPr>
      <w:r w:rsidRPr="00803A22">
        <w:rPr>
          <w:rFonts w:eastAsia="楷体_GB2312" w:cs="楷体_GB2312" w:hint="eastAsia"/>
          <w:b/>
          <w:szCs w:val="32"/>
        </w:rPr>
        <w:t>（十）政策条款</w:t>
      </w:r>
      <w:r>
        <w:rPr>
          <w:rFonts w:cs="仿宋_GB2312" w:hint="eastAsia"/>
          <w:szCs w:val="32"/>
        </w:rPr>
        <w:t>：递交境内首发上市申报材料被中国证</w:t>
      </w:r>
      <w:r>
        <w:rPr>
          <w:rFonts w:cs="仿宋_GB2312" w:hint="eastAsia"/>
          <w:szCs w:val="32"/>
        </w:rPr>
        <w:lastRenderedPageBreak/>
        <w:t>监会（或沪、深、北证券交易所）受理奖励</w:t>
      </w:r>
      <w:r>
        <w:rPr>
          <w:rFonts w:cs="仿宋_GB2312"/>
          <w:szCs w:val="32"/>
        </w:rPr>
        <w:t>100</w:t>
      </w:r>
      <w:r>
        <w:rPr>
          <w:rFonts w:cs="仿宋_GB2312" w:hint="eastAsia"/>
          <w:szCs w:val="32"/>
        </w:rPr>
        <w:t>万元。</w:t>
      </w:r>
      <w:r>
        <w:rPr>
          <w:rFonts w:cs="仿宋_GB2312" w:hint="eastAsia"/>
          <w:szCs w:val="32"/>
        </w:rPr>
        <w:t>(</w:t>
      </w:r>
      <w:r>
        <w:rPr>
          <w:rFonts w:cs="仿宋_GB2312" w:hint="eastAsia"/>
          <w:szCs w:val="32"/>
        </w:rPr>
        <w:t>直兑</w:t>
      </w:r>
      <w:r>
        <w:rPr>
          <w:rFonts w:cs="仿宋_GB2312" w:hint="eastAsia"/>
          <w:szCs w:val="32"/>
        </w:rPr>
        <w:t>)</w:t>
      </w:r>
    </w:p>
    <w:p w:rsidR="00E65F37" w:rsidRDefault="00F16801">
      <w:pPr>
        <w:overflowPunct w:val="0"/>
        <w:adjustRightInd w:val="0"/>
        <w:snapToGrid w:val="0"/>
        <w:spacing w:line="580" w:lineRule="exact"/>
        <w:ind w:firstLineChars="200" w:firstLine="640"/>
        <w:rPr>
          <w:rFonts w:cs="仿宋_GB2312"/>
          <w:szCs w:val="32"/>
        </w:rPr>
      </w:pPr>
      <w:r>
        <w:rPr>
          <w:rFonts w:cs="仿宋_GB2312"/>
          <w:szCs w:val="32"/>
        </w:rPr>
        <w:t xml:space="preserve"> </w:t>
      </w: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绍兴市行政区域内注册设立、境内沪深北证券交易所首发上市申报材料受理的企业。</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递交境内首发上市申报材料被中国证监会（或沪深北证券交易所）受理奖励</w:t>
      </w:r>
      <w:r>
        <w:rPr>
          <w:rFonts w:cs="仿宋_GB2312"/>
          <w:szCs w:val="32"/>
        </w:rPr>
        <w:t>100</w:t>
      </w:r>
      <w:r>
        <w:rPr>
          <w:rFonts w:cs="仿宋_GB2312" w:hint="eastAsia"/>
          <w:szCs w:val="32"/>
        </w:rPr>
        <w:t>万元。</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）审核。属地金融办根据中国证监会（或沪深北证券交易所）公开信息</w:t>
      </w:r>
      <w:r>
        <w:rPr>
          <w:rFonts w:cs="仿宋_GB2312" w:hint="eastAsia"/>
          <w:szCs w:val="32"/>
        </w:rPr>
        <w:t>(</w:t>
      </w:r>
      <w:r>
        <w:rPr>
          <w:rFonts w:cs="仿宋_GB2312" w:hint="eastAsia"/>
          <w:szCs w:val="32"/>
        </w:rPr>
        <w:t>中国证监会、沪深北证券交易所受理通知书或预披露公告</w:t>
      </w:r>
      <w:r>
        <w:rPr>
          <w:rFonts w:cs="仿宋_GB2312" w:hint="eastAsia"/>
          <w:szCs w:val="32"/>
        </w:rPr>
        <w:t>)</w:t>
      </w:r>
      <w:r>
        <w:rPr>
          <w:rFonts w:cs="仿宋_GB2312" w:hint="eastAsia"/>
          <w:szCs w:val="32"/>
        </w:rPr>
        <w:t>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）拨付。公示期满无异议后，属地金融办下拨相关奖励资金。</w:t>
      </w:r>
    </w:p>
    <w:p w:rsidR="00E65F37" w:rsidRDefault="00F16801" w:rsidP="00467CE8">
      <w:pPr>
        <w:overflowPunct w:val="0"/>
        <w:adjustRightInd w:val="0"/>
        <w:snapToGrid w:val="0"/>
        <w:spacing w:line="560" w:lineRule="exact"/>
        <w:ind w:firstLineChars="200" w:firstLine="640"/>
        <w:rPr>
          <w:rFonts w:cs="仿宋_GB2312"/>
          <w:szCs w:val="32"/>
        </w:rPr>
      </w:pPr>
      <w:r w:rsidRPr="00803A22">
        <w:rPr>
          <w:rFonts w:eastAsia="楷体_GB2312" w:cs="楷体_GB2312" w:hint="eastAsia"/>
          <w:b/>
          <w:szCs w:val="32"/>
        </w:rPr>
        <w:t>（十一）政策条款</w:t>
      </w:r>
      <w:r>
        <w:rPr>
          <w:rFonts w:cs="仿宋_GB2312" w:hint="eastAsia"/>
          <w:szCs w:val="32"/>
        </w:rPr>
        <w:t>：在境内沪深证券交易所成功上市（含买壳迁址）奖励</w:t>
      </w:r>
      <w:r>
        <w:rPr>
          <w:rFonts w:cs="仿宋_GB2312" w:hint="eastAsia"/>
          <w:szCs w:val="32"/>
        </w:rPr>
        <w:t>300</w:t>
      </w:r>
      <w:r>
        <w:rPr>
          <w:rFonts w:cs="仿宋_GB2312" w:hint="eastAsia"/>
          <w:szCs w:val="32"/>
        </w:rPr>
        <w:t>万元，在境内北京证券交易所成功上市奖励</w:t>
      </w:r>
      <w:r>
        <w:rPr>
          <w:rFonts w:cs="仿宋_GB2312" w:hint="eastAsia"/>
          <w:szCs w:val="32"/>
        </w:rPr>
        <w:t>220</w:t>
      </w:r>
      <w:r>
        <w:rPr>
          <w:rFonts w:cs="仿宋_GB2312" w:hint="eastAsia"/>
          <w:szCs w:val="32"/>
        </w:rPr>
        <w:t>万元。</w:t>
      </w:r>
      <w:r>
        <w:rPr>
          <w:rFonts w:cs="仿宋_GB2312" w:hint="eastAsia"/>
          <w:szCs w:val="32"/>
        </w:rPr>
        <w:t>(</w:t>
      </w:r>
      <w:r>
        <w:rPr>
          <w:rFonts w:cs="仿宋_GB2312" w:hint="eastAsia"/>
          <w:szCs w:val="32"/>
        </w:rPr>
        <w:t>直兑</w:t>
      </w:r>
      <w:r>
        <w:rPr>
          <w:rFonts w:cs="仿宋_GB2312" w:hint="eastAsia"/>
          <w:szCs w:val="32"/>
        </w:rPr>
        <w:t xml:space="preserve">) </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绍兴市行政区域内注册设立，成功实现境内沪、深、北</w:t>
      </w:r>
      <w:r>
        <w:rPr>
          <w:rFonts w:cs="仿宋_GB2312" w:hint="eastAsia"/>
          <w:szCs w:val="32"/>
        </w:rPr>
        <w:lastRenderedPageBreak/>
        <w:t>证券交易所上市的企业。</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szCs w:val="32"/>
        </w:rPr>
        <w:t>1</w:t>
      </w:r>
      <w:r>
        <w:rPr>
          <w:rFonts w:cs="仿宋_GB2312" w:hint="eastAsia"/>
          <w:szCs w:val="32"/>
        </w:rPr>
        <w:t>）在境内沪深证券交易所成功上市奖励</w:t>
      </w:r>
      <w:r>
        <w:rPr>
          <w:rFonts w:cs="仿宋_GB2312" w:hint="eastAsia"/>
          <w:szCs w:val="32"/>
        </w:rPr>
        <w:t>30</w:t>
      </w:r>
      <w:r>
        <w:rPr>
          <w:rFonts w:cs="仿宋_GB2312"/>
          <w:szCs w:val="32"/>
        </w:rPr>
        <w:t>0</w:t>
      </w:r>
      <w:r>
        <w:rPr>
          <w:rFonts w:cs="仿宋_GB2312" w:hint="eastAsia"/>
          <w:szCs w:val="32"/>
        </w:rPr>
        <w:t>万元；</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szCs w:val="32"/>
        </w:rPr>
        <w:t>2</w:t>
      </w:r>
      <w:r>
        <w:rPr>
          <w:rFonts w:cs="仿宋_GB2312" w:hint="eastAsia"/>
          <w:szCs w:val="32"/>
        </w:rPr>
        <w:t>）境内沪深证券交易所</w:t>
      </w:r>
      <w:r>
        <w:rPr>
          <w:rFonts w:cs="仿宋_GB2312" w:hint="eastAsia"/>
          <w:szCs w:val="32"/>
        </w:rPr>
        <w:t>A</w:t>
      </w:r>
      <w:r>
        <w:rPr>
          <w:rFonts w:cs="仿宋_GB2312" w:hint="eastAsia"/>
          <w:szCs w:val="32"/>
        </w:rPr>
        <w:t>股买壳上市并将注册地迁至我市补助</w:t>
      </w:r>
      <w:r>
        <w:rPr>
          <w:rFonts w:cs="仿宋_GB2312" w:hint="eastAsia"/>
          <w:szCs w:val="32"/>
        </w:rPr>
        <w:t>300</w:t>
      </w:r>
      <w:r>
        <w:rPr>
          <w:rFonts w:cs="仿宋_GB2312" w:hint="eastAsia"/>
          <w:szCs w:val="32"/>
        </w:rPr>
        <w:t>万元；</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3</w:t>
      </w:r>
      <w:r>
        <w:rPr>
          <w:rFonts w:cs="仿宋_GB2312" w:hint="eastAsia"/>
          <w:szCs w:val="32"/>
        </w:rPr>
        <w:t>）在境内北京证券交易所成功上市奖励</w:t>
      </w:r>
      <w:r>
        <w:rPr>
          <w:rFonts w:cs="仿宋_GB2312" w:hint="eastAsia"/>
          <w:szCs w:val="32"/>
        </w:rPr>
        <w:t>220</w:t>
      </w:r>
      <w:r>
        <w:rPr>
          <w:rFonts w:cs="仿宋_GB2312" w:hint="eastAsia"/>
          <w:szCs w:val="32"/>
        </w:rPr>
        <w:t>万元。</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）审核。属地金融办根据沪深北证券交易所公开披露信息（企业首发上市或上市公司注册地变更的公告文件）对奖励项目进行审核，通过绍兴市经济高质量发展政策兑现系统（</w:t>
      </w:r>
      <w:r w:rsidR="00467CE8">
        <w:rPr>
          <w:rFonts w:cs="仿宋_GB2312" w:hint="eastAsia"/>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）拨付。公示期满无异议后，属地金融办下拨相关奖励资金。</w:t>
      </w:r>
    </w:p>
    <w:p w:rsidR="00E65F37" w:rsidRDefault="00F16801" w:rsidP="00467CE8">
      <w:pPr>
        <w:overflowPunct w:val="0"/>
        <w:adjustRightInd w:val="0"/>
        <w:snapToGrid w:val="0"/>
        <w:spacing w:line="560" w:lineRule="exact"/>
        <w:ind w:firstLineChars="200" w:firstLine="640"/>
        <w:rPr>
          <w:rFonts w:cs="仿宋_GB2312"/>
          <w:szCs w:val="32"/>
        </w:rPr>
      </w:pPr>
      <w:r w:rsidRPr="00803A22">
        <w:rPr>
          <w:rFonts w:eastAsia="楷体_GB2312" w:cs="楷体_GB2312" w:hint="eastAsia"/>
          <w:b/>
          <w:szCs w:val="32"/>
        </w:rPr>
        <w:t>（十二）政策条款</w:t>
      </w:r>
      <w:r>
        <w:rPr>
          <w:rFonts w:cs="仿宋_GB2312" w:hint="eastAsia"/>
          <w:szCs w:val="32"/>
        </w:rPr>
        <w:t>：境外上市奖励</w:t>
      </w:r>
      <w:r>
        <w:rPr>
          <w:rFonts w:cs="仿宋_GB2312"/>
          <w:szCs w:val="32"/>
        </w:rPr>
        <w:t>100</w:t>
      </w:r>
      <w:r>
        <w:rPr>
          <w:rFonts w:cs="仿宋_GB2312" w:hint="eastAsia"/>
          <w:szCs w:val="32"/>
        </w:rPr>
        <w:t>万元。</w:t>
      </w:r>
      <w:r>
        <w:rPr>
          <w:rFonts w:cs="仿宋_GB2312" w:hint="eastAsia"/>
          <w:szCs w:val="32"/>
        </w:rPr>
        <w:t>(</w:t>
      </w:r>
      <w:r>
        <w:rPr>
          <w:rFonts w:cs="仿宋_GB2312" w:hint="eastAsia"/>
          <w:szCs w:val="32"/>
        </w:rPr>
        <w:t>直兑</w:t>
      </w:r>
      <w:r>
        <w:rPr>
          <w:rFonts w:cs="仿宋_GB2312" w:hint="eastAsia"/>
          <w:szCs w:val="32"/>
        </w:rPr>
        <w:t xml:space="preserve">) </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绍兴市行政区域内注册设立、成功实现境外上市的企业。</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境外上市奖励</w:t>
      </w:r>
      <w:r>
        <w:rPr>
          <w:rFonts w:cs="仿宋_GB2312"/>
          <w:szCs w:val="32"/>
        </w:rPr>
        <w:t>100</w:t>
      </w:r>
      <w:r>
        <w:rPr>
          <w:rFonts w:cs="仿宋_GB2312" w:hint="eastAsia"/>
          <w:szCs w:val="32"/>
        </w:rPr>
        <w:t>万元。</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lastRenderedPageBreak/>
        <w:t>无。</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）审核。属地金融办根据境外证券交易所公开信息（企业境外首发上市的公告文件）对奖励项目进行审核，通过绍兴市经济高质量发展政策兑现系统（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）拨付。公示期满无异议后，属地金融办下拨相关奖励资金。</w:t>
      </w:r>
    </w:p>
    <w:p w:rsidR="00E65F37" w:rsidRDefault="00F16801" w:rsidP="00467CE8">
      <w:pPr>
        <w:overflowPunct w:val="0"/>
        <w:adjustRightInd w:val="0"/>
        <w:snapToGrid w:val="0"/>
        <w:spacing w:line="560" w:lineRule="exact"/>
        <w:ind w:firstLineChars="200" w:firstLine="640"/>
        <w:rPr>
          <w:rFonts w:cs="仿宋_GB2312"/>
          <w:szCs w:val="32"/>
        </w:rPr>
      </w:pPr>
      <w:r w:rsidRPr="00803A22">
        <w:rPr>
          <w:rFonts w:eastAsia="楷体_GB2312" w:cs="楷体_GB2312" w:hint="eastAsia"/>
          <w:b/>
          <w:szCs w:val="32"/>
        </w:rPr>
        <w:t>（十三）政策条款</w:t>
      </w:r>
      <w:r>
        <w:rPr>
          <w:rFonts w:cs="仿宋_GB2312" w:hint="eastAsia"/>
          <w:szCs w:val="32"/>
        </w:rPr>
        <w:t>：</w:t>
      </w:r>
      <w:r>
        <w:rPr>
          <w:rFonts w:cs="仿宋_GB2312"/>
          <w:szCs w:val="32"/>
        </w:rPr>
        <w:t>完成</w:t>
      </w:r>
      <w:r>
        <w:rPr>
          <w:rFonts w:cs="仿宋_GB2312"/>
          <w:szCs w:val="32"/>
        </w:rPr>
        <w:t>“</w:t>
      </w:r>
      <w:r>
        <w:rPr>
          <w:rFonts w:cs="仿宋_GB2312"/>
          <w:szCs w:val="32"/>
        </w:rPr>
        <w:t>新三板</w:t>
      </w:r>
      <w:r>
        <w:rPr>
          <w:rFonts w:cs="仿宋_GB2312"/>
          <w:szCs w:val="32"/>
        </w:rPr>
        <w:t>”</w:t>
      </w:r>
      <w:r>
        <w:rPr>
          <w:rFonts w:cs="仿宋_GB2312"/>
          <w:szCs w:val="32"/>
        </w:rPr>
        <w:t>挂牌奖励</w:t>
      </w:r>
      <w:r>
        <w:rPr>
          <w:rFonts w:cs="仿宋_GB2312" w:hint="eastAsia"/>
          <w:szCs w:val="32"/>
        </w:rPr>
        <w:t>8</w:t>
      </w:r>
      <w:r>
        <w:rPr>
          <w:rFonts w:cs="仿宋_GB2312"/>
          <w:szCs w:val="32"/>
        </w:rPr>
        <w:t>0</w:t>
      </w:r>
      <w:r>
        <w:rPr>
          <w:rFonts w:cs="仿宋_GB2312"/>
          <w:szCs w:val="32"/>
        </w:rPr>
        <w:t>万元</w:t>
      </w:r>
      <w:r>
        <w:rPr>
          <w:rFonts w:cs="仿宋_GB2312" w:hint="eastAsia"/>
          <w:szCs w:val="32"/>
        </w:rPr>
        <w:t>。</w:t>
      </w:r>
      <w:r>
        <w:rPr>
          <w:rFonts w:cs="仿宋_GB2312" w:hint="eastAsia"/>
          <w:szCs w:val="32"/>
        </w:rPr>
        <w:t>(</w:t>
      </w:r>
      <w:r>
        <w:rPr>
          <w:rFonts w:cs="仿宋_GB2312" w:hint="eastAsia"/>
          <w:szCs w:val="32"/>
        </w:rPr>
        <w:t>直兑</w:t>
      </w:r>
      <w:r>
        <w:rPr>
          <w:rFonts w:cs="仿宋_GB2312" w:hint="eastAsia"/>
          <w:szCs w:val="32"/>
        </w:rPr>
        <w:t>)</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绍兴市行政区域内注册设立、在全国中小企业股份转让系统（“新三板”）挂牌的企业。</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rFonts w:cs="仿宋_GB2312"/>
          <w:szCs w:val="32"/>
        </w:rPr>
      </w:pPr>
      <w:r>
        <w:rPr>
          <w:rFonts w:cs="仿宋_GB2312"/>
          <w:szCs w:val="32"/>
        </w:rPr>
        <w:t>完成</w:t>
      </w:r>
      <w:r>
        <w:rPr>
          <w:rFonts w:cs="仿宋_GB2312"/>
          <w:szCs w:val="32"/>
        </w:rPr>
        <w:t>“</w:t>
      </w:r>
      <w:r>
        <w:rPr>
          <w:rFonts w:cs="仿宋_GB2312"/>
          <w:szCs w:val="32"/>
        </w:rPr>
        <w:t>新三板</w:t>
      </w:r>
      <w:r>
        <w:rPr>
          <w:rFonts w:cs="仿宋_GB2312"/>
          <w:szCs w:val="32"/>
        </w:rPr>
        <w:t>”</w:t>
      </w:r>
      <w:r>
        <w:rPr>
          <w:rFonts w:cs="仿宋_GB2312"/>
          <w:szCs w:val="32"/>
        </w:rPr>
        <w:t>挂牌奖励</w:t>
      </w:r>
      <w:r>
        <w:rPr>
          <w:rFonts w:cs="仿宋_GB2312" w:hint="eastAsia"/>
          <w:szCs w:val="32"/>
        </w:rPr>
        <w:t>8</w:t>
      </w:r>
      <w:r>
        <w:rPr>
          <w:rFonts w:cs="仿宋_GB2312"/>
          <w:szCs w:val="32"/>
        </w:rPr>
        <w:t>0</w:t>
      </w:r>
      <w:r>
        <w:rPr>
          <w:rFonts w:cs="仿宋_GB2312"/>
          <w:szCs w:val="32"/>
        </w:rPr>
        <w:t>万元</w:t>
      </w:r>
      <w:r>
        <w:rPr>
          <w:rFonts w:cs="仿宋_GB2312" w:hint="eastAsia"/>
          <w:szCs w:val="32"/>
        </w:rPr>
        <w:t>。</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）审核。属地金融办根据全国中小企业股份转让系统公开披露信息（关于股票挂牌的提示性公告）对奖励项目进行审核，通过绍兴市经济高质量发展政策兑现系统（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w:t>
      </w:r>
      <w:r>
        <w:rPr>
          <w:rFonts w:cs="仿宋_GB2312" w:hint="eastAsia"/>
          <w:szCs w:val="32"/>
        </w:rPr>
        <w:lastRenderedPageBreak/>
        <w:t>部门意见，提出审核意见并公示（内容应包括但不限于机构名称、项目内容、补偿金额、联系方式等）；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）拨付。公示期满无异议后，属地金融办下拨相关奖励资金。</w:t>
      </w:r>
    </w:p>
    <w:p w:rsidR="00E65F37" w:rsidRDefault="00F16801" w:rsidP="00803A22">
      <w:pPr>
        <w:overflowPunct w:val="0"/>
        <w:adjustRightInd w:val="0"/>
        <w:snapToGrid w:val="0"/>
        <w:spacing w:line="560" w:lineRule="exact"/>
        <w:ind w:firstLineChars="200" w:firstLine="640"/>
        <w:rPr>
          <w:rFonts w:cs="仿宋_GB2312"/>
          <w:szCs w:val="32"/>
        </w:rPr>
      </w:pPr>
      <w:r w:rsidRPr="00803A22">
        <w:rPr>
          <w:rFonts w:eastAsia="楷体_GB2312" w:cs="楷体_GB2312" w:hint="eastAsia"/>
          <w:b/>
          <w:szCs w:val="32"/>
        </w:rPr>
        <w:t>（十四）政策条款</w:t>
      </w:r>
      <w:r>
        <w:rPr>
          <w:rFonts w:cs="仿宋_GB2312" w:hint="eastAsia"/>
          <w:szCs w:val="32"/>
        </w:rPr>
        <w:t>：浙江股权交易中心成长板挂牌奖励</w:t>
      </w:r>
      <w:r>
        <w:rPr>
          <w:rFonts w:cs="仿宋_GB2312"/>
          <w:szCs w:val="32"/>
        </w:rPr>
        <w:t>20</w:t>
      </w:r>
      <w:r>
        <w:rPr>
          <w:rFonts w:cs="仿宋_GB2312" w:hint="eastAsia"/>
          <w:szCs w:val="32"/>
        </w:rPr>
        <w:t>万元。</w:t>
      </w:r>
      <w:r>
        <w:rPr>
          <w:rFonts w:cs="仿宋_GB2312" w:hint="eastAsia"/>
          <w:szCs w:val="32"/>
        </w:rPr>
        <w:t>(</w:t>
      </w:r>
      <w:r>
        <w:rPr>
          <w:rFonts w:cs="仿宋_GB2312" w:hint="eastAsia"/>
          <w:szCs w:val="32"/>
        </w:rPr>
        <w:t>直兑</w:t>
      </w:r>
      <w:r>
        <w:rPr>
          <w:rFonts w:cs="仿宋_GB2312" w:hint="eastAsia"/>
          <w:szCs w:val="32"/>
        </w:rPr>
        <w:t>)</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绍兴市行政区域内注册设立、在浙江股权交易中心成长板挂牌的企业。</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企业在浙江省股权交易中心成长板挂牌的奖励</w:t>
      </w:r>
      <w:r>
        <w:rPr>
          <w:rFonts w:cs="仿宋_GB2312"/>
          <w:szCs w:val="32"/>
        </w:rPr>
        <w:t>20</w:t>
      </w:r>
      <w:r>
        <w:rPr>
          <w:rFonts w:cs="仿宋_GB2312" w:hint="eastAsia"/>
          <w:szCs w:val="32"/>
        </w:rPr>
        <w:t>万元。</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）审核。属地金融办根据浙江股权交易中心公开信息（或浙江股权交易中心出具的在成长板同意挂牌备案文件）对奖励项目进行审核，通过绍兴市经济高质量发展政策兑现系统（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）拨付。公示期满无异议后，属地金融办下拨相关奖励资金。</w:t>
      </w:r>
    </w:p>
    <w:p w:rsidR="00E65F37" w:rsidRDefault="00803A22" w:rsidP="00467CE8">
      <w:pPr>
        <w:overflowPunct w:val="0"/>
        <w:adjustRightInd w:val="0"/>
        <w:snapToGrid w:val="0"/>
        <w:spacing w:line="580" w:lineRule="exact"/>
        <w:ind w:firstLineChars="200" w:firstLine="640"/>
        <w:rPr>
          <w:rFonts w:cs="仿宋_GB2312"/>
          <w:szCs w:val="32"/>
        </w:rPr>
      </w:pPr>
      <w:r>
        <w:rPr>
          <w:rFonts w:eastAsia="楷体_GB2312" w:cs="楷体_GB2312" w:hint="eastAsia"/>
          <w:b/>
          <w:szCs w:val="32"/>
        </w:rPr>
        <w:t>（十五</w:t>
      </w:r>
      <w:r w:rsidR="00F16801" w:rsidRPr="00803A22">
        <w:rPr>
          <w:rFonts w:eastAsia="楷体_GB2312" w:cs="楷体_GB2312" w:hint="eastAsia"/>
          <w:b/>
          <w:szCs w:val="32"/>
        </w:rPr>
        <w:t>）政策条款</w:t>
      </w:r>
      <w:r w:rsidR="00F16801">
        <w:rPr>
          <w:rFonts w:cs="仿宋_GB2312" w:hint="eastAsia"/>
          <w:szCs w:val="32"/>
        </w:rPr>
        <w:t>：上市公司每分拆</w:t>
      </w:r>
      <w:r w:rsidR="00F16801">
        <w:rPr>
          <w:rFonts w:cs="仿宋_GB2312" w:hint="eastAsia"/>
          <w:szCs w:val="32"/>
        </w:rPr>
        <w:t>1</w:t>
      </w:r>
      <w:r w:rsidR="00F16801">
        <w:rPr>
          <w:rFonts w:cs="仿宋_GB2312" w:hint="eastAsia"/>
          <w:szCs w:val="32"/>
        </w:rPr>
        <w:t>家子公司在境内外上市，奖励</w:t>
      </w:r>
      <w:r w:rsidR="00F16801">
        <w:rPr>
          <w:rFonts w:cs="仿宋_GB2312" w:hint="eastAsia"/>
          <w:szCs w:val="32"/>
        </w:rPr>
        <w:t>100</w:t>
      </w:r>
      <w:r w:rsidR="00F16801">
        <w:rPr>
          <w:rFonts w:cs="仿宋_GB2312" w:hint="eastAsia"/>
          <w:szCs w:val="32"/>
        </w:rPr>
        <w:t>万元。</w:t>
      </w:r>
      <w:r w:rsidR="00F16801">
        <w:rPr>
          <w:rFonts w:cs="仿宋_GB2312" w:hint="eastAsia"/>
          <w:szCs w:val="32"/>
        </w:rPr>
        <w:t>(</w:t>
      </w:r>
      <w:r w:rsidR="00F16801">
        <w:rPr>
          <w:rFonts w:cs="仿宋_GB2312" w:hint="eastAsia"/>
          <w:szCs w:val="32"/>
        </w:rPr>
        <w:t>直兑</w:t>
      </w:r>
      <w:r w:rsidR="00F16801">
        <w:rPr>
          <w:rFonts w:cs="仿宋_GB2312" w:hint="eastAsia"/>
          <w:szCs w:val="32"/>
        </w:rPr>
        <w:t>)</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lastRenderedPageBreak/>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绍兴市行政区域内注册设立、完成分拆子公司（注册地绍兴）在境内外上市的上市企业。</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上市公司每分拆</w:t>
      </w:r>
      <w:r>
        <w:rPr>
          <w:rFonts w:cs="仿宋_GB2312" w:hint="eastAsia"/>
          <w:szCs w:val="32"/>
        </w:rPr>
        <w:t>1</w:t>
      </w:r>
      <w:r>
        <w:rPr>
          <w:rFonts w:cs="仿宋_GB2312" w:hint="eastAsia"/>
          <w:szCs w:val="32"/>
        </w:rPr>
        <w:t>家子公司在境内外上市，奖励</w:t>
      </w:r>
      <w:r>
        <w:rPr>
          <w:rFonts w:cs="仿宋_GB2312" w:hint="eastAsia"/>
          <w:szCs w:val="32"/>
        </w:rPr>
        <w:t>100</w:t>
      </w:r>
      <w:r>
        <w:rPr>
          <w:rFonts w:cs="仿宋_GB2312" w:hint="eastAsia"/>
          <w:szCs w:val="32"/>
        </w:rPr>
        <w:t>万元。</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）审核。属地金融办根据境内外证券交易所公开信息（分拆企业境内外首发上市的公告文件）对奖励项目进行审核，通过绍兴市经济高质量发展政策兑现系统（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）拨付。公示期满无异议后，属地金融办下拨相关奖励资金。</w:t>
      </w:r>
    </w:p>
    <w:p w:rsidR="00E65F37" w:rsidRDefault="00F16801" w:rsidP="00467CE8">
      <w:pPr>
        <w:spacing w:line="560" w:lineRule="exact"/>
        <w:ind w:firstLineChars="200" w:firstLine="640"/>
        <w:rPr>
          <w:rFonts w:cs="仿宋_GB2312"/>
          <w:szCs w:val="32"/>
        </w:rPr>
      </w:pPr>
      <w:r w:rsidRPr="00803A22">
        <w:rPr>
          <w:rFonts w:eastAsia="楷体_GB2312" w:cs="楷体_GB2312" w:hint="eastAsia"/>
          <w:b/>
          <w:szCs w:val="32"/>
        </w:rPr>
        <w:t>（十六）政策条款</w:t>
      </w:r>
      <w:r w:rsidR="00D96214">
        <w:rPr>
          <w:rFonts w:cs="仿宋_GB2312" w:hint="eastAsia"/>
          <w:szCs w:val="32"/>
        </w:rPr>
        <w:t>：对上市公司、私募股权投资基金、金融机构</w:t>
      </w:r>
      <w:r w:rsidR="00C339C6" w:rsidRPr="000E579F">
        <w:rPr>
          <w:rFonts w:cs="仿宋_GB2312" w:hint="eastAsia"/>
          <w:szCs w:val="32"/>
        </w:rPr>
        <w:t>等</w:t>
      </w:r>
      <w:r w:rsidR="00D96214" w:rsidRPr="000E579F">
        <w:rPr>
          <w:rFonts w:cs="仿宋_GB2312" w:hint="eastAsia"/>
          <w:szCs w:val="32"/>
        </w:rPr>
        <w:t>投资</w:t>
      </w:r>
      <w:r w:rsidR="00C339C6" w:rsidRPr="000E579F">
        <w:rPr>
          <w:rFonts w:cs="仿宋_GB2312" w:hint="eastAsia"/>
          <w:szCs w:val="32"/>
        </w:rPr>
        <w:t>主体</w:t>
      </w:r>
      <w:r w:rsidRPr="000E579F">
        <w:rPr>
          <w:rFonts w:cs="仿宋_GB2312" w:hint="eastAsia"/>
          <w:szCs w:val="32"/>
        </w:rPr>
        <w:t>(</w:t>
      </w:r>
      <w:r>
        <w:rPr>
          <w:rFonts w:cs="仿宋_GB2312" w:hint="eastAsia"/>
          <w:szCs w:val="32"/>
        </w:rPr>
        <w:t>国有企业除外</w:t>
      </w:r>
      <w:r>
        <w:rPr>
          <w:rFonts w:cs="仿宋_GB2312" w:hint="eastAsia"/>
          <w:szCs w:val="32"/>
        </w:rPr>
        <w:t>)</w:t>
      </w:r>
      <w:r>
        <w:rPr>
          <w:rFonts w:cs="仿宋_GB2312" w:hint="eastAsia"/>
          <w:szCs w:val="32"/>
        </w:rPr>
        <w:t>直接参与投资并引进市外项目，且以招引项目为主体五年内成功上市的，在首发上市后对招引主体奖励</w:t>
      </w:r>
      <w:r>
        <w:rPr>
          <w:rFonts w:cs="仿宋_GB2312" w:hint="eastAsia"/>
          <w:szCs w:val="32"/>
        </w:rPr>
        <w:t>200</w:t>
      </w:r>
      <w:r>
        <w:rPr>
          <w:rFonts w:cs="仿宋_GB2312" w:hint="eastAsia"/>
          <w:szCs w:val="32"/>
        </w:rPr>
        <w:t>万元（由落地项目方明确一个项目招引主体）。（直兑</w:t>
      </w:r>
      <w:r>
        <w:rPr>
          <w:rFonts w:cs="仿宋_GB2312" w:hint="eastAsia"/>
          <w:szCs w:val="32"/>
        </w:rPr>
        <w:t>)</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Pr="000E579F"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直接参与投资并引进市外项目，且引进项目五年内成功</w:t>
      </w:r>
      <w:r>
        <w:rPr>
          <w:rFonts w:cs="仿宋_GB2312" w:hint="eastAsia"/>
          <w:szCs w:val="32"/>
        </w:rPr>
        <w:lastRenderedPageBreak/>
        <w:t>上市的</w:t>
      </w:r>
      <w:r w:rsidRPr="000E579F">
        <w:rPr>
          <w:rFonts w:cs="仿宋_GB2312" w:hint="eastAsia"/>
          <w:szCs w:val="32"/>
        </w:rPr>
        <w:t>市内外</w:t>
      </w:r>
      <w:r w:rsidR="00D96214" w:rsidRPr="000E579F">
        <w:rPr>
          <w:rFonts w:cs="仿宋_GB2312" w:hint="eastAsia"/>
          <w:szCs w:val="32"/>
        </w:rPr>
        <w:t>上市公司、私募股权投资</w:t>
      </w:r>
      <w:r w:rsidR="00C339C6" w:rsidRPr="000E579F">
        <w:rPr>
          <w:rFonts w:cs="仿宋_GB2312" w:hint="eastAsia"/>
          <w:szCs w:val="32"/>
        </w:rPr>
        <w:t>基金、金融机构等投资主体</w:t>
      </w:r>
      <w:r w:rsidRPr="000E579F">
        <w:rPr>
          <w:rFonts w:cs="仿宋_GB2312" w:hint="eastAsia"/>
          <w:szCs w:val="32"/>
        </w:rPr>
        <w:t>。</w:t>
      </w:r>
    </w:p>
    <w:p w:rsidR="00E65F37" w:rsidRPr="000E579F" w:rsidRDefault="00F16801" w:rsidP="001D4C1F">
      <w:pPr>
        <w:overflowPunct w:val="0"/>
        <w:adjustRightInd w:val="0"/>
        <w:snapToGrid w:val="0"/>
        <w:spacing w:line="580" w:lineRule="exact"/>
        <w:ind w:firstLineChars="200" w:firstLine="643"/>
        <w:rPr>
          <w:rFonts w:cs="仿宋_GB2312"/>
          <w:b/>
          <w:bCs/>
          <w:szCs w:val="32"/>
        </w:rPr>
      </w:pPr>
      <w:r w:rsidRPr="000E579F">
        <w:rPr>
          <w:rFonts w:cs="仿宋_GB2312"/>
          <w:b/>
          <w:bCs/>
          <w:szCs w:val="32"/>
        </w:rPr>
        <w:t>2</w:t>
      </w:r>
      <w:r w:rsidRPr="000E579F">
        <w:rPr>
          <w:rFonts w:cs="仿宋_GB2312" w:hint="eastAsia"/>
          <w:b/>
          <w:bCs/>
          <w:szCs w:val="32"/>
        </w:rPr>
        <w:t>.</w:t>
      </w:r>
      <w:r w:rsidRPr="000E579F">
        <w:rPr>
          <w:rFonts w:cs="仿宋_GB2312" w:hint="eastAsia"/>
          <w:b/>
          <w:bCs/>
          <w:szCs w:val="32"/>
        </w:rPr>
        <w:t>扶持标准</w:t>
      </w:r>
    </w:p>
    <w:p w:rsidR="00E65F37" w:rsidRDefault="00D96214">
      <w:pPr>
        <w:widowControl/>
        <w:shd w:val="clear" w:color="auto" w:fill="FFFFFF"/>
        <w:spacing w:before="142" w:line="199" w:lineRule="atLeast"/>
        <w:ind w:firstLine="480"/>
        <w:jc w:val="left"/>
        <w:rPr>
          <w:rFonts w:cs="仿宋_GB2312"/>
          <w:szCs w:val="32"/>
        </w:rPr>
      </w:pPr>
      <w:r w:rsidRPr="000E579F">
        <w:rPr>
          <w:rFonts w:cs="仿宋_GB2312" w:hint="eastAsia"/>
          <w:szCs w:val="32"/>
        </w:rPr>
        <w:t>对</w:t>
      </w:r>
      <w:r w:rsidR="00C339C6" w:rsidRPr="000E579F">
        <w:rPr>
          <w:rFonts w:cs="仿宋_GB2312" w:hint="eastAsia"/>
          <w:szCs w:val="32"/>
        </w:rPr>
        <w:t>市内外</w:t>
      </w:r>
      <w:r w:rsidRPr="000E579F">
        <w:rPr>
          <w:rFonts w:cs="仿宋_GB2312" w:hint="eastAsia"/>
          <w:szCs w:val="32"/>
        </w:rPr>
        <w:t>上市公司、私募股权投资基金、金融机构等</w:t>
      </w:r>
      <w:r w:rsidR="00C339C6" w:rsidRPr="000E579F">
        <w:rPr>
          <w:rFonts w:cs="仿宋_GB2312" w:hint="eastAsia"/>
          <w:szCs w:val="32"/>
        </w:rPr>
        <w:t>投资主体</w:t>
      </w:r>
      <w:r w:rsidR="00F16801" w:rsidRPr="000E579F">
        <w:rPr>
          <w:rFonts w:cs="仿宋_GB2312" w:hint="eastAsia"/>
          <w:szCs w:val="32"/>
        </w:rPr>
        <w:t>(</w:t>
      </w:r>
      <w:r w:rsidR="00F16801" w:rsidRPr="000E579F">
        <w:rPr>
          <w:rFonts w:cs="仿宋_GB2312" w:hint="eastAsia"/>
          <w:szCs w:val="32"/>
        </w:rPr>
        <w:t>国有股份持股</w:t>
      </w:r>
      <w:r w:rsidR="00F16801" w:rsidRPr="000E579F">
        <w:rPr>
          <w:rFonts w:cs="仿宋_GB2312" w:hint="eastAsia"/>
          <w:szCs w:val="32"/>
        </w:rPr>
        <w:t>51</w:t>
      </w:r>
      <w:r w:rsidR="00F16801">
        <w:rPr>
          <w:rFonts w:cs="仿宋_GB2312" w:hint="eastAsia"/>
          <w:szCs w:val="32"/>
        </w:rPr>
        <w:t>%</w:t>
      </w:r>
      <w:r w:rsidR="00F16801">
        <w:rPr>
          <w:rFonts w:cs="仿宋_GB2312" w:hint="eastAsia"/>
          <w:szCs w:val="32"/>
        </w:rPr>
        <w:t>以上的国有企业除外</w:t>
      </w:r>
      <w:r w:rsidR="00F16801">
        <w:rPr>
          <w:rFonts w:cs="仿宋_GB2312" w:hint="eastAsia"/>
          <w:szCs w:val="32"/>
        </w:rPr>
        <w:t>)</w:t>
      </w:r>
      <w:r w:rsidR="00F16801">
        <w:rPr>
          <w:rFonts w:cs="仿宋_GB2312" w:hint="eastAsia"/>
          <w:szCs w:val="32"/>
        </w:rPr>
        <w:t>直接参与投资并引进市外项目，且引进项目五年内成功上市的，在首发上市后对招引主体奖励</w:t>
      </w:r>
      <w:r w:rsidR="00F16801">
        <w:rPr>
          <w:rFonts w:cs="仿宋_GB2312" w:hint="eastAsia"/>
          <w:szCs w:val="32"/>
        </w:rPr>
        <w:t>200</w:t>
      </w:r>
      <w:r w:rsidR="00F16801">
        <w:rPr>
          <w:rFonts w:cs="仿宋_GB2312" w:hint="eastAsia"/>
          <w:szCs w:val="32"/>
        </w:rPr>
        <w:t>万元。申请奖励的招引主体（一个项目只认定</w:t>
      </w:r>
      <w:r w:rsidR="00F16801">
        <w:rPr>
          <w:rFonts w:cs="仿宋_GB2312" w:hint="eastAsia"/>
          <w:szCs w:val="32"/>
        </w:rPr>
        <w:t>1</w:t>
      </w:r>
      <w:r w:rsidR="00F16801">
        <w:rPr>
          <w:rFonts w:cs="仿宋_GB2312" w:hint="eastAsia"/>
          <w:szCs w:val="32"/>
        </w:rPr>
        <w:t>个招引主体，不得为该招引项目实际控制人）应于招引项目在绍兴落户注册两年内填报《绍兴市招引拟上市项目引荐人资格认定表》（</w:t>
      </w:r>
      <w:r w:rsidR="00F16801">
        <w:rPr>
          <w:szCs w:val="32"/>
        </w:rPr>
        <w:t>附件</w:t>
      </w:r>
      <w:r w:rsidR="00F16801">
        <w:rPr>
          <w:rFonts w:hint="eastAsia"/>
          <w:szCs w:val="32"/>
        </w:rPr>
        <w:t>10</w:t>
      </w:r>
      <w:r w:rsidR="00F16801">
        <w:rPr>
          <w:rFonts w:cs="仿宋_GB2312" w:hint="eastAsia"/>
          <w:szCs w:val="32"/>
        </w:rPr>
        <w:t>），并经企业落户地所属镇街（开发区）及区县（市）金融办盖章确认其资格后，报市金融办备案。</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widowControl/>
        <w:shd w:val="clear" w:color="auto" w:fill="FFFFFF"/>
        <w:spacing w:before="142" w:line="199" w:lineRule="atLeast"/>
        <w:ind w:firstLine="480"/>
        <w:jc w:val="left"/>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）审核。属地金融办根据资格确认企业境内外证券交易所公开信息（招引企业境内外首发上市的公告文件）对奖励项目进行审核，通过绍兴市经济高质量发展政策兑现系统（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）拨付。公示期满无异议后，属地金融办下拨相关</w:t>
      </w:r>
      <w:r>
        <w:rPr>
          <w:rFonts w:cs="仿宋_GB2312" w:hint="eastAsia"/>
          <w:szCs w:val="32"/>
        </w:rPr>
        <w:lastRenderedPageBreak/>
        <w:t>奖励资金。</w:t>
      </w:r>
    </w:p>
    <w:p w:rsidR="00E65F37" w:rsidRDefault="00F16801" w:rsidP="00467CE8">
      <w:pPr>
        <w:overflowPunct w:val="0"/>
        <w:adjustRightInd w:val="0"/>
        <w:snapToGrid w:val="0"/>
        <w:spacing w:line="580" w:lineRule="exact"/>
        <w:ind w:firstLineChars="200" w:firstLine="640"/>
        <w:rPr>
          <w:rFonts w:cs="仿宋_GB2312"/>
          <w:szCs w:val="32"/>
        </w:rPr>
      </w:pPr>
      <w:r w:rsidRPr="00803A22">
        <w:rPr>
          <w:rFonts w:eastAsia="楷体_GB2312" w:cs="楷体_GB2312" w:hint="eastAsia"/>
          <w:b/>
          <w:szCs w:val="32"/>
        </w:rPr>
        <w:t>（十七）政策条款</w:t>
      </w:r>
      <w:r>
        <w:rPr>
          <w:rFonts w:cs="仿宋_GB2312" w:hint="eastAsia"/>
          <w:szCs w:val="32"/>
        </w:rPr>
        <w:t>：对</w:t>
      </w:r>
      <w:r>
        <w:rPr>
          <w:rFonts w:cs="仿宋_GB2312"/>
          <w:szCs w:val="32"/>
        </w:rPr>
        <w:t>年度研发投入</w:t>
      </w:r>
      <w:r>
        <w:rPr>
          <w:rFonts w:cs="仿宋_GB2312" w:hint="eastAsia"/>
          <w:szCs w:val="32"/>
        </w:rPr>
        <w:t>达到</w:t>
      </w:r>
      <w:r>
        <w:rPr>
          <w:rFonts w:cs="仿宋_GB2312"/>
          <w:szCs w:val="32"/>
        </w:rPr>
        <w:t>1</w:t>
      </w:r>
      <w:r>
        <w:rPr>
          <w:rFonts w:cs="仿宋_GB2312"/>
          <w:szCs w:val="32"/>
        </w:rPr>
        <w:t>亿元的制造业上市公司（按证监会最新行业分类或市经信统计口径），研发强度</w:t>
      </w:r>
      <w:r>
        <w:rPr>
          <w:rFonts w:cs="仿宋_GB2312" w:hint="eastAsia"/>
          <w:szCs w:val="32"/>
        </w:rPr>
        <w:t>超</w:t>
      </w:r>
      <w:r w:rsidRPr="000E579F">
        <w:rPr>
          <w:rFonts w:cs="仿宋_GB2312" w:hint="eastAsia"/>
          <w:szCs w:val="32"/>
        </w:rPr>
        <w:t>过</w:t>
      </w:r>
      <w:r w:rsidR="005A006E" w:rsidRPr="000E579F">
        <w:rPr>
          <w:rFonts w:cs="仿宋_GB2312" w:hint="eastAsia"/>
          <w:szCs w:val="32"/>
        </w:rPr>
        <w:t>当年</w:t>
      </w:r>
      <w:r w:rsidRPr="000E579F">
        <w:rPr>
          <w:rFonts w:cs="仿宋_GB2312"/>
          <w:szCs w:val="32"/>
        </w:rPr>
        <w:t>全市上市公司平均研发强度</w:t>
      </w:r>
      <w:r w:rsidRPr="000E579F">
        <w:rPr>
          <w:rFonts w:cs="仿宋_GB2312"/>
          <w:szCs w:val="32"/>
        </w:rPr>
        <w:t>1.5</w:t>
      </w:r>
      <w:r w:rsidRPr="000E579F">
        <w:rPr>
          <w:rFonts w:cs="仿宋_GB2312"/>
          <w:szCs w:val="32"/>
        </w:rPr>
        <w:t>倍的，按</w:t>
      </w:r>
      <w:r w:rsidRPr="000E579F">
        <w:rPr>
          <w:rFonts w:cs="仿宋_GB2312" w:hint="eastAsia"/>
          <w:szCs w:val="32"/>
        </w:rPr>
        <w:t>超出</w:t>
      </w:r>
      <w:r w:rsidRPr="000E579F">
        <w:rPr>
          <w:rFonts w:cs="仿宋_GB2312" w:hint="eastAsia"/>
          <w:szCs w:val="32"/>
        </w:rPr>
        <w:t>1.5</w:t>
      </w:r>
      <w:r w:rsidRPr="000E579F">
        <w:rPr>
          <w:rFonts w:cs="仿宋_GB2312" w:hint="eastAsia"/>
          <w:szCs w:val="32"/>
        </w:rPr>
        <w:t>倍部分的</w:t>
      </w:r>
      <w:r w:rsidRPr="000E579F">
        <w:rPr>
          <w:rFonts w:cs="仿宋_GB2312"/>
          <w:szCs w:val="32"/>
        </w:rPr>
        <w:t>8%</w:t>
      </w:r>
      <w:r w:rsidRPr="000E579F">
        <w:rPr>
          <w:rFonts w:cs="仿宋_GB2312"/>
          <w:szCs w:val="32"/>
        </w:rPr>
        <w:t>给予</w:t>
      </w:r>
      <w:r>
        <w:rPr>
          <w:rFonts w:cs="仿宋_GB2312"/>
          <w:szCs w:val="32"/>
        </w:rPr>
        <w:t>奖励（最高不超过</w:t>
      </w:r>
      <w:r>
        <w:rPr>
          <w:rFonts w:cs="仿宋_GB2312"/>
          <w:szCs w:val="32"/>
        </w:rPr>
        <w:t>500</w:t>
      </w:r>
      <w:r>
        <w:rPr>
          <w:rFonts w:cs="仿宋_GB2312"/>
          <w:szCs w:val="32"/>
        </w:rPr>
        <w:t>万元）。</w:t>
      </w:r>
      <w:r>
        <w:rPr>
          <w:rFonts w:cs="仿宋_GB2312" w:hint="eastAsia"/>
          <w:szCs w:val="32"/>
        </w:rPr>
        <w:t>(</w:t>
      </w:r>
      <w:r>
        <w:rPr>
          <w:rFonts w:cs="仿宋_GB2312" w:hint="eastAsia"/>
          <w:szCs w:val="32"/>
        </w:rPr>
        <w:t>直兑</w:t>
      </w:r>
      <w:r>
        <w:rPr>
          <w:rFonts w:cs="仿宋_GB2312" w:hint="eastAsia"/>
          <w:szCs w:val="32"/>
        </w:rPr>
        <w:t>)</w:t>
      </w:r>
    </w:p>
    <w:p w:rsidR="00E65F37" w:rsidRDefault="00F16801" w:rsidP="001D4C1F">
      <w:pPr>
        <w:spacing w:line="56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szCs w:val="32"/>
        </w:rPr>
        <w:t>年度研发投入</w:t>
      </w:r>
      <w:r>
        <w:rPr>
          <w:rFonts w:cs="仿宋_GB2312" w:hint="eastAsia"/>
          <w:szCs w:val="32"/>
        </w:rPr>
        <w:t>达到</w:t>
      </w:r>
      <w:r>
        <w:rPr>
          <w:rFonts w:cs="仿宋_GB2312"/>
          <w:szCs w:val="32"/>
        </w:rPr>
        <w:t>1</w:t>
      </w:r>
      <w:r>
        <w:rPr>
          <w:rFonts w:cs="仿宋_GB2312"/>
          <w:szCs w:val="32"/>
        </w:rPr>
        <w:t>亿元</w:t>
      </w:r>
      <w:r>
        <w:rPr>
          <w:rFonts w:cs="仿宋_GB2312" w:hint="eastAsia"/>
          <w:szCs w:val="32"/>
        </w:rPr>
        <w:t>且</w:t>
      </w:r>
      <w:r>
        <w:rPr>
          <w:rFonts w:cs="仿宋_GB2312"/>
          <w:szCs w:val="32"/>
        </w:rPr>
        <w:t>研发强度</w:t>
      </w:r>
      <w:r>
        <w:rPr>
          <w:rFonts w:cs="仿宋_GB2312" w:hint="eastAsia"/>
          <w:szCs w:val="32"/>
        </w:rPr>
        <w:t>超过</w:t>
      </w:r>
      <w:r w:rsidR="005A006E" w:rsidRPr="000E579F">
        <w:rPr>
          <w:rFonts w:cs="仿宋_GB2312" w:hint="eastAsia"/>
          <w:szCs w:val="32"/>
        </w:rPr>
        <w:t>当年</w:t>
      </w:r>
      <w:r w:rsidRPr="000E579F">
        <w:rPr>
          <w:rFonts w:cs="仿宋_GB2312"/>
          <w:szCs w:val="32"/>
        </w:rPr>
        <w:t>全</w:t>
      </w:r>
      <w:r>
        <w:rPr>
          <w:rFonts w:cs="仿宋_GB2312"/>
          <w:szCs w:val="32"/>
        </w:rPr>
        <w:t>市上市公司平均研发强度</w:t>
      </w:r>
      <w:r>
        <w:rPr>
          <w:rFonts w:cs="仿宋_GB2312"/>
          <w:szCs w:val="32"/>
        </w:rPr>
        <w:t>1.5</w:t>
      </w:r>
      <w:r>
        <w:rPr>
          <w:rFonts w:cs="仿宋_GB2312"/>
          <w:szCs w:val="32"/>
        </w:rPr>
        <w:t>倍的制造业上市公司（按证监会最新行业分类或市经信局统计口径）</w:t>
      </w:r>
      <w:r>
        <w:rPr>
          <w:rFonts w:cs="仿宋_GB2312" w:hint="eastAsia"/>
          <w:szCs w:val="32"/>
        </w:rPr>
        <w:t>。</w:t>
      </w:r>
    </w:p>
    <w:p w:rsidR="00E65F37" w:rsidRDefault="00F16801" w:rsidP="001D4C1F">
      <w:pPr>
        <w:spacing w:line="56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spacing w:line="560" w:lineRule="exact"/>
        <w:ind w:firstLineChars="200" w:firstLine="640"/>
        <w:rPr>
          <w:rFonts w:cs="仿宋_GB2312"/>
          <w:szCs w:val="32"/>
        </w:rPr>
      </w:pPr>
      <w:r>
        <w:rPr>
          <w:rFonts w:cs="仿宋_GB2312" w:hint="eastAsia"/>
          <w:szCs w:val="32"/>
        </w:rPr>
        <w:t>对</w:t>
      </w:r>
      <w:r>
        <w:rPr>
          <w:rFonts w:cs="仿宋_GB2312"/>
          <w:szCs w:val="32"/>
        </w:rPr>
        <w:t>年度研发投入</w:t>
      </w:r>
      <w:r>
        <w:rPr>
          <w:rFonts w:cs="仿宋_GB2312" w:hint="eastAsia"/>
          <w:szCs w:val="32"/>
        </w:rPr>
        <w:t>达到</w:t>
      </w:r>
      <w:r>
        <w:rPr>
          <w:rFonts w:cs="仿宋_GB2312"/>
          <w:szCs w:val="32"/>
        </w:rPr>
        <w:t>1</w:t>
      </w:r>
      <w:r>
        <w:rPr>
          <w:rFonts w:cs="仿宋_GB2312"/>
          <w:szCs w:val="32"/>
        </w:rPr>
        <w:t>亿元的制造业上市公司（按证监会最新行业分类或市经信统计口径），研发强</w:t>
      </w:r>
      <w:r w:rsidRPr="000E579F">
        <w:rPr>
          <w:rFonts w:cs="仿宋_GB2312"/>
          <w:szCs w:val="32"/>
        </w:rPr>
        <w:t>度</w:t>
      </w:r>
      <w:r w:rsidRPr="000E579F">
        <w:rPr>
          <w:rFonts w:cs="仿宋_GB2312" w:hint="eastAsia"/>
          <w:szCs w:val="32"/>
        </w:rPr>
        <w:t>超过</w:t>
      </w:r>
      <w:r w:rsidR="005A006E" w:rsidRPr="000E579F">
        <w:rPr>
          <w:rFonts w:cs="仿宋_GB2312" w:hint="eastAsia"/>
          <w:szCs w:val="32"/>
        </w:rPr>
        <w:t>当年</w:t>
      </w:r>
      <w:r w:rsidRPr="000E579F">
        <w:rPr>
          <w:rFonts w:cs="仿宋_GB2312"/>
          <w:szCs w:val="32"/>
        </w:rPr>
        <w:t>全</w:t>
      </w:r>
      <w:r>
        <w:rPr>
          <w:rFonts w:cs="仿宋_GB2312"/>
          <w:szCs w:val="32"/>
        </w:rPr>
        <w:t>市上市公司平均研发强度</w:t>
      </w:r>
      <w:r>
        <w:rPr>
          <w:rFonts w:cs="仿宋_GB2312"/>
          <w:szCs w:val="32"/>
        </w:rPr>
        <w:t>1.5</w:t>
      </w:r>
      <w:r>
        <w:rPr>
          <w:rFonts w:cs="仿宋_GB2312"/>
          <w:szCs w:val="32"/>
        </w:rPr>
        <w:t>倍的，按</w:t>
      </w:r>
      <w:r>
        <w:rPr>
          <w:rFonts w:cs="仿宋_GB2312" w:hint="eastAsia"/>
          <w:szCs w:val="32"/>
        </w:rPr>
        <w:t>超出</w:t>
      </w:r>
      <w:r>
        <w:rPr>
          <w:rFonts w:cs="仿宋_GB2312" w:hint="eastAsia"/>
          <w:szCs w:val="32"/>
        </w:rPr>
        <w:t>1.5</w:t>
      </w:r>
      <w:r>
        <w:rPr>
          <w:rFonts w:cs="仿宋_GB2312" w:hint="eastAsia"/>
          <w:szCs w:val="32"/>
        </w:rPr>
        <w:t>倍部分的</w:t>
      </w:r>
      <w:r>
        <w:rPr>
          <w:rFonts w:cs="仿宋_GB2312"/>
          <w:szCs w:val="32"/>
        </w:rPr>
        <w:t>8%</w:t>
      </w:r>
      <w:r>
        <w:rPr>
          <w:rFonts w:cs="仿宋_GB2312"/>
          <w:szCs w:val="32"/>
        </w:rPr>
        <w:t>给予奖励（最高不超过</w:t>
      </w:r>
      <w:r>
        <w:rPr>
          <w:rFonts w:cs="仿宋_GB2312"/>
          <w:szCs w:val="32"/>
        </w:rPr>
        <w:t>500</w:t>
      </w:r>
      <w:r>
        <w:rPr>
          <w:rFonts w:cs="仿宋_GB2312"/>
          <w:szCs w:val="32"/>
        </w:rPr>
        <w:t>万元）。</w:t>
      </w:r>
    </w:p>
    <w:p w:rsidR="00E65F37" w:rsidRDefault="00F16801" w:rsidP="001D4C1F">
      <w:pPr>
        <w:spacing w:line="56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spacing w:line="56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）审核。属地金融办根据申报上市公司公开披露的经审计的信息（</w:t>
      </w:r>
      <w:r>
        <w:rPr>
          <w:rFonts w:cs="仿宋_GB2312"/>
          <w:szCs w:val="32"/>
        </w:rPr>
        <w:t>全市上市公司平均研发强度</w:t>
      </w:r>
      <w:r>
        <w:rPr>
          <w:rFonts w:cs="仿宋_GB2312" w:hint="eastAsia"/>
          <w:szCs w:val="32"/>
        </w:rPr>
        <w:t>和</w:t>
      </w:r>
      <w:r>
        <w:rPr>
          <w:rFonts w:cs="仿宋_GB2312"/>
          <w:szCs w:val="32"/>
        </w:rPr>
        <w:t>行业分类统计口径</w:t>
      </w:r>
      <w:r>
        <w:rPr>
          <w:rFonts w:cs="仿宋_GB2312" w:hint="eastAsia"/>
          <w:szCs w:val="32"/>
        </w:rPr>
        <w:t>由市金融办会同市经信</w:t>
      </w:r>
      <w:r w:rsidR="00467CE8">
        <w:rPr>
          <w:rFonts w:cs="仿宋_GB2312" w:hint="eastAsia"/>
          <w:szCs w:val="32"/>
        </w:rPr>
        <w:t>局</w:t>
      </w:r>
      <w:r>
        <w:rPr>
          <w:rFonts w:cs="仿宋_GB2312" w:hint="eastAsia"/>
          <w:szCs w:val="32"/>
        </w:rPr>
        <w:t>提供）对奖励项目进行审核，通过绍兴市经济高质量发展政策兑现系统（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）录入直兑企业名单、征求相关部门意见，提出审核意见并公示（内容应包括但不限于机构</w:t>
      </w:r>
      <w:r>
        <w:rPr>
          <w:rFonts w:cs="仿宋_GB2312" w:hint="eastAsia"/>
          <w:szCs w:val="32"/>
        </w:rPr>
        <w:lastRenderedPageBreak/>
        <w:t>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）拨付。公示期满无异议后，属地金融办下拨相关奖励资金。</w:t>
      </w:r>
    </w:p>
    <w:p w:rsidR="00E65F37" w:rsidRDefault="00F16801" w:rsidP="00467CE8">
      <w:pPr>
        <w:overflowPunct w:val="0"/>
        <w:adjustRightInd w:val="0"/>
        <w:snapToGrid w:val="0"/>
        <w:spacing w:line="580" w:lineRule="exact"/>
        <w:ind w:firstLineChars="200" w:firstLine="640"/>
        <w:rPr>
          <w:rFonts w:cs="仿宋_GB2312"/>
          <w:szCs w:val="32"/>
        </w:rPr>
      </w:pPr>
      <w:r w:rsidRPr="00803A22">
        <w:rPr>
          <w:rFonts w:eastAsia="楷体_GB2312" w:cs="楷体_GB2312" w:hint="eastAsia"/>
          <w:b/>
          <w:szCs w:val="32"/>
        </w:rPr>
        <w:t>（十八）政策条款</w:t>
      </w:r>
      <w:r>
        <w:rPr>
          <w:rFonts w:cs="仿宋_GB2312" w:hint="eastAsia"/>
          <w:szCs w:val="32"/>
        </w:rPr>
        <w:t>：对科创板首发上市企业上市前三年研发投入总额超过</w:t>
      </w:r>
      <w:r>
        <w:rPr>
          <w:rFonts w:cs="仿宋_GB2312" w:hint="eastAsia"/>
          <w:szCs w:val="32"/>
        </w:rPr>
        <w:t>6000</w:t>
      </w:r>
      <w:r w:rsidR="005A006E">
        <w:rPr>
          <w:rFonts w:cs="仿宋_GB2312" w:hint="eastAsia"/>
          <w:szCs w:val="32"/>
        </w:rPr>
        <w:t>万元以上部分在上市后给予一次性奖励，每</w:t>
      </w:r>
      <w:r w:rsidR="005A006E" w:rsidRPr="00D96214">
        <w:rPr>
          <w:rFonts w:cs="仿宋_GB2312" w:hint="eastAsia"/>
          <w:szCs w:val="32"/>
          <w:u w:val="single"/>
        </w:rPr>
        <w:t>增加</w:t>
      </w:r>
      <w:r>
        <w:rPr>
          <w:rFonts w:cs="仿宋_GB2312" w:hint="eastAsia"/>
          <w:szCs w:val="32"/>
        </w:rPr>
        <w:t>1000</w:t>
      </w:r>
      <w:r>
        <w:rPr>
          <w:rFonts w:cs="仿宋_GB2312" w:hint="eastAsia"/>
          <w:szCs w:val="32"/>
        </w:rPr>
        <w:t>万元奖励</w:t>
      </w:r>
      <w:r>
        <w:rPr>
          <w:rFonts w:cs="仿宋_GB2312" w:hint="eastAsia"/>
          <w:szCs w:val="32"/>
        </w:rPr>
        <w:t>100</w:t>
      </w:r>
      <w:r>
        <w:rPr>
          <w:rFonts w:cs="仿宋_GB2312" w:hint="eastAsia"/>
          <w:szCs w:val="32"/>
        </w:rPr>
        <w:t>万元，奖励最高不超过</w:t>
      </w:r>
      <w:r>
        <w:rPr>
          <w:rFonts w:cs="仿宋_GB2312" w:hint="eastAsia"/>
          <w:szCs w:val="32"/>
        </w:rPr>
        <w:t>300</w:t>
      </w:r>
      <w:r>
        <w:rPr>
          <w:rFonts w:cs="仿宋_GB2312" w:hint="eastAsia"/>
          <w:szCs w:val="32"/>
        </w:rPr>
        <w:t>万元</w:t>
      </w:r>
      <w:r>
        <w:rPr>
          <w:rFonts w:cs="仿宋_GB2312"/>
          <w:szCs w:val="32"/>
        </w:rPr>
        <w:t>。</w:t>
      </w:r>
      <w:r>
        <w:rPr>
          <w:rFonts w:cs="仿宋_GB2312" w:hint="eastAsia"/>
          <w:szCs w:val="32"/>
        </w:rPr>
        <w:t>(</w:t>
      </w:r>
      <w:r>
        <w:rPr>
          <w:rFonts w:cs="仿宋_GB2312" w:hint="eastAsia"/>
          <w:szCs w:val="32"/>
        </w:rPr>
        <w:t>直兑</w:t>
      </w:r>
      <w:r>
        <w:rPr>
          <w:rFonts w:cs="仿宋_GB2312" w:hint="eastAsia"/>
          <w:szCs w:val="32"/>
        </w:rPr>
        <w:t>)</w:t>
      </w:r>
    </w:p>
    <w:p w:rsidR="00E65F37" w:rsidRDefault="00F16801" w:rsidP="001D4C1F">
      <w:pPr>
        <w:spacing w:line="56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w:t>
      </w:r>
      <w:r w:rsidR="00467CE8">
        <w:rPr>
          <w:rFonts w:cs="仿宋_GB2312" w:hint="eastAsia"/>
          <w:color w:val="FF0000"/>
          <w:szCs w:val="32"/>
        </w:rPr>
        <w:t>，</w:t>
      </w:r>
      <w:r>
        <w:rPr>
          <w:rFonts w:cs="仿宋_GB2312" w:hint="eastAsia"/>
          <w:szCs w:val="32"/>
        </w:rPr>
        <w:t>科创板首发上市企业。</w:t>
      </w:r>
    </w:p>
    <w:p w:rsidR="00E65F37" w:rsidRDefault="00F16801" w:rsidP="001D4C1F">
      <w:pPr>
        <w:spacing w:line="56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spacing w:line="560" w:lineRule="exact"/>
        <w:ind w:firstLineChars="200" w:firstLine="640"/>
        <w:rPr>
          <w:rFonts w:cs="仿宋_GB2312"/>
          <w:szCs w:val="32"/>
        </w:rPr>
      </w:pPr>
      <w:r>
        <w:rPr>
          <w:rFonts w:cs="仿宋_GB2312" w:hint="eastAsia"/>
          <w:szCs w:val="32"/>
        </w:rPr>
        <w:t>上市前三个完整年度研发投入总额超过</w:t>
      </w:r>
      <w:r>
        <w:rPr>
          <w:rFonts w:cs="仿宋_GB2312" w:hint="eastAsia"/>
          <w:szCs w:val="32"/>
        </w:rPr>
        <w:t>6000</w:t>
      </w:r>
      <w:r w:rsidR="005A006E">
        <w:rPr>
          <w:rFonts w:cs="仿宋_GB2312" w:hint="eastAsia"/>
          <w:szCs w:val="32"/>
        </w:rPr>
        <w:t>万元以上部分在上市后给予一次性奖励，</w:t>
      </w:r>
      <w:r w:rsidR="005A006E" w:rsidRPr="000E579F">
        <w:rPr>
          <w:rFonts w:cs="仿宋_GB2312" w:hint="eastAsia"/>
          <w:szCs w:val="32"/>
        </w:rPr>
        <w:t>每增加</w:t>
      </w:r>
      <w:r>
        <w:rPr>
          <w:rFonts w:cs="仿宋_GB2312" w:hint="eastAsia"/>
          <w:szCs w:val="32"/>
        </w:rPr>
        <w:t>1000</w:t>
      </w:r>
      <w:r>
        <w:rPr>
          <w:rFonts w:cs="仿宋_GB2312" w:hint="eastAsia"/>
          <w:szCs w:val="32"/>
        </w:rPr>
        <w:t>万元奖励</w:t>
      </w:r>
      <w:r>
        <w:rPr>
          <w:rFonts w:cs="仿宋_GB2312" w:hint="eastAsia"/>
          <w:szCs w:val="32"/>
        </w:rPr>
        <w:t>100</w:t>
      </w:r>
      <w:r>
        <w:rPr>
          <w:rFonts w:cs="仿宋_GB2312" w:hint="eastAsia"/>
          <w:szCs w:val="32"/>
        </w:rPr>
        <w:t>万元，奖励最高不超过</w:t>
      </w:r>
      <w:r>
        <w:rPr>
          <w:rFonts w:cs="仿宋_GB2312" w:hint="eastAsia"/>
          <w:szCs w:val="32"/>
        </w:rPr>
        <w:t>300</w:t>
      </w:r>
      <w:r>
        <w:rPr>
          <w:rFonts w:cs="仿宋_GB2312" w:hint="eastAsia"/>
          <w:szCs w:val="32"/>
        </w:rPr>
        <w:t>万元</w:t>
      </w:r>
      <w:r>
        <w:rPr>
          <w:rFonts w:cs="仿宋_GB2312"/>
          <w:szCs w:val="32"/>
        </w:rPr>
        <w:t>。</w:t>
      </w:r>
    </w:p>
    <w:p w:rsidR="00E65F37" w:rsidRDefault="00F16801" w:rsidP="001D4C1F">
      <w:pPr>
        <w:spacing w:line="56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spacing w:line="56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）审核。属地金融办根据申报上市公司公开披露的经审计的信息对奖励项目进行审核，通过绍兴市经济高质量发展政策兑现系统（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）拨付。公示期满无异议后，属地金融办下拨相关奖励资金。</w:t>
      </w:r>
    </w:p>
    <w:p w:rsidR="00E65F37" w:rsidRDefault="00F16801" w:rsidP="00467CE8">
      <w:pPr>
        <w:spacing w:line="560" w:lineRule="exact"/>
        <w:ind w:firstLineChars="200" w:firstLine="640"/>
        <w:rPr>
          <w:rFonts w:cs="仿宋_GB2312"/>
          <w:szCs w:val="32"/>
        </w:rPr>
      </w:pPr>
      <w:r w:rsidRPr="00803A22">
        <w:rPr>
          <w:rFonts w:eastAsia="楷体_GB2312" w:cs="楷体_GB2312" w:hint="eastAsia"/>
          <w:b/>
          <w:szCs w:val="32"/>
        </w:rPr>
        <w:t>（十九）政策条款</w:t>
      </w:r>
      <w:r>
        <w:rPr>
          <w:rFonts w:cs="仿宋_GB2312" w:hint="eastAsia"/>
          <w:szCs w:val="32"/>
        </w:rPr>
        <w:t>：</w:t>
      </w:r>
      <w:r>
        <w:rPr>
          <w:rFonts w:cs="仿宋_GB2312"/>
          <w:szCs w:val="32"/>
        </w:rPr>
        <w:t>鼓励上市公司依托产业优势布局创</w:t>
      </w:r>
      <w:r>
        <w:rPr>
          <w:rFonts w:cs="仿宋_GB2312"/>
          <w:szCs w:val="32"/>
        </w:rPr>
        <w:lastRenderedPageBreak/>
        <w:t>投产业园，或与市内外专业机构合作发展创投产业园，重点围绕</w:t>
      </w:r>
      <w:r>
        <w:rPr>
          <w:rFonts w:cs="仿宋_GB2312"/>
          <w:szCs w:val="32"/>
        </w:rPr>
        <w:t>“4151”</w:t>
      </w:r>
      <w:r>
        <w:rPr>
          <w:rFonts w:cs="仿宋_GB2312"/>
          <w:szCs w:val="32"/>
        </w:rPr>
        <w:t>计划的十大重点产业集群培育优质项目</w:t>
      </w:r>
      <w:r>
        <w:rPr>
          <w:rFonts w:cs="仿宋_GB2312" w:hint="eastAsia"/>
          <w:szCs w:val="32"/>
        </w:rPr>
        <w:t>（经信口径）</w:t>
      </w:r>
      <w:r>
        <w:rPr>
          <w:rFonts w:cs="仿宋_GB2312"/>
          <w:szCs w:val="32"/>
        </w:rPr>
        <w:t>，对运</w:t>
      </w:r>
      <w:r>
        <w:rPr>
          <w:rFonts w:cs="仿宋_GB2312" w:hint="eastAsia"/>
          <w:szCs w:val="32"/>
        </w:rPr>
        <w:t>营</w:t>
      </w:r>
      <w:r>
        <w:rPr>
          <w:rFonts w:cs="仿宋_GB2312"/>
          <w:szCs w:val="32"/>
        </w:rPr>
        <w:t>建筑面积达到</w:t>
      </w:r>
      <w:r>
        <w:rPr>
          <w:rFonts w:cs="仿宋_GB2312"/>
          <w:szCs w:val="32"/>
        </w:rPr>
        <w:t>2</w:t>
      </w:r>
      <w:r>
        <w:rPr>
          <w:rFonts w:cs="仿宋_GB2312"/>
          <w:szCs w:val="32"/>
        </w:rPr>
        <w:t>万平方米，每年给予运</w:t>
      </w:r>
      <w:r>
        <w:rPr>
          <w:rFonts w:cs="仿宋_GB2312" w:hint="eastAsia"/>
          <w:szCs w:val="32"/>
        </w:rPr>
        <w:t>营</w:t>
      </w:r>
      <w:r>
        <w:rPr>
          <w:rFonts w:cs="仿宋_GB2312"/>
          <w:szCs w:val="32"/>
        </w:rPr>
        <w:t>机构（上市公司参股</w:t>
      </w:r>
      <w:r>
        <w:rPr>
          <w:rFonts w:cs="仿宋_GB2312"/>
          <w:szCs w:val="32"/>
        </w:rPr>
        <w:t>30%</w:t>
      </w:r>
      <w:r>
        <w:rPr>
          <w:rFonts w:cs="仿宋_GB2312"/>
          <w:szCs w:val="32"/>
        </w:rPr>
        <w:t>以上）运营费用补助</w:t>
      </w:r>
      <w:r>
        <w:rPr>
          <w:rFonts w:cs="仿宋_GB2312"/>
          <w:szCs w:val="32"/>
        </w:rPr>
        <w:t>200</w:t>
      </w:r>
      <w:r>
        <w:rPr>
          <w:rFonts w:cs="仿宋_GB2312"/>
          <w:szCs w:val="32"/>
        </w:rPr>
        <w:t>万元；运营面积达到</w:t>
      </w:r>
      <w:r>
        <w:rPr>
          <w:rFonts w:cs="仿宋_GB2312"/>
          <w:szCs w:val="32"/>
        </w:rPr>
        <w:t>3</w:t>
      </w:r>
      <w:r>
        <w:rPr>
          <w:rFonts w:cs="仿宋_GB2312"/>
          <w:szCs w:val="32"/>
        </w:rPr>
        <w:t>万平方米以上的，</w:t>
      </w:r>
      <w:r>
        <w:rPr>
          <w:rFonts w:cs="仿宋_GB2312" w:hint="eastAsia"/>
          <w:szCs w:val="32"/>
        </w:rPr>
        <w:t>每年</w:t>
      </w:r>
      <w:r>
        <w:rPr>
          <w:rFonts w:cs="仿宋_GB2312"/>
          <w:szCs w:val="32"/>
        </w:rPr>
        <w:t>给予运营费用补助</w:t>
      </w:r>
      <w:r>
        <w:rPr>
          <w:rFonts w:cs="仿宋_GB2312"/>
          <w:szCs w:val="32"/>
        </w:rPr>
        <w:t>300</w:t>
      </w:r>
      <w:r>
        <w:rPr>
          <w:rFonts w:cs="仿宋_GB2312"/>
          <w:szCs w:val="32"/>
        </w:rPr>
        <w:t>万元。运营补助暂定</w:t>
      </w:r>
      <w:r>
        <w:rPr>
          <w:rFonts w:cs="仿宋_GB2312"/>
          <w:szCs w:val="32"/>
        </w:rPr>
        <w:t>5</w:t>
      </w:r>
      <w:r>
        <w:rPr>
          <w:rFonts w:cs="仿宋_GB2312"/>
          <w:szCs w:val="32"/>
        </w:rPr>
        <w:t>年。</w:t>
      </w:r>
      <w:r>
        <w:rPr>
          <w:rFonts w:cs="仿宋_GB2312" w:hint="eastAsia"/>
          <w:szCs w:val="32"/>
        </w:rPr>
        <w:t>（快兑）</w:t>
      </w:r>
    </w:p>
    <w:p w:rsidR="00E65F37" w:rsidRDefault="00F16801" w:rsidP="001D4C1F">
      <w:pPr>
        <w:spacing w:line="56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w:t>
      </w:r>
      <w:r>
        <w:rPr>
          <w:rFonts w:cs="仿宋_GB2312" w:hint="eastAsia"/>
          <w:szCs w:val="32"/>
        </w:rPr>
        <w:t>,</w:t>
      </w:r>
      <w:r>
        <w:rPr>
          <w:rFonts w:cs="仿宋_GB2312" w:hint="eastAsia"/>
          <w:szCs w:val="32"/>
        </w:rPr>
        <w:t>上市公司参股的</w:t>
      </w:r>
      <w:r>
        <w:rPr>
          <w:rFonts w:cs="仿宋_GB2312"/>
          <w:szCs w:val="32"/>
        </w:rPr>
        <w:t>创投产业园</w:t>
      </w:r>
      <w:r>
        <w:rPr>
          <w:rFonts w:cs="仿宋_GB2312" w:hint="eastAsia"/>
          <w:szCs w:val="32"/>
        </w:rPr>
        <w:t>运营机构。</w:t>
      </w:r>
    </w:p>
    <w:p w:rsidR="00E65F37" w:rsidRDefault="00F16801" w:rsidP="001D4C1F">
      <w:pPr>
        <w:spacing w:line="56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创投产业园（运营机构须由</w:t>
      </w:r>
      <w:r>
        <w:rPr>
          <w:rFonts w:cs="仿宋_GB2312" w:hint="eastAsia"/>
          <w:szCs w:val="32"/>
        </w:rPr>
        <w:t>A</w:t>
      </w:r>
      <w:r>
        <w:rPr>
          <w:rFonts w:cs="仿宋_GB2312" w:hint="eastAsia"/>
          <w:szCs w:val="32"/>
        </w:rPr>
        <w:t>股</w:t>
      </w:r>
      <w:r>
        <w:rPr>
          <w:rFonts w:cs="仿宋_GB2312"/>
          <w:szCs w:val="32"/>
        </w:rPr>
        <w:t>上市公司</w:t>
      </w:r>
      <w:r>
        <w:rPr>
          <w:rFonts w:cs="仿宋_GB2312" w:hint="eastAsia"/>
          <w:szCs w:val="32"/>
        </w:rPr>
        <w:t>或</w:t>
      </w:r>
      <w:r>
        <w:rPr>
          <w:rFonts w:cs="仿宋_GB2312" w:hint="eastAsia"/>
          <w:szCs w:val="32"/>
        </w:rPr>
        <w:t>A</w:t>
      </w:r>
      <w:r>
        <w:rPr>
          <w:rFonts w:cs="仿宋_GB2312" w:hint="eastAsia"/>
          <w:szCs w:val="32"/>
        </w:rPr>
        <w:t>股上市公司母公司</w:t>
      </w:r>
      <w:r>
        <w:rPr>
          <w:rFonts w:cs="仿宋_GB2312"/>
          <w:szCs w:val="32"/>
        </w:rPr>
        <w:t>参股</w:t>
      </w:r>
      <w:r>
        <w:rPr>
          <w:rFonts w:cs="仿宋_GB2312"/>
          <w:szCs w:val="32"/>
        </w:rPr>
        <w:t>30%</w:t>
      </w:r>
      <w:r>
        <w:rPr>
          <w:rFonts w:cs="仿宋_GB2312"/>
          <w:szCs w:val="32"/>
        </w:rPr>
        <w:t>以上</w:t>
      </w:r>
      <w:r>
        <w:rPr>
          <w:rFonts w:cs="仿宋_GB2312" w:hint="eastAsia"/>
          <w:szCs w:val="32"/>
        </w:rPr>
        <w:t>，多家上市公司参股可合并计算）运营期</w:t>
      </w:r>
      <w:r>
        <w:rPr>
          <w:rFonts w:cs="仿宋_GB2312"/>
          <w:szCs w:val="32"/>
        </w:rPr>
        <w:t>运</w:t>
      </w:r>
      <w:r>
        <w:rPr>
          <w:rFonts w:cs="仿宋_GB2312" w:hint="eastAsia"/>
          <w:szCs w:val="32"/>
        </w:rPr>
        <w:t>营</w:t>
      </w:r>
      <w:r>
        <w:rPr>
          <w:rFonts w:cs="仿宋_GB2312"/>
          <w:szCs w:val="32"/>
        </w:rPr>
        <w:t>建筑面积达到</w:t>
      </w:r>
      <w:r>
        <w:rPr>
          <w:rFonts w:cs="仿宋_GB2312"/>
          <w:szCs w:val="32"/>
        </w:rPr>
        <w:t>2</w:t>
      </w:r>
      <w:r>
        <w:rPr>
          <w:rFonts w:cs="仿宋_GB2312"/>
          <w:szCs w:val="32"/>
        </w:rPr>
        <w:t>万平方米，每年给予运</w:t>
      </w:r>
      <w:r>
        <w:rPr>
          <w:rFonts w:cs="仿宋_GB2312" w:hint="eastAsia"/>
          <w:szCs w:val="32"/>
        </w:rPr>
        <w:t>营</w:t>
      </w:r>
      <w:r>
        <w:rPr>
          <w:rFonts w:cs="仿宋_GB2312"/>
          <w:szCs w:val="32"/>
        </w:rPr>
        <w:t>机构运营费用补助</w:t>
      </w:r>
      <w:r>
        <w:rPr>
          <w:rFonts w:cs="仿宋_GB2312"/>
          <w:szCs w:val="32"/>
        </w:rPr>
        <w:t>200</w:t>
      </w:r>
      <w:r>
        <w:rPr>
          <w:rFonts w:cs="仿宋_GB2312"/>
          <w:szCs w:val="32"/>
        </w:rPr>
        <w:t>万元；运营面积达到</w:t>
      </w:r>
      <w:r>
        <w:rPr>
          <w:rFonts w:cs="仿宋_GB2312"/>
          <w:szCs w:val="32"/>
        </w:rPr>
        <w:t>3</w:t>
      </w:r>
      <w:r>
        <w:rPr>
          <w:rFonts w:cs="仿宋_GB2312"/>
          <w:szCs w:val="32"/>
        </w:rPr>
        <w:t>万平方米以上的，</w:t>
      </w:r>
      <w:r>
        <w:rPr>
          <w:rFonts w:cs="仿宋_GB2312" w:hint="eastAsia"/>
          <w:szCs w:val="32"/>
        </w:rPr>
        <w:t>每年</w:t>
      </w:r>
      <w:r>
        <w:rPr>
          <w:rFonts w:cs="仿宋_GB2312"/>
          <w:szCs w:val="32"/>
        </w:rPr>
        <w:t>给予运营费用补助</w:t>
      </w:r>
      <w:r>
        <w:rPr>
          <w:rFonts w:cs="仿宋_GB2312"/>
          <w:szCs w:val="32"/>
        </w:rPr>
        <w:t>300</w:t>
      </w:r>
      <w:r>
        <w:rPr>
          <w:rFonts w:cs="仿宋_GB2312"/>
          <w:szCs w:val="32"/>
        </w:rPr>
        <w:t>万元。</w:t>
      </w:r>
      <w:r>
        <w:rPr>
          <w:rFonts w:cs="仿宋_GB2312" w:hint="eastAsia"/>
          <w:szCs w:val="32"/>
        </w:rPr>
        <w:t>新建创投产业园自入驻率（招引市外项目与新设项目入驻面积之和占运营总面积比例）达到</w:t>
      </w:r>
      <w:r>
        <w:rPr>
          <w:rFonts w:cs="仿宋_GB2312" w:hint="eastAsia"/>
          <w:szCs w:val="32"/>
        </w:rPr>
        <w:t>30%</w:t>
      </w:r>
      <w:r>
        <w:rPr>
          <w:rFonts w:cs="仿宋_GB2312" w:hint="eastAsia"/>
          <w:szCs w:val="32"/>
        </w:rPr>
        <w:t>的年度起享受补助。上市公司未参股或参股不到</w:t>
      </w:r>
      <w:r>
        <w:rPr>
          <w:rFonts w:cs="仿宋_GB2312" w:hint="eastAsia"/>
          <w:szCs w:val="32"/>
        </w:rPr>
        <w:t>30%</w:t>
      </w:r>
      <w:r>
        <w:rPr>
          <w:rFonts w:cs="仿宋_GB2312" w:hint="eastAsia"/>
          <w:szCs w:val="32"/>
        </w:rPr>
        <w:t>的原已正常运营创投产业园，其运行机构自满足上市公司入股条件且入驻率达到</w:t>
      </w:r>
      <w:r>
        <w:rPr>
          <w:rFonts w:cs="仿宋_GB2312" w:hint="eastAsia"/>
          <w:szCs w:val="32"/>
        </w:rPr>
        <w:t>30%</w:t>
      </w:r>
      <w:r>
        <w:rPr>
          <w:rFonts w:cs="仿宋_GB2312" w:hint="eastAsia"/>
          <w:szCs w:val="32"/>
        </w:rPr>
        <w:t>的年度起享受补助</w:t>
      </w:r>
      <w:r>
        <w:rPr>
          <w:rFonts w:cs="仿宋_GB2312"/>
          <w:szCs w:val="32"/>
        </w:rPr>
        <w:t>。</w:t>
      </w:r>
      <w:r>
        <w:rPr>
          <w:rFonts w:cs="仿宋_GB2312" w:hint="eastAsia"/>
          <w:szCs w:val="32"/>
        </w:rPr>
        <w:t>享受补助第三个年度起入驻率须达到</w:t>
      </w:r>
      <w:r>
        <w:rPr>
          <w:rFonts w:cs="仿宋_GB2312" w:hint="eastAsia"/>
          <w:szCs w:val="32"/>
        </w:rPr>
        <w:t>70%</w:t>
      </w:r>
      <w:r>
        <w:rPr>
          <w:rFonts w:cs="仿宋_GB2312" w:hint="eastAsia"/>
          <w:szCs w:val="32"/>
        </w:rPr>
        <w:t>以上。创投产业园</w:t>
      </w:r>
      <w:r>
        <w:rPr>
          <w:rFonts w:cs="仿宋_GB2312"/>
          <w:szCs w:val="32"/>
        </w:rPr>
        <w:t>运营补助暂定</w:t>
      </w:r>
      <w:r>
        <w:rPr>
          <w:rFonts w:cs="仿宋_GB2312"/>
          <w:szCs w:val="32"/>
        </w:rPr>
        <w:t>5</w:t>
      </w:r>
      <w:r>
        <w:rPr>
          <w:rFonts w:cs="仿宋_GB2312"/>
          <w:szCs w:val="32"/>
        </w:rPr>
        <w:t>年</w:t>
      </w:r>
      <w:r>
        <w:rPr>
          <w:rFonts w:cs="仿宋_GB2312" w:hint="eastAsia"/>
          <w:szCs w:val="32"/>
        </w:rPr>
        <w:t>。</w:t>
      </w:r>
    </w:p>
    <w:p w:rsidR="00E65F37" w:rsidRDefault="00F16801" w:rsidP="001D4C1F">
      <w:pPr>
        <w:spacing w:line="56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创投产业园运营面积证明（房产租用协议及房产权证）、年末入驻率证明材料（招引市外项目与新设项目房产租用协</w:t>
      </w:r>
      <w:r>
        <w:rPr>
          <w:rFonts w:cs="仿宋_GB2312" w:hint="eastAsia"/>
          <w:szCs w:val="32"/>
        </w:rPr>
        <w:lastRenderedPageBreak/>
        <w:t>议）。</w:t>
      </w:r>
      <w:r w:rsidRPr="000E579F">
        <w:rPr>
          <w:rFonts w:cs="仿宋_GB2312" w:hint="eastAsia"/>
          <w:szCs w:val="32"/>
        </w:rPr>
        <w:t>运行机构主要股权结构；入驻项目明细。</w:t>
      </w:r>
    </w:p>
    <w:p w:rsidR="00E65F37" w:rsidRDefault="00F16801" w:rsidP="001D4C1F">
      <w:pPr>
        <w:spacing w:line="56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1D4C1F" w:rsidRPr="000E579F" w:rsidRDefault="00F16801" w:rsidP="001D4C1F">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sidR="001D4C1F">
        <w:rPr>
          <w:rFonts w:cs="仿宋_GB2312" w:hint="eastAsia"/>
          <w:szCs w:val="32"/>
        </w:rPr>
        <w:t>）申请</w:t>
      </w:r>
      <w:r w:rsidR="001D4C1F">
        <w:rPr>
          <w:szCs w:val="32"/>
        </w:rPr>
        <w:t>。符合条件的企业通</w:t>
      </w:r>
      <w:r w:rsidR="001D4C1F" w:rsidRPr="000E579F">
        <w:rPr>
          <w:rFonts w:cs="仿宋_GB2312"/>
          <w:szCs w:val="32"/>
        </w:rPr>
        <w:t>过绍兴市经济高质量发展政策兑现系统</w:t>
      </w:r>
      <w:r w:rsidR="001D4C1F" w:rsidRPr="000E579F">
        <w:rPr>
          <w:rFonts w:cs="仿宋_GB2312" w:hint="eastAsia"/>
          <w:szCs w:val="32"/>
        </w:rPr>
        <w:t>（</w:t>
      </w:r>
      <w:r w:rsidR="001D4C1F" w:rsidRPr="000E579F">
        <w:rPr>
          <w:rFonts w:cs="仿宋_GB2312"/>
          <w:szCs w:val="32"/>
        </w:rPr>
        <w:t>https://reward.sx.gov.cn/#/</w:t>
      </w:r>
      <w:r w:rsidR="001D4C1F" w:rsidRPr="000E579F">
        <w:rPr>
          <w:rFonts w:cs="仿宋_GB2312" w:hint="eastAsia"/>
          <w:szCs w:val="32"/>
        </w:rPr>
        <w:t>）</w:t>
      </w:r>
      <w:r w:rsidR="001D4C1F" w:rsidRPr="000E579F">
        <w:rPr>
          <w:rFonts w:cs="仿宋_GB2312"/>
          <w:szCs w:val="32"/>
        </w:rPr>
        <w:t>，向属地金融办提出申请；</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）审核。属地金融办根据申报资料对奖励项目进行审核，通过绍兴市经济高质量发展政策兑现系统（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3</w:t>
      </w:r>
      <w:r>
        <w:rPr>
          <w:rFonts w:cs="仿宋_GB2312" w:hint="eastAsia"/>
          <w:szCs w:val="32"/>
        </w:rPr>
        <w:t>）拨付。公示期满无异议后，属地金融办下拨相关奖励资金。</w:t>
      </w:r>
    </w:p>
    <w:p w:rsidR="00E65F37" w:rsidRPr="00493C4D" w:rsidRDefault="00F16801" w:rsidP="00493C4D">
      <w:pPr>
        <w:spacing w:line="560" w:lineRule="exact"/>
        <w:ind w:firstLineChars="200" w:firstLine="640"/>
        <w:rPr>
          <w:rFonts w:cs="仿宋_GB2312"/>
          <w:szCs w:val="32"/>
          <w:u w:val="single"/>
        </w:rPr>
      </w:pPr>
      <w:r w:rsidRPr="00803A22">
        <w:rPr>
          <w:rFonts w:eastAsia="楷体_GB2312" w:cs="楷体_GB2312" w:hint="eastAsia"/>
          <w:b/>
          <w:szCs w:val="32"/>
        </w:rPr>
        <w:t>（二十）政策条款</w:t>
      </w:r>
      <w:r w:rsidR="005A006E">
        <w:rPr>
          <w:rFonts w:cs="仿宋_GB2312" w:hint="eastAsia"/>
          <w:szCs w:val="32"/>
        </w:rPr>
        <w:t>：收购兼并奖励。鼓励上市公司立足主业，</w:t>
      </w:r>
      <w:r w:rsidR="00C339C6">
        <w:rPr>
          <w:rFonts w:cs="仿宋_GB2312" w:hint="eastAsia"/>
          <w:szCs w:val="32"/>
        </w:rPr>
        <w:t>结合绍兴产业发展导向，</w:t>
      </w:r>
      <w:r w:rsidR="00493C4D" w:rsidRPr="000E579F">
        <w:rPr>
          <w:rFonts w:cs="仿宋_GB2312" w:hint="eastAsia"/>
          <w:szCs w:val="32"/>
        </w:rPr>
        <w:t>开展上下游产业链资源整合，加速产业链的强链补链畅链护链，提升上市公司研发、设计、品牌等核心方面能级。</w:t>
      </w:r>
      <w:r>
        <w:rPr>
          <w:rFonts w:cs="仿宋_GB2312" w:hint="eastAsia"/>
          <w:szCs w:val="32"/>
        </w:rPr>
        <w:t>当年成交金额超过</w:t>
      </w:r>
      <w:r>
        <w:rPr>
          <w:rFonts w:cs="仿宋_GB2312" w:hint="eastAsia"/>
          <w:szCs w:val="32"/>
        </w:rPr>
        <w:t>10</w:t>
      </w:r>
      <w:r>
        <w:rPr>
          <w:rFonts w:cs="仿宋_GB2312" w:hint="eastAsia"/>
          <w:szCs w:val="32"/>
        </w:rPr>
        <w:t>亿元（含）奖励</w:t>
      </w:r>
      <w:r>
        <w:rPr>
          <w:rFonts w:cs="仿宋_GB2312" w:hint="eastAsia"/>
          <w:szCs w:val="32"/>
        </w:rPr>
        <w:t>300</w:t>
      </w:r>
      <w:r>
        <w:rPr>
          <w:rFonts w:cs="仿宋_GB2312" w:hint="eastAsia"/>
          <w:szCs w:val="32"/>
        </w:rPr>
        <w:t>万元，成交金额</w:t>
      </w:r>
      <w:r>
        <w:rPr>
          <w:rFonts w:cs="仿宋_GB2312" w:hint="eastAsia"/>
          <w:szCs w:val="32"/>
        </w:rPr>
        <w:t>5</w:t>
      </w:r>
      <w:r>
        <w:rPr>
          <w:rFonts w:cs="仿宋_GB2312" w:hint="eastAsia"/>
          <w:szCs w:val="32"/>
        </w:rPr>
        <w:t>亿元（含）—</w:t>
      </w:r>
      <w:r>
        <w:rPr>
          <w:rFonts w:cs="仿宋_GB2312" w:hint="eastAsia"/>
          <w:szCs w:val="32"/>
        </w:rPr>
        <w:t>10</w:t>
      </w:r>
      <w:r>
        <w:rPr>
          <w:rFonts w:cs="仿宋_GB2312" w:hint="eastAsia"/>
          <w:szCs w:val="32"/>
        </w:rPr>
        <w:t>亿元奖励</w:t>
      </w:r>
      <w:r>
        <w:rPr>
          <w:rFonts w:cs="仿宋_GB2312" w:hint="eastAsia"/>
          <w:szCs w:val="32"/>
        </w:rPr>
        <w:t>200</w:t>
      </w:r>
      <w:r>
        <w:rPr>
          <w:rFonts w:cs="仿宋_GB2312" w:hint="eastAsia"/>
          <w:szCs w:val="32"/>
        </w:rPr>
        <w:t>万元，成交金额</w:t>
      </w:r>
      <w:r>
        <w:rPr>
          <w:rFonts w:cs="仿宋_GB2312" w:hint="eastAsia"/>
          <w:szCs w:val="32"/>
        </w:rPr>
        <w:t>2</w:t>
      </w:r>
      <w:r>
        <w:rPr>
          <w:rFonts w:cs="仿宋_GB2312" w:hint="eastAsia"/>
          <w:szCs w:val="32"/>
        </w:rPr>
        <w:t>亿元（含）—</w:t>
      </w:r>
      <w:r>
        <w:rPr>
          <w:rFonts w:cs="仿宋_GB2312" w:hint="eastAsia"/>
          <w:szCs w:val="32"/>
        </w:rPr>
        <w:t>5</w:t>
      </w:r>
      <w:r>
        <w:rPr>
          <w:rFonts w:cs="仿宋_GB2312" w:hint="eastAsia"/>
          <w:szCs w:val="32"/>
        </w:rPr>
        <w:t>亿元奖励</w:t>
      </w:r>
      <w:r>
        <w:rPr>
          <w:rFonts w:cs="仿宋_GB2312" w:hint="eastAsia"/>
          <w:szCs w:val="32"/>
        </w:rPr>
        <w:t>100</w:t>
      </w:r>
      <w:r>
        <w:rPr>
          <w:rFonts w:cs="仿宋_GB2312" w:hint="eastAsia"/>
          <w:szCs w:val="32"/>
        </w:rPr>
        <w:t>万元。收购实际控制人资产减半奖励。</w:t>
      </w:r>
      <w:r>
        <w:rPr>
          <w:rFonts w:cs="仿宋_GB2312" w:hint="eastAsia"/>
          <w:szCs w:val="32"/>
        </w:rPr>
        <w:t>(</w:t>
      </w:r>
      <w:r>
        <w:rPr>
          <w:rFonts w:cs="仿宋_GB2312" w:hint="eastAsia"/>
          <w:szCs w:val="32"/>
        </w:rPr>
        <w:t>直兑</w:t>
      </w:r>
      <w:r>
        <w:rPr>
          <w:rFonts w:cs="仿宋_GB2312" w:hint="eastAsia"/>
          <w:szCs w:val="32"/>
        </w:rPr>
        <w:t>)</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绍兴市行政区域内注册设立的、开展境内外并购重组的上市公司，且实际控制人不发生变更。</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szCs w:val="32"/>
        </w:rPr>
        <w:t>1</w:t>
      </w:r>
      <w:r>
        <w:rPr>
          <w:rFonts w:cs="仿宋_GB2312" w:hint="eastAsia"/>
          <w:szCs w:val="32"/>
        </w:rPr>
        <w:t>）成交金额超过</w:t>
      </w:r>
      <w:r>
        <w:rPr>
          <w:rFonts w:cs="仿宋_GB2312" w:hint="eastAsia"/>
          <w:szCs w:val="32"/>
        </w:rPr>
        <w:t>10</w:t>
      </w:r>
      <w:r>
        <w:rPr>
          <w:rFonts w:cs="仿宋_GB2312" w:hint="eastAsia"/>
          <w:szCs w:val="32"/>
        </w:rPr>
        <w:t>亿元（含）奖励</w:t>
      </w:r>
      <w:r>
        <w:rPr>
          <w:rFonts w:cs="仿宋_GB2312" w:hint="eastAsia"/>
          <w:szCs w:val="32"/>
        </w:rPr>
        <w:t>300</w:t>
      </w:r>
      <w:r>
        <w:rPr>
          <w:rFonts w:cs="仿宋_GB2312" w:hint="eastAsia"/>
          <w:szCs w:val="32"/>
        </w:rPr>
        <w:t>万元，成交</w:t>
      </w:r>
      <w:r>
        <w:rPr>
          <w:rFonts w:cs="仿宋_GB2312" w:hint="eastAsia"/>
          <w:szCs w:val="32"/>
        </w:rPr>
        <w:lastRenderedPageBreak/>
        <w:t>金额</w:t>
      </w:r>
      <w:r>
        <w:rPr>
          <w:rFonts w:cs="仿宋_GB2312" w:hint="eastAsia"/>
          <w:szCs w:val="32"/>
        </w:rPr>
        <w:t>5</w:t>
      </w:r>
      <w:r>
        <w:rPr>
          <w:rFonts w:cs="仿宋_GB2312" w:hint="eastAsia"/>
          <w:szCs w:val="32"/>
        </w:rPr>
        <w:t>亿元（含）—</w:t>
      </w:r>
      <w:r>
        <w:rPr>
          <w:rFonts w:cs="仿宋_GB2312" w:hint="eastAsia"/>
          <w:szCs w:val="32"/>
        </w:rPr>
        <w:t>10</w:t>
      </w:r>
      <w:r>
        <w:rPr>
          <w:rFonts w:cs="仿宋_GB2312" w:hint="eastAsia"/>
          <w:szCs w:val="32"/>
        </w:rPr>
        <w:t>亿元奖励</w:t>
      </w:r>
      <w:r>
        <w:rPr>
          <w:rFonts w:cs="仿宋_GB2312" w:hint="eastAsia"/>
          <w:szCs w:val="32"/>
        </w:rPr>
        <w:t>200</w:t>
      </w:r>
      <w:r>
        <w:rPr>
          <w:rFonts w:cs="仿宋_GB2312" w:hint="eastAsia"/>
          <w:szCs w:val="32"/>
        </w:rPr>
        <w:t>万元，成交金额</w:t>
      </w:r>
      <w:r>
        <w:rPr>
          <w:rFonts w:cs="仿宋_GB2312" w:hint="eastAsia"/>
          <w:szCs w:val="32"/>
        </w:rPr>
        <w:t>2</w:t>
      </w:r>
      <w:r>
        <w:rPr>
          <w:rFonts w:cs="仿宋_GB2312" w:hint="eastAsia"/>
          <w:szCs w:val="32"/>
        </w:rPr>
        <w:t>亿元（含）—</w:t>
      </w:r>
      <w:r>
        <w:rPr>
          <w:rFonts w:cs="仿宋_GB2312" w:hint="eastAsia"/>
          <w:szCs w:val="32"/>
        </w:rPr>
        <w:t>5</w:t>
      </w:r>
      <w:r>
        <w:rPr>
          <w:rFonts w:cs="仿宋_GB2312" w:hint="eastAsia"/>
          <w:szCs w:val="32"/>
        </w:rPr>
        <w:t>亿元奖励</w:t>
      </w:r>
      <w:r>
        <w:rPr>
          <w:rFonts w:cs="仿宋_GB2312" w:hint="eastAsia"/>
          <w:szCs w:val="32"/>
        </w:rPr>
        <w:t>100</w:t>
      </w:r>
      <w:r>
        <w:rPr>
          <w:rFonts w:cs="仿宋_GB2312" w:hint="eastAsia"/>
          <w:szCs w:val="32"/>
        </w:rPr>
        <w:t>万元。收购实际控制人资产减半奖励。</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）审核。属地金融办根据沪深北证券交易所公开信息（并购双方签订的收购协议、收购标的公司工商变更材料）对奖励项目进行审核，通过绍兴市经济高质量发展政策兑现系统（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Default="00F16801">
      <w:pPr>
        <w:spacing w:line="560" w:lineRule="exact"/>
        <w:ind w:firstLineChars="200" w:firstLine="640"/>
        <w:rPr>
          <w:rFonts w:cs="仿宋_GB2312"/>
          <w:szCs w:val="32"/>
        </w:rPr>
      </w:pPr>
      <w:r>
        <w:rPr>
          <w:rFonts w:cs="仿宋_GB2312" w:hint="eastAsia"/>
          <w:szCs w:val="32"/>
        </w:rPr>
        <w:t>（</w:t>
      </w:r>
      <w:r>
        <w:rPr>
          <w:rFonts w:cs="仿宋_GB2312" w:hint="eastAsia"/>
          <w:szCs w:val="32"/>
        </w:rPr>
        <w:t>2</w:t>
      </w:r>
      <w:r>
        <w:rPr>
          <w:rFonts w:cs="仿宋_GB2312" w:hint="eastAsia"/>
          <w:szCs w:val="32"/>
        </w:rPr>
        <w:t>）拨付。公示期满无异议后，属地金融办下拨相关奖励资金。</w:t>
      </w:r>
    </w:p>
    <w:p w:rsidR="00E65F37" w:rsidRDefault="00F16801" w:rsidP="00467CE8">
      <w:pPr>
        <w:spacing w:line="560" w:lineRule="exact"/>
        <w:ind w:firstLineChars="200" w:firstLine="640"/>
        <w:rPr>
          <w:rFonts w:cs="仿宋_GB2312"/>
          <w:szCs w:val="32"/>
        </w:rPr>
      </w:pPr>
      <w:r w:rsidRPr="00803A22">
        <w:rPr>
          <w:rFonts w:eastAsia="楷体_GB2312" w:cs="楷体_GB2312" w:hint="eastAsia"/>
          <w:b/>
          <w:szCs w:val="32"/>
        </w:rPr>
        <w:t>（二十一）政策条款</w:t>
      </w:r>
      <w:r>
        <w:rPr>
          <w:rFonts w:cs="仿宋_GB2312" w:hint="eastAsia"/>
          <w:szCs w:val="32"/>
        </w:rPr>
        <w:t>：上市公司实现股权再融资，按净融资额的</w:t>
      </w:r>
      <w:r>
        <w:rPr>
          <w:rFonts w:cs="仿宋_GB2312" w:hint="eastAsia"/>
          <w:szCs w:val="32"/>
        </w:rPr>
        <w:t>2</w:t>
      </w:r>
      <w:r>
        <w:rPr>
          <w:rFonts w:cs="仿宋_GB2312" w:hint="eastAsia"/>
          <w:szCs w:val="32"/>
        </w:rPr>
        <w:t>‰奖励（控股股东及其一致行动人认购金额不纳入，发行可转债在办理转股手续后兑现），最高不超过</w:t>
      </w:r>
      <w:r>
        <w:rPr>
          <w:rFonts w:cs="仿宋_GB2312" w:hint="eastAsia"/>
          <w:szCs w:val="32"/>
        </w:rPr>
        <w:t>200</w:t>
      </w:r>
      <w:r>
        <w:rPr>
          <w:rFonts w:cs="仿宋_GB2312" w:hint="eastAsia"/>
          <w:szCs w:val="32"/>
        </w:rPr>
        <w:t>万元。</w:t>
      </w:r>
      <w:r>
        <w:rPr>
          <w:rFonts w:cs="仿宋_GB2312" w:hint="eastAsia"/>
          <w:szCs w:val="32"/>
        </w:rPr>
        <w:t>(</w:t>
      </w:r>
      <w:r>
        <w:rPr>
          <w:rFonts w:cs="仿宋_GB2312" w:hint="eastAsia"/>
          <w:szCs w:val="32"/>
        </w:rPr>
        <w:t>直兑</w:t>
      </w:r>
      <w:r>
        <w:rPr>
          <w:rFonts w:cs="仿宋_GB2312" w:hint="eastAsia"/>
          <w:szCs w:val="32"/>
        </w:rPr>
        <w:t xml:space="preserve">) </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1</w:t>
      </w:r>
      <w:r>
        <w:rPr>
          <w:rFonts w:cs="仿宋_GB2312" w:hint="eastAsia"/>
          <w:b/>
          <w:bCs/>
          <w:szCs w:val="32"/>
        </w:rPr>
        <w:t>.</w:t>
      </w:r>
      <w:r>
        <w:rPr>
          <w:rFonts w:cs="仿宋_GB2312" w:hint="eastAsia"/>
          <w:b/>
          <w:bCs/>
          <w:szCs w:val="32"/>
        </w:rPr>
        <w:t>扶持对象</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绍兴市行政区域内注册设立、实现股权再融资的上市公司。</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2</w:t>
      </w:r>
      <w:r>
        <w:rPr>
          <w:rFonts w:cs="仿宋_GB2312" w:hint="eastAsia"/>
          <w:b/>
          <w:bCs/>
          <w:szCs w:val="32"/>
        </w:rPr>
        <w:t>.</w:t>
      </w:r>
      <w:r>
        <w:rPr>
          <w:rFonts w:cs="仿宋_GB2312" w:hint="eastAsia"/>
          <w:b/>
          <w:bCs/>
          <w:szCs w:val="32"/>
        </w:rPr>
        <w:t>扶持标准</w:t>
      </w:r>
    </w:p>
    <w:p w:rsidR="00E65F37" w:rsidRDefault="00F16801">
      <w:pPr>
        <w:spacing w:line="560" w:lineRule="exact"/>
        <w:ind w:firstLineChars="200" w:firstLine="640"/>
        <w:rPr>
          <w:rFonts w:cs="仿宋_GB2312"/>
          <w:szCs w:val="32"/>
        </w:rPr>
      </w:pPr>
      <w:r>
        <w:rPr>
          <w:rFonts w:cs="仿宋_GB2312" w:hint="eastAsia"/>
          <w:szCs w:val="32"/>
        </w:rPr>
        <w:t>上市公司实现股权再融资，按净融资额的</w:t>
      </w:r>
      <w:r>
        <w:rPr>
          <w:rFonts w:cs="仿宋_GB2312" w:hint="eastAsia"/>
          <w:szCs w:val="32"/>
        </w:rPr>
        <w:t>2</w:t>
      </w:r>
      <w:r>
        <w:rPr>
          <w:rFonts w:cs="仿宋_GB2312" w:hint="eastAsia"/>
          <w:szCs w:val="32"/>
        </w:rPr>
        <w:t>‰奖励（控股股东及其一致行动人认购金额不纳入，发行可转债在办理</w:t>
      </w:r>
      <w:r>
        <w:rPr>
          <w:rFonts w:cs="仿宋_GB2312" w:hint="eastAsia"/>
          <w:szCs w:val="32"/>
        </w:rPr>
        <w:lastRenderedPageBreak/>
        <w:t>转股手续后兑现），最高不超过</w:t>
      </w:r>
      <w:r>
        <w:rPr>
          <w:rFonts w:cs="仿宋_GB2312" w:hint="eastAsia"/>
          <w:szCs w:val="32"/>
        </w:rPr>
        <w:t>200</w:t>
      </w:r>
      <w:r>
        <w:rPr>
          <w:rFonts w:cs="仿宋_GB2312" w:hint="eastAsia"/>
          <w:szCs w:val="32"/>
        </w:rPr>
        <w:t>万元。</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3</w:t>
      </w:r>
      <w:r>
        <w:rPr>
          <w:rFonts w:cs="仿宋_GB2312" w:hint="eastAsia"/>
          <w:b/>
          <w:bCs/>
          <w:szCs w:val="32"/>
        </w:rPr>
        <w:t>.</w:t>
      </w:r>
      <w:r>
        <w:rPr>
          <w:rFonts w:cs="仿宋_GB2312" w:hint="eastAsia"/>
          <w:b/>
          <w:bCs/>
          <w:szCs w:val="32"/>
        </w:rPr>
        <w:t>申请材料</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无。</w:t>
      </w:r>
    </w:p>
    <w:p w:rsidR="00E65F37" w:rsidRDefault="00F16801" w:rsidP="001D4C1F">
      <w:pPr>
        <w:overflowPunct w:val="0"/>
        <w:adjustRightInd w:val="0"/>
        <w:snapToGrid w:val="0"/>
        <w:spacing w:line="580" w:lineRule="exact"/>
        <w:ind w:firstLineChars="200" w:firstLine="643"/>
        <w:rPr>
          <w:rFonts w:cs="仿宋_GB2312"/>
          <w:b/>
          <w:bCs/>
          <w:szCs w:val="32"/>
        </w:rPr>
      </w:pPr>
      <w:r>
        <w:rPr>
          <w:rFonts w:cs="仿宋_GB2312"/>
          <w:b/>
          <w:bCs/>
          <w:szCs w:val="32"/>
        </w:rPr>
        <w:t>4</w:t>
      </w:r>
      <w:r>
        <w:rPr>
          <w:rFonts w:cs="仿宋_GB2312" w:hint="eastAsia"/>
          <w:b/>
          <w:bCs/>
          <w:szCs w:val="32"/>
        </w:rPr>
        <w:t>.</w:t>
      </w:r>
      <w:r>
        <w:rPr>
          <w:rFonts w:cs="仿宋_GB2312" w:hint="eastAsia"/>
          <w:b/>
          <w:bCs/>
          <w:szCs w:val="32"/>
        </w:rPr>
        <w:t>审批程序</w:t>
      </w:r>
    </w:p>
    <w:p w:rsidR="00E65F37" w:rsidRDefault="00F16801">
      <w:pPr>
        <w:overflowPunct w:val="0"/>
        <w:adjustRightInd w:val="0"/>
        <w:snapToGrid w:val="0"/>
        <w:spacing w:line="580" w:lineRule="exact"/>
        <w:ind w:firstLineChars="200" w:firstLine="640"/>
        <w:rPr>
          <w:rFonts w:cs="仿宋_GB2312"/>
          <w:szCs w:val="32"/>
        </w:rPr>
      </w:pPr>
      <w:r>
        <w:rPr>
          <w:rFonts w:cs="仿宋_GB2312" w:hint="eastAsia"/>
          <w:szCs w:val="32"/>
        </w:rPr>
        <w:t>（</w:t>
      </w:r>
      <w:r>
        <w:rPr>
          <w:rFonts w:cs="仿宋_GB2312" w:hint="eastAsia"/>
          <w:szCs w:val="32"/>
        </w:rPr>
        <w:t>1</w:t>
      </w:r>
      <w:r>
        <w:rPr>
          <w:rFonts w:cs="仿宋_GB2312" w:hint="eastAsia"/>
          <w:szCs w:val="32"/>
        </w:rPr>
        <w:t>）审核。属地金融办根据沪深北证券交易所公开信息（再融资核准文件、再融资资金到位验资报告）对奖励项目进行审核，通过绍兴市经济高质量发展政策兑现系统（</w:t>
      </w:r>
      <w:r w:rsidR="00467CE8">
        <w:rPr>
          <w:rFonts w:cs="仿宋_GB2312"/>
          <w:szCs w:val="32"/>
        </w:rPr>
        <w:t>https://reward.sx.gov.cn/#/</w:t>
      </w:r>
      <w:r>
        <w:rPr>
          <w:rFonts w:cs="仿宋_GB2312" w:hint="eastAsia"/>
          <w:szCs w:val="32"/>
        </w:rPr>
        <w:t>）录入直兑企业名单、征求相关部门意见，提出审核意见并公示（内容应包括但不限于机构名称、项目内容、补偿金额、联系方式等）；</w:t>
      </w:r>
    </w:p>
    <w:p w:rsidR="00E65F37" w:rsidRPr="000E579F" w:rsidRDefault="00F16801" w:rsidP="000E579F">
      <w:pPr>
        <w:overflowPunct w:val="0"/>
        <w:adjustRightInd w:val="0"/>
        <w:snapToGrid w:val="0"/>
        <w:spacing w:line="580" w:lineRule="exact"/>
        <w:ind w:firstLineChars="200" w:firstLine="640"/>
        <w:rPr>
          <w:rFonts w:cs="仿宋_GB2312"/>
          <w:szCs w:val="32"/>
        </w:rPr>
        <w:sectPr w:rsidR="00E65F37" w:rsidRPr="000E579F">
          <w:footerReference w:type="default" r:id="rId7"/>
          <w:pgSz w:w="11906" w:h="16838"/>
          <w:pgMar w:top="1440" w:right="1800" w:bottom="1440" w:left="1800" w:header="851" w:footer="992" w:gutter="0"/>
          <w:cols w:space="425"/>
          <w:docGrid w:type="lines" w:linePitch="312"/>
        </w:sectPr>
      </w:pPr>
      <w:r>
        <w:rPr>
          <w:rFonts w:cs="仿宋_GB2312" w:hint="eastAsia"/>
          <w:szCs w:val="32"/>
        </w:rPr>
        <w:t>（</w:t>
      </w:r>
      <w:r>
        <w:rPr>
          <w:rFonts w:cs="仿宋_GB2312" w:hint="eastAsia"/>
          <w:szCs w:val="32"/>
        </w:rPr>
        <w:t>2</w:t>
      </w:r>
      <w:r>
        <w:rPr>
          <w:rFonts w:cs="仿宋_GB2312" w:hint="eastAsia"/>
          <w:szCs w:val="32"/>
        </w:rPr>
        <w:t>）拨付。公示期满无异议后，属地金融办下拨相关奖励资金。</w:t>
      </w:r>
    </w:p>
    <w:p w:rsidR="00E65F37" w:rsidRDefault="00F16801">
      <w:pPr>
        <w:adjustRightInd w:val="0"/>
        <w:snapToGrid w:val="0"/>
        <w:spacing w:line="440" w:lineRule="exact"/>
        <w:outlineLvl w:val="0"/>
        <w:rPr>
          <w:rFonts w:eastAsia="黑体"/>
          <w:color w:val="000000"/>
          <w:sz w:val="44"/>
          <w:szCs w:val="44"/>
        </w:rPr>
      </w:pPr>
      <w:r>
        <w:rPr>
          <w:rFonts w:eastAsia="黑体"/>
          <w:snapToGrid w:val="0"/>
          <w:color w:val="000000"/>
          <w:kern w:val="0"/>
          <w:szCs w:val="32"/>
        </w:rPr>
        <w:lastRenderedPageBreak/>
        <w:t>附件</w:t>
      </w:r>
      <w:r>
        <w:rPr>
          <w:rFonts w:eastAsia="黑体"/>
          <w:snapToGrid w:val="0"/>
          <w:color w:val="000000"/>
          <w:kern w:val="0"/>
          <w:szCs w:val="32"/>
        </w:rPr>
        <w:t>1</w:t>
      </w:r>
    </w:p>
    <w:p w:rsidR="00E65F37" w:rsidRDefault="00E65F37">
      <w:pPr>
        <w:tabs>
          <w:tab w:val="left" w:pos="1680"/>
        </w:tabs>
        <w:overflowPunct w:val="0"/>
        <w:adjustRightInd w:val="0"/>
        <w:snapToGrid w:val="0"/>
        <w:spacing w:line="240" w:lineRule="exact"/>
        <w:jc w:val="center"/>
        <w:rPr>
          <w:rFonts w:eastAsia="方正小标宋简体"/>
          <w:color w:val="000000"/>
          <w:sz w:val="44"/>
          <w:szCs w:val="44"/>
        </w:rPr>
      </w:pPr>
    </w:p>
    <w:p w:rsidR="00E65F37" w:rsidRDefault="00F16801">
      <w:pPr>
        <w:tabs>
          <w:tab w:val="left" w:pos="1680"/>
        </w:tabs>
        <w:overflowPunct w:val="0"/>
        <w:adjustRightInd w:val="0"/>
        <w:snapToGrid w:val="0"/>
        <w:spacing w:line="580" w:lineRule="exact"/>
        <w:jc w:val="center"/>
      </w:pPr>
      <w:r>
        <w:rPr>
          <w:rFonts w:eastAsia="方正小标宋简体" w:hint="eastAsia"/>
          <w:color w:val="000000"/>
          <w:sz w:val="44"/>
          <w:szCs w:val="44"/>
        </w:rPr>
        <w:t xml:space="preserve">   </w:t>
      </w:r>
      <w:r>
        <w:rPr>
          <w:rFonts w:eastAsia="方正小标宋简体"/>
          <w:color w:val="000000"/>
          <w:sz w:val="44"/>
          <w:szCs w:val="44"/>
        </w:rPr>
        <w:t>银行机构考核指标体系（季度）</w:t>
      </w:r>
    </w:p>
    <w:tbl>
      <w:tblPr>
        <w:tblW w:w="1473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2023"/>
        <w:gridCol w:w="1115"/>
        <w:gridCol w:w="10624"/>
      </w:tblGrid>
      <w:tr w:rsidR="00E65F37">
        <w:trPr>
          <w:trHeight w:val="565"/>
        </w:trPr>
        <w:tc>
          <w:tcPr>
            <w:tcW w:w="977" w:type="dxa"/>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序号</w:t>
            </w:r>
          </w:p>
        </w:tc>
        <w:tc>
          <w:tcPr>
            <w:tcW w:w="2023" w:type="dxa"/>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考核指标</w:t>
            </w:r>
          </w:p>
        </w:tc>
        <w:tc>
          <w:tcPr>
            <w:tcW w:w="1115" w:type="dxa"/>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基本分</w:t>
            </w:r>
          </w:p>
        </w:tc>
        <w:tc>
          <w:tcPr>
            <w:tcW w:w="10624" w:type="dxa"/>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评分标准</w:t>
            </w:r>
          </w:p>
        </w:tc>
      </w:tr>
      <w:tr w:rsidR="00E65F37">
        <w:trPr>
          <w:trHeight w:val="805"/>
        </w:trPr>
        <w:tc>
          <w:tcPr>
            <w:tcW w:w="97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w:t>
            </w:r>
          </w:p>
        </w:tc>
        <w:tc>
          <w:tcPr>
            <w:tcW w:w="2023"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存贷款增量</w:t>
            </w:r>
          </w:p>
        </w:tc>
        <w:tc>
          <w:tcPr>
            <w:tcW w:w="1115"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60</w:t>
            </w:r>
          </w:p>
        </w:tc>
        <w:tc>
          <w:tcPr>
            <w:tcW w:w="10624" w:type="dxa"/>
            <w:vAlign w:val="center"/>
          </w:tcPr>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3</w:t>
            </w:r>
            <w:r>
              <w:rPr>
                <w:snapToGrid w:val="0"/>
                <w:color w:val="000000"/>
                <w:kern w:val="0"/>
                <w:sz w:val="24"/>
                <w:szCs w:val="24"/>
              </w:rPr>
              <w:t>、</w:t>
            </w:r>
            <w:r>
              <w:rPr>
                <w:snapToGrid w:val="0"/>
                <w:color w:val="000000"/>
                <w:kern w:val="0"/>
                <w:sz w:val="24"/>
                <w:szCs w:val="24"/>
              </w:rPr>
              <w:t>6</w:t>
            </w:r>
            <w:r>
              <w:rPr>
                <w:snapToGrid w:val="0"/>
                <w:color w:val="000000"/>
                <w:kern w:val="0"/>
                <w:sz w:val="24"/>
                <w:szCs w:val="24"/>
              </w:rPr>
              <w:t>、</w:t>
            </w:r>
            <w:r>
              <w:rPr>
                <w:snapToGrid w:val="0"/>
                <w:color w:val="000000"/>
                <w:kern w:val="0"/>
                <w:sz w:val="24"/>
                <w:szCs w:val="24"/>
              </w:rPr>
              <w:t>9</w:t>
            </w:r>
            <w:r>
              <w:rPr>
                <w:snapToGrid w:val="0"/>
                <w:color w:val="000000"/>
                <w:kern w:val="0"/>
                <w:sz w:val="24"/>
                <w:szCs w:val="24"/>
              </w:rPr>
              <w:t>、</w:t>
            </w:r>
            <w:r>
              <w:rPr>
                <w:snapToGrid w:val="0"/>
                <w:color w:val="000000"/>
                <w:kern w:val="0"/>
                <w:sz w:val="24"/>
                <w:szCs w:val="24"/>
              </w:rPr>
              <w:t>12</w:t>
            </w:r>
            <w:r>
              <w:rPr>
                <w:snapToGrid w:val="0"/>
                <w:color w:val="000000"/>
                <w:kern w:val="0"/>
                <w:sz w:val="24"/>
                <w:szCs w:val="24"/>
              </w:rPr>
              <w:t>月末贷款同比增量最多的得</w:t>
            </w:r>
            <w:r>
              <w:rPr>
                <w:snapToGrid w:val="0"/>
                <w:color w:val="000000"/>
                <w:kern w:val="0"/>
                <w:sz w:val="24"/>
                <w:szCs w:val="24"/>
              </w:rPr>
              <w:t>36</w:t>
            </w:r>
            <w:r>
              <w:rPr>
                <w:snapToGrid w:val="0"/>
                <w:color w:val="000000"/>
                <w:kern w:val="0"/>
                <w:sz w:val="24"/>
                <w:szCs w:val="24"/>
              </w:rPr>
              <w:t>分，其余以增量最多的为标准值，按比例计分，无增量不得分。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3</w:t>
            </w:r>
            <w:r>
              <w:rPr>
                <w:snapToGrid w:val="0"/>
                <w:color w:val="000000"/>
                <w:kern w:val="0"/>
                <w:sz w:val="24"/>
                <w:szCs w:val="24"/>
              </w:rPr>
              <w:t>、</w:t>
            </w:r>
            <w:r>
              <w:rPr>
                <w:snapToGrid w:val="0"/>
                <w:color w:val="000000"/>
                <w:kern w:val="0"/>
                <w:sz w:val="24"/>
                <w:szCs w:val="24"/>
              </w:rPr>
              <w:t>6</w:t>
            </w:r>
            <w:r>
              <w:rPr>
                <w:snapToGrid w:val="0"/>
                <w:color w:val="000000"/>
                <w:kern w:val="0"/>
                <w:sz w:val="24"/>
                <w:szCs w:val="24"/>
              </w:rPr>
              <w:t>、</w:t>
            </w:r>
            <w:r>
              <w:rPr>
                <w:snapToGrid w:val="0"/>
                <w:color w:val="000000"/>
                <w:kern w:val="0"/>
                <w:sz w:val="24"/>
                <w:szCs w:val="24"/>
              </w:rPr>
              <w:t>9</w:t>
            </w:r>
            <w:r>
              <w:rPr>
                <w:snapToGrid w:val="0"/>
                <w:color w:val="000000"/>
                <w:kern w:val="0"/>
                <w:sz w:val="24"/>
                <w:szCs w:val="24"/>
              </w:rPr>
              <w:t>、</w:t>
            </w:r>
            <w:r>
              <w:rPr>
                <w:snapToGrid w:val="0"/>
                <w:color w:val="000000"/>
                <w:kern w:val="0"/>
                <w:sz w:val="24"/>
                <w:szCs w:val="24"/>
              </w:rPr>
              <w:t>12</w:t>
            </w:r>
            <w:r>
              <w:rPr>
                <w:snapToGrid w:val="0"/>
                <w:color w:val="000000"/>
                <w:kern w:val="0"/>
                <w:sz w:val="24"/>
                <w:szCs w:val="24"/>
              </w:rPr>
              <w:t>月末存款同比增量最多的得</w:t>
            </w:r>
            <w:r>
              <w:rPr>
                <w:snapToGrid w:val="0"/>
                <w:color w:val="000000"/>
                <w:kern w:val="0"/>
                <w:sz w:val="24"/>
                <w:szCs w:val="24"/>
              </w:rPr>
              <w:t>24</w:t>
            </w:r>
            <w:r>
              <w:rPr>
                <w:snapToGrid w:val="0"/>
                <w:color w:val="000000"/>
                <w:kern w:val="0"/>
                <w:sz w:val="24"/>
                <w:szCs w:val="24"/>
              </w:rPr>
              <w:t>分，其余以增量最多的为标准值，按比例计分，无增量不得分。</w:t>
            </w:r>
          </w:p>
        </w:tc>
      </w:tr>
      <w:tr w:rsidR="00E65F37">
        <w:trPr>
          <w:trHeight w:val="850"/>
        </w:trPr>
        <w:tc>
          <w:tcPr>
            <w:tcW w:w="97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2</w:t>
            </w:r>
          </w:p>
        </w:tc>
        <w:tc>
          <w:tcPr>
            <w:tcW w:w="2023"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存贷款增幅</w:t>
            </w:r>
          </w:p>
        </w:tc>
        <w:tc>
          <w:tcPr>
            <w:tcW w:w="1115"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20</w:t>
            </w:r>
          </w:p>
        </w:tc>
        <w:tc>
          <w:tcPr>
            <w:tcW w:w="10624" w:type="dxa"/>
            <w:vAlign w:val="center"/>
          </w:tcPr>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3</w:t>
            </w:r>
            <w:r>
              <w:rPr>
                <w:snapToGrid w:val="0"/>
                <w:color w:val="000000"/>
                <w:kern w:val="0"/>
                <w:sz w:val="24"/>
                <w:szCs w:val="24"/>
              </w:rPr>
              <w:t>、</w:t>
            </w:r>
            <w:r>
              <w:rPr>
                <w:snapToGrid w:val="0"/>
                <w:color w:val="000000"/>
                <w:kern w:val="0"/>
                <w:sz w:val="24"/>
                <w:szCs w:val="24"/>
              </w:rPr>
              <w:t>6</w:t>
            </w:r>
            <w:r>
              <w:rPr>
                <w:snapToGrid w:val="0"/>
                <w:color w:val="000000"/>
                <w:kern w:val="0"/>
                <w:sz w:val="24"/>
                <w:szCs w:val="24"/>
              </w:rPr>
              <w:t>、</w:t>
            </w:r>
            <w:r>
              <w:rPr>
                <w:snapToGrid w:val="0"/>
                <w:color w:val="000000"/>
                <w:kern w:val="0"/>
                <w:sz w:val="24"/>
                <w:szCs w:val="24"/>
              </w:rPr>
              <w:t>9</w:t>
            </w:r>
            <w:r>
              <w:rPr>
                <w:snapToGrid w:val="0"/>
                <w:color w:val="000000"/>
                <w:kern w:val="0"/>
                <w:sz w:val="24"/>
                <w:szCs w:val="24"/>
              </w:rPr>
              <w:t>、</w:t>
            </w:r>
            <w:r>
              <w:rPr>
                <w:snapToGrid w:val="0"/>
                <w:color w:val="000000"/>
                <w:kern w:val="0"/>
                <w:sz w:val="24"/>
                <w:szCs w:val="24"/>
              </w:rPr>
              <w:t>12</w:t>
            </w:r>
            <w:r>
              <w:rPr>
                <w:snapToGrid w:val="0"/>
                <w:color w:val="000000"/>
                <w:kern w:val="0"/>
                <w:sz w:val="24"/>
                <w:szCs w:val="24"/>
              </w:rPr>
              <w:t>月末存贷款同比增幅达到全市平均水平的得</w:t>
            </w:r>
            <w:r>
              <w:rPr>
                <w:snapToGrid w:val="0"/>
                <w:color w:val="000000"/>
                <w:kern w:val="0"/>
                <w:sz w:val="24"/>
                <w:szCs w:val="24"/>
              </w:rPr>
              <w:t>10</w:t>
            </w:r>
            <w:r>
              <w:rPr>
                <w:snapToGrid w:val="0"/>
                <w:color w:val="000000"/>
                <w:kern w:val="0"/>
                <w:sz w:val="24"/>
                <w:szCs w:val="24"/>
              </w:rPr>
              <w:t>分，每增减</w:t>
            </w:r>
            <w:r>
              <w:rPr>
                <w:snapToGrid w:val="0"/>
                <w:color w:val="000000"/>
                <w:kern w:val="0"/>
                <w:sz w:val="24"/>
                <w:szCs w:val="24"/>
              </w:rPr>
              <w:t>1</w:t>
            </w:r>
            <w:r>
              <w:rPr>
                <w:snapToGrid w:val="0"/>
                <w:color w:val="000000"/>
                <w:kern w:val="0"/>
                <w:sz w:val="24"/>
                <w:szCs w:val="24"/>
              </w:rPr>
              <w:t>个百分点加或扣</w:t>
            </w:r>
            <w:r>
              <w:rPr>
                <w:snapToGrid w:val="0"/>
                <w:color w:val="000000"/>
                <w:kern w:val="0"/>
                <w:sz w:val="24"/>
                <w:szCs w:val="24"/>
              </w:rPr>
              <w:t>0.5</w:t>
            </w:r>
            <w:r>
              <w:rPr>
                <w:snapToGrid w:val="0"/>
                <w:color w:val="000000"/>
                <w:kern w:val="0"/>
                <w:sz w:val="24"/>
                <w:szCs w:val="24"/>
              </w:rPr>
              <w:t>分，扣完为止，无增长不得分。存贷款规模</w:t>
            </w:r>
            <w:r>
              <w:rPr>
                <w:rFonts w:hint="eastAsia"/>
                <w:snapToGrid w:val="0"/>
                <w:color w:val="000000"/>
                <w:kern w:val="0"/>
                <w:sz w:val="24"/>
                <w:szCs w:val="24"/>
              </w:rPr>
              <w:t>2000</w:t>
            </w:r>
            <w:r>
              <w:rPr>
                <w:rFonts w:hint="eastAsia"/>
                <w:snapToGrid w:val="0"/>
                <w:color w:val="000000"/>
                <w:kern w:val="0"/>
                <w:sz w:val="24"/>
                <w:szCs w:val="24"/>
              </w:rPr>
              <w:t>亿元（含）以上、</w:t>
            </w:r>
            <w:r>
              <w:rPr>
                <w:rFonts w:hint="eastAsia"/>
                <w:snapToGrid w:val="0"/>
                <w:color w:val="000000"/>
                <w:kern w:val="0"/>
                <w:sz w:val="24"/>
                <w:szCs w:val="24"/>
              </w:rPr>
              <w:t>1000</w:t>
            </w:r>
            <w:r>
              <w:rPr>
                <w:rFonts w:hint="eastAsia"/>
                <w:snapToGrid w:val="0"/>
                <w:color w:val="000000"/>
                <w:kern w:val="0"/>
                <w:sz w:val="24"/>
                <w:szCs w:val="24"/>
              </w:rPr>
              <w:t>亿元（含）至</w:t>
            </w:r>
            <w:r>
              <w:rPr>
                <w:rFonts w:hint="eastAsia"/>
                <w:snapToGrid w:val="0"/>
                <w:color w:val="000000"/>
                <w:kern w:val="0"/>
                <w:sz w:val="24"/>
                <w:szCs w:val="24"/>
              </w:rPr>
              <w:t>2000</w:t>
            </w:r>
            <w:r>
              <w:rPr>
                <w:rFonts w:hint="eastAsia"/>
                <w:snapToGrid w:val="0"/>
                <w:color w:val="000000"/>
                <w:kern w:val="0"/>
                <w:sz w:val="24"/>
                <w:szCs w:val="24"/>
              </w:rPr>
              <w:t>亿元、</w:t>
            </w:r>
            <w:r>
              <w:rPr>
                <w:rFonts w:hint="eastAsia"/>
                <w:snapToGrid w:val="0"/>
                <w:color w:val="000000"/>
                <w:kern w:val="0"/>
                <w:sz w:val="24"/>
                <w:szCs w:val="24"/>
              </w:rPr>
              <w:t>500</w:t>
            </w:r>
            <w:r>
              <w:rPr>
                <w:rFonts w:hint="eastAsia"/>
                <w:snapToGrid w:val="0"/>
                <w:color w:val="000000"/>
                <w:kern w:val="0"/>
                <w:sz w:val="24"/>
                <w:szCs w:val="24"/>
              </w:rPr>
              <w:t>亿元（含）至</w:t>
            </w:r>
            <w:r>
              <w:rPr>
                <w:rFonts w:hint="eastAsia"/>
                <w:snapToGrid w:val="0"/>
                <w:color w:val="000000"/>
                <w:kern w:val="0"/>
                <w:sz w:val="24"/>
                <w:szCs w:val="24"/>
              </w:rPr>
              <w:t>1000</w:t>
            </w:r>
            <w:r>
              <w:rPr>
                <w:rFonts w:hint="eastAsia"/>
                <w:snapToGrid w:val="0"/>
                <w:color w:val="000000"/>
                <w:kern w:val="0"/>
                <w:sz w:val="24"/>
                <w:szCs w:val="24"/>
              </w:rPr>
              <w:t>亿元、</w:t>
            </w:r>
            <w:r>
              <w:rPr>
                <w:snapToGrid w:val="0"/>
                <w:color w:val="000000"/>
                <w:kern w:val="0"/>
                <w:sz w:val="24"/>
                <w:szCs w:val="24"/>
              </w:rPr>
              <w:t>500</w:t>
            </w:r>
            <w:r>
              <w:rPr>
                <w:snapToGrid w:val="0"/>
                <w:color w:val="000000"/>
                <w:kern w:val="0"/>
                <w:sz w:val="24"/>
                <w:szCs w:val="24"/>
              </w:rPr>
              <w:t>亿元</w:t>
            </w:r>
            <w:r>
              <w:rPr>
                <w:rFonts w:hint="eastAsia"/>
                <w:snapToGrid w:val="0"/>
                <w:color w:val="000000"/>
                <w:kern w:val="0"/>
                <w:sz w:val="24"/>
                <w:szCs w:val="24"/>
              </w:rPr>
              <w:t>以下</w:t>
            </w:r>
            <w:r>
              <w:rPr>
                <w:snapToGrid w:val="0"/>
                <w:color w:val="000000"/>
                <w:kern w:val="0"/>
                <w:sz w:val="24"/>
                <w:szCs w:val="24"/>
              </w:rPr>
              <w:t>的银行，此项</w:t>
            </w:r>
            <w:r>
              <w:rPr>
                <w:rFonts w:hint="eastAsia"/>
                <w:snapToGrid w:val="0"/>
                <w:color w:val="000000"/>
                <w:kern w:val="0"/>
                <w:sz w:val="24"/>
                <w:szCs w:val="24"/>
              </w:rPr>
              <w:t>分别</w:t>
            </w:r>
            <w:r>
              <w:rPr>
                <w:snapToGrid w:val="0"/>
                <w:color w:val="000000"/>
                <w:kern w:val="0"/>
                <w:sz w:val="24"/>
                <w:szCs w:val="24"/>
              </w:rPr>
              <w:t>最多加</w:t>
            </w:r>
            <w:r>
              <w:rPr>
                <w:snapToGrid w:val="0"/>
                <w:color w:val="000000"/>
                <w:kern w:val="0"/>
                <w:sz w:val="24"/>
                <w:szCs w:val="24"/>
              </w:rPr>
              <w:t>5</w:t>
            </w:r>
            <w:r>
              <w:rPr>
                <w:snapToGrid w:val="0"/>
                <w:color w:val="000000"/>
                <w:kern w:val="0"/>
                <w:sz w:val="24"/>
                <w:szCs w:val="24"/>
              </w:rPr>
              <w:t>分</w:t>
            </w:r>
            <w:r>
              <w:rPr>
                <w:rFonts w:hint="eastAsia"/>
                <w:snapToGrid w:val="0"/>
                <w:color w:val="000000"/>
                <w:kern w:val="0"/>
                <w:sz w:val="24"/>
                <w:szCs w:val="24"/>
              </w:rPr>
              <w:t>、</w:t>
            </w:r>
            <w:r>
              <w:rPr>
                <w:rFonts w:hint="eastAsia"/>
                <w:snapToGrid w:val="0"/>
                <w:color w:val="000000"/>
                <w:kern w:val="0"/>
                <w:sz w:val="24"/>
                <w:szCs w:val="24"/>
              </w:rPr>
              <w:t>4</w:t>
            </w:r>
            <w:r>
              <w:rPr>
                <w:rFonts w:hint="eastAsia"/>
                <w:snapToGrid w:val="0"/>
                <w:color w:val="000000"/>
                <w:kern w:val="0"/>
                <w:sz w:val="24"/>
                <w:szCs w:val="24"/>
              </w:rPr>
              <w:t>分、</w:t>
            </w:r>
            <w:r>
              <w:rPr>
                <w:rFonts w:hint="eastAsia"/>
                <w:snapToGrid w:val="0"/>
                <w:color w:val="000000"/>
                <w:kern w:val="0"/>
                <w:sz w:val="24"/>
                <w:szCs w:val="24"/>
              </w:rPr>
              <w:t>3</w:t>
            </w:r>
            <w:r>
              <w:rPr>
                <w:rFonts w:hint="eastAsia"/>
                <w:snapToGrid w:val="0"/>
                <w:color w:val="000000"/>
                <w:kern w:val="0"/>
                <w:sz w:val="24"/>
                <w:szCs w:val="24"/>
              </w:rPr>
              <w:t>分、</w:t>
            </w:r>
            <w:r>
              <w:rPr>
                <w:rFonts w:hint="eastAsia"/>
                <w:snapToGrid w:val="0"/>
                <w:color w:val="000000"/>
                <w:kern w:val="0"/>
                <w:sz w:val="24"/>
                <w:szCs w:val="24"/>
              </w:rPr>
              <w:t>2</w:t>
            </w:r>
            <w:r>
              <w:rPr>
                <w:rFonts w:hint="eastAsia"/>
                <w:snapToGrid w:val="0"/>
                <w:color w:val="000000"/>
                <w:kern w:val="0"/>
                <w:sz w:val="24"/>
                <w:szCs w:val="24"/>
              </w:rPr>
              <w:t>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3</w:t>
            </w:r>
            <w:r>
              <w:rPr>
                <w:snapToGrid w:val="0"/>
                <w:color w:val="000000"/>
                <w:kern w:val="0"/>
                <w:sz w:val="24"/>
                <w:szCs w:val="24"/>
              </w:rPr>
              <w:t>、</w:t>
            </w:r>
            <w:r>
              <w:rPr>
                <w:snapToGrid w:val="0"/>
                <w:color w:val="000000"/>
                <w:kern w:val="0"/>
                <w:sz w:val="24"/>
                <w:szCs w:val="24"/>
              </w:rPr>
              <w:t>6</w:t>
            </w:r>
            <w:r>
              <w:rPr>
                <w:snapToGrid w:val="0"/>
                <w:color w:val="000000"/>
                <w:kern w:val="0"/>
                <w:sz w:val="24"/>
                <w:szCs w:val="24"/>
              </w:rPr>
              <w:t>、</w:t>
            </w:r>
            <w:r>
              <w:rPr>
                <w:snapToGrid w:val="0"/>
                <w:color w:val="000000"/>
                <w:kern w:val="0"/>
                <w:sz w:val="24"/>
                <w:szCs w:val="24"/>
              </w:rPr>
              <w:t>9</w:t>
            </w:r>
            <w:r>
              <w:rPr>
                <w:snapToGrid w:val="0"/>
                <w:color w:val="000000"/>
                <w:kern w:val="0"/>
                <w:sz w:val="24"/>
                <w:szCs w:val="24"/>
              </w:rPr>
              <w:t>、</w:t>
            </w:r>
            <w:r>
              <w:rPr>
                <w:snapToGrid w:val="0"/>
                <w:color w:val="000000"/>
                <w:kern w:val="0"/>
                <w:sz w:val="24"/>
                <w:szCs w:val="24"/>
              </w:rPr>
              <w:t>12</w:t>
            </w:r>
            <w:r>
              <w:rPr>
                <w:snapToGrid w:val="0"/>
                <w:color w:val="000000"/>
                <w:kern w:val="0"/>
                <w:sz w:val="24"/>
                <w:szCs w:val="24"/>
              </w:rPr>
              <w:t>月末贷款同比增幅达到全市平均水平的得</w:t>
            </w:r>
            <w:r>
              <w:rPr>
                <w:snapToGrid w:val="0"/>
                <w:color w:val="000000"/>
                <w:kern w:val="0"/>
                <w:sz w:val="24"/>
                <w:szCs w:val="24"/>
              </w:rPr>
              <w:t>10</w:t>
            </w:r>
            <w:r>
              <w:rPr>
                <w:snapToGrid w:val="0"/>
                <w:color w:val="000000"/>
                <w:kern w:val="0"/>
                <w:sz w:val="24"/>
                <w:szCs w:val="24"/>
              </w:rPr>
              <w:t>分，每增减</w:t>
            </w:r>
            <w:r>
              <w:rPr>
                <w:snapToGrid w:val="0"/>
                <w:color w:val="000000"/>
                <w:kern w:val="0"/>
                <w:sz w:val="24"/>
                <w:szCs w:val="24"/>
              </w:rPr>
              <w:t>1</w:t>
            </w:r>
            <w:r>
              <w:rPr>
                <w:snapToGrid w:val="0"/>
                <w:color w:val="000000"/>
                <w:kern w:val="0"/>
                <w:sz w:val="24"/>
                <w:szCs w:val="24"/>
              </w:rPr>
              <w:t>个百分点加或扣</w:t>
            </w:r>
            <w:r>
              <w:rPr>
                <w:snapToGrid w:val="0"/>
                <w:color w:val="000000"/>
                <w:kern w:val="0"/>
                <w:sz w:val="24"/>
                <w:szCs w:val="24"/>
              </w:rPr>
              <w:t>0.5</w:t>
            </w:r>
            <w:r>
              <w:rPr>
                <w:snapToGrid w:val="0"/>
                <w:color w:val="000000"/>
                <w:kern w:val="0"/>
                <w:sz w:val="24"/>
                <w:szCs w:val="24"/>
              </w:rPr>
              <w:t>分，扣完为止，无增长不得分。贷款规模</w:t>
            </w:r>
            <w:r>
              <w:rPr>
                <w:rFonts w:hint="eastAsia"/>
                <w:snapToGrid w:val="0"/>
                <w:color w:val="000000"/>
                <w:kern w:val="0"/>
                <w:sz w:val="24"/>
                <w:szCs w:val="24"/>
              </w:rPr>
              <w:t>1000</w:t>
            </w:r>
            <w:r>
              <w:rPr>
                <w:rFonts w:hint="eastAsia"/>
                <w:snapToGrid w:val="0"/>
                <w:color w:val="000000"/>
                <w:kern w:val="0"/>
                <w:sz w:val="24"/>
                <w:szCs w:val="24"/>
              </w:rPr>
              <w:t>亿元（含）以上、</w:t>
            </w:r>
            <w:r>
              <w:rPr>
                <w:rFonts w:hint="eastAsia"/>
                <w:snapToGrid w:val="0"/>
                <w:color w:val="000000"/>
                <w:kern w:val="0"/>
                <w:sz w:val="24"/>
                <w:szCs w:val="24"/>
              </w:rPr>
              <w:t>500</w:t>
            </w:r>
            <w:r>
              <w:rPr>
                <w:rFonts w:hint="eastAsia"/>
                <w:snapToGrid w:val="0"/>
                <w:color w:val="000000"/>
                <w:kern w:val="0"/>
                <w:sz w:val="24"/>
                <w:szCs w:val="24"/>
              </w:rPr>
              <w:t>亿元（含）至</w:t>
            </w:r>
            <w:r>
              <w:rPr>
                <w:rFonts w:hint="eastAsia"/>
                <w:snapToGrid w:val="0"/>
                <w:color w:val="000000"/>
                <w:kern w:val="0"/>
                <w:sz w:val="24"/>
                <w:szCs w:val="24"/>
              </w:rPr>
              <w:t>1000</w:t>
            </w:r>
            <w:r>
              <w:rPr>
                <w:rFonts w:hint="eastAsia"/>
                <w:snapToGrid w:val="0"/>
                <w:color w:val="000000"/>
                <w:kern w:val="0"/>
                <w:sz w:val="24"/>
                <w:szCs w:val="24"/>
              </w:rPr>
              <w:t>亿元、</w:t>
            </w:r>
            <w:r>
              <w:rPr>
                <w:rFonts w:hint="eastAsia"/>
                <w:snapToGrid w:val="0"/>
                <w:color w:val="000000"/>
                <w:kern w:val="0"/>
                <w:sz w:val="24"/>
                <w:szCs w:val="24"/>
              </w:rPr>
              <w:t>2</w:t>
            </w:r>
            <w:r>
              <w:rPr>
                <w:snapToGrid w:val="0"/>
                <w:color w:val="000000"/>
                <w:kern w:val="0"/>
                <w:sz w:val="24"/>
                <w:szCs w:val="24"/>
              </w:rPr>
              <w:t>00</w:t>
            </w:r>
            <w:r>
              <w:rPr>
                <w:snapToGrid w:val="0"/>
                <w:color w:val="000000"/>
                <w:kern w:val="0"/>
                <w:sz w:val="24"/>
                <w:szCs w:val="24"/>
              </w:rPr>
              <w:t>亿元</w:t>
            </w:r>
            <w:r>
              <w:rPr>
                <w:rFonts w:hint="eastAsia"/>
                <w:snapToGrid w:val="0"/>
                <w:color w:val="000000"/>
                <w:kern w:val="0"/>
                <w:sz w:val="24"/>
                <w:szCs w:val="24"/>
              </w:rPr>
              <w:t>（含）</w:t>
            </w:r>
            <w:r>
              <w:rPr>
                <w:rFonts w:hint="eastAsia"/>
                <w:snapToGrid w:val="0"/>
                <w:color w:val="000000"/>
                <w:kern w:val="0"/>
                <w:sz w:val="24"/>
                <w:szCs w:val="24"/>
              </w:rPr>
              <w:t>-500</w:t>
            </w:r>
            <w:r>
              <w:rPr>
                <w:rFonts w:hint="eastAsia"/>
                <w:snapToGrid w:val="0"/>
                <w:color w:val="000000"/>
                <w:kern w:val="0"/>
                <w:sz w:val="24"/>
                <w:szCs w:val="24"/>
              </w:rPr>
              <w:t>亿元、</w:t>
            </w:r>
            <w:r>
              <w:rPr>
                <w:rFonts w:hint="eastAsia"/>
                <w:snapToGrid w:val="0"/>
                <w:color w:val="000000"/>
                <w:kern w:val="0"/>
                <w:sz w:val="24"/>
                <w:szCs w:val="24"/>
              </w:rPr>
              <w:t>200</w:t>
            </w:r>
            <w:r>
              <w:rPr>
                <w:rFonts w:hint="eastAsia"/>
                <w:snapToGrid w:val="0"/>
                <w:color w:val="000000"/>
                <w:kern w:val="0"/>
                <w:sz w:val="24"/>
                <w:szCs w:val="24"/>
              </w:rPr>
              <w:t>亿元以下</w:t>
            </w:r>
            <w:r>
              <w:rPr>
                <w:snapToGrid w:val="0"/>
                <w:color w:val="000000"/>
                <w:kern w:val="0"/>
                <w:sz w:val="24"/>
                <w:szCs w:val="24"/>
              </w:rPr>
              <w:t>的银行，此项</w:t>
            </w:r>
            <w:r>
              <w:rPr>
                <w:rFonts w:hint="eastAsia"/>
                <w:snapToGrid w:val="0"/>
                <w:color w:val="000000"/>
                <w:kern w:val="0"/>
                <w:sz w:val="24"/>
                <w:szCs w:val="24"/>
              </w:rPr>
              <w:t>分别</w:t>
            </w:r>
            <w:r>
              <w:rPr>
                <w:snapToGrid w:val="0"/>
                <w:color w:val="000000"/>
                <w:kern w:val="0"/>
                <w:sz w:val="24"/>
                <w:szCs w:val="24"/>
              </w:rPr>
              <w:t>最多加</w:t>
            </w:r>
            <w:r>
              <w:rPr>
                <w:snapToGrid w:val="0"/>
                <w:color w:val="000000"/>
                <w:kern w:val="0"/>
                <w:sz w:val="24"/>
                <w:szCs w:val="24"/>
              </w:rPr>
              <w:t>5</w:t>
            </w:r>
            <w:r>
              <w:rPr>
                <w:snapToGrid w:val="0"/>
                <w:color w:val="000000"/>
                <w:kern w:val="0"/>
                <w:sz w:val="24"/>
                <w:szCs w:val="24"/>
              </w:rPr>
              <w:t>分</w:t>
            </w:r>
            <w:r>
              <w:rPr>
                <w:rFonts w:hint="eastAsia"/>
                <w:snapToGrid w:val="0"/>
                <w:color w:val="000000"/>
                <w:kern w:val="0"/>
                <w:sz w:val="24"/>
                <w:szCs w:val="24"/>
              </w:rPr>
              <w:t>、</w:t>
            </w:r>
            <w:r>
              <w:rPr>
                <w:rFonts w:hint="eastAsia"/>
                <w:snapToGrid w:val="0"/>
                <w:color w:val="000000"/>
                <w:kern w:val="0"/>
                <w:sz w:val="24"/>
                <w:szCs w:val="24"/>
              </w:rPr>
              <w:t>4</w:t>
            </w:r>
            <w:r>
              <w:rPr>
                <w:rFonts w:hint="eastAsia"/>
                <w:snapToGrid w:val="0"/>
                <w:color w:val="000000"/>
                <w:kern w:val="0"/>
                <w:sz w:val="24"/>
                <w:szCs w:val="24"/>
              </w:rPr>
              <w:t>分、</w:t>
            </w:r>
            <w:r>
              <w:rPr>
                <w:rFonts w:hint="eastAsia"/>
                <w:snapToGrid w:val="0"/>
                <w:color w:val="000000"/>
                <w:kern w:val="0"/>
                <w:sz w:val="24"/>
                <w:szCs w:val="24"/>
              </w:rPr>
              <w:t>3</w:t>
            </w:r>
            <w:r>
              <w:rPr>
                <w:rFonts w:hint="eastAsia"/>
                <w:snapToGrid w:val="0"/>
                <w:color w:val="000000"/>
                <w:kern w:val="0"/>
                <w:sz w:val="24"/>
                <w:szCs w:val="24"/>
              </w:rPr>
              <w:t>分、</w:t>
            </w:r>
            <w:r>
              <w:rPr>
                <w:rFonts w:hint="eastAsia"/>
                <w:snapToGrid w:val="0"/>
                <w:color w:val="000000"/>
                <w:kern w:val="0"/>
                <w:sz w:val="24"/>
                <w:szCs w:val="24"/>
              </w:rPr>
              <w:t>2</w:t>
            </w:r>
            <w:r>
              <w:rPr>
                <w:rFonts w:hint="eastAsia"/>
                <w:snapToGrid w:val="0"/>
                <w:color w:val="000000"/>
                <w:kern w:val="0"/>
                <w:sz w:val="24"/>
                <w:szCs w:val="24"/>
              </w:rPr>
              <w:t>分。</w:t>
            </w:r>
          </w:p>
        </w:tc>
      </w:tr>
      <w:tr w:rsidR="00E65F37">
        <w:trPr>
          <w:trHeight w:val="853"/>
        </w:trPr>
        <w:tc>
          <w:tcPr>
            <w:tcW w:w="97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3</w:t>
            </w:r>
          </w:p>
        </w:tc>
        <w:tc>
          <w:tcPr>
            <w:tcW w:w="2023"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制造业贷款</w:t>
            </w:r>
          </w:p>
        </w:tc>
        <w:tc>
          <w:tcPr>
            <w:tcW w:w="1115"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1</w:t>
            </w:r>
            <w:r>
              <w:rPr>
                <w:rFonts w:hint="eastAsia"/>
                <w:snapToGrid w:val="0"/>
                <w:color w:val="000000"/>
                <w:kern w:val="0"/>
                <w:sz w:val="24"/>
                <w:szCs w:val="24"/>
              </w:rPr>
              <w:t>8</w:t>
            </w:r>
          </w:p>
        </w:tc>
        <w:tc>
          <w:tcPr>
            <w:tcW w:w="10624" w:type="dxa"/>
            <w:vAlign w:val="center"/>
          </w:tcPr>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3</w:t>
            </w:r>
            <w:r>
              <w:rPr>
                <w:snapToGrid w:val="0"/>
                <w:color w:val="000000"/>
                <w:kern w:val="0"/>
                <w:sz w:val="24"/>
                <w:szCs w:val="24"/>
              </w:rPr>
              <w:t>、</w:t>
            </w:r>
            <w:r>
              <w:rPr>
                <w:snapToGrid w:val="0"/>
                <w:color w:val="000000"/>
                <w:kern w:val="0"/>
                <w:sz w:val="24"/>
                <w:szCs w:val="24"/>
              </w:rPr>
              <w:t>6</w:t>
            </w:r>
            <w:r>
              <w:rPr>
                <w:snapToGrid w:val="0"/>
                <w:color w:val="000000"/>
                <w:kern w:val="0"/>
                <w:sz w:val="24"/>
                <w:szCs w:val="24"/>
              </w:rPr>
              <w:t>、</w:t>
            </w:r>
            <w:r>
              <w:rPr>
                <w:snapToGrid w:val="0"/>
                <w:color w:val="000000"/>
                <w:kern w:val="0"/>
                <w:sz w:val="24"/>
                <w:szCs w:val="24"/>
              </w:rPr>
              <w:t>9</w:t>
            </w:r>
            <w:r>
              <w:rPr>
                <w:snapToGrid w:val="0"/>
                <w:color w:val="000000"/>
                <w:kern w:val="0"/>
                <w:sz w:val="24"/>
                <w:szCs w:val="24"/>
              </w:rPr>
              <w:t>、</w:t>
            </w:r>
            <w:r>
              <w:rPr>
                <w:snapToGrid w:val="0"/>
                <w:color w:val="000000"/>
                <w:kern w:val="0"/>
                <w:sz w:val="24"/>
                <w:szCs w:val="24"/>
              </w:rPr>
              <w:t>12</w:t>
            </w:r>
            <w:r>
              <w:rPr>
                <w:snapToGrid w:val="0"/>
                <w:color w:val="000000"/>
                <w:kern w:val="0"/>
                <w:sz w:val="24"/>
                <w:szCs w:val="24"/>
              </w:rPr>
              <w:t>月末制造业贷款同比增量最多的得</w:t>
            </w:r>
            <w:r>
              <w:rPr>
                <w:snapToGrid w:val="0"/>
                <w:color w:val="000000"/>
                <w:kern w:val="0"/>
                <w:sz w:val="24"/>
                <w:szCs w:val="24"/>
              </w:rPr>
              <w:t>1</w:t>
            </w:r>
            <w:r>
              <w:rPr>
                <w:rFonts w:hint="eastAsia"/>
                <w:snapToGrid w:val="0"/>
                <w:color w:val="000000"/>
                <w:kern w:val="0"/>
                <w:sz w:val="24"/>
                <w:szCs w:val="24"/>
              </w:rPr>
              <w:t>5</w:t>
            </w:r>
            <w:r>
              <w:rPr>
                <w:snapToGrid w:val="0"/>
                <w:color w:val="000000"/>
                <w:kern w:val="0"/>
                <w:sz w:val="24"/>
                <w:szCs w:val="24"/>
              </w:rPr>
              <w:t>分，其余以增量最多的为标准值，按比例计分，无增量不得分。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3</w:t>
            </w:r>
            <w:r>
              <w:rPr>
                <w:snapToGrid w:val="0"/>
                <w:color w:val="000000"/>
                <w:kern w:val="0"/>
                <w:sz w:val="24"/>
                <w:szCs w:val="24"/>
              </w:rPr>
              <w:t>、</w:t>
            </w:r>
            <w:r>
              <w:rPr>
                <w:snapToGrid w:val="0"/>
                <w:color w:val="000000"/>
                <w:kern w:val="0"/>
                <w:sz w:val="24"/>
                <w:szCs w:val="24"/>
              </w:rPr>
              <w:t>6</w:t>
            </w:r>
            <w:r>
              <w:rPr>
                <w:snapToGrid w:val="0"/>
                <w:color w:val="000000"/>
                <w:kern w:val="0"/>
                <w:sz w:val="24"/>
                <w:szCs w:val="24"/>
              </w:rPr>
              <w:t>、</w:t>
            </w:r>
            <w:r>
              <w:rPr>
                <w:snapToGrid w:val="0"/>
                <w:color w:val="000000"/>
                <w:kern w:val="0"/>
                <w:sz w:val="24"/>
                <w:szCs w:val="24"/>
              </w:rPr>
              <w:t>9</w:t>
            </w:r>
            <w:r>
              <w:rPr>
                <w:snapToGrid w:val="0"/>
                <w:color w:val="000000"/>
                <w:kern w:val="0"/>
                <w:sz w:val="24"/>
                <w:szCs w:val="24"/>
              </w:rPr>
              <w:t>、</w:t>
            </w:r>
            <w:r>
              <w:rPr>
                <w:snapToGrid w:val="0"/>
                <w:color w:val="000000"/>
                <w:kern w:val="0"/>
                <w:sz w:val="24"/>
                <w:szCs w:val="24"/>
              </w:rPr>
              <w:t>12</w:t>
            </w:r>
            <w:r>
              <w:rPr>
                <w:snapToGrid w:val="0"/>
                <w:color w:val="000000"/>
                <w:kern w:val="0"/>
                <w:sz w:val="24"/>
                <w:szCs w:val="24"/>
              </w:rPr>
              <w:t>月末制造业贷款</w:t>
            </w:r>
            <w:r>
              <w:rPr>
                <w:rFonts w:hint="eastAsia"/>
                <w:snapToGrid w:val="0"/>
                <w:color w:val="000000"/>
                <w:kern w:val="0"/>
                <w:sz w:val="24"/>
                <w:szCs w:val="24"/>
              </w:rPr>
              <w:t>同比</w:t>
            </w:r>
            <w:r>
              <w:rPr>
                <w:snapToGrid w:val="0"/>
                <w:color w:val="000000"/>
                <w:kern w:val="0"/>
                <w:sz w:val="24"/>
                <w:szCs w:val="24"/>
              </w:rPr>
              <w:t>增幅最高的得</w:t>
            </w:r>
            <w:r>
              <w:rPr>
                <w:snapToGrid w:val="0"/>
                <w:color w:val="000000"/>
                <w:kern w:val="0"/>
                <w:sz w:val="24"/>
                <w:szCs w:val="24"/>
              </w:rPr>
              <w:t>3</w:t>
            </w:r>
            <w:r>
              <w:rPr>
                <w:snapToGrid w:val="0"/>
                <w:color w:val="000000"/>
                <w:kern w:val="0"/>
                <w:sz w:val="24"/>
                <w:szCs w:val="24"/>
              </w:rPr>
              <w:t>分，每退后一名扣</w:t>
            </w:r>
            <w:r>
              <w:rPr>
                <w:snapToGrid w:val="0"/>
                <w:color w:val="000000"/>
                <w:kern w:val="0"/>
                <w:sz w:val="24"/>
                <w:szCs w:val="24"/>
              </w:rPr>
              <w:t>0.1</w:t>
            </w:r>
            <w:r>
              <w:rPr>
                <w:snapToGrid w:val="0"/>
                <w:color w:val="000000"/>
                <w:kern w:val="0"/>
                <w:sz w:val="24"/>
                <w:szCs w:val="24"/>
              </w:rPr>
              <w:t>分，扣完为止</w:t>
            </w:r>
            <w:r>
              <w:rPr>
                <w:rFonts w:hint="eastAsia"/>
                <w:snapToGrid w:val="0"/>
                <w:color w:val="000000"/>
                <w:kern w:val="0"/>
                <w:sz w:val="24"/>
                <w:szCs w:val="24"/>
              </w:rPr>
              <w:t>，</w:t>
            </w:r>
            <w:r>
              <w:rPr>
                <w:snapToGrid w:val="0"/>
                <w:color w:val="000000"/>
                <w:kern w:val="0"/>
                <w:sz w:val="24"/>
                <w:szCs w:val="24"/>
              </w:rPr>
              <w:t>无增长不得分。</w:t>
            </w:r>
          </w:p>
        </w:tc>
      </w:tr>
      <w:tr w:rsidR="00E65F37">
        <w:trPr>
          <w:trHeight w:val="960"/>
        </w:trPr>
        <w:tc>
          <w:tcPr>
            <w:tcW w:w="97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rFonts w:hint="eastAsia"/>
                <w:snapToGrid w:val="0"/>
                <w:color w:val="000000"/>
                <w:kern w:val="0"/>
                <w:sz w:val="24"/>
                <w:szCs w:val="24"/>
              </w:rPr>
              <w:t>4</w:t>
            </w:r>
          </w:p>
        </w:tc>
        <w:tc>
          <w:tcPr>
            <w:tcW w:w="2023"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人才企业贷款</w:t>
            </w:r>
          </w:p>
        </w:tc>
        <w:tc>
          <w:tcPr>
            <w:tcW w:w="1115"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2</w:t>
            </w:r>
          </w:p>
        </w:tc>
        <w:tc>
          <w:tcPr>
            <w:tcW w:w="10624" w:type="dxa"/>
            <w:vAlign w:val="center"/>
          </w:tcPr>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3</w:t>
            </w:r>
            <w:r>
              <w:rPr>
                <w:snapToGrid w:val="0"/>
                <w:color w:val="000000"/>
                <w:kern w:val="0"/>
                <w:sz w:val="24"/>
                <w:szCs w:val="24"/>
              </w:rPr>
              <w:t>、</w:t>
            </w:r>
            <w:r>
              <w:rPr>
                <w:snapToGrid w:val="0"/>
                <w:color w:val="000000"/>
                <w:kern w:val="0"/>
                <w:sz w:val="24"/>
                <w:szCs w:val="24"/>
              </w:rPr>
              <w:t>6</w:t>
            </w:r>
            <w:r>
              <w:rPr>
                <w:snapToGrid w:val="0"/>
                <w:color w:val="000000"/>
                <w:kern w:val="0"/>
                <w:sz w:val="24"/>
                <w:szCs w:val="24"/>
              </w:rPr>
              <w:t>、</w:t>
            </w:r>
            <w:r>
              <w:rPr>
                <w:snapToGrid w:val="0"/>
                <w:color w:val="000000"/>
                <w:kern w:val="0"/>
                <w:sz w:val="24"/>
                <w:szCs w:val="24"/>
              </w:rPr>
              <w:t>9</w:t>
            </w:r>
            <w:r>
              <w:rPr>
                <w:snapToGrid w:val="0"/>
                <w:color w:val="000000"/>
                <w:kern w:val="0"/>
                <w:sz w:val="24"/>
                <w:szCs w:val="24"/>
              </w:rPr>
              <w:t>、</w:t>
            </w:r>
            <w:r>
              <w:rPr>
                <w:snapToGrid w:val="0"/>
                <w:color w:val="000000"/>
                <w:kern w:val="0"/>
                <w:sz w:val="24"/>
                <w:szCs w:val="24"/>
              </w:rPr>
              <w:t>12</w:t>
            </w:r>
            <w:r>
              <w:rPr>
                <w:snapToGrid w:val="0"/>
                <w:color w:val="000000"/>
                <w:kern w:val="0"/>
                <w:sz w:val="24"/>
                <w:szCs w:val="24"/>
              </w:rPr>
              <w:t>月末人才企业贷款增量最多的得</w:t>
            </w:r>
            <w:r>
              <w:rPr>
                <w:snapToGrid w:val="0"/>
                <w:color w:val="000000"/>
                <w:kern w:val="0"/>
                <w:sz w:val="24"/>
                <w:szCs w:val="24"/>
              </w:rPr>
              <w:t>2</w:t>
            </w:r>
            <w:r>
              <w:rPr>
                <w:snapToGrid w:val="0"/>
                <w:color w:val="000000"/>
                <w:kern w:val="0"/>
                <w:sz w:val="24"/>
                <w:szCs w:val="24"/>
              </w:rPr>
              <w:t>分，其余以增量最多的为标准值，按比例计分，无增量不得分。</w:t>
            </w:r>
          </w:p>
        </w:tc>
      </w:tr>
    </w:tbl>
    <w:p w:rsidR="00E65F37" w:rsidRDefault="00E65F37">
      <w:pPr>
        <w:adjustRightInd w:val="0"/>
        <w:snapToGrid w:val="0"/>
        <w:spacing w:line="500" w:lineRule="exact"/>
        <w:outlineLvl w:val="0"/>
        <w:rPr>
          <w:rFonts w:eastAsia="黑体"/>
          <w:snapToGrid w:val="0"/>
          <w:color w:val="000000"/>
          <w:kern w:val="0"/>
          <w:szCs w:val="32"/>
        </w:rPr>
      </w:pPr>
    </w:p>
    <w:p w:rsidR="00E65F37" w:rsidRDefault="00E65F37">
      <w:pPr>
        <w:adjustRightInd w:val="0"/>
        <w:snapToGrid w:val="0"/>
        <w:spacing w:line="500" w:lineRule="exact"/>
        <w:outlineLvl w:val="0"/>
        <w:rPr>
          <w:rFonts w:eastAsia="黑体"/>
          <w:snapToGrid w:val="0"/>
          <w:color w:val="000000"/>
          <w:kern w:val="0"/>
          <w:szCs w:val="32"/>
        </w:rPr>
      </w:pPr>
    </w:p>
    <w:p w:rsidR="00E65F37" w:rsidRDefault="00F16801">
      <w:pPr>
        <w:adjustRightInd w:val="0"/>
        <w:snapToGrid w:val="0"/>
        <w:spacing w:line="500" w:lineRule="exact"/>
        <w:outlineLvl w:val="0"/>
        <w:rPr>
          <w:rFonts w:eastAsia="黑体"/>
          <w:snapToGrid w:val="0"/>
          <w:color w:val="000000"/>
          <w:kern w:val="0"/>
          <w:szCs w:val="32"/>
        </w:rPr>
      </w:pPr>
      <w:r>
        <w:rPr>
          <w:rFonts w:eastAsia="黑体"/>
          <w:snapToGrid w:val="0"/>
          <w:color w:val="000000"/>
          <w:kern w:val="0"/>
          <w:szCs w:val="32"/>
        </w:rPr>
        <w:lastRenderedPageBreak/>
        <w:t>附件</w:t>
      </w:r>
      <w:r>
        <w:rPr>
          <w:rFonts w:eastAsia="黑体"/>
          <w:snapToGrid w:val="0"/>
          <w:color w:val="000000"/>
          <w:kern w:val="0"/>
          <w:szCs w:val="32"/>
        </w:rPr>
        <w:t>2</w:t>
      </w:r>
    </w:p>
    <w:p w:rsidR="00E65F37" w:rsidRDefault="00E65F37">
      <w:pPr>
        <w:tabs>
          <w:tab w:val="left" w:pos="1680"/>
        </w:tabs>
        <w:overflowPunct w:val="0"/>
        <w:adjustRightInd w:val="0"/>
        <w:snapToGrid w:val="0"/>
        <w:spacing w:line="400" w:lineRule="exact"/>
        <w:jc w:val="center"/>
        <w:rPr>
          <w:rFonts w:eastAsia="方正小标宋简体"/>
          <w:color w:val="000000"/>
          <w:sz w:val="44"/>
          <w:szCs w:val="44"/>
        </w:rPr>
      </w:pPr>
    </w:p>
    <w:p w:rsidR="00E65F37" w:rsidRDefault="00F16801">
      <w:pPr>
        <w:tabs>
          <w:tab w:val="left" w:pos="1680"/>
        </w:tabs>
        <w:overflowPunct w:val="0"/>
        <w:adjustRightInd w:val="0"/>
        <w:snapToGrid w:val="0"/>
        <w:spacing w:line="580" w:lineRule="exact"/>
        <w:jc w:val="center"/>
        <w:rPr>
          <w:rFonts w:eastAsia="方正小标宋简体"/>
          <w:color w:val="000000"/>
          <w:sz w:val="44"/>
          <w:szCs w:val="44"/>
        </w:rPr>
      </w:pPr>
      <w:r>
        <w:rPr>
          <w:rFonts w:eastAsia="方正小标宋简体"/>
          <w:color w:val="000000"/>
          <w:sz w:val="44"/>
          <w:szCs w:val="44"/>
        </w:rPr>
        <w:t>银行机构考核指标体系（年度）</w:t>
      </w:r>
    </w:p>
    <w:p w:rsidR="00E65F37" w:rsidRDefault="00E65F37">
      <w:pPr>
        <w:pStyle w:val="2"/>
        <w:spacing w:after="0" w:line="240" w:lineRule="exact"/>
        <w:ind w:left="640" w:firstLine="640"/>
      </w:pPr>
    </w:p>
    <w:tbl>
      <w:tblPr>
        <w:tblW w:w="14753"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1143"/>
        <w:gridCol w:w="1224"/>
        <w:gridCol w:w="1046"/>
        <w:gridCol w:w="10349"/>
      </w:tblGrid>
      <w:tr w:rsidR="00E65F37">
        <w:trPr>
          <w:trHeight w:val="431"/>
          <w:tblHeader/>
        </w:trPr>
        <w:tc>
          <w:tcPr>
            <w:tcW w:w="991" w:type="dxa"/>
            <w:tcMar>
              <w:top w:w="0" w:type="dxa"/>
              <w:left w:w="34" w:type="dxa"/>
              <w:bottom w:w="0" w:type="dxa"/>
              <w:right w:w="34" w:type="dxa"/>
            </w:tcMar>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序号</w:t>
            </w:r>
          </w:p>
        </w:tc>
        <w:tc>
          <w:tcPr>
            <w:tcW w:w="2367" w:type="dxa"/>
            <w:gridSpan w:val="2"/>
            <w:tcMar>
              <w:top w:w="0" w:type="dxa"/>
              <w:left w:w="34" w:type="dxa"/>
              <w:bottom w:w="0" w:type="dxa"/>
              <w:right w:w="34" w:type="dxa"/>
            </w:tcMar>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考核指标</w:t>
            </w:r>
          </w:p>
        </w:tc>
        <w:tc>
          <w:tcPr>
            <w:tcW w:w="1046" w:type="dxa"/>
            <w:tcMar>
              <w:top w:w="0" w:type="dxa"/>
              <w:left w:w="34" w:type="dxa"/>
              <w:bottom w:w="0" w:type="dxa"/>
              <w:right w:w="34" w:type="dxa"/>
            </w:tcMar>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基本分</w:t>
            </w:r>
          </w:p>
        </w:tc>
        <w:tc>
          <w:tcPr>
            <w:tcW w:w="10349" w:type="dxa"/>
            <w:tcMar>
              <w:top w:w="0" w:type="dxa"/>
              <w:left w:w="34" w:type="dxa"/>
              <w:bottom w:w="0" w:type="dxa"/>
              <w:right w:w="34" w:type="dxa"/>
            </w:tcMar>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评分标准</w:t>
            </w:r>
          </w:p>
        </w:tc>
      </w:tr>
      <w:tr w:rsidR="00E65F37">
        <w:trPr>
          <w:trHeight w:val="612"/>
        </w:trPr>
        <w:tc>
          <w:tcPr>
            <w:tcW w:w="991"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w:t>
            </w:r>
          </w:p>
        </w:tc>
        <w:tc>
          <w:tcPr>
            <w:tcW w:w="1143" w:type="dxa"/>
            <w:vMerge w:val="restart"/>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金融</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保障</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w:t>
            </w:r>
            <w:r>
              <w:rPr>
                <w:snapToGrid w:val="0"/>
                <w:color w:val="000000"/>
                <w:kern w:val="0"/>
                <w:sz w:val="24"/>
                <w:szCs w:val="24"/>
              </w:rPr>
              <w:t>45</w:t>
            </w:r>
            <w:r>
              <w:rPr>
                <w:snapToGrid w:val="0"/>
                <w:color w:val="000000"/>
                <w:kern w:val="0"/>
                <w:sz w:val="24"/>
                <w:szCs w:val="24"/>
              </w:rPr>
              <w:t>分）</w:t>
            </w:r>
          </w:p>
        </w:tc>
        <w:tc>
          <w:tcPr>
            <w:tcW w:w="1224"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存贷款</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增量</w:t>
            </w:r>
          </w:p>
        </w:tc>
        <w:tc>
          <w:tcPr>
            <w:tcW w:w="1046"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30</w:t>
            </w:r>
          </w:p>
        </w:tc>
        <w:tc>
          <w:tcPr>
            <w:tcW w:w="10349" w:type="dxa"/>
            <w:vAlign w:val="center"/>
          </w:tcPr>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年末贷款同比增量最多的得</w:t>
            </w:r>
            <w:r>
              <w:rPr>
                <w:snapToGrid w:val="0"/>
                <w:color w:val="000000"/>
                <w:kern w:val="0"/>
                <w:sz w:val="24"/>
                <w:szCs w:val="24"/>
              </w:rPr>
              <w:t>18</w:t>
            </w:r>
            <w:r>
              <w:rPr>
                <w:snapToGrid w:val="0"/>
                <w:color w:val="000000"/>
                <w:kern w:val="0"/>
                <w:sz w:val="24"/>
                <w:szCs w:val="24"/>
              </w:rPr>
              <w:t>分，其余以增量最多的为标准值，按比例计分，无增量不得分。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年末存款同比增量最多的得</w:t>
            </w:r>
            <w:r>
              <w:rPr>
                <w:snapToGrid w:val="0"/>
                <w:color w:val="000000"/>
                <w:kern w:val="0"/>
                <w:sz w:val="24"/>
                <w:szCs w:val="24"/>
              </w:rPr>
              <w:t>12</w:t>
            </w:r>
            <w:r>
              <w:rPr>
                <w:snapToGrid w:val="0"/>
                <w:color w:val="000000"/>
                <w:kern w:val="0"/>
                <w:sz w:val="24"/>
                <w:szCs w:val="24"/>
              </w:rPr>
              <w:t>分，其余以增量最多的为标准值，按比例计分，无增量不得分。</w:t>
            </w:r>
          </w:p>
        </w:tc>
      </w:tr>
      <w:tr w:rsidR="00E65F37">
        <w:trPr>
          <w:trHeight w:val="571"/>
        </w:trPr>
        <w:tc>
          <w:tcPr>
            <w:tcW w:w="991"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2</w:t>
            </w:r>
          </w:p>
        </w:tc>
        <w:tc>
          <w:tcPr>
            <w:tcW w:w="1143" w:type="dxa"/>
            <w:vMerge/>
            <w:vAlign w:val="center"/>
          </w:tcPr>
          <w:p w:rsidR="00E65F37" w:rsidRDefault="00E65F37">
            <w:pPr>
              <w:adjustRightInd w:val="0"/>
              <w:snapToGrid w:val="0"/>
              <w:spacing w:line="360" w:lineRule="exact"/>
              <w:jc w:val="center"/>
              <w:rPr>
                <w:snapToGrid w:val="0"/>
                <w:color w:val="000000"/>
                <w:kern w:val="0"/>
                <w:sz w:val="24"/>
                <w:szCs w:val="24"/>
              </w:rPr>
            </w:pPr>
          </w:p>
        </w:tc>
        <w:tc>
          <w:tcPr>
            <w:tcW w:w="1224"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存贷款</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增幅</w:t>
            </w:r>
          </w:p>
        </w:tc>
        <w:tc>
          <w:tcPr>
            <w:tcW w:w="1046"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15</w:t>
            </w:r>
          </w:p>
        </w:tc>
        <w:tc>
          <w:tcPr>
            <w:tcW w:w="10349" w:type="dxa"/>
            <w:vAlign w:val="center"/>
          </w:tcPr>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年末存贷款同比增幅达到全市平均水平的得</w:t>
            </w:r>
            <w:r>
              <w:rPr>
                <w:snapToGrid w:val="0"/>
                <w:color w:val="000000"/>
                <w:kern w:val="0"/>
                <w:sz w:val="24"/>
                <w:szCs w:val="24"/>
              </w:rPr>
              <w:t>10</w:t>
            </w:r>
            <w:r>
              <w:rPr>
                <w:snapToGrid w:val="0"/>
                <w:color w:val="000000"/>
                <w:kern w:val="0"/>
                <w:sz w:val="24"/>
                <w:szCs w:val="24"/>
              </w:rPr>
              <w:t>分，每增减一个百分点加或扣</w:t>
            </w:r>
            <w:r>
              <w:rPr>
                <w:snapToGrid w:val="0"/>
                <w:color w:val="000000"/>
                <w:kern w:val="0"/>
                <w:sz w:val="24"/>
                <w:szCs w:val="24"/>
              </w:rPr>
              <w:t>0.5</w:t>
            </w:r>
            <w:r>
              <w:rPr>
                <w:snapToGrid w:val="0"/>
                <w:color w:val="000000"/>
                <w:kern w:val="0"/>
                <w:sz w:val="24"/>
                <w:szCs w:val="24"/>
              </w:rPr>
              <w:t>分，扣完为止，无增长不得分。存贷款规模</w:t>
            </w:r>
            <w:r>
              <w:rPr>
                <w:rFonts w:hint="eastAsia"/>
                <w:snapToGrid w:val="0"/>
                <w:color w:val="000000"/>
                <w:kern w:val="0"/>
                <w:sz w:val="24"/>
                <w:szCs w:val="24"/>
              </w:rPr>
              <w:t>2000</w:t>
            </w:r>
            <w:r>
              <w:rPr>
                <w:rFonts w:hint="eastAsia"/>
                <w:snapToGrid w:val="0"/>
                <w:color w:val="000000"/>
                <w:kern w:val="0"/>
                <w:sz w:val="24"/>
                <w:szCs w:val="24"/>
              </w:rPr>
              <w:t>亿元（含）以上、</w:t>
            </w:r>
            <w:r>
              <w:rPr>
                <w:rFonts w:hint="eastAsia"/>
                <w:snapToGrid w:val="0"/>
                <w:color w:val="000000"/>
                <w:kern w:val="0"/>
                <w:sz w:val="24"/>
                <w:szCs w:val="24"/>
              </w:rPr>
              <w:t>1000</w:t>
            </w:r>
            <w:r>
              <w:rPr>
                <w:rFonts w:hint="eastAsia"/>
                <w:snapToGrid w:val="0"/>
                <w:color w:val="000000"/>
                <w:kern w:val="0"/>
                <w:sz w:val="24"/>
                <w:szCs w:val="24"/>
              </w:rPr>
              <w:t>亿元（含）至</w:t>
            </w:r>
            <w:r>
              <w:rPr>
                <w:rFonts w:hint="eastAsia"/>
                <w:snapToGrid w:val="0"/>
                <w:color w:val="000000"/>
                <w:kern w:val="0"/>
                <w:sz w:val="24"/>
                <w:szCs w:val="24"/>
              </w:rPr>
              <w:t>2000</w:t>
            </w:r>
            <w:r>
              <w:rPr>
                <w:rFonts w:hint="eastAsia"/>
                <w:snapToGrid w:val="0"/>
                <w:color w:val="000000"/>
                <w:kern w:val="0"/>
                <w:sz w:val="24"/>
                <w:szCs w:val="24"/>
              </w:rPr>
              <w:t>亿元、</w:t>
            </w:r>
            <w:r>
              <w:rPr>
                <w:rFonts w:hint="eastAsia"/>
                <w:snapToGrid w:val="0"/>
                <w:color w:val="000000"/>
                <w:kern w:val="0"/>
                <w:sz w:val="24"/>
                <w:szCs w:val="24"/>
              </w:rPr>
              <w:t>500</w:t>
            </w:r>
            <w:r>
              <w:rPr>
                <w:rFonts w:hint="eastAsia"/>
                <w:snapToGrid w:val="0"/>
                <w:color w:val="000000"/>
                <w:kern w:val="0"/>
                <w:sz w:val="24"/>
                <w:szCs w:val="24"/>
              </w:rPr>
              <w:t>亿元（含）至</w:t>
            </w:r>
            <w:r>
              <w:rPr>
                <w:rFonts w:hint="eastAsia"/>
                <w:snapToGrid w:val="0"/>
                <w:color w:val="000000"/>
                <w:kern w:val="0"/>
                <w:sz w:val="24"/>
                <w:szCs w:val="24"/>
              </w:rPr>
              <w:t>1000</w:t>
            </w:r>
            <w:r>
              <w:rPr>
                <w:rFonts w:hint="eastAsia"/>
                <w:snapToGrid w:val="0"/>
                <w:color w:val="000000"/>
                <w:kern w:val="0"/>
                <w:sz w:val="24"/>
                <w:szCs w:val="24"/>
              </w:rPr>
              <w:t>亿元、</w:t>
            </w:r>
            <w:r>
              <w:rPr>
                <w:snapToGrid w:val="0"/>
                <w:color w:val="000000"/>
                <w:kern w:val="0"/>
                <w:sz w:val="24"/>
                <w:szCs w:val="24"/>
              </w:rPr>
              <w:t>500</w:t>
            </w:r>
            <w:r>
              <w:rPr>
                <w:snapToGrid w:val="0"/>
                <w:color w:val="000000"/>
                <w:kern w:val="0"/>
                <w:sz w:val="24"/>
                <w:szCs w:val="24"/>
              </w:rPr>
              <w:t>亿元</w:t>
            </w:r>
            <w:r>
              <w:rPr>
                <w:rFonts w:hint="eastAsia"/>
                <w:snapToGrid w:val="0"/>
                <w:color w:val="000000"/>
                <w:kern w:val="0"/>
                <w:sz w:val="24"/>
                <w:szCs w:val="24"/>
              </w:rPr>
              <w:t>以下</w:t>
            </w:r>
            <w:r>
              <w:rPr>
                <w:snapToGrid w:val="0"/>
                <w:color w:val="000000"/>
                <w:kern w:val="0"/>
                <w:sz w:val="24"/>
                <w:szCs w:val="24"/>
              </w:rPr>
              <w:t>的银行，此项</w:t>
            </w:r>
            <w:r>
              <w:rPr>
                <w:rFonts w:hint="eastAsia"/>
                <w:snapToGrid w:val="0"/>
                <w:color w:val="000000"/>
                <w:kern w:val="0"/>
                <w:sz w:val="24"/>
                <w:szCs w:val="24"/>
              </w:rPr>
              <w:t>分别</w:t>
            </w:r>
            <w:r>
              <w:rPr>
                <w:snapToGrid w:val="0"/>
                <w:color w:val="000000"/>
                <w:kern w:val="0"/>
                <w:sz w:val="24"/>
                <w:szCs w:val="24"/>
              </w:rPr>
              <w:t>最多加</w:t>
            </w:r>
            <w:r>
              <w:rPr>
                <w:snapToGrid w:val="0"/>
                <w:color w:val="000000"/>
                <w:kern w:val="0"/>
                <w:sz w:val="24"/>
                <w:szCs w:val="24"/>
              </w:rPr>
              <w:t>5</w:t>
            </w:r>
            <w:r>
              <w:rPr>
                <w:snapToGrid w:val="0"/>
                <w:color w:val="000000"/>
                <w:kern w:val="0"/>
                <w:sz w:val="24"/>
                <w:szCs w:val="24"/>
              </w:rPr>
              <w:t>分</w:t>
            </w:r>
            <w:r>
              <w:rPr>
                <w:rFonts w:hint="eastAsia"/>
                <w:snapToGrid w:val="0"/>
                <w:color w:val="000000"/>
                <w:kern w:val="0"/>
                <w:sz w:val="24"/>
                <w:szCs w:val="24"/>
              </w:rPr>
              <w:t>、</w:t>
            </w:r>
            <w:r>
              <w:rPr>
                <w:rFonts w:hint="eastAsia"/>
                <w:snapToGrid w:val="0"/>
                <w:color w:val="000000"/>
                <w:kern w:val="0"/>
                <w:sz w:val="24"/>
                <w:szCs w:val="24"/>
              </w:rPr>
              <w:t>4</w:t>
            </w:r>
            <w:r>
              <w:rPr>
                <w:rFonts w:hint="eastAsia"/>
                <w:snapToGrid w:val="0"/>
                <w:color w:val="000000"/>
                <w:kern w:val="0"/>
                <w:sz w:val="24"/>
                <w:szCs w:val="24"/>
              </w:rPr>
              <w:t>分、</w:t>
            </w:r>
            <w:r>
              <w:rPr>
                <w:rFonts w:hint="eastAsia"/>
                <w:snapToGrid w:val="0"/>
                <w:color w:val="000000"/>
                <w:kern w:val="0"/>
                <w:sz w:val="24"/>
                <w:szCs w:val="24"/>
              </w:rPr>
              <w:t>3</w:t>
            </w:r>
            <w:r>
              <w:rPr>
                <w:rFonts w:hint="eastAsia"/>
                <w:snapToGrid w:val="0"/>
                <w:color w:val="000000"/>
                <w:kern w:val="0"/>
                <w:sz w:val="24"/>
                <w:szCs w:val="24"/>
              </w:rPr>
              <w:t>分、</w:t>
            </w:r>
            <w:r>
              <w:rPr>
                <w:rFonts w:hint="eastAsia"/>
                <w:snapToGrid w:val="0"/>
                <w:color w:val="000000"/>
                <w:kern w:val="0"/>
                <w:sz w:val="24"/>
                <w:szCs w:val="24"/>
              </w:rPr>
              <w:t>2</w:t>
            </w:r>
            <w:r>
              <w:rPr>
                <w:rFonts w:hint="eastAsia"/>
                <w:snapToGrid w:val="0"/>
                <w:color w:val="000000"/>
                <w:kern w:val="0"/>
                <w:sz w:val="24"/>
                <w:szCs w:val="24"/>
              </w:rPr>
              <w:t>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年末贷款同比增幅达到全市平均水平的得</w:t>
            </w:r>
            <w:r>
              <w:rPr>
                <w:snapToGrid w:val="0"/>
                <w:color w:val="000000"/>
                <w:kern w:val="0"/>
                <w:sz w:val="24"/>
                <w:szCs w:val="24"/>
              </w:rPr>
              <w:t>5</w:t>
            </w:r>
            <w:r>
              <w:rPr>
                <w:snapToGrid w:val="0"/>
                <w:color w:val="000000"/>
                <w:kern w:val="0"/>
                <w:sz w:val="24"/>
                <w:szCs w:val="24"/>
              </w:rPr>
              <w:t>分，每增减一个百分点加或扣</w:t>
            </w:r>
            <w:r>
              <w:rPr>
                <w:snapToGrid w:val="0"/>
                <w:color w:val="000000"/>
                <w:kern w:val="0"/>
                <w:sz w:val="24"/>
                <w:szCs w:val="24"/>
              </w:rPr>
              <w:t>0.5</w:t>
            </w:r>
            <w:r>
              <w:rPr>
                <w:snapToGrid w:val="0"/>
                <w:color w:val="000000"/>
                <w:kern w:val="0"/>
                <w:sz w:val="24"/>
                <w:szCs w:val="24"/>
              </w:rPr>
              <w:t>分，扣完为止，无增长不得分。贷款规模</w:t>
            </w:r>
            <w:r>
              <w:rPr>
                <w:rFonts w:hint="eastAsia"/>
                <w:snapToGrid w:val="0"/>
                <w:color w:val="000000"/>
                <w:kern w:val="0"/>
                <w:sz w:val="24"/>
                <w:szCs w:val="24"/>
              </w:rPr>
              <w:t>1000</w:t>
            </w:r>
            <w:r>
              <w:rPr>
                <w:rFonts w:hint="eastAsia"/>
                <w:snapToGrid w:val="0"/>
                <w:color w:val="000000"/>
                <w:kern w:val="0"/>
                <w:sz w:val="24"/>
                <w:szCs w:val="24"/>
              </w:rPr>
              <w:t>亿元（含）以上、</w:t>
            </w:r>
            <w:r>
              <w:rPr>
                <w:rFonts w:hint="eastAsia"/>
                <w:snapToGrid w:val="0"/>
                <w:color w:val="000000"/>
                <w:kern w:val="0"/>
                <w:sz w:val="24"/>
                <w:szCs w:val="24"/>
              </w:rPr>
              <w:t>500</w:t>
            </w:r>
            <w:r>
              <w:rPr>
                <w:rFonts w:hint="eastAsia"/>
                <w:snapToGrid w:val="0"/>
                <w:color w:val="000000"/>
                <w:kern w:val="0"/>
                <w:sz w:val="24"/>
                <w:szCs w:val="24"/>
              </w:rPr>
              <w:t>亿元（含）至</w:t>
            </w:r>
            <w:r>
              <w:rPr>
                <w:rFonts w:hint="eastAsia"/>
                <w:snapToGrid w:val="0"/>
                <w:color w:val="000000"/>
                <w:kern w:val="0"/>
                <w:sz w:val="24"/>
                <w:szCs w:val="24"/>
              </w:rPr>
              <w:t>1000</w:t>
            </w:r>
            <w:r>
              <w:rPr>
                <w:rFonts w:hint="eastAsia"/>
                <w:snapToGrid w:val="0"/>
                <w:color w:val="000000"/>
                <w:kern w:val="0"/>
                <w:sz w:val="24"/>
                <w:szCs w:val="24"/>
              </w:rPr>
              <w:t>亿元、</w:t>
            </w:r>
            <w:r>
              <w:rPr>
                <w:rFonts w:hint="eastAsia"/>
                <w:snapToGrid w:val="0"/>
                <w:color w:val="000000"/>
                <w:kern w:val="0"/>
                <w:sz w:val="24"/>
                <w:szCs w:val="24"/>
              </w:rPr>
              <w:t>2</w:t>
            </w:r>
            <w:r>
              <w:rPr>
                <w:snapToGrid w:val="0"/>
                <w:color w:val="000000"/>
                <w:kern w:val="0"/>
                <w:sz w:val="24"/>
                <w:szCs w:val="24"/>
              </w:rPr>
              <w:t>00</w:t>
            </w:r>
            <w:r>
              <w:rPr>
                <w:snapToGrid w:val="0"/>
                <w:color w:val="000000"/>
                <w:kern w:val="0"/>
                <w:sz w:val="24"/>
                <w:szCs w:val="24"/>
              </w:rPr>
              <w:t>亿元</w:t>
            </w:r>
            <w:r>
              <w:rPr>
                <w:rFonts w:hint="eastAsia"/>
                <w:snapToGrid w:val="0"/>
                <w:color w:val="000000"/>
                <w:kern w:val="0"/>
                <w:sz w:val="24"/>
                <w:szCs w:val="24"/>
              </w:rPr>
              <w:t>（含）</w:t>
            </w:r>
            <w:r>
              <w:rPr>
                <w:rFonts w:hint="eastAsia"/>
                <w:snapToGrid w:val="0"/>
                <w:color w:val="000000"/>
                <w:kern w:val="0"/>
                <w:sz w:val="24"/>
                <w:szCs w:val="24"/>
              </w:rPr>
              <w:t>-500</w:t>
            </w:r>
            <w:r>
              <w:rPr>
                <w:rFonts w:hint="eastAsia"/>
                <w:snapToGrid w:val="0"/>
                <w:color w:val="000000"/>
                <w:kern w:val="0"/>
                <w:sz w:val="24"/>
                <w:szCs w:val="24"/>
              </w:rPr>
              <w:t>亿元、</w:t>
            </w:r>
            <w:r>
              <w:rPr>
                <w:rFonts w:hint="eastAsia"/>
                <w:snapToGrid w:val="0"/>
                <w:color w:val="000000"/>
                <w:kern w:val="0"/>
                <w:sz w:val="24"/>
                <w:szCs w:val="24"/>
              </w:rPr>
              <w:t>200</w:t>
            </w:r>
            <w:r>
              <w:rPr>
                <w:rFonts w:hint="eastAsia"/>
                <w:snapToGrid w:val="0"/>
                <w:color w:val="000000"/>
                <w:kern w:val="0"/>
                <w:sz w:val="24"/>
                <w:szCs w:val="24"/>
              </w:rPr>
              <w:t>亿元以下</w:t>
            </w:r>
            <w:r>
              <w:rPr>
                <w:snapToGrid w:val="0"/>
                <w:color w:val="000000"/>
                <w:kern w:val="0"/>
                <w:sz w:val="24"/>
                <w:szCs w:val="24"/>
              </w:rPr>
              <w:t>的银行，此项</w:t>
            </w:r>
            <w:r>
              <w:rPr>
                <w:rFonts w:hint="eastAsia"/>
                <w:snapToGrid w:val="0"/>
                <w:color w:val="000000"/>
                <w:kern w:val="0"/>
                <w:sz w:val="24"/>
                <w:szCs w:val="24"/>
              </w:rPr>
              <w:t>分别</w:t>
            </w:r>
            <w:r>
              <w:rPr>
                <w:snapToGrid w:val="0"/>
                <w:color w:val="000000"/>
                <w:kern w:val="0"/>
                <w:sz w:val="24"/>
                <w:szCs w:val="24"/>
              </w:rPr>
              <w:t>最多加</w:t>
            </w:r>
            <w:r>
              <w:rPr>
                <w:snapToGrid w:val="0"/>
                <w:color w:val="000000"/>
                <w:kern w:val="0"/>
                <w:sz w:val="24"/>
                <w:szCs w:val="24"/>
              </w:rPr>
              <w:t>5</w:t>
            </w:r>
            <w:r>
              <w:rPr>
                <w:snapToGrid w:val="0"/>
                <w:color w:val="000000"/>
                <w:kern w:val="0"/>
                <w:sz w:val="24"/>
                <w:szCs w:val="24"/>
              </w:rPr>
              <w:t>分</w:t>
            </w:r>
            <w:r>
              <w:rPr>
                <w:rFonts w:hint="eastAsia"/>
                <w:snapToGrid w:val="0"/>
                <w:color w:val="000000"/>
                <w:kern w:val="0"/>
                <w:sz w:val="24"/>
                <w:szCs w:val="24"/>
              </w:rPr>
              <w:t>、</w:t>
            </w:r>
            <w:r>
              <w:rPr>
                <w:rFonts w:hint="eastAsia"/>
                <w:snapToGrid w:val="0"/>
                <w:color w:val="000000"/>
                <w:kern w:val="0"/>
                <w:sz w:val="24"/>
                <w:szCs w:val="24"/>
              </w:rPr>
              <w:t>4</w:t>
            </w:r>
            <w:r>
              <w:rPr>
                <w:rFonts w:hint="eastAsia"/>
                <w:snapToGrid w:val="0"/>
                <w:color w:val="000000"/>
                <w:kern w:val="0"/>
                <w:sz w:val="24"/>
                <w:szCs w:val="24"/>
              </w:rPr>
              <w:t>分、</w:t>
            </w:r>
            <w:r>
              <w:rPr>
                <w:rFonts w:hint="eastAsia"/>
                <w:snapToGrid w:val="0"/>
                <w:color w:val="000000"/>
                <w:kern w:val="0"/>
                <w:sz w:val="24"/>
                <w:szCs w:val="24"/>
              </w:rPr>
              <w:t>3</w:t>
            </w:r>
            <w:r>
              <w:rPr>
                <w:rFonts w:hint="eastAsia"/>
                <w:snapToGrid w:val="0"/>
                <w:color w:val="000000"/>
                <w:kern w:val="0"/>
                <w:sz w:val="24"/>
                <w:szCs w:val="24"/>
              </w:rPr>
              <w:t>分、</w:t>
            </w:r>
            <w:r>
              <w:rPr>
                <w:rFonts w:hint="eastAsia"/>
                <w:snapToGrid w:val="0"/>
                <w:color w:val="000000"/>
                <w:kern w:val="0"/>
                <w:sz w:val="24"/>
                <w:szCs w:val="24"/>
              </w:rPr>
              <w:t>2</w:t>
            </w:r>
            <w:r>
              <w:rPr>
                <w:rFonts w:hint="eastAsia"/>
                <w:snapToGrid w:val="0"/>
                <w:color w:val="000000"/>
                <w:kern w:val="0"/>
                <w:sz w:val="24"/>
                <w:szCs w:val="24"/>
              </w:rPr>
              <w:t>分。</w:t>
            </w:r>
          </w:p>
        </w:tc>
      </w:tr>
      <w:tr w:rsidR="00E65F37">
        <w:trPr>
          <w:trHeight w:val="567"/>
        </w:trPr>
        <w:tc>
          <w:tcPr>
            <w:tcW w:w="991"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3</w:t>
            </w:r>
          </w:p>
        </w:tc>
        <w:tc>
          <w:tcPr>
            <w:tcW w:w="1143" w:type="dxa"/>
            <w:vMerge w:val="restart"/>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信贷</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投向</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w:t>
            </w:r>
            <w:r>
              <w:rPr>
                <w:snapToGrid w:val="0"/>
                <w:color w:val="000000"/>
                <w:kern w:val="0"/>
                <w:sz w:val="24"/>
                <w:szCs w:val="24"/>
              </w:rPr>
              <w:t>40</w:t>
            </w:r>
            <w:r>
              <w:rPr>
                <w:snapToGrid w:val="0"/>
                <w:color w:val="000000"/>
                <w:kern w:val="0"/>
                <w:sz w:val="24"/>
                <w:szCs w:val="24"/>
              </w:rPr>
              <w:t>分）</w:t>
            </w:r>
          </w:p>
        </w:tc>
        <w:tc>
          <w:tcPr>
            <w:tcW w:w="1224"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制造业</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贷款</w:t>
            </w:r>
          </w:p>
        </w:tc>
        <w:tc>
          <w:tcPr>
            <w:tcW w:w="1046"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10</w:t>
            </w:r>
          </w:p>
        </w:tc>
        <w:tc>
          <w:tcPr>
            <w:tcW w:w="10349" w:type="dxa"/>
            <w:vAlign w:val="center"/>
          </w:tcPr>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年末制造业贷款同比增量最多的得</w:t>
            </w:r>
            <w:r>
              <w:rPr>
                <w:snapToGrid w:val="0"/>
                <w:color w:val="000000"/>
                <w:kern w:val="0"/>
                <w:sz w:val="24"/>
                <w:szCs w:val="24"/>
              </w:rPr>
              <w:t>8</w:t>
            </w:r>
            <w:r>
              <w:rPr>
                <w:snapToGrid w:val="0"/>
                <w:color w:val="000000"/>
                <w:kern w:val="0"/>
                <w:sz w:val="24"/>
                <w:szCs w:val="24"/>
              </w:rPr>
              <w:t>分，其余以增量最多的为标准值，按比例计分，无增量不得分。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年末制造业贷款同比增幅最高的得</w:t>
            </w:r>
            <w:r>
              <w:rPr>
                <w:snapToGrid w:val="0"/>
                <w:color w:val="000000"/>
                <w:kern w:val="0"/>
                <w:sz w:val="24"/>
                <w:szCs w:val="24"/>
              </w:rPr>
              <w:t>2</w:t>
            </w:r>
            <w:r>
              <w:rPr>
                <w:snapToGrid w:val="0"/>
                <w:color w:val="000000"/>
                <w:kern w:val="0"/>
                <w:sz w:val="24"/>
                <w:szCs w:val="24"/>
              </w:rPr>
              <w:t>分，每退后一名扣</w:t>
            </w:r>
            <w:r>
              <w:rPr>
                <w:snapToGrid w:val="0"/>
                <w:color w:val="000000"/>
                <w:kern w:val="0"/>
                <w:sz w:val="24"/>
                <w:szCs w:val="24"/>
              </w:rPr>
              <w:t>0.1</w:t>
            </w:r>
            <w:r>
              <w:rPr>
                <w:snapToGrid w:val="0"/>
                <w:color w:val="000000"/>
                <w:kern w:val="0"/>
                <w:sz w:val="24"/>
                <w:szCs w:val="24"/>
              </w:rPr>
              <w:t>分，扣完为止，无增长不得分。</w:t>
            </w:r>
          </w:p>
        </w:tc>
      </w:tr>
      <w:tr w:rsidR="00E65F37">
        <w:trPr>
          <w:trHeight w:val="90"/>
        </w:trPr>
        <w:tc>
          <w:tcPr>
            <w:tcW w:w="991"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4</w:t>
            </w:r>
          </w:p>
        </w:tc>
        <w:tc>
          <w:tcPr>
            <w:tcW w:w="1143" w:type="dxa"/>
            <w:vMerge/>
            <w:vAlign w:val="center"/>
          </w:tcPr>
          <w:p w:rsidR="00E65F37" w:rsidRDefault="00E65F37">
            <w:pPr>
              <w:adjustRightInd w:val="0"/>
              <w:snapToGrid w:val="0"/>
              <w:spacing w:line="360" w:lineRule="exact"/>
              <w:jc w:val="center"/>
              <w:rPr>
                <w:snapToGrid w:val="0"/>
                <w:color w:val="000000"/>
                <w:kern w:val="0"/>
                <w:sz w:val="24"/>
                <w:szCs w:val="24"/>
              </w:rPr>
            </w:pPr>
          </w:p>
        </w:tc>
        <w:tc>
          <w:tcPr>
            <w:tcW w:w="1224"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普惠</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金融</w:t>
            </w:r>
          </w:p>
        </w:tc>
        <w:tc>
          <w:tcPr>
            <w:tcW w:w="1046"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10</w:t>
            </w:r>
          </w:p>
        </w:tc>
        <w:tc>
          <w:tcPr>
            <w:tcW w:w="10349" w:type="dxa"/>
            <w:vAlign w:val="center"/>
          </w:tcPr>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w:t>
            </w:r>
            <w:r>
              <w:rPr>
                <w:rFonts w:hint="eastAsia"/>
                <w:snapToGrid w:val="0"/>
                <w:color w:val="000000"/>
                <w:kern w:val="0"/>
                <w:sz w:val="24"/>
                <w:szCs w:val="24"/>
              </w:rPr>
              <w:t>普惠</w:t>
            </w:r>
            <w:r>
              <w:rPr>
                <w:snapToGrid w:val="0"/>
                <w:color w:val="000000"/>
                <w:kern w:val="0"/>
                <w:sz w:val="24"/>
                <w:szCs w:val="24"/>
              </w:rPr>
              <w:t>小微企业贷款同比增量最多的得</w:t>
            </w:r>
            <w:r>
              <w:rPr>
                <w:snapToGrid w:val="0"/>
                <w:color w:val="000000"/>
                <w:kern w:val="0"/>
                <w:sz w:val="24"/>
                <w:szCs w:val="24"/>
              </w:rPr>
              <w:t>3</w:t>
            </w:r>
            <w:r>
              <w:rPr>
                <w:snapToGrid w:val="0"/>
                <w:color w:val="000000"/>
                <w:kern w:val="0"/>
                <w:sz w:val="24"/>
                <w:szCs w:val="24"/>
              </w:rPr>
              <w:t>分，其余以增量最多的为标准值，按比例计分，无增量不得分。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w:t>
            </w:r>
            <w:r>
              <w:rPr>
                <w:rFonts w:hint="eastAsia"/>
                <w:snapToGrid w:val="0"/>
                <w:color w:val="000000"/>
                <w:kern w:val="0"/>
                <w:sz w:val="24"/>
                <w:szCs w:val="24"/>
              </w:rPr>
              <w:t>普惠</w:t>
            </w:r>
            <w:r>
              <w:rPr>
                <w:snapToGrid w:val="0"/>
                <w:color w:val="000000"/>
                <w:kern w:val="0"/>
                <w:sz w:val="24"/>
                <w:szCs w:val="24"/>
              </w:rPr>
              <w:t>小微企业贷款同比增幅最高的得</w:t>
            </w:r>
            <w:r>
              <w:rPr>
                <w:snapToGrid w:val="0"/>
                <w:color w:val="000000"/>
                <w:kern w:val="0"/>
                <w:sz w:val="24"/>
                <w:szCs w:val="24"/>
              </w:rPr>
              <w:t>2</w:t>
            </w:r>
            <w:r>
              <w:rPr>
                <w:snapToGrid w:val="0"/>
                <w:color w:val="000000"/>
                <w:kern w:val="0"/>
                <w:sz w:val="24"/>
                <w:szCs w:val="24"/>
              </w:rPr>
              <w:t>分，每退后一名扣</w:t>
            </w:r>
            <w:r>
              <w:rPr>
                <w:snapToGrid w:val="0"/>
                <w:color w:val="000000"/>
                <w:kern w:val="0"/>
                <w:sz w:val="24"/>
                <w:szCs w:val="24"/>
              </w:rPr>
              <w:t>0.1</w:t>
            </w:r>
            <w:r>
              <w:rPr>
                <w:snapToGrid w:val="0"/>
                <w:color w:val="000000"/>
                <w:kern w:val="0"/>
                <w:sz w:val="24"/>
                <w:szCs w:val="24"/>
              </w:rPr>
              <w:t>分，扣完为止，无增长不得分。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年末涉农贷款同比增量最多的得</w:t>
            </w:r>
            <w:r>
              <w:rPr>
                <w:snapToGrid w:val="0"/>
                <w:color w:val="000000"/>
                <w:kern w:val="0"/>
                <w:sz w:val="24"/>
                <w:szCs w:val="24"/>
              </w:rPr>
              <w:t>3</w:t>
            </w:r>
            <w:r>
              <w:rPr>
                <w:snapToGrid w:val="0"/>
                <w:color w:val="000000"/>
                <w:kern w:val="0"/>
                <w:sz w:val="24"/>
                <w:szCs w:val="24"/>
              </w:rPr>
              <w:t>分，其余以增量最多的为标准值，按比例计分，无增量不得分。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年末涉农贷款同比增幅最高的得</w:t>
            </w:r>
            <w:r>
              <w:rPr>
                <w:snapToGrid w:val="0"/>
                <w:color w:val="000000"/>
                <w:kern w:val="0"/>
                <w:sz w:val="24"/>
                <w:szCs w:val="24"/>
              </w:rPr>
              <w:t>2</w:t>
            </w:r>
            <w:r>
              <w:rPr>
                <w:snapToGrid w:val="0"/>
                <w:color w:val="000000"/>
                <w:kern w:val="0"/>
                <w:sz w:val="24"/>
                <w:szCs w:val="24"/>
              </w:rPr>
              <w:t>分，每退后一名扣</w:t>
            </w:r>
            <w:r>
              <w:rPr>
                <w:snapToGrid w:val="0"/>
                <w:color w:val="000000"/>
                <w:kern w:val="0"/>
                <w:sz w:val="24"/>
                <w:szCs w:val="24"/>
              </w:rPr>
              <w:t>0.1</w:t>
            </w:r>
            <w:r>
              <w:rPr>
                <w:snapToGrid w:val="0"/>
                <w:color w:val="000000"/>
                <w:kern w:val="0"/>
                <w:sz w:val="24"/>
                <w:szCs w:val="24"/>
              </w:rPr>
              <w:t>分，扣完为止，无增长不得分。</w:t>
            </w:r>
          </w:p>
        </w:tc>
      </w:tr>
      <w:tr w:rsidR="00E65F37">
        <w:trPr>
          <w:trHeight w:val="609"/>
        </w:trPr>
        <w:tc>
          <w:tcPr>
            <w:tcW w:w="991"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5</w:t>
            </w:r>
          </w:p>
        </w:tc>
        <w:tc>
          <w:tcPr>
            <w:tcW w:w="1143" w:type="dxa"/>
            <w:vMerge/>
            <w:vAlign w:val="center"/>
          </w:tcPr>
          <w:p w:rsidR="00E65F37" w:rsidRDefault="00E65F37">
            <w:pPr>
              <w:adjustRightInd w:val="0"/>
              <w:snapToGrid w:val="0"/>
              <w:spacing w:line="360" w:lineRule="exact"/>
              <w:jc w:val="center"/>
              <w:rPr>
                <w:snapToGrid w:val="0"/>
                <w:color w:val="000000"/>
                <w:kern w:val="0"/>
                <w:sz w:val="24"/>
                <w:szCs w:val="24"/>
              </w:rPr>
            </w:pPr>
          </w:p>
        </w:tc>
        <w:tc>
          <w:tcPr>
            <w:tcW w:w="1224"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政府性融资担保</w:t>
            </w:r>
          </w:p>
        </w:tc>
        <w:tc>
          <w:tcPr>
            <w:tcW w:w="1046"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rFonts w:hint="eastAsia"/>
                <w:snapToGrid w:val="0"/>
                <w:color w:val="000000"/>
                <w:kern w:val="0"/>
                <w:sz w:val="24"/>
                <w:szCs w:val="24"/>
              </w:rPr>
              <w:t>8</w:t>
            </w:r>
          </w:p>
        </w:tc>
        <w:tc>
          <w:tcPr>
            <w:tcW w:w="10349" w:type="dxa"/>
            <w:vAlign w:val="center"/>
          </w:tcPr>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年末政府性融资担保贷款同比增量最多的得</w:t>
            </w:r>
            <w:r>
              <w:rPr>
                <w:rFonts w:hint="eastAsia"/>
                <w:snapToGrid w:val="0"/>
                <w:color w:val="000000"/>
                <w:kern w:val="0"/>
                <w:sz w:val="24"/>
                <w:szCs w:val="24"/>
              </w:rPr>
              <w:t>4</w:t>
            </w:r>
            <w:r>
              <w:rPr>
                <w:snapToGrid w:val="0"/>
                <w:color w:val="000000"/>
                <w:kern w:val="0"/>
                <w:sz w:val="24"/>
                <w:szCs w:val="24"/>
              </w:rPr>
              <w:t>分，其余以增量最多的为标准值，按比例计分，无增量不得分。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年末政府性融资担保在保余额最多的得</w:t>
            </w:r>
            <w:r>
              <w:rPr>
                <w:rFonts w:hint="eastAsia"/>
                <w:snapToGrid w:val="0"/>
                <w:color w:val="000000"/>
                <w:kern w:val="0"/>
                <w:sz w:val="24"/>
                <w:szCs w:val="24"/>
              </w:rPr>
              <w:t>4</w:t>
            </w:r>
            <w:r>
              <w:rPr>
                <w:snapToGrid w:val="0"/>
                <w:color w:val="000000"/>
                <w:kern w:val="0"/>
                <w:sz w:val="24"/>
                <w:szCs w:val="24"/>
              </w:rPr>
              <w:t>分，其余以在保余额最多的为标准值，按比例计分。</w:t>
            </w:r>
          </w:p>
        </w:tc>
      </w:tr>
      <w:tr w:rsidR="00E65F37">
        <w:trPr>
          <w:trHeight w:val="524"/>
        </w:trPr>
        <w:tc>
          <w:tcPr>
            <w:tcW w:w="991"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lastRenderedPageBreak/>
              <w:t>6</w:t>
            </w:r>
          </w:p>
        </w:tc>
        <w:tc>
          <w:tcPr>
            <w:tcW w:w="1143" w:type="dxa"/>
            <w:vMerge/>
            <w:vAlign w:val="center"/>
          </w:tcPr>
          <w:p w:rsidR="00E65F37" w:rsidRDefault="00E65F37">
            <w:pPr>
              <w:adjustRightInd w:val="0"/>
              <w:snapToGrid w:val="0"/>
              <w:spacing w:line="360" w:lineRule="exact"/>
              <w:jc w:val="center"/>
              <w:rPr>
                <w:snapToGrid w:val="0"/>
                <w:color w:val="000000"/>
                <w:kern w:val="0"/>
                <w:sz w:val="24"/>
                <w:szCs w:val="24"/>
              </w:rPr>
            </w:pPr>
          </w:p>
        </w:tc>
        <w:tc>
          <w:tcPr>
            <w:tcW w:w="1224"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绿色</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贷款</w:t>
            </w:r>
          </w:p>
        </w:tc>
        <w:tc>
          <w:tcPr>
            <w:tcW w:w="1046"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5</w:t>
            </w:r>
          </w:p>
        </w:tc>
        <w:tc>
          <w:tcPr>
            <w:tcW w:w="10349" w:type="dxa"/>
            <w:vAlign w:val="center"/>
          </w:tcPr>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年末绿色贷款同比增量最多的得</w:t>
            </w:r>
            <w:r>
              <w:rPr>
                <w:snapToGrid w:val="0"/>
                <w:color w:val="000000"/>
                <w:kern w:val="0"/>
                <w:sz w:val="24"/>
                <w:szCs w:val="24"/>
              </w:rPr>
              <w:t>3</w:t>
            </w:r>
            <w:r>
              <w:rPr>
                <w:snapToGrid w:val="0"/>
                <w:color w:val="000000"/>
                <w:kern w:val="0"/>
                <w:sz w:val="24"/>
                <w:szCs w:val="24"/>
              </w:rPr>
              <w:t>分，其余以增量最多的为标准值，按比例计分，无增量不得分。</w:t>
            </w:r>
          </w:p>
          <w:p w:rsidR="00E65F37" w:rsidRDefault="00F16801">
            <w:pPr>
              <w:adjustRightInd w:val="0"/>
              <w:snapToGrid w:val="0"/>
              <w:spacing w:line="360" w:lineRule="exact"/>
              <w:jc w:val="left"/>
              <w:rPr>
                <w:snapToGrid w:val="0"/>
                <w:color w:val="000000"/>
                <w:kern w:val="0"/>
                <w:sz w:val="24"/>
                <w:szCs w:val="24"/>
              </w:rPr>
            </w:pPr>
            <w:r>
              <w:rPr>
                <w:snapToGrid w:val="0"/>
                <w:color w:val="000000"/>
                <w:kern w:val="0"/>
                <w:sz w:val="24"/>
                <w:szCs w:val="24"/>
              </w:rPr>
              <w:t>年末绿色贷款同比增幅最高的得</w:t>
            </w:r>
            <w:r>
              <w:rPr>
                <w:snapToGrid w:val="0"/>
                <w:color w:val="000000"/>
                <w:kern w:val="0"/>
                <w:sz w:val="24"/>
                <w:szCs w:val="24"/>
              </w:rPr>
              <w:t>2</w:t>
            </w:r>
            <w:r>
              <w:rPr>
                <w:snapToGrid w:val="0"/>
                <w:color w:val="000000"/>
                <w:kern w:val="0"/>
                <w:sz w:val="24"/>
                <w:szCs w:val="24"/>
              </w:rPr>
              <w:t>分，每退后一名扣</w:t>
            </w:r>
            <w:r>
              <w:rPr>
                <w:snapToGrid w:val="0"/>
                <w:color w:val="000000"/>
                <w:kern w:val="0"/>
                <w:sz w:val="24"/>
                <w:szCs w:val="24"/>
              </w:rPr>
              <w:t>0.1</w:t>
            </w:r>
            <w:r>
              <w:rPr>
                <w:snapToGrid w:val="0"/>
                <w:color w:val="000000"/>
                <w:kern w:val="0"/>
                <w:sz w:val="24"/>
                <w:szCs w:val="24"/>
              </w:rPr>
              <w:t>分，扣完为止，无增长不得分。</w:t>
            </w:r>
          </w:p>
        </w:tc>
      </w:tr>
      <w:tr w:rsidR="00E65F37">
        <w:trPr>
          <w:trHeight w:val="524"/>
        </w:trPr>
        <w:tc>
          <w:tcPr>
            <w:tcW w:w="991"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7</w:t>
            </w:r>
          </w:p>
        </w:tc>
        <w:tc>
          <w:tcPr>
            <w:tcW w:w="1143" w:type="dxa"/>
            <w:vMerge/>
            <w:vAlign w:val="center"/>
          </w:tcPr>
          <w:p w:rsidR="00E65F37" w:rsidRDefault="00E65F37">
            <w:pPr>
              <w:adjustRightInd w:val="0"/>
              <w:snapToGrid w:val="0"/>
              <w:spacing w:line="360" w:lineRule="exact"/>
              <w:jc w:val="center"/>
              <w:rPr>
                <w:snapToGrid w:val="0"/>
                <w:color w:val="000000"/>
                <w:kern w:val="0"/>
                <w:sz w:val="24"/>
                <w:szCs w:val="24"/>
              </w:rPr>
            </w:pPr>
          </w:p>
        </w:tc>
        <w:tc>
          <w:tcPr>
            <w:tcW w:w="1224"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人才企业贷款</w:t>
            </w:r>
          </w:p>
        </w:tc>
        <w:tc>
          <w:tcPr>
            <w:tcW w:w="1046"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5</w:t>
            </w:r>
          </w:p>
        </w:tc>
        <w:tc>
          <w:tcPr>
            <w:tcW w:w="10349"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全年人才企业贷款增量最多的得</w:t>
            </w:r>
            <w:r>
              <w:rPr>
                <w:snapToGrid w:val="0"/>
                <w:color w:val="000000"/>
                <w:kern w:val="0"/>
                <w:sz w:val="24"/>
                <w:szCs w:val="24"/>
              </w:rPr>
              <w:t>5</w:t>
            </w:r>
            <w:r>
              <w:rPr>
                <w:snapToGrid w:val="0"/>
                <w:color w:val="000000"/>
                <w:kern w:val="0"/>
                <w:sz w:val="24"/>
                <w:szCs w:val="24"/>
              </w:rPr>
              <w:t>分，其余以增量最多的为标准值，按比例计分，无增量不得分。</w:t>
            </w:r>
          </w:p>
        </w:tc>
      </w:tr>
      <w:tr w:rsidR="00E65F37">
        <w:trPr>
          <w:trHeight w:val="405"/>
        </w:trPr>
        <w:tc>
          <w:tcPr>
            <w:tcW w:w="991" w:type="dxa"/>
            <w:vAlign w:val="center"/>
          </w:tcPr>
          <w:p w:rsidR="00E65F37" w:rsidRDefault="00F16801">
            <w:pPr>
              <w:adjustRightInd w:val="0"/>
              <w:snapToGrid w:val="0"/>
              <w:spacing w:line="360" w:lineRule="exact"/>
              <w:jc w:val="center"/>
              <w:rPr>
                <w:snapToGrid w:val="0"/>
                <w:color w:val="000000"/>
                <w:kern w:val="0"/>
                <w:sz w:val="24"/>
                <w:szCs w:val="24"/>
              </w:rPr>
            </w:pPr>
            <w:r>
              <w:rPr>
                <w:rFonts w:hint="eastAsia"/>
                <w:snapToGrid w:val="0"/>
                <w:color w:val="000000"/>
                <w:kern w:val="0"/>
                <w:sz w:val="24"/>
                <w:szCs w:val="24"/>
              </w:rPr>
              <w:t>8</w:t>
            </w:r>
          </w:p>
        </w:tc>
        <w:tc>
          <w:tcPr>
            <w:tcW w:w="1143" w:type="dxa"/>
            <w:vMerge/>
            <w:vAlign w:val="center"/>
          </w:tcPr>
          <w:p w:rsidR="00E65F37" w:rsidRDefault="00E65F37">
            <w:pPr>
              <w:adjustRightInd w:val="0"/>
              <w:snapToGrid w:val="0"/>
              <w:spacing w:line="360" w:lineRule="exact"/>
              <w:jc w:val="center"/>
              <w:rPr>
                <w:snapToGrid w:val="0"/>
                <w:color w:val="000000"/>
                <w:kern w:val="0"/>
                <w:sz w:val="24"/>
                <w:szCs w:val="24"/>
              </w:rPr>
            </w:pPr>
          </w:p>
        </w:tc>
        <w:tc>
          <w:tcPr>
            <w:tcW w:w="1224"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支持外贸经济发展</w:t>
            </w:r>
          </w:p>
        </w:tc>
        <w:tc>
          <w:tcPr>
            <w:tcW w:w="1046"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2</w:t>
            </w:r>
          </w:p>
        </w:tc>
        <w:tc>
          <w:tcPr>
            <w:tcW w:w="10349"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开展越贸贷业务，当年新增额最大的得</w:t>
            </w:r>
            <w:r>
              <w:rPr>
                <w:snapToGrid w:val="0"/>
                <w:color w:val="000000"/>
                <w:kern w:val="0"/>
                <w:sz w:val="24"/>
                <w:szCs w:val="24"/>
              </w:rPr>
              <w:t>2</w:t>
            </w:r>
            <w:r>
              <w:rPr>
                <w:snapToGrid w:val="0"/>
                <w:color w:val="000000"/>
                <w:kern w:val="0"/>
                <w:sz w:val="24"/>
                <w:szCs w:val="24"/>
              </w:rPr>
              <w:t>分，其余以最大的为标准值，按比例计分。</w:t>
            </w:r>
          </w:p>
        </w:tc>
      </w:tr>
      <w:tr w:rsidR="00E65F37" w:rsidRPr="000E579F">
        <w:trPr>
          <w:trHeight w:val="405"/>
        </w:trPr>
        <w:tc>
          <w:tcPr>
            <w:tcW w:w="991"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9</w:t>
            </w:r>
          </w:p>
        </w:tc>
        <w:tc>
          <w:tcPr>
            <w:tcW w:w="1143" w:type="dxa"/>
            <w:vMerge w:val="restart"/>
            <w:vAlign w:val="center"/>
          </w:tcPr>
          <w:p w:rsidR="00E65F37" w:rsidRDefault="00F16801">
            <w:pPr>
              <w:adjustRightInd w:val="0"/>
              <w:snapToGrid w:val="0"/>
              <w:spacing w:line="360" w:lineRule="exact"/>
              <w:jc w:val="center"/>
              <w:rPr>
                <w:snapToGrid w:val="0"/>
                <w:color w:val="000000"/>
                <w:kern w:val="0"/>
                <w:sz w:val="24"/>
                <w:szCs w:val="24"/>
              </w:rPr>
            </w:pPr>
            <w:r>
              <w:rPr>
                <w:rFonts w:hint="eastAsia"/>
                <w:snapToGrid w:val="0"/>
                <w:color w:val="000000"/>
                <w:kern w:val="0"/>
                <w:sz w:val="24"/>
                <w:szCs w:val="24"/>
              </w:rPr>
              <w:t>不良</w:t>
            </w:r>
          </w:p>
          <w:p w:rsidR="00E65F37" w:rsidRDefault="00F16801">
            <w:pPr>
              <w:adjustRightInd w:val="0"/>
              <w:snapToGrid w:val="0"/>
              <w:spacing w:line="360" w:lineRule="exact"/>
              <w:jc w:val="center"/>
              <w:rPr>
                <w:snapToGrid w:val="0"/>
                <w:color w:val="000000"/>
                <w:kern w:val="0"/>
                <w:sz w:val="24"/>
                <w:szCs w:val="24"/>
              </w:rPr>
            </w:pPr>
            <w:r>
              <w:rPr>
                <w:rFonts w:hint="eastAsia"/>
                <w:snapToGrid w:val="0"/>
                <w:color w:val="000000"/>
                <w:kern w:val="0"/>
                <w:sz w:val="24"/>
                <w:szCs w:val="24"/>
              </w:rPr>
              <w:t>处置</w:t>
            </w:r>
          </w:p>
          <w:p w:rsidR="00E65F37" w:rsidRDefault="00F16801">
            <w:pPr>
              <w:adjustRightInd w:val="0"/>
              <w:snapToGrid w:val="0"/>
              <w:spacing w:line="360" w:lineRule="exact"/>
              <w:rPr>
                <w:snapToGrid w:val="0"/>
                <w:color w:val="000000"/>
                <w:kern w:val="0"/>
                <w:sz w:val="24"/>
                <w:szCs w:val="24"/>
              </w:rPr>
            </w:pPr>
            <w:r>
              <w:rPr>
                <w:snapToGrid w:val="0"/>
                <w:color w:val="000000"/>
                <w:kern w:val="0"/>
                <w:sz w:val="24"/>
                <w:szCs w:val="24"/>
              </w:rPr>
              <w:t>（</w:t>
            </w:r>
            <w:r>
              <w:rPr>
                <w:snapToGrid w:val="0"/>
                <w:color w:val="000000"/>
                <w:kern w:val="0"/>
                <w:sz w:val="24"/>
                <w:szCs w:val="24"/>
              </w:rPr>
              <w:t>5</w:t>
            </w:r>
            <w:r>
              <w:rPr>
                <w:snapToGrid w:val="0"/>
                <w:color w:val="000000"/>
                <w:kern w:val="0"/>
                <w:sz w:val="24"/>
                <w:szCs w:val="24"/>
              </w:rPr>
              <w:t>分）</w:t>
            </w:r>
          </w:p>
        </w:tc>
        <w:tc>
          <w:tcPr>
            <w:tcW w:w="1224" w:type="dxa"/>
            <w:vAlign w:val="center"/>
          </w:tcPr>
          <w:p w:rsidR="00E65F37" w:rsidRPr="000E579F" w:rsidRDefault="00F16801">
            <w:pPr>
              <w:adjustRightInd w:val="0"/>
              <w:snapToGrid w:val="0"/>
              <w:spacing w:line="360" w:lineRule="exact"/>
              <w:jc w:val="center"/>
              <w:rPr>
                <w:snapToGrid w:val="0"/>
                <w:color w:val="000000"/>
                <w:kern w:val="0"/>
                <w:sz w:val="24"/>
                <w:szCs w:val="24"/>
              </w:rPr>
            </w:pPr>
            <w:r w:rsidRPr="000E579F">
              <w:rPr>
                <w:snapToGrid w:val="0"/>
                <w:color w:val="000000"/>
                <w:kern w:val="0"/>
                <w:sz w:val="24"/>
                <w:szCs w:val="24"/>
              </w:rPr>
              <w:t>处置不良贷款</w:t>
            </w:r>
          </w:p>
        </w:tc>
        <w:tc>
          <w:tcPr>
            <w:tcW w:w="1046" w:type="dxa"/>
            <w:vAlign w:val="center"/>
          </w:tcPr>
          <w:p w:rsidR="00E65F37" w:rsidRPr="000E579F" w:rsidRDefault="00F16801">
            <w:pPr>
              <w:overflowPunct w:val="0"/>
              <w:adjustRightInd w:val="0"/>
              <w:snapToGrid w:val="0"/>
              <w:spacing w:line="360" w:lineRule="exact"/>
              <w:jc w:val="center"/>
              <w:rPr>
                <w:snapToGrid w:val="0"/>
                <w:color w:val="000000"/>
                <w:kern w:val="0"/>
                <w:sz w:val="24"/>
                <w:szCs w:val="24"/>
              </w:rPr>
            </w:pPr>
            <w:r w:rsidRPr="000E579F">
              <w:rPr>
                <w:rFonts w:hint="eastAsia"/>
                <w:snapToGrid w:val="0"/>
                <w:color w:val="000000"/>
                <w:kern w:val="0"/>
                <w:sz w:val="24"/>
                <w:szCs w:val="24"/>
              </w:rPr>
              <w:t>3</w:t>
            </w:r>
          </w:p>
        </w:tc>
        <w:tc>
          <w:tcPr>
            <w:tcW w:w="10349" w:type="dxa"/>
            <w:vAlign w:val="center"/>
          </w:tcPr>
          <w:p w:rsidR="00E65F37" w:rsidRPr="000E579F" w:rsidRDefault="00F16801">
            <w:pPr>
              <w:overflowPunct w:val="0"/>
              <w:adjustRightInd w:val="0"/>
              <w:snapToGrid w:val="0"/>
              <w:spacing w:line="360" w:lineRule="exact"/>
              <w:rPr>
                <w:snapToGrid w:val="0"/>
                <w:color w:val="000000"/>
                <w:kern w:val="0"/>
                <w:sz w:val="24"/>
                <w:szCs w:val="24"/>
              </w:rPr>
            </w:pPr>
            <w:r w:rsidRPr="000E579F">
              <w:rPr>
                <w:snapToGrid w:val="0"/>
                <w:color w:val="000000"/>
                <w:kern w:val="0"/>
                <w:sz w:val="24"/>
                <w:szCs w:val="24"/>
              </w:rPr>
              <w:t>全年处置额最多的得</w:t>
            </w:r>
            <w:r w:rsidRPr="000E579F">
              <w:rPr>
                <w:rFonts w:hint="eastAsia"/>
                <w:snapToGrid w:val="0"/>
                <w:color w:val="000000"/>
                <w:kern w:val="0"/>
                <w:sz w:val="24"/>
                <w:szCs w:val="24"/>
              </w:rPr>
              <w:t>3</w:t>
            </w:r>
            <w:r w:rsidRPr="000E579F">
              <w:rPr>
                <w:snapToGrid w:val="0"/>
                <w:color w:val="000000"/>
                <w:kern w:val="0"/>
                <w:sz w:val="24"/>
                <w:szCs w:val="24"/>
              </w:rPr>
              <w:t>分，其余以处置额最多的为标准值，按比例计分。</w:t>
            </w:r>
          </w:p>
        </w:tc>
      </w:tr>
      <w:tr w:rsidR="00E65F37" w:rsidRPr="000E579F">
        <w:trPr>
          <w:trHeight w:val="756"/>
        </w:trPr>
        <w:tc>
          <w:tcPr>
            <w:tcW w:w="991"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10</w:t>
            </w:r>
          </w:p>
        </w:tc>
        <w:tc>
          <w:tcPr>
            <w:tcW w:w="1143" w:type="dxa"/>
            <w:vMerge/>
            <w:vAlign w:val="center"/>
          </w:tcPr>
          <w:p w:rsidR="00E65F37" w:rsidRDefault="00E65F37">
            <w:pPr>
              <w:adjustRightInd w:val="0"/>
              <w:snapToGrid w:val="0"/>
              <w:spacing w:line="360" w:lineRule="exact"/>
              <w:jc w:val="center"/>
              <w:rPr>
                <w:snapToGrid w:val="0"/>
                <w:color w:val="000000"/>
                <w:kern w:val="0"/>
                <w:sz w:val="24"/>
                <w:szCs w:val="24"/>
              </w:rPr>
            </w:pPr>
          </w:p>
        </w:tc>
        <w:tc>
          <w:tcPr>
            <w:tcW w:w="1224" w:type="dxa"/>
            <w:vAlign w:val="center"/>
          </w:tcPr>
          <w:p w:rsidR="00E65F37" w:rsidRPr="000E579F" w:rsidRDefault="00F16801">
            <w:pPr>
              <w:adjustRightInd w:val="0"/>
              <w:snapToGrid w:val="0"/>
              <w:spacing w:line="360" w:lineRule="exact"/>
              <w:jc w:val="center"/>
              <w:rPr>
                <w:snapToGrid w:val="0"/>
                <w:color w:val="000000"/>
                <w:kern w:val="0"/>
                <w:sz w:val="24"/>
                <w:szCs w:val="24"/>
              </w:rPr>
            </w:pPr>
            <w:r w:rsidRPr="000E579F">
              <w:rPr>
                <w:rFonts w:hint="eastAsia"/>
                <w:snapToGrid w:val="0"/>
                <w:color w:val="000000"/>
                <w:kern w:val="0"/>
                <w:sz w:val="24"/>
                <w:szCs w:val="24"/>
              </w:rPr>
              <w:t>不良率</w:t>
            </w:r>
          </w:p>
        </w:tc>
        <w:tc>
          <w:tcPr>
            <w:tcW w:w="1046" w:type="dxa"/>
            <w:vAlign w:val="center"/>
          </w:tcPr>
          <w:p w:rsidR="00E65F37" w:rsidRPr="000E579F" w:rsidRDefault="00F16801">
            <w:pPr>
              <w:overflowPunct w:val="0"/>
              <w:adjustRightInd w:val="0"/>
              <w:snapToGrid w:val="0"/>
              <w:spacing w:line="360" w:lineRule="exact"/>
              <w:jc w:val="center"/>
              <w:rPr>
                <w:snapToGrid w:val="0"/>
                <w:color w:val="000000"/>
                <w:kern w:val="0"/>
                <w:sz w:val="24"/>
                <w:szCs w:val="24"/>
              </w:rPr>
            </w:pPr>
            <w:r w:rsidRPr="000E579F">
              <w:rPr>
                <w:rFonts w:hint="eastAsia"/>
                <w:snapToGrid w:val="0"/>
                <w:color w:val="000000"/>
                <w:kern w:val="0"/>
                <w:sz w:val="24"/>
                <w:szCs w:val="24"/>
              </w:rPr>
              <w:t>2</w:t>
            </w:r>
          </w:p>
        </w:tc>
        <w:tc>
          <w:tcPr>
            <w:tcW w:w="10349" w:type="dxa"/>
            <w:vAlign w:val="center"/>
          </w:tcPr>
          <w:p w:rsidR="00E65F37" w:rsidRPr="000E579F" w:rsidRDefault="00F16801">
            <w:pPr>
              <w:overflowPunct w:val="0"/>
              <w:adjustRightInd w:val="0"/>
              <w:snapToGrid w:val="0"/>
              <w:spacing w:line="360" w:lineRule="exact"/>
              <w:rPr>
                <w:snapToGrid w:val="0"/>
                <w:color w:val="000000"/>
                <w:kern w:val="0"/>
                <w:sz w:val="24"/>
                <w:szCs w:val="24"/>
              </w:rPr>
            </w:pPr>
            <w:r w:rsidRPr="000E579F">
              <w:rPr>
                <w:rFonts w:hint="eastAsia"/>
                <w:snapToGrid w:val="0"/>
                <w:color w:val="000000"/>
                <w:kern w:val="0"/>
                <w:sz w:val="24"/>
                <w:szCs w:val="24"/>
              </w:rPr>
              <w:t>不良率低于年初水平或不良率为</w:t>
            </w:r>
            <w:r w:rsidRPr="000E579F">
              <w:rPr>
                <w:rFonts w:hint="eastAsia"/>
                <w:snapToGrid w:val="0"/>
                <w:color w:val="000000"/>
                <w:kern w:val="0"/>
                <w:sz w:val="24"/>
                <w:szCs w:val="24"/>
              </w:rPr>
              <w:t>0</w:t>
            </w:r>
            <w:r w:rsidRPr="000E579F">
              <w:rPr>
                <w:rFonts w:hint="eastAsia"/>
                <w:snapToGrid w:val="0"/>
                <w:color w:val="000000"/>
                <w:kern w:val="0"/>
                <w:sz w:val="24"/>
                <w:szCs w:val="24"/>
              </w:rPr>
              <w:t>的，得</w:t>
            </w:r>
            <w:r w:rsidRPr="000E579F">
              <w:rPr>
                <w:rFonts w:hint="eastAsia"/>
                <w:snapToGrid w:val="0"/>
                <w:color w:val="000000"/>
                <w:kern w:val="0"/>
                <w:sz w:val="24"/>
                <w:szCs w:val="24"/>
              </w:rPr>
              <w:t>2</w:t>
            </w:r>
            <w:r w:rsidRPr="000E579F">
              <w:rPr>
                <w:rFonts w:hint="eastAsia"/>
                <w:snapToGrid w:val="0"/>
                <w:color w:val="000000"/>
                <w:kern w:val="0"/>
                <w:sz w:val="24"/>
                <w:szCs w:val="24"/>
              </w:rPr>
              <w:t>分，其余不得分。</w:t>
            </w:r>
          </w:p>
        </w:tc>
      </w:tr>
      <w:tr w:rsidR="00E65F37" w:rsidRPr="000E579F">
        <w:trPr>
          <w:trHeight w:val="470"/>
        </w:trPr>
        <w:tc>
          <w:tcPr>
            <w:tcW w:w="991"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11</w:t>
            </w:r>
          </w:p>
        </w:tc>
        <w:tc>
          <w:tcPr>
            <w:tcW w:w="1143"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社会</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责任</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w:t>
            </w:r>
            <w:r>
              <w:rPr>
                <w:snapToGrid w:val="0"/>
                <w:color w:val="000000"/>
                <w:kern w:val="0"/>
                <w:sz w:val="24"/>
                <w:szCs w:val="24"/>
              </w:rPr>
              <w:t>10</w:t>
            </w:r>
            <w:r>
              <w:rPr>
                <w:snapToGrid w:val="0"/>
                <w:color w:val="000000"/>
                <w:kern w:val="0"/>
                <w:sz w:val="24"/>
                <w:szCs w:val="24"/>
              </w:rPr>
              <w:t>分）</w:t>
            </w:r>
          </w:p>
        </w:tc>
        <w:tc>
          <w:tcPr>
            <w:tcW w:w="1224"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履行社会责任</w:t>
            </w:r>
          </w:p>
        </w:tc>
        <w:tc>
          <w:tcPr>
            <w:tcW w:w="1046"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10</w:t>
            </w:r>
          </w:p>
        </w:tc>
        <w:tc>
          <w:tcPr>
            <w:tcW w:w="10349"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根据企业帮扶、疫情防控、信息报送、金融创新、机要保密等内容评分。不执行政府协调会议事项的，每一次扣</w:t>
            </w:r>
            <w:r>
              <w:rPr>
                <w:snapToGrid w:val="0"/>
                <w:color w:val="000000"/>
                <w:kern w:val="0"/>
                <w:sz w:val="24"/>
                <w:szCs w:val="24"/>
              </w:rPr>
              <w:t>10</w:t>
            </w:r>
            <w:r>
              <w:rPr>
                <w:snapToGrid w:val="0"/>
                <w:color w:val="000000"/>
                <w:kern w:val="0"/>
                <w:sz w:val="24"/>
                <w:szCs w:val="24"/>
              </w:rPr>
              <w:t>分，下不设底。</w:t>
            </w:r>
          </w:p>
        </w:tc>
      </w:tr>
      <w:tr w:rsidR="00E65F37" w:rsidRPr="000E579F">
        <w:trPr>
          <w:trHeight w:val="470"/>
        </w:trPr>
        <w:tc>
          <w:tcPr>
            <w:tcW w:w="991"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12</w:t>
            </w:r>
          </w:p>
        </w:tc>
        <w:tc>
          <w:tcPr>
            <w:tcW w:w="3413" w:type="dxa"/>
            <w:gridSpan w:val="3"/>
            <w:vMerge w:val="restart"/>
            <w:vAlign w:val="center"/>
          </w:tcPr>
          <w:p w:rsidR="00E65F37" w:rsidRPr="000E579F" w:rsidRDefault="00F16801">
            <w:pPr>
              <w:overflowPunct w:val="0"/>
              <w:adjustRightInd w:val="0"/>
              <w:snapToGrid w:val="0"/>
              <w:spacing w:line="360" w:lineRule="exact"/>
              <w:jc w:val="center"/>
              <w:rPr>
                <w:snapToGrid w:val="0"/>
                <w:color w:val="000000"/>
                <w:kern w:val="0"/>
                <w:sz w:val="24"/>
                <w:szCs w:val="24"/>
              </w:rPr>
            </w:pPr>
            <w:r w:rsidRPr="000E579F">
              <w:rPr>
                <w:rFonts w:hint="eastAsia"/>
                <w:snapToGrid w:val="0"/>
                <w:color w:val="000000"/>
                <w:kern w:val="0"/>
                <w:sz w:val="24"/>
                <w:szCs w:val="24"/>
              </w:rPr>
              <w:t>加分项</w:t>
            </w:r>
          </w:p>
        </w:tc>
        <w:tc>
          <w:tcPr>
            <w:tcW w:w="10349" w:type="dxa"/>
            <w:vAlign w:val="center"/>
          </w:tcPr>
          <w:p w:rsidR="00E65F37" w:rsidRPr="000E579F" w:rsidRDefault="00F16801">
            <w:pPr>
              <w:overflowPunct w:val="0"/>
              <w:adjustRightInd w:val="0"/>
              <w:snapToGrid w:val="0"/>
              <w:spacing w:line="360" w:lineRule="exact"/>
              <w:rPr>
                <w:snapToGrid w:val="0"/>
                <w:color w:val="000000"/>
                <w:kern w:val="0"/>
                <w:sz w:val="24"/>
                <w:szCs w:val="24"/>
              </w:rPr>
            </w:pPr>
            <w:r w:rsidRPr="000E579F">
              <w:rPr>
                <w:rFonts w:hint="eastAsia"/>
                <w:snapToGrid w:val="0"/>
                <w:color w:val="000000"/>
                <w:kern w:val="0"/>
                <w:sz w:val="24"/>
                <w:szCs w:val="24"/>
              </w:rPr>
              <w:t>积极参加市委市政府组织的金融专项活动，根据实际成效赋分，此项加分不超过</w:t>
            </w:r>
            <w:r w:rsidRPr="000E579F">
              <w:rPr>
                <w:rFonts w:hint="eastAsia"/>
                <w:snapToGrid w:val="0"/>
                <w:color w:val="000000"/>
                <w:kern w:val="0"/>
                <w:sz w:val="24"/>
                <w:szCs w:val="24"/>
              </w:rPr>
              <w:t>3</w:t>
            </w:r>
            <w:r w:rsidRPr="000E579F">
              <w:rPr>
                <w:rFonts w:hint="eastAsia"/>
                <w:snapToGrid w:val="0"/>
                <w:color w:val="000000"/>
                <w:kern w:val="0"/>
                <w:sz w:val="24"/>
                <w:szCs w:val="24"/>
              </w:rPr>
              <w:t>分。</w:t>
            </w:r>
          </w:p>
        </w:tc>
      </w:tr>
      <w:tr w:rsidR="00E65F37" w:rsidRPr="000E579F">
        <w:trPr>
          <w:trHeight w:val="470"/>
        </w:trPr>
        <w:tc>
          <w:tcPr>
            <w:tcW w:w="991"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rFonts w:hint="eastAsia"/>
                <w:snapToGrid w:val="0"/>
                <w:color w:val="000000"/>
                <w:kern w:val="0"/>
                <w:sz w:val="24"/>
                <w:szCs w:val="24"/>
              </w:rPr>
              <w:t>13</w:t>
            </w:r>
          </w:p>
        </w:tc>
        <w:tc>
          <w:tcPr>
            <w:tcW w:w="3413" w:type="dxa"/>
            <w:gridSpan w:val="3"/>
            <w:vMerge/>
            <w:vAlign w:val="center"/>
          </w:tcPr>
          <w:p w:rsidR="00E65F37" w:rsidRPr="000E579F" w:rsidRDefault="00E65F37">
            <w:pPr>
              <w:adjustRightInd w:val="0"/>
              <w:snapToGrid w:val="0"/>
              <w:spacing w:line="340" w:lineRule="exact"/>
              <w:jc w:val="left"/>
              <w:rPr>
                <w:snapToGrid w:val="0"/>
                <w:color w:val="000000"/>
                <w:kern w:val="0"/>
                <w:sz w:val="24"/>
                <w:szCs w:val="24"/>
              </w:rPr>
            </w:pPr>
          </w:p>
        </w:tc>
        <w:tc>
          <w:tcPr>
            <w:tcW w:w="10349" w:type="dxa"/>
            <w:vAlign w:val="center"/>
          </w:tcPr>
          <w:p w:rsidR="00E65F37" w:rsidRPr="000E579F" w:rsidRDefault="00F16801">
            <w:pPr>
              <w:adjustRightInd w:val="0"/>
              <w:snapToGrid w:val="0"/>
              <w:spacing w:line="340" w:lineRule="exact"/>
              <w:jc w:val="left"/>
              <w:rPr>
                <w:snapToGrid w:val="0"/>
                <w:color w:val="000000"/>
                <w:kern w:val="0"/>
                <w:sz w:val="24"/>
                <w:szCs w:val="24"/>
              </w:rPr>
            </w:pPr>
            <w:r w:rsidRPr="000E579F">
              <w:rPr>
                <w:rFonts w:hint="eastAsia"/>
                <w:snapToGrid w:val="0"/>
                <w:color w:val="000000"/>
                <w:kern w:val="0"/>
                <w:sz w:val="24"/>
                <w:szCs w:val="24"/>
              </w:rPr>
              <w:t>相关工作获中央领导批示肯定的，加</w:t>
            </w:r>
            <w:r w:rsidRPr="000E579F">
              <w:rPr>
                <w:rFonts w:hint="eastAsia"/>
                <w:snapToGrid w:val="0"/>
                <w:color w:val="000000"/>
                <w:kern w:val="0"/>
                <w:sz w:val="24"/>
                <w:szCs w:val="24"/>
              </w:rPr>
              <w:t>15</w:t>
            </w:r>
            <w:r w:rsidRPr="000E579F">
              <w:rPr>
                <w:rFonts w:hint="eastAsia"/>
                <w:snapToGrid w:val="0"/>
                <w:color w:val="000000"/>
                <w:kern w:val="0"/>
                <w:sz w:val="24"/>
                <w:szCs w:val="24"/>
              </w:rPr>
              <w:t>分；获省委、省政府主要领导批示肯定的，加</w:t>
            </w:r>
            <w:r w:rsidRPr="000E579F">
              <w:rPr>
                <w:rFonts w:hint="eastAsia"/>
                <w:snapToGrid w:val="0"/>
                <w:color w:val="000000"/>
                <w:kern w:val="0"/>
                <w:sz w:val="24"/>
                <w:szCs w:val="24"/>
              </w:rPr>
              <w:t>6</w:t>
            </w:r>
            <w:r w:rsidRPr="000E579F">
              <w:rPr>
                <w:rFonts w:hint="eastAsia"/>
                <w:snapToGrid w:val="0"/>
                <w:color w:val="000000"/>
                <w:kern w:val="0"/>
                <w:sz w:val="24"/>
                <w:szCs w:val="24"/>
              </w:rPr>
              <w:t>分；获市委、市政府主要领导批示肯定的，加</w:t>
            </w:r>
            <w:r w:rsidRPr="000E579F">
              <w:rPr>
                <w:rFonts w:hint="eastAsia"/>
                <w:snapToGrid w:val="0"/>
                <w:color w:val="000000"/>
                <w:kern w:val="0"/>
                <w:sz w:val="24"/>
                <w:szCs w:val="24"/>
              </w:rPr>
              <w:t>3</w:t>
            </w:r>
            <w:r w:rsidRPr="000E579F">
              <w:rPr>
                <w:rFonts w:hint="eastAsia"/>
                <w:snapToGrid w:val="0"/>
                <w:color w:val="000000"/>
                <w:kern w:val="0"/>
                <w:sz w:val="24"/>
                <w:szCs w:val="24"/>
              </w:rPr>
              <w:t>分。同一工作内容被多位领导批示肯定的，按最高加分计分，同一家银行加分不超过</w:t>
            </w:r>
            <w:r w:rsidRPr="000E579F">
              <w:rPr>
                <w:rFonts w:hint="eastAsia"/>
                <w:snapToGrid w:val="0"/>
                <w:color w:val="000000"/>
                <w:kern w:val="0"/>
                <w:sz w:val="24"/>
                <w:szCs w:val="24"/>
              </w:rPr>
              <w:t>2</w:t>
            </w:r>
            <w:r w:rsidRPr="000E579F">
              <w:rPr>
                <w:rFonts w:hint="eastAsia"/>
                <w:snapToGrid w:val="0"/>
                <w:color w:val="000000"/>
                <w:kern w:val="0"/>
                <w:sz w:val="24"/>
                <w:szCs w:val="24"/>
              </w:rPr>
              <w:t>次。</w:t>
            </w:r>
          </w:p>
        </w:tc>
      </w:tr>
      <w:tr w:rsidR="00E65F37" w:rsidRPr="000E579F">
        <w:trPr>
          <w:trHeight w:val="470"/>
        </w:trPr>
        <w:tc>
          <w:tcPr>
            <w:tcW w:w="991"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rFonts w:hint="eastAsia"/>
                <w:snapToGrid w:val="0"/>
                <w:color w:val="000000"/>
                <w:kern w:val="0"/>
                <w:sz w:val="24"/>
                <w:szCs w:val="24"/>
              </w:rPr>
              <w:t>14</w:t>
            </w:r>
          </w:p>
        </w:tc>
        <w:tc>
          <w:tcPr>
            <w:tcW w:w="3413" w:type="dxa"/>
            <w:gridSpan w:val="3"/>
            <w:vAlign w:val="center"/>
          </w:tcPr>
          <w:p w:rsidR="00E65F37" w:rsidRPr="000E579F" w:rsidRDefault="00F16801">
            <w:pPr>
              <w:adjustRightInd w:val="0"/>
              <w:snapToGrid w:val="0"/>
              <w:spacing w:line="340" w:lineRule="exact"/>
              <w:jc w:val="center"/>
              <w:rPr>
                <w:snapToGrid w:val="0"/>
                <w:color w:val="000000"/>
                <w:kern w:val="0"/>
                <w:sz w:val="24"/>
                <w:szCs w:val="24"/>
              </w:rPr>
            </w:pPr>
            <w:r w:rsidRPr="000E579F">
              <w:rPr>
                <w:rFonts w:hint="eastAsia"/>
                <w:snapToGrid w:val="0"/>
                <w:color w:val="000000"/>
                <w:kern w:val="0"/>
                <w:sz w:val="24"/>
                <w:szCs w:val="24"/>
              </w:rPr>
              <w:t>扣分项</w:t>
            </w:r>
          </w:p>
        </w:tc>
        <w:tc>
          <w:tcPr>
            <w:tcW w:w="10349" w:type="dxa"/>
            <w:vAlign w:val="center"/>
          </w:tcPr>
          <w:p w:rsidR="00E65F37" w:rsidRPr="000E579F" w:rsidRDefault="00F16801">
            <w:pPr>
              <w:adjustRightInd w:val="0"/>
              <w:snapToGrid w:val="0"/>
              <w:spacing w:line="340" w:lineRule="exact"/>
              <w:jc w:val="left"/>
              <w:rPr>
                <w:snapToGrid w:val="0"/>
                <w:color w:val="000000"/>
                <w:kern w:val="0"/>
                <w:sz w:val="24"/>
                <w:szCs w:val="24"/>
              </w:rPr>
            </w:pPr>
            <w:r w:rsidRPr="000E579F">
              <w:rPr>
                <w:snapToGrid w:val="0"/>
                <w:color w:val="000000"/>
                <w:kern w:val="0"/>
                <w:sz w:val="24"/>
                <w:szCs w:val="24"/>
              </w:rPr>
              <w:t>支持绍兴国际金融活力城建设，</w:t>
            </w:r>
            <w:r w:rsidRPr="000E579F">
              <w:rPr>
                <w:rFonts w:hint="eastAsia"/>
                <w:snapToGrid w:val="0"/>
                <w:color w:val="000000"/>
                <w:kern w:val="0"/>
                <w:sz w:val="24"/>
                <w:szCs w:val="24"/>
              </w:rPr>
              <w:t>6</w:t>
            </w:r>
            <w:r w:rsidRPr="000E579F">
              <w:rPr>
                <w:rFonts w:hint="eastAsia"/>
                <w:snapToGrid w:val="0"/>
                <w:color w:val="000000"/>
                <w:kern w:val="0"/>
                <w:sz w:val="24"/>
                <w:szCs w:val="24"/>
              </w:rPr>
              <w:t>月</w:t>
            </w:r>
            <w:r w:rsidRPr="000E579F">
              <w:rPr>
                <w:snapToGrid w:val="0"/>
                <w:color w:val="000000"/>
                <w:kern w:val="0"/>
                <w:sz w:val="24"/>
                <w:szCs w:val="24"/>
              </w:rPr>
              <w:t>底前</w:t>
            </w:r>
            <w:r w:rsidRPr="000E579F">
              <w:rPr>
                <w:rFonts w:hint="eastAsia"/>
                <w:snapToGrid w:val="0"/>
                <w:color w:val="000000"/>
                <w:kern w:val="0"/>
                <w:sz w:val="24"/>
                <w:szCs w:val="24"/>
              </w:rPr>
              <w:t>未</w:t>
            </w:r>
            <w:r w:rsidRPr="000E579F">
              <w:rPr>
                <w:snapToGrid w:val="0"/>
                <w:color w:val="000000"/>
                <w:kern w:val="0"/>
                <w:sz w:val="24"/>
                <w:szCs w:val="24"/>
              </w:rPr>
              <w:t>完成征收置换工作的机构，</w:t>
            </w:r>
            <w:r w:rsidRPr="000E579F">
              <w:rPr>
                <w:rFonts w:hint="eastAsia"/>
                <w:snapToGrid w:val="0"/>
                <w:color w:val="000000"/>
                <w:kern w:val="0"/>
                <w:sz w:val="24"/>
                <w:szCs w:val="24"/>
              </w:rPr>
              <w:t>减</w:t>
            </w:r>
            <w:r w:rsidRPr="000E579F">
              <w:rPr>
                <w:snapToGrid w:val="0"/>
                <w:color w:val="000000"/>
                <w:kern w:val="0"/>
                <w:sz w:val="24"/>
                <w:szCs w:val="24"/>
              </w:rPr>
              <w:t>5</w:t>
            </w:r>
            <w:r w:rsidRPr="000E579F">
              <w:rPr>
                <w:snapToGrid w:val="0"/>
                <w:color w:val="000000"/>
                <w:kern w:val="0"/>
                <w:sz w:val="24"/>
                <w:szCs w:val="24"/>
              </w:rPr>
              <w:t>分。</w:t>
            </w:r>
          </w:p>
        </w:tc>
      </w:tr>
    </w:tbl>
    <w:p w:rsidR="00E65F37" w:rsidRPr="000E579F" w:rsidRDefault="00E65F37">
      <w:pPr>
        <w:adjustRightInd w:val="0"/>
        <w:snapToGrid w:val="0"/>
        <w:spacing w:line="360" w:lineRule="exact"/>
        <w:rPr>
          <w:snapToGrid w:val="0"/>
          <w:color w:val="000000"/>
          <w:kern w:val="0"/>
          <w:sz w:val="24"/>
          <w:szCs w:val="24"/>
        </w:rPr>
      </w:pPr>
    </w:p>
    <w:p w:rsidR="00E65F37" w:rsidRDefault="00E65F37">
      <w:pPr>
        <w:adjustRightInd w:val="0"/>
        <w:snapToGrid w:val="0"/>
        <w:spacing w:line="360" w:lineRule="exact"/>
        <w:rPr>
          <w:rFonts w:eastAsia="黑体"/>
          <w:snapToGrid w:val="0"/>
          <w:color w:val="000000"/>
          <w:kern w:val="0"/>
          <w:sz w:val="24"/>
          <w:szCs w:val="24"/>
        </w:rPr>
      </w:pPr>
    </w:p>
    <w:p w:rsidR="00E65F37" w:rsidRDefault="00F16801">
      <w:pPr>
        <w:adjustRightInd w:val="0"/>
        <w:snapToGrid w:val="0"/>
        <w:spacing w:line="580" w:lineRule="exact"/>
        <w:outlineLvl w:val="0"/>
        <w:rPr>
          <w:rFonts w:eastAsia="黑体"/>
          <w:snapToGrid w:val="0"/>
          <w:color w:val="000000"/>
          <w:kern w:val="0"/>
          <w:szCs w:val="32"/>
        </w:rPr>
      </w:pPr>
      <w:r>
        <w:rPr>
          <w:rFonts w:eastAsia="黑体"/>
          <w:snapToGrid w:val="0"/>
          <w:color w:val="000000"/>
          <w:kern w:val="0"/>
          <w:sz w:val="24"/>
          <w:szCs w:val="24"/>
        </w:rPr>
        <w:br w:type="page"/>
      </w:r>
      <w:r>
        <w:rPr>
          <w:rFonts w:eastAsia="黑体"/>
          <w:snapToGrid w:val="0"/>
          <w:color w:val="000000"/>
          <w:kern w:val="0"/>
          <w:szCs w:val="32"/>
        </w:rPr>
        <w:lastRenderedPageBreak/>
        <w:t>附件</w:t>
      </w:r>
      <w:r>
        <w:rPr>
          <w:rFonts w:eastAsia="黑体"/>
          <w:snapToGrid w:val="0"/>
          <w:color w:val="000000"/>
          <w:kern w:val="0"/>
          <w:szCs w:val="32"/>
        </w:rPr>
        <w:t>3</w:t>
      </w:r>
    </w:p>
    <w:p w:rsidR="00E65F37" w:rsidRDefault="00E65F37">
      <w:pPr>
        <w:tabs>
          <w:tab w:val="left" w:pos="1680"/>
        </w:tabs>
        <w:overflowPunct w:val="0"/>
        <w:adjustRightInd w:val="0"/>
        <w:snapToGrid w:val="0"/>
        <w:spacing w:line="580" w:lineRule="exact"/>
        <w:jc w:val="center"/>
        <w:rPr>
          <w:rFonts w:eastAsia="方正小标宋简体"/>
          <w:color w:val="000000"/>
          <w:sz w:val="44"/>
          <w:szCs w:val="44"/>
        </w:rPr>
      </w:pPr>
    </w:p>
    <w:p w:rsidR="00E65F37" w:rsidRDefault="00F16801">
      <w:pPr>
        <w:tabs>
          <w:tab w:val="left" w:pos="1680"/>
        </w:tabs>
        <w:overflowPunct w:val="0"/>
        <w:adjustRightInd w:val="0"/>
        <w:snapToGrid w:val="0"/>
        <w:spacing w:line="580" w:lineRule="exact"/>
        <w:jc w:val="center"/>
        <w:rPr>
          <w:rFonts w:eastAsia="方正小标宋简体"/>
          <w:color w:val="000000"/>
          <w:sz w:val="44"/>
          <w:szCs w:val="44"/>
        </w:rPr>
      </w:pPr>
      <w:r>
        <w:rPr>
          <w:rFonts w:eastAsia="方正小标宋简体"/>
          <w:color w:val="000000"/>
          <w:sz w:val="44"/>
          <w:szCs w:val="44"/>
        </w:rPr>
        <w:t>保险公司考核指标体系</w:t>
      </w:r>
    </w:p>
    <w:p w:rsidR="00E65F37" w:rsidRDefault="00E65F37">
      <w:pPr>
        <w:overflowPunct w:val="0"/>
        <w:adjustRightInd w:val="0"/>
        <w:snapToGrid w:val="0"/>
        <w:spacing w:line="240" w:lineRule="exact"/>
        <w:jc w:val="center"/>
        <w:rPr>
          <w:rFonts w:eastAsia="方正小标宋简体"/>
          <w:snapToGrid w:val="0"/>
          <w:color w:val="000000"/>
          <w:kern w:val="0"/>
          <w:sz w:val="24"/>
          <w:szCs w:val="24"/>
        </w:rPr>
      </w:pPr>
    </w:p>
    <w:tbl>
      <w:tblPr>
        <w:tblW w:w="13242" w:type="dxa"/>
        <w:tblInd w:w="91" w:type="dxa"/>
        <w:tblLayout w:type="fixed"/>
        <w:tblLook w:val="04A0"/>
      </w:tblPr>
      <w:tblGrid>
        <w:gridCol w:w="805"/>
        <w:gridCol w:w="2100"/>
        <w:gridCol w:w="1037"/>
        <w:gridCol w:w="9300"/>
      </w:tblGrid>
      <w:tr w:rsidR="00E65F37">
        <w:trPr>
          <w:trHeight w:val="737"/>
        </w:trPr>
        <w:tc>
          <w:tcPr>
            <w:tcW w:w="805"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序号</w:t>
            </w:r>
          </w:p>
        </w:tc>
        <w:tc>
          <w:tcPr>
            <w:tcW w:w="2100"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考核指标</w:t>
            </w:r>
          </w:p>
        </w:tc>
        <w:tc>
          <w:tcPr>
            <w:tcW w:w="1037"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基本分</w:t>
            </w:r>
          </w:p>
        </w:tc>
        <w:tc>
          <w:tcPr>
            <w:tcW w:w="9300"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评分标准</w:t>
            </w:r>
          </w:p>
        </w:tc>
      </w:tr>
      <w:tr w:rsidR="00E65F37">
        <w:trPr>
          <w:trHeight w:val="890"/>
        </w:trPr>
        <w:tc>
          <w:tcPr>
            <w:tcW w:w="805"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w:t>
            </w:r>
          </w:p>
        </w:tc>
        <w:tc>
          <w:tcPr>
            <w:tcW w:w="2100" w:type="dxa"/>
            <w:tcBorders>
              <w:top w:val="single" w:sz="4" w:space="0" w:color="auto"/>
              <w:left w:val="single" w:sz="4" w:space="0" w:color="auto"/>
              <w:bottom w:val="single" w:sz="4" w:space="0" w:color="auto"/>
              <w:right w:val="single" w:sz="4" w:space="0" w:color="auto"/>
            </w:tcBorders>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赔款和给付</w:t>
            </w:r>
          </w:p>
        </w:tc>
        <w:tc>
          <w:tcPr>
            <w:tcW w:w="1037" w:type="dxa"/>
            <w:tcBorders>
              <w:top w:val="single" w:sz="4" w:space="0" w:color="auto"/>
              <w:left w:val="single" w:sz="4" w:space="0" w:color="auto"/>
              <w:bottom w:val="single" w:sz="4" w:space="0" w:color="auto"/>
              <w:right w:val="single" w:sz="4" w:space="0" w:color="auto"/>
            </w:tcBorders>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40</w:t>
            </w:r>
          </w:p>
        </w:tc>
        <w:tc>
          <w:tcPr>
            <w:tcW w:w="9300"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当年赔款和给付最多的得</w:t>
            </w:r>
            <w:r>
              <w:rPr>
                <w:snapToGrid w:val="0"/>
                <w:color w:val="000000"/>
                <w:kern w:val="0"/>
                <w:sz w:val="24"/>
                <w:szCs w:val="24"/>
              </w:rPr>
              <w:t>30</w:t>
            </w:r>
            <w:r>
              <w:rPr>
                <w:snapToGrid w:val="0"/>
                <w:color w:val="000000"/>
                <w:kern w:val="0"/>
                <w:sz w:val="24"/>
                <w:szCs w:val="24"/>
              </w:rPr>
              <w:t>分，其余以此为标准值，按比例相应计分。</w:t>
            </w:r>
          </w:p>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当年赔款和给付总数和保费收入比，以</w:t>
            </w:r>
            <w:r>
              <w:rPr>
                <w:snapToGrid w:val="0"/>
                <w:color w:val="000000"/>
                <w:kern w:val="0"/>
                <w:sz w:val="24"/>
                <w:szCs w:val="24"/>
              </w:rPr>
              <w:t>1</w:t>
            </w:r>
            <w:r>
              <w:rPr>
                <w:snapToGrid w:val="0"/>
                <w:color w:val="000000"/>
                <w:kern w:val="0"/>
                <w:sz w:val="24"/>
                <w:szCs w:val="24"/>
              </w:rPr>
              <w:t>为基准值，高于或等于基准值的得</w:t>
            </w:r>
            <w:r>
              <w:rPr>
                <w:snapToGrid w:val="0"/>
                <w:color w:val="000000"/>
                <w:kern w:val="0"/>
                <w:sz w:val="24"/>
                <w:szCs w:val="24"/>
              </w:rPr>
              <w:t>10</w:t>
            </w:r>
            <w:r>
              <w:rPr>
                <w:snapToGrid w:val="0"/>
                <w:color w:val="000000"/>
                <w:kern w:val="0"/>
                <w:sz w:val="24"/>
                <w:szCs w:val="24"/>
              </w:rPr>
              <w:t>分，其余以基准值为标准，按比例相应计分。</w:t>
            </w:r>
          </w:p>
        </w:tc>
      </w:tr>
      <w:tr w:rsidR="00E65F37">
        <w:trPr>
          <w:trHeight w:val="737"/>
        </w:trPr>
        <w:tc>
          <w:tcPr>
            <w:tcW w:w="805"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服务效率</w:t>
            </w:r>
          </w:p>
        </w:tc>
        <w:tc>
          <w:tcPr>
            <w:tcW w:w="1037" w:type="dxa"/>
            <w:tcBorders>
              <w:top w:val="single" w:sz="4" w:space="0" w:color="auto"/>
              <w:left w:val="single" w:sz="4" w:space="0" w:color="auto"/>
              <w:bottom w:val="single" w:sz="4" w:space="0" w:color="auto"/>
              <w:right w:val="single" w:sz="4" w:space="0" w:color="auto"/>
            </w:tcBorders>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20</w:t>
            </w:r>
          </w:p>
        </w:tc>
        <w:tc>
          <w:tcPr>
            <w:tcW w:w="9300"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当年理赔结案率达到</w:t>
            </w:r>
            <w:r>
              <w:rPr>
                <w:snapToGrid w:val="0"/>
                <w:color w:val="000000"/>
                <w:kern w:val="0"/>
                <w:sz w:val="24"/>
                <w:szCs w:val="24"/>
              </w:rPr>
              <w:t>98%</w:t>
            </w:r>
            <w:r>
              <w:rPr>
                <w:snapToGrid w:val="0"/>
                <w:color w:val="000000"/>
                <w:kern w:val="0"/>
                <w:sz w:val="24"/>
                <w:szCs w:val="24"/>
              </w:rPr>
              <w:t>得</w:t>
            </w:r>
            <w:r>
              <w:rPr>
                <w:snapToGrid w:val="0"/>
                <w:color w:val="000000"/>
                <w:kern w:val="0"/>
                <w:sz w:val="24"/>
                <w:szCs w:val="24"/>
              </w:rPr>
              <w:t>20</w:t>
            </w:r>
            <w:r>
              <w:rPr>
                <w:snapToGrid w:val="0"/>
                <w:color w:val="000000"/>
                <w:kern w:val="0"/>
                <w:sz w:val="24"/>
                <w:szCs w:val="24"/>
              </w:rPr>
              <w:t>分，每少一个百分点，扣</w:t>
            </w:r>
            <w:r>
              <w:rPr>
                <w:snapToGrid w:val="0"/>
                <w:color w:val="000000"/>
                <w:kern w:val="0"/>
                <w:sz w:val="24"/>
                <w:szCs w:val="24"/>
              </w:rPr>
              <w:t>2.5</w:t>
            </w:r>
            <w:r>
              <w:rPr>
                <w:snapToGrid w:val="0"/>
                <w:color w:val="000000"/>
                <w:kern w:val="0"/>
                <w:sz w:val="24"/>
                <w:szCs w:val="24"/>
              </w:rPr>
              <w:t>分。下不设底。</w:t>
            </w:r>
          </w:p>
        </w:tc>
      </w:tr>
      <w:tr w:rsidR="00E65F37">
        <w:trPr>
          <w:trHeight w:val="737"/>
        </w:trPr>
        <w:tc>
          <w:tcPr>
            <w:tcW w:w="805"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3</w:t>
            </w:r>
          </w:p>
        </w:tc>
        <w:tc>
          <w:tcPr>
            <w:tcW w:w="2100" w:type="dxa"/>
            <w:tcBorders>
              <w:top w:val="single" w:sz="4" w:space="0" w:color="auto"/>
              <w:left w:val="single" w:sz="4" w:space="0" w:color="auto"/>
              <w:bottom w:val="single" w:sz="4" w:space="0" w:color="auto"/>
              <w:right w:val="single" w:sz="4" w:space="0" w:color="auto"/>
            </w:tcBorders>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保费收入增量</w:t>
            </w:r>
          </w:p>
        </w:tc>
        <w:tc>
          <w:tcPr>
            <w:tcW w:w="1037" w:type="dxa"/>
            <w:tcBorders>
              <w:top w:val="single" w:sz="4" w:space="0" w:color="auto"/>
              <w:left w:val="single" w:sz="4" w:space="0" w:color="auto"/>
              <w:bottom w:val="single" w:sz="4" w:space="0" w:color="auto"/>
              <w:right w:val="single" w:sz="4" w:space="0" w:color="auto"/>
            </w:tcBorders>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20</w:t>
            </w:r>
          </w:p>
        </w:tc>
        <w:tc>
          <w:tcPr>
            <w:tcW w:w="9300"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当年保费收入增量最多的得</w:t>
            </w:r>
            <w:r>
              <w:rPr>
                <w:snapToGrid w:val="0"/>
                <w:color w:val="000000"/>
                <w:kern w:val="0"/>
                <w:sz w:val="24"/>
                <w:szCs w:val="24"/>
              </w:rPr>
              <w:t>20</w:t>
            </w:r>
            <w:r>
              <w:rPr>
                <w:snapToGrid w:val="0"/>
                <w:color w:val="000000"/>
                <w:kern w:val="0"/>
                <w:sz w:val="24"/>
                <w:szCs w:val="24"/>
              </w:rPr>
              <w:t>分，其余以此为标准值，按比例相应计分。无增量不得分。</w:t>
            </w:r>
          </w:p>
        </w:tc>
      </w:tr>
      <w:tr w:rsidR="00E65F37">
        <w:trPr>
          <w:trHeight w:val="737"/>
        </w:trPr>
        <w:tc>
          <w:tcPr>
            <w:tcW w:w="805"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4</w:t>
            </w:r>
          </w:p>
        </w:tc>
        <w:tc>
          <w:tcPr>
            <w:tcW w:w="2100" w:type="dxa"/>
            <w:tcBorders>
              <w:top w:val="single" w:sz="4" w:space="0" w:color="auto"/>
              <w:left w:val="single" w:sz="4" w:space="0" w:color="auto"/>
              <w:bottom w:val="single" w:sz="4" w:space="0" w:color="auto"/>
              <w:right w:val="single" w:sz="4" w:space="0" w:color="auto"/>
            </w:tcBorders>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保险服务质量</w:t>
            </w:r>
          </w:p>
        </w:tc>
        <w:tc>
          <w:tcPr>
            <w:tcW w:w="1037" w:type="dxa"/>
            <w:tcBorders>
              <w:top w:val="single" w:sz="4" w:space="0" w:color="auto"/>
              <w:left w:val="single" w:sz="4" w:space="0" w:color="auto"/>
              <w:bottom w:val="single" w:sz="4" w:space="0" w:color="auto"/>
              <w:right w:val="single" w:sz="4" w:space="0" w:color="auto"/>
            </w:tcBorders>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10</w:t>
            </w:r>
          </w:p>
        </w:tc>
        <w:tc>
          <w:tcPr>
            <w:tcW w:w="9300"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当年亿元保费投诉量最少的得</w:t>
            </w:r>
            <w:r>
              <w:rPr>
                <w:snapToGrid w:val="0"/>
                <w:color w:val="000000"/>
                <w:kern w:val="0"/>
                <w:sz w:val="24"/>
                <w:szCs w:val="24"/>
              </w:rPr>
              <w:t>10</w:t>
            </w:r>
            <w:r>
              <w:rPr>
                <w:snapToGrid w:val="0"/>
                <w:color w:val="000000"/>
                <w:kern w:val="0"/>
                <w:sz w:val="24"/>
                <w:szCs w:val="24"/>
              </w:rPr>
              <w:t>分，其余以此为标准值，按比例相应计分。</w:t>
            </w:r>
          </w:p>
        </w:tc>
      </w:tr>
      <w:tr w:rsidR="00E65F37">
        <w:trPr>
          <w:trHeight w:val="737"/>
        </w:trPr>
        <w:tc>
          <w:tcPr>
            <w:tcW w:w="805"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5</w:t>
            </w:r>
          </w:p>
        </w:tc>
        <w:tc>
          <w:tcPr>
            <w:tcW w:w="2100" w:type="dxa"/>
            <w:tcBorders>
              <w:top w:val="single" w:sz="4" w:space="0" w:color="auto"/>
              <w:left w:val="single" w:sz="4" w:space="0" w:color="auto"/>
              <w:bottom w:val="single" w:sz="4" w:space="0" w:color="auto"/>
              <w:right w:val="single" w:sz="4" w:space="0" w:color="auto"/>
            </w:tcBorders>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履行社会责任</w:t>
            </w:r>
          </w:p>
        </w:tc>
        <w:tc>
          <w:tcPr>
            <w:tcW w:w="1037" w:type="dxa"/>
            <w:tcBorders>
              <w:top w:val="single" w:sz="4" w:space="0" w:color="auto"/>
              <w:left w:val="single" w:sz="4" w:space="0" w:color="auto"/>
              <w:bottom w:val="single" w:sz="4" w:space="0" w:color="auto"/>
              <w:right w:val="single" w:sz="4" w:space="0" w:color="auto"/>
            </w:tcBorders>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10</w:t>
            </w:r>
          </w:p>
        </w:tc>
        <w:tc>
          <w:tcPr>
            <w:tcW w:w="9300" w:type="dxa"/>
            <w:tcBorders>
              <w:top w:val="single" w:sz="4" w:space="0" w:color="auto"/>
              <w:left w:val="single" w:sz="4" w:space="0" w:color="auto"/>
              <w:bottom w:val="single" w:sz="4" w:space="0" w:color="auto"/>
              <w:right w:val="single" w:sz="4" w:space="0" w:color="auto"/>
            </w:tcBorders>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根据政保合作、疫情防控、信息报送、公益活动等内容评分。发生重大突发或群访事件，每一次扣</w:t>
            </w:r>
            <w:r>
              <w:rPr>
                <w:snapToGrid w:val="0"/>
                <w:color w:val="000000"/>
                <w:kern w:val="0"/>
                <w:sz w:val="24"/>
                <w:szCs w:val="24"/>
              </w:rPr>
              <w:t>10</w:t>
            </w:r>
            <w:r>
              <w:rPr>
                <w:snapToGrid w:val="0"/>
                <w:color w:val="000000"/>
                <w:kern w:val="0"/>
                <w:sz w:val="24"/>
                <w:szCs w:val="24"/>
              </w:rPr>
              <w:t>分，下不设底。</w:t>
            </w:r>
          </w:p>
        </w:tc>
      </w:tr>
    </w:tbl>
    <w:p w:rsidR="00E65F37" w:rsidRDefault="00E65F37">
      <w:pPr>
        <w:tabs>
          <w:tab w:val="left" w:pos="1680"/>
        </w:tabs>
        <w:overflowPunct w:val="0"/>
        <w:adjustRightInd w:val="0"/>
        <w:snapToGrid w:val="0"/>
        <w:spacing w:line="360" w:lineRule="exact"/>
        <w:rPr>
          <w:rFonts w:eastAsia="方正小标宋简体"/>
          <w:color w:val="000000"/>
          <w:sz w:val="24"/>
          <w:szCs w:val="24"/>
        </w:rPr>
      </w:pPr>
    </w:p>
    <w:p w:rsidR="00E65F37" w:rsidRDefault="00E65F37">
      <w:pPr>
        <w:tabs>
          <w:tab w:val="left" w:pos="1680"/>
        </w:tabs>
        <w:overflowPunct w:val="0"/>
        <w:adjustRightInd w:val="0"/>
        <w:snapToGrid w:val="0"/>
        <w:spacing w:line="360" w:lineRule="exact"/>
        <w:rPr>
          <w:rFonts w:eastAsia="方正小标宋简体"/>
          <w:color w:val="000000"/>
          <w:sz w:val="24"/>
          <w:szCs w:val="24"/>
        </w:rPr>
      </w:pPr>
    </w:p>
    <w:p w:rsidR="00E65F37" w:rsidRDefault="00E65F37">
      <w:pPr>
        <w:tabs>
          <w:tab w:val="left" w:pos="1680"/>
        </w:tabs>
        <w:overflowPunct w:val="0"/>
        <w:adjustRightInd w:val="0"/>
        <w:snapToGrid w:val="0"/>
        <w:spacing w:line="360" w:lineRule="exact"/>
        <w:rPr>
          <w:rFonts w:eastAsia="方正小标宋简体"/>
          <w:color w:val="000000"/>
          <w:sz w:val="24"/>
          <w:szCs w:val="24"/>
        </w:rPr>
      </w:pPr>
    </w:p>
    <w:p w:rsidR="00E65F37" w:rsidRDefault="00E65F37">
      <w:pPr>
        <w:tabs>
          <w:tab w:val="left" w:pos="1680"/>
        </w:tabs>
        <w:overflowPunct w:val="0"/>
        <w:adjustRightInd w:val="0"/>
        <w:snapToGrid w:val="0"/>
        <w:spacing w:line="360" w:lineRule="exact"/>
        <w:rPr>
          <w:rFonts w:eastAsia="方正小标宋简体"/>
          <w:color w:val="000000"/>
          <w:sz w:val="24"/>
          <w:szCs w:val="24"/>
        </w:rPr>
      </w:pPr>
    </w:p>
    <w:p w:rsidR="00E65F37" w:rsidRDefault="00F16801">
      <w:pPr>
        <w:tabs>
          <w:tab w:val="left" w:pos="1680"/>
        </w:tabs>
        <w:overflowPunct w:val="0"/>
        <w:adjustRightInd w:val="0"/>
        <w:snapToGrid w:val="0"/>
        <w:spacing w:line="360" w:lineRule="exact"/>
        <w:outlineLvl w:val="0"/>
        <w:rPr>
          <w:rFonts w:eastAsia="黑体"/>
          <w:snapToGrid w:val="0"/>
          <w:color w:val="000000"/>
          <w:kern w:val="0"/>
          <w:szCs w:val="32"/>
        </w:rPr>
      </w:pPr>
      <w:r>
        <w:rPr>
          <w:rFonts w:eastAsia="方正小标宋简体"/>
          <w:color w:val="000000"/>
          <w:sz w:val="24"/>
          <w:szCs w:val="24"/>
        </w:rPr>
        <w:br w:type="page"/>
      </w:r>
      <w:r>
        <w:rPr>
          <w:rFonts w:eastAsia="黑体"/>
          <w:snapToGrid w:val="0"/>
          <w:color w:val="000000"/>
          <w:kern w:val="0"/>
          <w:szCs w:val="32"/>
        </w:rPr>
        <w:lastRenderedPageBreak/>
        <w:t>附件</w:t>
      </w:r>
      <w:r>
        <w:rPr>
          <w:rFonts w:eastAsia="黑体"/>
          <w:snapToGrid w:val="0"/>
          <w:color w:val="000000"/>
          <w:kern w:val="0"/>
          <w:szCs w:val="32"/>
        </w:rPr>
        <w:t>4</w:t>
      </w:r>
    </w:p>
    <w:p w:rsidR="00E65F37" w:rsidRDefault="00E65F37">
      <w:pPr>
        <w:tabs>
          <w:tab w:val="left" w:pos="1680"/>
        </w:tabs>
        <w:overflowPunct w:val="0"/>
        <w:adjustRightInd w:val="0"/>
        <w:snapToGrid w:val="0"/>
        <w:spacing w:line="580" w:lineRule="exact"/>
        <w:jc w:val="center"/>
        <w:rPr>
          <w:rFonts w:eastAsia="方正小标宋简体"/>
          <w:color w:val="000000"/>
          <w:sz w:val="44"/>
          <w:szCs w:val="44"/>
        </w:rPr>
      </w:pPr>
    </w:p>
    <w:p w:rsidR="00E65F37" w:rsidRDefault="00F16801">
      <w:pPr>
        <w:tabs>
          <w:tab w:val="left" w:pos="1680"/>
        </w:tabs>
        <w:overflowPunct w:val="0"/>
        <w:adjustRightInd w:val="0"/>
        <w:snapToGrid w:val="0"/>
        <w:spacing w:line="580" w:lineRule="exact"/>
        <w:jc w:val="center"/>
        <w:rPr>
          <w:rFonts w:eastAsia="方正小标宋简体"/>
          <w:color w:val="000000"/>
          <w:sz w:val="44"/>
          <w:szCs w:val="44"/>
        </w:rPr>
      </w:pPr>
      <w:r>
        <w:rPr>
          <w:rFonts w:eastAsia="方正小标宋简体"/>
          <w:color w:val="000000"/>
          <w:sz w:val="44"/>
          <w:szCs w:val="44"/>
        </w:rPr>
        <w:t>证券期货机构考核指标体系</w:t>
      </w:r>
    </w:p>
    <w:p w:rsidR="00E65F37" w:rsidRDefault="00E65F37">
      <w:pPr>
        <w:adjustRightInd w:val="0"/>
        <w:snapToGrid w:val="0"/>
        <w:spacing w:line="360" w:lineRule="exact"/>
        <w:jc w:val="center"/>
        <w:rPr>
          <w:rFonts w:eastAsia="方正小标宋简体"/>
          <w:snapToGrid w:val="0"/>
          <w:color w:val="000000"/>
          <w:kern w:val="0"/>
          <w:sz w:val="24"/>
          <w:szCs w:val="24"/>
        </w:rPr>
      </w:pPr>
    </w:p>
    <w:tbl>
      <w:tblPr>
        <w:tblW w:w="1322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1282"/>
        <w:gridCol w:w="10296"/>
      </w:tblGrid>
      <w:tr w:rsidR="00E65F37">
        <w:trPr>
          <w:trHeight w:val="675"/>
        </w:trPr>
        <w:tc>
          <w:tcPr>
            <w:tcW w:w="1650" w:type="dxa"/>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项目</w:t>
            </w:r>
          </w:p>
        </w:tc>
        <w:tc>
          <w:tcPr>
            <w:tcW w:w="1282" w:type="dxa"/>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基本分</w:t>
            </w:r>
          </w:p>
        </w:tc>
        <w:tc>
          <w:tcPr>
            <w:tcW w:w="10296" w:type="dxa"/>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评分标准</w:t>
            </w:r>
          </w:p>
        </w:tc>
      </w:tr>
      <w:tr w:rsidR="00E65F37">
        <w:trPr>
          <w:trHeight w:val="857"/>
        </w:trPr>
        <w:tc>
          <w:tcPr>
            <w:tcW w:w="1650"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地方贡献</w:t>
            </w:r>
          </w:p>
        </w:tc>
        <w:tc>
          <w:tcPr>
            <w:tcW w:w="1282" w:type="dxa"/>
            <w:vAlign w:val="center"/>
          </w:tcPr>
          <w:p w:rsidR="00E65F37" w:rsidRDefault="00F16801">
            <w:pPr>
              <w:overflowPunct w:val="0"/>
              <w:adjustRightInd w:val="0"/>
              <w:snapToGrid w:val="0"/>
              <w:spacing w:line="360" w:lineRule="exact"/>
              <w:jc w:val="center"/>
              <w:rPr>
                <w:rFonts w:eastAsia="仿宋"/>
                <w:snapToGrid w:val="0"/>
                <w:color w:val="000000"/>
                <w:kern w:val="0"/>
                <w:sz w:val="24"/>
                <w:szCs w:val="24"/>
              </w:rPr>
            </w:pPr>
            <w:r>
              <w:rPr>
                <w:rFonts w:eastAsia="仿宋"/>
                <w:snapToGrid w:val="0"/>
                <w:color w:val="000000"/>
                <w:kern w:val="0"/>
                <w:sz w:val="24"/>
                <w:szCs w:val="24"/>
              </w:rPr>
              <w:t>50</w:t>
            </w:r>
          </w:p>
        </w:tc>
        <w:tc>
          <w:tcPr>
            <w:tcW w:w="10296"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当年入库实缴税收最多的机构得</w:t>
            </w:r>
            <w:r>
              <w:rPr>
                <w:snapToGrid w:val="0"/>
                <w:color w:val="000000"/>
                <w:kern w:val="0"/>
                <w:sz w:val="24"/>
                <w:szCs w:val="24"/>
              </w:rPr>
              <w:t>50</w:t>
            </w:r>
            <w:r>
              <w:rPr>
                <w:snapToGrid w:val="0"/>
                <w:color w:val="000000"/>
                <w:kern w:val="0"/>
                <w:sz w:val="24"/>
                <w:szCs w:val="24"/>
              </w:rPr>
              <w:t>分，其余机构以此为标准值，按比例相应计分。</w:t>
            </w:r>
          </w:p>
        </w:tc>
      </w:tr>
      <w:tr w:rsidR="00E65F37">
        <w:trPr>
          <w:trHeight w:val="857"/>
        </w:trPr>
        <w:tc>
          <w:tcPr>
            <w:tcW w:w="1650"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交易总额</w:t>
            </w:r>
          </w:p>
        </w:tc>
        <w:tc>
          <w:tcPr>
            <w:tcW w:w="1282" w:type="dxa"/>
            <w:vAlign w:val="center"/>
          </w:tcPr>
          <w:p w:rsidR="00E65F37" w:rsidRDefault="00F16801">
            <w:pPr>
              <w:overflowPunct w:val="0"/>
              <w:adjustRightInd w:val="0"/>
              <w:snapToGrid w:val="0"/>
              <w:spacing w:line="360" w:lineRule="exact"/>
              <w:jc w:val="center"/>
              <w:rPr>
                <w:rFonts w:eastAsia="仿宋"/>
                <w:snapToGrid w:val="0"/>
                <w:color w:val="000000"/>
                <w:kern w:val="0"/>
                <w:sz w:val="24"/>
                <w:szCs w:val="24"/>
              </w:rPr>
            </w:pPr>
            <w:r>
              <w:rPr>
                <w:rFonts w:eastAsia="仿宋"/>
                <w:snapToGrid w:val="0"/>
                <w:color w:val="000000"/>
                <w:kern w:val="0"/>
                <w:sz w:val="24"/>
                <w:szCs w:val="24"/>
              </w:rPr>
              <w:t>30</w:t>
            </w:r>
          </w:p>
        </w:tc>
        <w:tc>
          <w:tcPr>
            <w:tcW w:w="10296"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当年交易总额最多的公司得</w:t>
            </w:r>
            <w:r>
              <w:rPr>
                <w:snapToGrid w:val="0"/>
                <w:color w:val="000000"/>
                <w:kern w:val="0"/>
                <w:sz w:val="24"/>
                <w:szCs w:val="24"/>
              </w:rPr>
              <w:t>20</w:t>
            </w:r>
            <w:r>
              <w:rPr>
                <w:snapToGrid w:val="0"/>
                <w:color w:val="000000"/>
                <w:kern w:val="0"/>
                <w:sz w:val="24"/>
                <w:szCs w:val="24"/>
              </w:rPr>
              <w:t>分，其余公司以此为标准值，按比例相应计分。</w:t>
            </w:r>
          </w:p>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当年交易总额增量最多的公司得</w:t>
            </w:r>
            <w:r>
              <w:rPr>
                <w:snapToGrid w:val="0"/>
                <w:color w:val="000000"/>
                <w:kern w:val="0"/>
                <w:sz w:val="24"/>
                <w:szCs w:val="24"/>
              </w:rPr>
              <w:t>10</w:t>
            </w:r>
            <w:r>
              <w:rPr>
                <w:snapToGrid w:val="0"/>
                <w:color w:val="000000"/>
                <w:kern w:val="0"/>
                <w:sz w:val="24"/>
                <w:szCs w:val="24"/>
              </w:rPr>
              <w:t>分，其余公司以此为标准值，按比例相应计分，无增量不得分。</w:t>
            </w:r>
          </w:p>
        </w:tc>
      </w:tr>
      <w:tr w:rsidR="00E65F37">
        <w:trPr>
          <w:trHeight w:val="1138"/>
        </w:trPr>
        <w:tc>
          <w:tcPr>
            <w:tcW w:w="1650"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业务创新</w:t>
            </w:r>
          </w:p>
        </w:tc>
        <w:tc>
          <w:tcPr>
            <w:tcW w:w="1282" w:type="dxa"/>
            <w:vAlign w:val="center"/>
          </w:tcPr>
          <w:p w:rsidR="00E65F37" w:rsidRDefault="00F16801">
            <w:pPr>
              <w:overflowPunct w:val="0"/>
              <w:adjustRightInd w:val="0"/>
              <w:snapToGrid w:val="0"/>
              <w:spacing w:line="360" w:lineRule="exact"/>
              <w:jc w:val="center"/>
              <w:rPr>
                <w:rFonts w:eastAsia="仿宋"/>
                <w:snapToGrid w:val="0"/>
                <w:color w:val="000000"/>
                <w:kern w:val="0"/>
                <w:sz w:val="24"/>
                <w:szCs w:val="24"/>
              </w:rPr>
            </w:pPr>
            <w:r>
              <w:rPr>
                <w:rFonts w:eastAsia="仿宋"/>
                <w:snapToGrid w:val="0"/>
                <w:color w:val="000000"/>
                <w:kern w:val="0"/>
                <w:sz w:val="24"/>
                <w:szCs w:val="24"/>
              </w:rPr>
              <w:t>10</w:t>
            </w:r>
          </w:p>
        </w:tc>
        <w:tc>
          <w:tcPr>
            <w:tcW w:w="10296"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协助企业在沪深北交易所、全国中小企业股份转让系统、浙江省股权交易中心实现上市挂牌的，每例得</w:t>
            </w:r>
            <w:r>
              <w:rPr>
                <w:snapToGrid w:val="0"/>
                <w:color w:val="000000"/>
                <w:kern w:val="0"/>
                <w:sz w:val="24"/>
                <w:szCs w:val="24"/>
              </w:rPr>
              <w:t>3</w:t>
            </w:r>
            <w:r>
              <w:rPr>
                <w:snapToGrid w:val="0"/>
                <w:color w:val="000000"/>
                <w:kern w:val="0"/>
                <w:sz w:val="24"/>
                <w:szCs w:val="24"/>
              </w:rPr>
              <w:t>分；</w:t>
            </w:r>
          </w:p>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协助企业引进战略投资融资</w:t>
            </w:r>
            <w:r>
              <w:rPr>
                <w:snapToGrid w:val="0"/>
                <w:color w:val="000000"/>
                <w:kern w:val="0"/>
                <w:sz w:val="24"/>
                <w:szCs w:val="24"/>
              </w:rPr>
              <w:t>1</w:t>
            </w:r>
            <w:r>
              <w:rPr>
                <w:snapToGrid w:val="0"/>
                <w:color w:val="000000"/>
                <w:kern w:val="0"/>
                <w:sz w:val="24"/>
                <w:szCs w:val="24"/>
              </w:rPr>
              <w:t>亿以上的每例得</w:t>
            </w:r>
            <w:r>
              <w:rPr>
                <w:snapToGrid w:val="0"/>
                <w:color w:val="000000"/>
                <w:kern w:val="0"/>
                <w:sz w:val="24"/>
                <w:szCs w:val="24"/>
              </w:rPr>
              <w:t>3</w:t>
            </w:r>
            <w:r>
              <w:rPr>
                <w:snapToGrid w:val="0"/>
                <w:color w:val="000000"/>
                <w:kern w:val="0"/>
                <w:sz w:val="24"/>
                <w:szCs w:val="24"/>
              </w:rPr>
              <w:t>分，</w:t>
            </w:r>
            <w:r>
              <w:rPr>
                <w:snapToGrid w:val="0"/>
                <w:color w:val="000000"/>
                <w:kern w:val="0"/>
                <w:sz w:val="24"/>
                <w:szCs w:val="24"/>
              </w:rPr>
              <w:t>1</w:t>
            </w:r>
            <w:r>
              <w:rPr>
                <w:snapToGrid w:val="0"/>
                <w:color w:val="000000"/>
                <w:kern w:val="0"/>
                <w:sz w:val="24"/>
                <w:szCs w:val="24"/>
              </w:rPr>
              <w:t>亿以下的每例得</w:t>
            </w:r>
            <w:r>
              <w:rPr>
                <w:snapToGrid w:val="0"/>
                <w:color w:val="000000"/>
                <w:kern w:val="0"/>
                <w:sz w:val="24"/>
                <w:szCs w:val="24"/>
              </w:rPr>
              <w:t>2</w:t>
            </w:r>
            <w:r>
              <w:rPr>
                <w:snapToGrid w:val="0"/>
                <w:color w:val="000000"/>
                <w:kern w:val="0"/>
                <w:sz w:val="24"/>
                <w:szCs w:val="24"/>
              </w:rPr>
              <w:t>分。本项上限为</w:t>
            </w:r>
            <w:r>
              <w:rPr>
                <w:snapToGrid w:val="0"/>
                <w:color w:val="000000"/>
                <w:kern w:val="0"/>
                <w:sz w:val="24"/>
                <w:szCs w:val="24"/>
              </w:rPr>
              <w:t>10</w:t>
            </w:r>
            <w:r>
              <w:rPr>
                <w:snapToGrid w:val="0"/>
                <w:color w:val="000000"/>
                <w:kern w:val="0"/>
                <w:sz w:val="24"/>
                <w:szCs w:val="24"/>
              </w:rPr>
              <w:t>分。</w:t>
            </w:r>
          </w:p>
        </w:tc>
      </w:tr>
      <w:tr w:rsidR="00E65F37">
        <w:trPr>
          <w:trHeight w:val="852"/>
        </w:trPr>
        <w:tc>
          <w:tcPr>
            <w:tcW w:w="1650"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社会责任</w:t>
            </w:r>
          </w:p>
        </w:tc>
        <w:tc>
          <w:tcPr>
            <w:tcW w:w="1282" w:type="dxa"/>
            <w:vAlign w:val="center"/>
          </w:tcPr>
          <w:p w:rsidR="00E65F37" w:rsidRDefault="00F16801">
            <w:pPr>
              <w:overflowPunct w:val="0"/>
              <w:adjustRightInd w:val="0"/>
              <w:snapToGrid w:val="0"/>
              <w:spacing w:line="360" w:lineRule="exact"/>
              <w:jc w:val="center"/>
              <w:rPr>
                <w:rFonts w:eastAsia="仿宋"/>
                <w:snapToGrid w:val="0"/>
                <w:color w:val="000000"/>
                <w:kern w:val="0"/>
                <w:sz w:val="24"/>
                <w:szCs w:val="24"/>
              </w:rPr>
            </w:pPr>
            <w:r>
              <w:rPr>
                <w:rFonts w:eastAsia="仿宋"/>
                <w:snapToGrid w:val="0"/>
                <w:color w:val="000000"/>
                <w:kern w:val="0"/>
                <w:sz w:val="24"/>
                <w:szCs w:val="24"/>
              </w:rPr>
              <w:t>10</w:t>
            </w:r>
          </w:p>
        </w:tc>
        <w:tc>
          <w:tcPr>
            <w:tcW w:w="10296"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开展慈善、救助、公益等活动的，每例得</w:t>
            </w:r>
            <w:r>
              <w:rPr>
                <w:snapToGrid w:val="0"/>
                <w:color w:val="000000"/>
                <w:kern w:val="0"/>
                <w:sz w:val="24"/>
                <w:szCs w:val="24"/>
              </w:rPr>
              <w:t>1</w:t>
            </w:r>
            <w:r>
              <w:rPr>
                <w:snapToGrid w:val="0"/>
                <w:color w:val="000000"/>
                <w:kern w:val="0"/>
                <w:sz w:val="24"/>
                <w:szCs w:val="24"/>
              </w:rPr>
              <w:t>分，上限</w:t>
            </w:r>
            <w:r>
              <w:rPr>
                <w:snapToGrid w:val="0"/>
                <w:color w:val="000000"/>
                <w:kern w:val="0"/>
                <w:sz w:val="24"/>
                <w:szCs w:val="24"/>
              </w:rPr>
              <w:t>5</w:t>
            </w:r>
            <w:r>
              <w:rPr>
                <w:snapToGrid w:val="0"/>
                <w:color w:val="000000"/>
                <w:kern w:val="0"/>
                <w:sz w:val="24"/>
                <w:szCs w:val="24"/>
              </w:rPr>
              <w:t>分；对地方政府、监管部门和行业协会部署的工作态度端正、参与积极的得</w:t>
            </w:r>
            <w:r>
              <w:rPr>
                <w:snapToGrid w:val="0"/>
                <w:color w:val="000000"/>
                <w:kern w:val="0"/>
                <w:sz w:val="24"/>
                <w:szCs w:val="24"/>
              </w:rPr>
              <w:t>10</w:t>
            </w:r>
            <w:r>
              <w:rPr>
                <w:snapToGrid w:val="0"/>
                <w:color w:val="000000"/>
                <w:kern w:val="0"/>
                <w:sz w:val="24"/>
                <w:szCs w:val="24"/>
              </w:rPr>
              <w:t>分；态度消极或不作为的，倒扣</w:t>
            </w:r>
            <w:r>
              <w:rPr>
                <w:snapToGrid w:val="0"/>
                <w:color w:val="000000"/>
                <w:kern w:val="0"/>
                <w:sz w:val="24"/>
                <w:szCs w:val="24"/>
              </w:rPr>
              <w:t>10</w:t>
            </w:r>
            <w:r>
              <w:rPr>
                <w:snapToGrid w:val="0"/>
                <w:color w:val="000000"/>
                <w:kern w:val="0"/>
                <w:sz w:val="24"/>
                <w:szCs w:val="24"/>
              </w:rPr>
              <w:t>分；本项上限为</w:t>
            </w:r>
            <w:r>
              <w:rPr>
                <w:snapToGrid w:val="0"/>
                <w:color w:val="000000"/>
                <w:kern w:val="0"/>
                <w:sz w:val="24"/>
                <w:szCs w:val="24"/>
              </w:rPr>
              <w:t>10</w:t>
            </w:r>
            <w:r>
              <w:rPr>
                <w:snapToGrid w:val="0"/>
                <w:color w:val="000000"/>
                <w:kern w:val="0"/>
                <w:sz w:val="24"/>
                <w:szCs w:val="24"/>
              </w:rPr>
              <w:t>分。</w:t>
            </w:r>
          </w:p>
        </w:tc>
      </w:tr>
      <w:tr w:rsidR="00E65F37">
        <w:trPr>
          <w:trHeight w:val="719"/>
        </w:trPr>
        <w:tc>
          <w:tcPr>
            <w:tcW w:w="13228" w:type="dxa"/>
            <w:gridSpan w:val="3"/>
            <w:vAlign w:val="center"/>
          </w:tcPr>
          <w:p w:rsidR="00E65F37" w:rsidRDefault="00F16801">
            <w:pPr>
              <w:adjustRightInd w:val="0"/>
              <w:snapToGrid w:val="0"/>
              <w:spacing w:line="360" w:lineRule="exact"/>
              <w:rPr>
                <w:color w:val="000000"/>
                <w:sz w:val="24"/>
                <w:szCs w:val="24"/>
              </w:rPr>
            </w:pPr>
            <w:r>
              <w:rPr>
                <w:snapToGrid w:val="0"/>
                <w:color w:val="000000"/>
                <w:kern w:val="0"/>
                <w:sz w:val="24"/>
                <w:szCs w:val="24"/>
              </w:rPr>
              <w:t>特别说明：证券、期货机构在合规、安全、廉政等方面有受到行政处罚及以上责任事件的，实行一票否决制。得分上限为基本分，下限为零。</w:t>
            </w:r>
          </w:p>
        </w:tc>
      </w:tr>
    </w:tbl>
    <w:p w:rsidR="00E65F37" w:rsidRDefault="00E65F37">
      <w:pPr>
        <w:adjustRightInd w:val="0"/>
        <w:snapToGrid w:val="0"/>
        <w:spacing w:line="360" w:lineRule="exact"/>
        <w:jc w:val="center"/>
        <w:rPr>
          <w:rFonts w:eastAsia="方正小标宋简体"/>
          <w:snapToGrid w:val="0"/>
          <w:color w:val="000000"/>
          <w:kern w:val="0"/>
          <w:sz w:val="24"/>
          <w:szCs w:val="24"/>
        </w:rPr>
      </w:pPr>
    </w:p>
    <w:p w:rsidR="00E65F37" w:rsidRDefault="00E65F37">
      <w:pPr>
        <w:adjustRightInd w:val="0"/>
        <w:snapToGrid w:val="0"/>
        <w:spacing w:line="360" w:lineRule="exact"/>
        <w:rPr>
          <w:sz w:val="24"/>
          <w:szCs w:val="24"/>
        </w:rPr>
      </w:pPr>
    </w:p>
    <w:p w:rsidR="00E65F37" w:rsidRDefault="00E65F37">
      <w:pPr>
        <w:tabs>
          <w:tab w:val="left" w:pos="1680"/>
        </w:tabs>
        <w:overflowPunct w:val="0"/>
        <w:adjustRightInd w:val="0"/>
        <w:snapToGrid w:val="0"/>
        <w:spacing w:line="360" w:lineRule="exact"/>
        <w:rPr>
          <w:rFonts w:eastAsia="方正小标宋简体"/>
          <w:color w:val="000000"/>
          <w:sz w:val="24"/>
          <w:szCs w:val="24"/>
        </w:rPr>
      </w:pPr>
    </w:p>
    <w:p w:rsidR="00E65F37" w:rsidRDefault="00F16801">
      <w:pPr>
        <w:tabs>
          <w:tab w:val="left" w:pos="1680"/>
        </w:tabs>
        <w:overflowPunct w:val="0"/>
        <w:adjustRightInd w:val="0"/>
        <w:snapToGrid w:val="0"/>
        <w:spacing w:line="360" w:lineRule="exact"/>
        <w:outlineLvl w:val="0"/>
        <w:rPr>
          <w:rFonts w:eastAsia="黑体"/>
          <w:snapToGrid w:val="0"/>
          <w:color w:val="000000"/>
          <w:kern w:val="0"/>
          <w:szCs w:val="32"/>
        </w:rPr>
      </w:pPr>
      <w:r>
        <w:rPr>
          <w:rFonts w:eastAsia="方正小标宋简体"/>
          <w:color w:val="000000"/>
          <w:sz w:val="24"/>
          <w:szCs w:val="24"/>
        </w:rPr>
        <w:br w:type="page"/>
      </w:r>
      <w:r>
        <w:rPr>
          <w:rFonts w:eastAsia="黑体"/>
          <w:snapToGrid w:val="0"/>
          <w:color w:val="000000"/>
          <w:kern w:val="0"/>
          <w:szCs w:val="32"/>
        </w:rPr>
        <w:lastRenderedPageBreak/>
        <w:t>附件</w:t>
      </w:r>
      <w:r>
        <w:rPr>
          <w:rFonts w:eastAsia="黑体"/>
          <w:snapToGrid w:val="0"/>
          <w:color w:val="000000"/>
          <w:kern w:val="0"/>
          <w:szCs w:val="32"/>
        </w:rPr>
        <w:t>5</w:t>
      </w:r>
    </w:p>
    <w:p w:rsidR="00E65F37" w:rsidRDefault="00E65F37">
      <w:pPr>
        <w:tabs>
          <w:tab w:val="left" w:pos="1680"/>
        </w:tabs>
        <w:overflowPunct w:val="0"/>
        <w:adjustRightInd w:val="0"/>
        <w:snapToGrid w:val="0"/>
        <w:spacing w:line="580" w:lineRule="exact"/>
        <w:jc w:val="center"/>
        <w:rPr>
          <w:rFonts w:eastAsia="方正小标宋简体"/>
          <w:color w:val="000000"/>
          <w:sz w:val="44"/>
          <w:szCs w:val="44"/>
        </w:rPr>
      </w:pPr>
    </w:p>
    <w:p w:rsidR="00E65F37" w:rsidRDefault="00F16801">
      <w:pPr>
        <w:tabs>
          <w:tab w:val="left" w:pos="1680"/>
        </w:tabs>
        <w:overflowPunct w:val="0"/>
        <w:adjustRightInd w:val="0"/>
        <w:snapToGrid w:val="0"/>
        <w:spacing w:line="580" w:lineRule="exact"/>
        <w:jc w:val="center"/>
        <w:rPr>
          <w:rFonts w:eastAsia="方正小标宋简体"/>
          <w:color w:val="000000"/>
          <w:sz w:val="44"/>
          <w:szCs w:val="44"/>
        </w:rPr>
      </w:pPr>
      <w:r>
        <w:rPr>
          <w:rFonts w:eastAsia="方正小标宋简体"/>
          <w:color w:val="000000"/>
          <w:sz w:val="44"/>
          <w:szCs w:val="44"/>
        </w:rPr>
        <w:t>融资担保公司考核指标体系</w:t>
      </w:r>
    </w:p>
    <w:p w:rsidR="00E65F37" w:rsidRDefault="00E65F37">
      <w:pPr>
        <w:overflowPunct w:val="0"/>
        <w:adjustRightInd w:val="0"/>
        <w:snapToGrid w:val="0"/>
        <w:spacing w:line="360" w:lineRule="exact"/>
        <w:jc w:val="center"/>
        <w:rPr>
          <w:rFonts w:eastAsia="方正小标宋简体"/>
          <w:snapToGrid w:val="0"/>
          <w:color w:val="000000"/>
          <w:kern w:val="0"/>
          <w:sz w:val="24"/>
          <w:szCs w:val="24"/>
        </w:rPr>
      </w:pPr>
    </w:p>
    <w:tbl>
      <w:tblPr>
        <w:tblW w:w="1321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205"/>
        <w:gridCol w:w="1020"/>
        <w:gridCol w:w="9142"/>
      </w:tblGrid>
      <w:tr w:rsidR="00E65F37">
        <w:trPr>
          <w:trHeight w:val="737"/>
        </w:trPr>
        <w:tc>
          <w:tcPr>
            <w:tcW w:w="847" w:type="dxa"/>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序号</w:t>
            </w:r>
          </w:p>
        </w:tc>
        <w:tc>
          <w:tcPr>
            <w:tcW w:w="2205" w:type="dxa"/>
            <w:vAlign w:val="center"/>
          </w:tcPr>
          <w:p w:rsidR="00E65F37" w:rsidRDefault="00F16801">
            <w:pPr>
              <w:overflowPunct w:val="0"/>
              <w:adjustRightInd w:val="0"/>
              <w:snapToGrid w:val="0"/>
              <w:spacing w:line="360" w:lineRule="exact"/>
              <w:jc w:val="center"/>
              <w:rPr>
                <w:rFonts w:eastAsia="黑体"/>
                <w:color w:val="000000"/>
                <w:kern w:val="0"/>
                <w:sz w:val="24"/>
                <w:szCs w:val="24"/>
              </w:rPr>
            </w:pPr>
            <w:r>
              <w:rPr>
                <w:rFonts w:eastAsia="黑体"/>
                <w:color w:val="000000"/>
                <w:kern w:val="0"/>
                <w:sz w:val="24"/>
                <w:szCs w:val="24"/>
              </w:rPr>
              <w:t>项目</w:t>
            </w:r>
          </w:p>
        </w:tc>
        <w:tc>
          <w:tcPr>
            <w:tcW w:w="1020" w:type="dxa"/>
            <w:vAlign w:val="center"/>
          </w:tcPr>
          <w:p w:rsidR="00E65F37" w:rsidRDefault="00F16801">
            <w:pPr>
              <w:overflowPunct w:val="0"/>
              <w:adjustRightInd w:val="0"/>
              <w:snapToGrid w:val="0"/>
              <w:spacing w:line="360" w:lineRule="exact"/>
              <w:jc w:val="center"/>
              <w:rPr>
                <w:rFonts w:eastAsia="黑体"/>
                <w:color w:val="000000"/>
                <w:kern w:val="0"/>
                <w:sz w:val="24"/>
                <w:szCs w:val="24"/>
              </w:rPr>
            </w:pPr>
            <w:r>
              <w:rPr>
                <w:rFonts w:eastAsia="黑体"/>
                <w:color w:val="000000"/>
                <w:kern w:val="0"/>
                <w:sz w:val="24"/>
                <w:szCs w:val="24"/>
              </w:rPr>
              <w:t>基本分</w:t>
            </w:r>
          </w:p>
        </w:tc>
        <w:tc>
          <w:tcPr>
            <w:tcW w:w="9142" w:type="dxa"/>
            <w:vAlign w:val="center"/>
          </w:tcPr>
          <w:p w:rsidR="00E65F37" w:rsidRDefault="00F16801">
            <w:pPr>
              <w:overflowPunct w:val="0"/>
              <w:adjustRightInd w:val="0"/>
              <w:snapToGrid w:val="0"/>
              <w:spacing w:line="360" w:lineRule="exact"/>
              <w:jc w:val="center"/>
              <w:rPr>
                <w:rFonts w:eastAsia="黑体"/>
                <w:color w:val="000000"/>
                <w:kern w:val="0"/>
                <w:sz w:val="24"/>
                <w:szCs w:val="24"/>
              </w:rPr>
            </w:pPr>
            <w:r>
              <w:rPr>
                <w:rFonts w:eastAsia="黑体"/>
                <w:color w:val="000000"/>
                <w:kern w:val="0"/>
                <w:sz w:val="24"/>
                <w:szCs w:val="24"/>
              </w:rPr>
              <w:t>评分标准</w:t>
            </w:r>
          </w:p>
        </w:tc>
      </w:tr>
      <w:tr w:rsidR="00E65F37">
        <w:trPr>
          <w:trHeight w:val="737"/>
        </w:trPr>
        <w:tc>
          <w:tcPr>
            <w:tcW w:w="84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w:t>
            </w:r>
          </w:p>
        </w:tc>
        <w:tc>
          <w:tcPr>
            <w:tcW w:w="2205"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年末在保余额</w:t>
            </w:r>
          </w:p>
        </w:tc>
        <w:tc>
          <w:tcPr>
            <w:tcW w:w="1020"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color w:val="000000"/>
                <w:kern w:val="0"/>
                <w:sz w:val="24"/>
                <w:szCs w:val="24"/>
              </w:rPr>
              <w:t>40</w:t>
            </w:r>
          </w:p>
        </w:tc>
        <w:tc>
          <w:tcPr>
            <w:tcW w:w="9142"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年末在保余额最高的得</w:t>
            </w:r>
            <w:r>
              <w:rPr>
                <w:snapToGrid w:val="0"/>
                <w:color w:val="000000"/>
                <w:kern w:val="0"/>
                <w:sz w:val="24"/>
                <w:szCs w:val="24"/>
              </w:rPr>
              <w:t>40</w:t>
            </w:r>
            <w:r>
              <w:rPr>
                <w:snapToGrid w:val="0"/>
                <w:color w:val="000000"/>
                <w:kern w:val="0"/>
                <w:sz w:val="24"/>
                <w:szCs w:val="24"/>
              </w:rPr>
              <w:t>分，其余以此为标准值，按比例相应计分。</w:t>
            </w:r>
          </w:p>
        </w:tc>
      </w:tr>
      <w:tr w:rsidR="00E65F37">
        <w:trPr>
          <w:trHeight w:val="737"/>
        </w:trPr>
        <w:tc>
          <w:tcPr>
            <w:tcW w:w="84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2</w:t>
            </w:r>
          </w:p>
        </w:tc>
        <w:tc>
          <w:tcPr>
            <w:tcW w:w="2205"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本年累计担保金额</w:t>
            </w:r>
          </w:p>
        </w:tc>
        <w:tc>
          <w:tcPr>
            <w:tcW w:w="1020"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color w:val="000000"/>
                <w:kern w:val="0"/>
                <w:sz w:val="24"/>
                <w:szCs w:val="24"/>
              </w:rPr>
              <w:t>20</w:t>
            </w:r>
          </w:p>
        </w:tc>
        <w:tc>
          <w:tcPr>
            <w:tcW w:w="9142"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本年累计担保金额最大的得</w:t>
            </w:r>
            <w:r>
              <w:rPr>
                <w:snapToGrid w:val="0"/>
                <w:color w:val="000000"/>
                <w:kern w:val="0"/>
                <w:sz w:val="24"/>
                <w:szCs w:val="24"/>
              </w:rPr>
              <w:t>20</w:t>
            </w:r>
            <w:r>
              <w:rPr>
                <w:snapToGrid w:val="0"/>
                <w:color w:val="000000"/>
                <w:kern w:val="0"/>
                <w:sz w:val="24"/>
                <w:szCs w:val="24"/>
              </w:rPr>
              <w:t>分，其余以此为标准值，按比例相应计分。</w:t>
            </w:r>
          </w:p>
        </w:tc>
      </w:tr>
      <w:tr w:rsidR="00E65F37">
        <w:trPr>
          <w:trHeight w:val="737"/>
        </w:trPr>
        <w:tc>
          <w:tcPr>
            <w:tcW w:w="84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3</w:t>
            </w:r>
          </w:p>
        </w:tc>
        <w:tc>
          <w:tcPr>
            <w:tcW w:w="2205"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本年累计担保笔数</w:t>
            </w:r>
            <w:r>
              <w:rPr>
                <w:snapToGrid w:val="0"/>
                <w:color w:val="000000"/>
                <w:kern w:val="0"/>
                <w:sz w:val="24"/>
                <w:szCs w:val="24"/>
              </w:rPr>
              <w:t xml:space="preserve"> </w:t>
            </w:r>
          </w:p>
        </w:tc>
        <w:tc>
          <w:tcPr>
            <w:tcW w:w="1020" w:type="dxa"/>
            <w:vAlign w:val="center"/>
          </w:tcPr>
          <w:p w:rsidR="00E65F37" w:rsidRDefault="00F16801">
            <w:pPr>
              <w:overflowPunct w:val="0"/>
              <w:adjustRightInd w:val="0"/>
              <w:snapToGrid w:val="0"/>
              <w:spacing w:line="360" w:lineRule="exact"/>
              <w:jc w:val="center"/>
              <w:rPr>
                <w:color w:val="000000"/>
                <w:kern w:val="0"/>
                <w:sz w:val="24"/>
                <w:szCs w:val="24"/>
              </w:rPr>
            </w:pPr>
            <w:r>
              <w:rPr>
                <w:color w:val="000000"/>
                <w:kern w:val="0"/>
                <w:sz w:val="24"/>
                <w:szCs w:val="24"/>
              </w:rPr>
              <w:t>10</w:t>
            </w:r>
          </w:p>
        </w:tc>
        <w:tc>
          <w:tcPr>
            <w:tcW w:w="9142"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本年累计担保笔数最多的得</w:t>
            </w:r>
            <w:r>
              <w:rPr>
                <w:snapToGrid w:val="0"/>
                <w:color w:val="000000"/>
                <w:kern w:val="0"/>
                <w:sz w:val="24"/>
                <w:szCs w:val="24"/>
              </w:rPr>
              <w:t>10</w:t>
            </w:r>
            <w:r>
              <w:rPr>
                <w:snapToGrid w:val="0"/>
                <w:color w:val="000000"/>
                <w:kern w:val="0"/>
                <w:sz w:val="24"/>
                <w:szCs w:val="24"/>
              </w:rPr>
              <w:t>分，其余以此为标准值，按比例相应计分。</w:t>
            </w:r>
          </w:p>
        </w:tc>
      </w:tr>
      <w:tr w:rsidR="00E65F37">
        <w:trPr>
          <w:trHeight w:val="737"/>
        </w:trPr>
        <w:tc>
          <w:tcPr>
            <w:tcW w:w="84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4</w:t>
            </w:r>
          </w:p>
        </w:tc>
        <w:tc>
          <w:tcPr>
            <w:tcW w:w="2205"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年末在保余额增幅</w:t>
            </w:r>
          </w:p>
        </w:tc>
        <w:tc>
          <w:tcPr>
            <w:tcW w:w="1020" w:type="dxa"/>
            <w:vAlign w:val="center"/>
          </w:tcPr>
          <w:p w:rsidR="00E65F37" w:rsidRDefault="00F16801">
            <w:pPr>
              <w:overflowPunct w:val="0"/>
              <w:adjustRightInd w:val="0"/>
              <w:snapToGrid w:val="0"/>
              <w:spacing w:line="360" w:lineRule="exact"/>
              <w:jc w:val="center"/>
              <w:rPr>
                <w:color w:val="000000"/>
                <w:kern w:val="0"/>
                <w:sz w:val="24"/>
                <w:szCs w:val="24"/>
              </w:rPr>
            </w:pPr>
            <w:r>
              <w:rPr>
                <w:rFonts w:eastAsia="仿宋"/>
                <w:color w:val="000000"/>
                <w:kern w:val="0"/>
                <w:sz w:val="24"/>
                <w:szCs w:val="24"/>
              </w:rPr>
              <w:t>10</w:t>
            </w:r>
          </w:p>
        </w:tc>
        <w:tc>
          <w:tcPr>
            <w:tcW w:w="9142"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年末在保余额增幅最大的得</w:t>
            </w:r>
            <w:r>
              <w:rPr>
                <w:snapToGrid w:val="0"/>
                <w:color w:val="000000"/>
                <w:kern w:val="0"/>
                <w:sz w:val="24"/>
                <w:szCs w:val="24"/>
              </w:rPr>
              <w:t>10</w:t>
            </w:r>
            <w:r>
              <w:rPr>
                <w:snapToGrid w:val="0"/>
                <w:color w:val="000000"/>
                <w:kern w:val="0"/>
                <w:sz w:val="24"/>
                <w:szCs w:val="24"/>
              </w:rPr>
              <w:t>分，其余以增幅最多的为标准值，按比例相应计分。</w:t>
            </w:r>
          </w:p>
        </w:tc>
      </w:tr>
      <w:tr w:rsidR="00E65F37">
        <w:trPr>
          <w:trHeight w:val="737"/>
        </w:trPr>
        <w:tc>
          <w:tcPr>
            <w:tcW w:w="84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5</w:t>
            </w:r>
          </w:p>
        </w:tc>
        <w:tc>
          <w:tcPr>
            <w:tcW w:w="2205" w:type="dxa"/>
            <w:vAlign w:val="center"/>
          </w:tcPr>
          <w:p w:rsidR="00E65F37" w:rsidRPr="000E579F" w:rsidRDefault="00F16801">
            <w:pPr>
              <w:adjustRightInd w:val="0"/>
              <w:snapToGrid w:val="0"/>
              <w:spacing w:line="360" w:lineRule="exact"/>
              <w:jc w:val="center"/>
              <w:rPr>
                <w:snapToGrid w:val="0"/>
                <w:color w:val="000000"/>
                <w:kern w:val="0"/>
                <w:sz w:val="24"/>
                <w:szCs w:val="24"/>
              </w:rPr>
            </w:pPr>
            <w:r w:rsidRPr="000E579F">
              <w:rPr>
                <w:rFonts w:hint="eastAsia"/>
                <w:snapToGrid w:val="0"/>
                <w:color w:val="000000"/>
                <w:kern w:val="0"/>
                <w:sz w:val="24"/>
                <w:szCs w:val="24"/>
              </w:rPr>
              <w:t>业务放大倍数</w:t>
            </w:r>
          </w:p>
        </w:tc>
        <w:tc>
          <w:tcPr>
            <w:tcW w:w="1020" w:type="dxa"/>
            <w:vAlign w:val="center"/>
          </w:tcPr>
          <w:p w:rsidR="00E65F37" w:rsidRPr="000E579F" w:rsidRDefault="00F16801">
            <w:pPr>
              <w:overflowPunct w:val="0"/>
              <w:adjustRightInd w:val="0"/>
              <w:snapToGrid w:val="0"/>
              <w:spacing w:line="360" w:lineRule="exact"/>
              <w:jc w:val="center"/>
              <w:rPr>
                <w:snapToGrid w:val="0"/>
                <w:color w:val="000000"/>
                <w:kern w:val="0"/>
                <w:sz w:val="24"/>
                <w:szCs w:val="24"/>
              </w:rPr>
            </w:pPr>
            <w:r w:rsidRPr="000E579F">
              <w:rPr>
                <w:snapToGrid w:val="0"/>
                <w:color w:val="000000"/>
                <w:kern w:val="0"/>
                <w:sz w:val="24"/>
                <w:szCs w:val="24"/>
              </w:rPr>
              <w:t>10</w:t>
            </w:r>
          </w:p>
        </w:tc>
        <w:tc>
          <w:tcPr>
            <w:tcW w:w="9142" w:type="dxa"/>
            <w:vAlign w:val="center"/>
          </w:tcPr>
          <w:p w:rsidR="00E65F37" w:rsidRPr="000E579F" w:rsidRDefault="00F16801">
            <w:pPr>
              <w:overflowPunct w:val="0"/>
              <w:adjustRightInd w:val="0"/>
              <w:snapToGrid w:val="0"/>
              <w:spacing w:line="360" w:lineRule="exact"/>
              <w:rPr>
                <w:snapToGrid w:val="0"/>
                <w:color w:val="000000"/>
                <w:kern w:val="0"/>
                <w:sz w:val="24"/>
                <w:szCs w:val="24"/>
              </w:rPr>
            </w:pPr>
            <w:r w:rsidRPr="000E579F">
              <w:rPr>
                <w:rFonts w:hint="eastAsia"/>
                <w:snapToGrid w:val="0"/>
                <w:color w:val="000000"/>
                <w:kern w:val="0"/>
                <w:sz w:val="24"/>
                <w:szCs w:val="24"/>
              </w:rPr>
              <w:t>业务放大倍</w:t>
            </w:r>
            <w:r w:rsidRPr="000E579F">
              <w:rPr>
                <w:snapToGrid w:val="0"/>
                <w:color w:val="000000"/>
                <w:kern w:val="0"/>
                <w:sz w:val="24"/>
                <w:szCs w:val="24"/>
              </w:rPr>
              <w:t>数最多的得</w:t>
            </w:r>
            <w:r w:rsidRPr="000E579F">
              <w:rPr>
                <w:snapToGrid w:val="0"/>
                <w:color w:val="000000"/>
                <w:kern w:val="0"/>
                <w:sz w:val="24"/>
                <w:szCs w:val="24"/>
              </w:rPr>
              <w:t>10</w:t>
            </w:r>
            <w:r w:rsidRPr="000E579F">
              <w:rPr>
                <w:snapToGrid w:val="0"/>
                <w:color w:val="000000"/>
                <w:kern w:val="0"/>
                <w:sz w:val="24"/>
                <w:szCs w:val="24"/>
              </w:rPr>
              <w:t>分，其余以此为标准值，按比例相应计分</w:t>
            </w:r>
            <w:r w:rsidRPr="000E579F">
              <w:rPr>
                <w:rFonts w:hint="eastAsia"/>
                <w:snapToGrid w:val="0"/>
                <w:color w:val="000000"/>
                <w:kern w:val="0"/>
                <w:sz w:val="24"/>
                <w:szCs w:val="24"/>
              </w:rPr>
              <w:t>。</w:t>
            </w:r>
          </w:p>
        </w:tc>
      </w:tr>
      <w:tr w:rsidR="00E65F37">
        <w:trPr>
          <w:trHeight w:val="737"/>
        </w:trPr>
        <w:tc>
          <w:tcPr>
            <w:tcW w:w="84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6</w:t>
            </w:r>
          </w:p>
        </w:tc>
        <w:tc>
          <w:tcPr>
            <w:tcW w:w="2205"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人才企业</w:t>
            </w:r>
          </w:p>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担保贷款余额</w:t>
            </w:r>
          </w:p>
        </w:tc>
        <w:tc>
          <w:tcPr>
            <w:tcW w:w="1020" w:type="dxa"/>
            <w:vAlign w:val="center"/>
          </w:tcPr>
          <w:p w:rsidR="00E65F37" w:rsidRDefault="00F16801">
            <w:pPr>
              <w:overflowPunct w:val="0"/>
              <w:adjustRightInd w:val="0"/>
              <w:snapToGrid w:val="0"/>
              <w:spacing w:line="360" w:lineRule="exact"/>
              <w:jc w:val="center"/>
              <w:rPr>
                <w:color w:val="000000"/>
                <w:kern w:val="0"/>
                <w:sz w:val="24"/>
                <w:szCs w:val="24"/>
              </w:rPr>
            </w:pPr>
            <w:r>
              <w:rPr>
                <w:color w:val="000000"/>
                <w:kern w:val="0"/>
                <w:sz w:val="24"/>
                <w:szCs w:val="24"/>
              </w:rPr>
              <w:t>10</w:t>
            </w:r>
          </w:p>
        </w:tc>
        <w:tc>
          <w:tcPr>
            <w:tcW w:w="9142"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年末人才企业担保贷款余额最高的得</w:t>
            </w:r>
            <w:r>
              <w:rPr>
                <w:snapToGrid w:val="0"/>
                <w:color w:val="000000"/>
                <w:kern w:val="0"/>
                <w:sz w:val="24"/>
                <w:szCs w:val="24"/>
              </w:rPr>
              <w:t>10</w:t>
            </w:r>
            <w:r>
              <w:rPr>
                <w:snapToGrid w:val="0"/>
                <w:color w:val="000000"/>
                <w:kern w:val="0"/>
                <w:sz w:val="24"/>
                <w:szCs w:val="24"/>
              </w:rPr>
              <w:t>分，其余以此为标准值，按比例相应计分。</w:t>
            </w:r>
          </w:p>
        </w:tc>
      </w:tr>
    </w:tbl>
    <w:p w:rsidR="00E65F37" w:rsidRDefault="00E65F37">
      <w:pPr>
        <w:overflowPunct w:val="0"/>
        <w:adjustRightInd w:val="0"/>
        <w:snapToGrid w:val="0"/>
        <w:spacing w:line="360" w:lineRule="exact"/>
        <w:rPr>
          <w:rFonts w:eastAsia="黑体"/>
          <w:snapToGrid w:val="0"/>
          <w:color w:val="000000"/>
          <w:kern w:val="0"/>
          <w:sz w:val="24"/>
          <w:szCs w:val="24"/>
        </w:rPr>
        <w:sectPr w:rsidR="00E65F37">
          <w:headerReference w:type="default" r:id="rId8"/>
          <w:footerReference w:type="default" r:id="rId9"/>
          <w:pgSz w:w="16838" w:h="11906" w:orient="landscape"/>
          <w:pgMar w:top="1417" w:right="2098" w:bottom="1417" w:left="1871" w:header="851" w:footer="1134" w:gutter="0"/>
          <w:cols w:space="720"/>
          <w:docGrid w:linePitch="582"/>
        </w:sectPr>
      </w:pPr>
    </w:p>
    <w:p w:rsidR="00E65F37" w:rsidRDefault="00F16801">
      <w:pPr>
        <w:adjustRightInd w:val="0"/>
        <w:snapToGrid w:val="0"/>
        <w:spacing w:line="580" w:lineRule="exact"/>
        <w:outlineLvl w:val="0"/>
        <w:rPr>
          <w:rFonts w:eastAsia="黑体"/>
          <w:snapToGrid w:val="0"/>
          <w:color w:val="000000"/>
          <w:kern w:val="0"/>
          <w:szCs w:val="32"/>
        </w:rPr>
      </w:pPr>
      <w:r>
        <w:rPr>
          <w:rFonts w:eastAsia="黑体"/>
          <w:snapToGrid w:val="0"/>
          <w:color w:val="000000"/>
          <w:kern w:val="0"/>
          <w:szCs w:val="32"/>
        </w:rPr>
        <w:lastRenderedPageBreak/>
        <w:t>附件</w:t>
      </w:r>
      <w:r>
        <w:rPr>
          <w:rFonts w:eastAsia="黑体"/>
          <w:snapToGrid w:val="0"/>
          <w:color w:val="000000"/>
          <w:kern w:val="0"/>
          <w:szCs w:val="32"/>
        </w:rPr>
        <w:t>6</w:t>
      </w:r>
    </w:p>
    <w:p w:rsidR="00E65F37" w:rsidRDefault="00E65F37">
      <w:pPr>
        <w:tabs>
          <w:tab w:val="left" w:pos="1680"/>
        </w:tabs>
        <w:overflowPunct w:val="0"/>
        <w:adjustRightInd w:val="0"/>
        <w:snapToGrid w:val="0"/>
        <w:spacing w:line="580" w:lineRule="exact"/>
        <w:jc w:val="center"/>
        <w:rPr>
          <w:rFonts w:eastAsia="方正小标宋简体"/>
          <w:color w:val="000000"/>
          <w:sz w:val="44"/>
          <w:szCs w:val="44"/>
        </w:rPr>
      </w:pPr>
    </w:p>
    <w:p w:rsidR="00E65F37" w:rsidRDefault="00F16801">
      <w:pPr>
        <w:tabs>
          <w:tab w:val="left" w:pos="1680"/>
        </w:tabs>
        <w:overflowPunct w:val="0"/>
        <w:adjustRightInd w:val="0"/>
        <w:snapToGrid w:val="0"/>
        <w:spacing w:line="580" w:lineRule="exact"/>
        <w:jc w:val="center"/>
        <w:rPr>
          <w:rFonts w:eastAsia="方正小标宋简体"/>
          <w:color w:val="000000"/>
          <w:sz w:val="44"/>
          <w:szCs w:val="44"/>
        </w:rPr>
      </w:pPr>
      <w:r>
        <w:rPr>
          <w:rFonts w:eastAsia="方正小标宋简体"/>
          <w:color w:val="000000"/>
          <w:sz w:val="44"/>
          <w:szCs w:val="44"/>
        </w:rPr>
        <w:t>小额贷款公司考核指标体系</w:t>
      </w:r>
    </w:p>
    <w:p w:rsidR="00E65F37" w:rsidRDefault="00E65F37">
      <w:pPr>
        <w:overflowPunct w:val="0"/>
        <w:adjustRightInd w:val="0"/>
        <w:snapToGrid w:val="0"/>
        <w:spacing w:line="360" w:lineRule="exact"/>
        <w:jc w:val="center"/>
        <w:rPr>
          <w:rFonts w:eastAsia="方正小标宋简体"/>
          <w:snapToGrid w:val="0"/>
          <w:color w:val="000000"/>
          <w:kern w:val="0"/>
          <w:sz w:val="24"/>
          <w:szCs w:val="24"/>
        </w:rPr>
      </w:pPr>
    </w:p>
    <w:tbl>
      <w:tblPr>
        <w:tblW w:w="1324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11"/>
        <w:gridCol w:w="1064"/>
        <w:gridCol w:w="9150"/>
      </w:tblGrid>
      <w:tr w:rsidR="00E65F37">
        <w:trPr>
          <w:trHeight w:val="737"/>
        </w:trPr>
        <w:tc>
          <w:tcPr>
            <w:tcW w:w="817" w:type="dxa"/>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序号</w:t>
            </w:r>
          </w:p>
        </w:tc>
        <w:tc>
          <w:tcPr>
            <w:tcW w:w="2211" w:type="dxa"/>
            <w:vAlign w:val="center"/>
          </w:tcPr>
          <w:p w:rsidR="00E65F37" w:rsidRDefault="00F16801">
            <w:pPr>
              <w:overflowPunct w:val="0"/>
              <w:adjustRightInd w:val="0"/>
              <w:snapToGrid w:val="0"/>
              <w:spacing w:line="360" w:lineRule="exact"/>
              <w:jc w:val="center"/>
              <w:rPr>
                <w:rFonts w:eastAsia="黑体"/>
                <w:color w:val="000000"/>
                <w:kern w:val="0"/>
                <w:sz w:val="24"/>
                <w:szCs w:val="24"/>
              </w:rPr>
            </w:pPr>
            <w:r>
              <w:rPr>
                <w:rFonts w:eastAsia="黑体"/>
                <w:color w:val="000000"/>
                <w:kern w:val="0"/>
                <w:sz w:val="24"/>
                <w:szCs w:val="24"/>
              </w:rPr>
              <w:t>项目</w:t>
            </w:r>
          </w:p>
        </w:tc>
        <w:tc>
          <w:tcPr>
            <w:tcW w:w="1064" w:type="dxa"/>
            <w:vAlign w:val="center"/>
          </w:tcPr>
          <w:p w:rsidR="00E65F37" w:rsidRDefault="00F16801">
            <w:pPr>
              <w:overflowPunct w:val="0"/>
              <w:adjustRightInd w:val="0"/>
              <w:snapToGrid w:val="0"/>
              <w:spacing w:line="360" w:lineRule="exact"/>
              <w:jc w:val="center"/>
              <w:rPr>
                <w:rFonts w:eastAsia="黑体"/>
                <w:color w:val="000000"/>
                <w:kern w:val="0"/>
                <w:sz w:val="24"/>
                <w:szCs w:val="24"/>
              </w:rPr>
            </w:pPr>
            <w:r>
              <w:rPr>
                <w:rFonts w:eastAsia="黑体"/>
                <w:color w:val="000000"/>
                <w:kern w:val="0"/>
                <w:sz w:val="24"/>
                <w:szCs w:val="24"/>
              </w:rPr>
              <w:t>基本分</w:t>
            </w:r>
          </w:p>
        </w:tc>
        <w:tc>
          <w:tcPr>
            <w:tcW w:w="9150" w:type="dxa"/>
            <w:vAlign w:val="center"/>
          </w:tcPr>
          <w:p w:rsidR="00E65F37" w:rsidRDefault="00F16801">
            <w:pPr>
              <w:overflowPunct w:val="0"/>
              <w:adjustRightInd w:val="0"/>
              <w:snapToGrid w:val="0"/>
              <w:spacing w:line="360" w:lineRule="exact"/>
              <w:jc w:val="center"/>
              <w:rPr>
                <w:rFonts w:eastAsia="黑体"/>
                <w:color w:val="000000"/>
                <w:kern w:val="0"/>
                <w:sz w:val="24"/>
                <w:szCs w:val="24"/>
              </w:rPr>
            </w:pPr>
            <w:r>
              <w:rPr>
                <w:rFonts w:eastAsia="黑体"/>
                <w:color w:val="000000"/>
                <w:kern w:val="0"/>
                <w:sz w:val="24"/>
                <w:szCs w:val="24"/>
              </w:rPr>
              <w:t>评分标准</w:t>
            </w:r>
          </w:p>
        </w:tc>
      </w:tr>
      <w:tr w:rsidR="00E65F37">
        <w:trPr>
          <w:trHeight w:val="737"/>
        </w:trPr>
        <w:tc>
          <w:tcPr>
            <w:tcW w:w="81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w:t>
            </w:r>
          </w:p>
        </w:tc>
        <w:tc>
          <w:tcPr>
            <w:tcW w:w="2211"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本年累放贷款金额</w:t>
            </w:r>
          </w:p>
        </w:tc>
        <w:tc>
          <w:tcPr>
            <w:tcW w:w="1064"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color w:val="000000"/>
                <w:kern w:val="0"/>
                <w:sz w:val="24"/>
                <w:szCs w:val="24"/>
              </w:rPr>
              <w:t>50</w:t>
            </w:r>
          </w:p>
        </w:tc>
        <w:tc>
          <w:tcPr>
            <w:tcW w:w="9150" w:type="dxa"/>
            <w:vAlign w:val="center"/>
          </w:tcPr>
          <w:p w:rsidR="00E65F37" w:rsidRDefault="00F16801">
            <w:pPr>
              <w:overflowPunct w:val="0"/>
              <w:adjustRightInd w:val="0"/>
              <w:snapToGrid w:val="0"/>
              <w:spacing w:line="360" w:lineRule="exact"/>
              <w:rPr>
                <w:color w:val="000000"/>
                <w:kern w:val="0"/>
                <w:sz w:val="24"/>
                <w:szCs w:val="24"/>
              </w:rPr>
            </w:pPr>
            <w:r>
              <w:rPr>
                <w:snapToGrid w:val="0"/>
                <w:color w:val="000000"/>
                <w:kern w:val="0"/>
                <w:sz w:val="24"/>
                <w:szCs w:val="24"/>
              </w:rPr>
              <w:t>本年累放贷款余额最高的得</w:t>
            </w:r>
            <w:r>
              <w:rPr>
                <w:snapToGrid w:val="0"/>
                <w:color w:val="000000"/>
                <w:kern w:val="0"/>
                <w:sz w:val="24"/>
                <w:szCs w:val="24"/>
              </w:rPr>
              <w:t>50</w:t>
            </w:r>
            <w:r>
              <w:rPr>
                <w:snapToGrid w:val="0"/>
                <w:color w:val="000000"/>
                <w:kern w:val="0"/>
                <w:sz w:val="24"/>
                <w:szCs w:val="24"/>
              </w:rPr>
              <w:t>分，其余以此为标准值，按比例相应计分。</w:t>
            </w:r>
          </w:p>
        </w:tc>
      </w:tr>
      <w:tr w:rsidR="00E65F37">
        <w:trPr>
          <w:trHeight w:val="737"/>
        </w:trPr>
        <w:tc>
          <w:tcPr>
            <w:tcW w:w="81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2</w:t>
            </w:r>
          </w:p>
        </w:tc>
        <w:tc>
          <w:tcPr>
            <w:tcW w:w="2211"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普惠贷款余额占比</w:t>
            </w:r>
          </w:p>
        </w:tc>
        <w:tc>
          <w:tcPr>
            <w:tcW w:w="1064"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rFonts w:eastAsia="仿宋"/>
                <w:color w:val="000000"/>
                <w:kern w:val="0"/>
                <w:sz w:val="24"/>
                <w:szCs w:val="24"/>
              </w:rPr>
              <w:t>30</w:t>
            </w:r>
          </w:p>
        </w:tc>
        <w:tc>
          <w:tcPr>
            <w:tcW w:w="9150" w:type="dxa"/>
            <w:vAlign w:val="center"/>
          </w:tcPr>
          <w:p w:rsidR="00E65F37" w:rsidRDefault="00F16801">
            <w:pPr>
              <w:overflowPunct w:val="0"/>
              <w:adjustRightInd w:val="0"/>
              <w:snapToGrid w:val="0"/>
              <w:spacing w:line="360" w:lineRule="exact"/>
              <w:rPr>
                <w:color w:val="000000"/>
                <w:kern w:val="0"/>
                <w:sz w:val="24"/>
                <w:szCs w:val="24"/>
              </w:rPr>
            </w:pPr>
            <w:r>
              <w:rPr>
                <w:snapToGrid w:val="0"/>
                <w:color w:val="000000"/>
                <w:kern w:val="0"/>
                <w:sz w:val="24"/>
                <w:szCs w:val="24"/>
              </w:rPr>
              <w:t>普惠贷款余额占比最高的得</w:t>
            </w:r>
            <w:r>
              <w:rPr>
                <w:snapToGrid w:val="0"/>
                <w:color w:val="000000"/>
                <w:kern w:val="0"/>
                <w:sz w:val="24"/>
                <w:szCs w:val="24"/>
              </w:rPr>
              <w:t>30</w:t>
            </w:r>
            <w:r>
              <w:rPr>
                <w:snapToGrid w:val="0"/>
                <w:color w:val="000000"/>
                <w:kern w:val="0"/>
                <w:sz w:val="24"/>
                <w:szCs w:val="24"/>
              </w:rPr>
              <w:t>分，其余以此为标准值，按比例相应计分。</w:t>
            </w:r>
          </w:p>
        </w:tc>
      </w:tr>
      <w:tr w:rsidR="00E65F37">
        <w:trPr>
          <w:trHeight w:val="737"/>
        </w:trPr>
        <w:tc>
          <w:tcPr>
            <w:tcW w:w="81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3</w:t>
            </w:r>
          </w:p>
        </w:tc>
        <w:tc>
          <w:tcPr>
            <w:tcW w:w="2211" w:type="dxa"/>
            <w:vAlign w:val="center"/>
          </w:tcPr>
          <w:p w:rsidR="00E65F37" w:rsidRDefault="00F16801">
            <w:pPr>
              <w:adjustRightInd w:val="0"/>
              <w:snapToGrid w:val="0"/>
              <w:spacing w:line="360" w:lineRule="exact"/>
              <w:jc w:val="center"/>
              <w:rPr>
                <w:snapToGrid w:val="0"/>
                <w:color w:val="000000"/>
                <w:kern w:val="0"/>
                <w:sz w:val="24"/>
                <w:szCs w:val="24"/>
              </w:rPr>
            </w:pPr>
            <w:r>
              <w:rPr>
                <w:snapToGrid w:val="0"/>
                <w:color w:val="000000"/>
                <w:kern w:val="0"/>
                <w:sz w:val="24"/>
                <w:szCs w:val="24"/>
              </w:rPr>
              <w:t>当年累计纳税</w:t>
            </w:r>
          </w:p>
        </w:tc>
        <w:tc>
          <w:tcPr>
            <w:tcW w:w="1064"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color w:val="000000"/>
                <w:kern w:val="0"/>
                <w:sz w:val="24"/>
                <w:szCs w:val="24"/>
              </w:rPr>
              <w:t>20</w:t>
            </w:r>
          </w:p>
        </w:tc>
        <w:tc>
          <w:tcPr>
            <w:tcW w:w="9150" w:type="dxa"/>
            <w:vAlign w:val="center"/>
          </w:tcPr>
          <w:p w:rsidR="00E65F37" w:rsidRDefault="00F16801">
            <w:pPr>
              <w:overflowPunct w:val="0"/>
              <w:adjustRightInd w:val="0"/>
              <w:snapToGrid w:val="0"/>
              <w:spacing w:line="360" w:lineRule="exact"/>
              <w:rPr>
                <w:color w:val="000000"/>
                <w:kern w:val="0"/>
                <w:sz w:val="24"/>
                <w:szCs w:val="24"/>
              </w:rPr>
            </w:pPr>
            <w:r>
              <w:rPr>
                <w:snapToGrid w:val="0"/>
                <w:color w:val="000000"/>
                <w:kern w:val="0"/>
                <w:sz w:val="24"/>
                <w:szCs w:val="24"/>
              </w:rPr>
              <w:t>当年累计纳税金额最多的得</w:t>
            </w:r>
            <w:r>
              <w:rPr>
                <w:snapToGrid w:val="0"/>
                <w:color w:val="000000"/>
                <w:kern w:val="0"/>
                <w:sz w:val="24"/>
                <w:szCs w:val="24"/>
              </w:rPr>
              <w:t>20</w:t>
            </w:r>
            <w:r>
              <w:rPr>
                <w:snapToGrid w:val="0"/>
                <w:color w:val="000000"/>
                <w:kern w:val="0"/>
                <w:sz w:val="24"/>
                <w:szCs w:val="24"/>
              </w:rPr>
              <w:t>分，其余以此为标准值，按比例相应计分。</w:t>
            </w:r>
          </w:p>
        </w:tc>
      </w:tr>
    </w:tbl>
    <w:p w:rsidR="00E65F37" w:rsidRDefault="00E65F37">
      <w:pPr>
        <w:overflowPunct w:val="0"/>
        <w:adjustRightInd w:val="0"/>
        <w:snapToGrid w:val="0"/>
        <w:spacing w:line="360" w:lineRule="exact"/>
        <w:rPr>
          <w:rFonts w:eastAsia="黑体"/>
          <w:snapToGrid w:val="0"/>
          <w:color w:val="000000"/>
          <w:kern w:val="0"/>
          <w:sz w:val="24"/>
          <w:szCs w:val="24"/>
        </w:rPr>
      </w:pPr>
    </w:p>
    <w:p w:rsidR="00E65F37" w:rsidRDefault="00E65F37">
      <w:pPr>
        <w:tabs>
          <w:tab w:val="left" w:pos="1680"/>
        </w:tabs>
        <w:overflowPunct w:val="0"/>
        <w:adjustRightInd w:val="0"/>
        <w:snapToGrid w:val="0"/>
        <w:spacing w:line="360" w:lineRule="exact"/>
        <w:rPr>
          <w:rFonts w:eastAsia="方正小标宋简体"/>
          <w:color w:val="000000"/>
          <w:sz w:val="24"/>
          <w:szCs w:val="24"/>
        </w:rPr>
      </w:pPr>
    </w:p>
    <w:p w:rsidR="00E65F37" w:rsidRDefault="00E65F37">
      <w:pPr>
        <w:tabs>
          <w:tab w:val="left" w:pos="1680"/>
        </w:tabs>
        <w:overflowPunct w:val="0"/>
        <w:adjustRightInd w:val="0"/>
        <w:snapToGrid w:val="0"/>
        <w:spacing w:line="360" w:lineRule="exact"/>
        <w:rPr>
          <w:rFonts w:eastAsia="方正小标宋简体"/>
          <w:color w:val="000000"/>
          <w:sz w:val="24"/>
          <w:szCs w:val="24"/>
        </w:rPr>
      </w:pPr>
    </w:p>
    <w:p w:rsidR="00E65F37" w:rsidRDefault="00E65F37">
      <w:pPr>
        <w:tabs>
          <w:tab w:val="left" w:pos="1680"/>
        </w:tabs>
        <w:overflowPunct w:val="0"/>
        <w:adjustRightInd w:val="0"/>
        <w:snapToGrid w:val="0"/>
        <w:spacing w:line="360" w:lineRule="exact"/>
        <w:rPr>
          <w:rFonts w:eastAsia="方正小标宋简体"/>
          <w:color w:val="000000"/>
          <w:sz w:val="24"/>
          <w:szCs w:val="24"/>
        </w:rPr>
      </w:pPr>
    </w:p>
    <w:p w:rsidR="00E65F37" w:rsidRDefault="00E65F37">
      <w:pPr>
        <w:tabs>
          <w:tab w:val="left" w:pos="1680"/>
        </w:tabs>
        <w:overflowPunct w:val="0"/>
        <w:adjustRightInd w:val="0"/>
        <w:snapToGrid w:val="0"/>
        <w:spacing w:line="360" w:lineRule="exact"/>
        <w:rPr>
          <w:rFonts w:eastAsia="方正小标宋简体"/>
          <w:color w:val="000000"/>
          <w:sz w:val="24"/>
          <w:szCs w:val="24"/>
        </w:rPr>
      </w:pPr>
    </w:p>
    <w:p w:rsidR="00E65F37" w:rsidRDefault="00F16801">
      <w:pPr>
        <w:tabs>
          <w:tab w:val="left" w:pos="1680"/>
        </w:tabs>
        <w:overflowPunct w:val="0"/>
        <w:adjustRightInd w:val="0"/>
        <w:snapToGrid w:val="0"/>
        <w:spacing w:line="360" w:lineRule="exact"/>
        <w:rPr>
          <w:rFonts w:eastAsia="黑体"/>
          <w:snapToGrid w:val="0"/>
          <w:color w:val="000000"/>
          <w:kern w:val="0"/>
          <w:szCs w:val="32"/>
        </w:rPr>
      </w:pPr>
      <w:r>
        <w:rPr>
          <w:rFonts w:eastAsia="方正小标宋简体"/>
          <w:color w:val="000000"/>
          <w:sz w:val="24"/>
          <w:szCs w:val="24"/>
        </w:rPr>
        <w:br w:type="page"/>
      </w:r>
      <w:r>
        <w:rPr>
          <w:rFonts w:eastAsia="黑体"/>
          <w:snapToGrid w:val="0"/>
          <w:color w:val="000000"/>
          <w:kern w:val="0"/>
          <w:szCs w:val="32"/>
        </w:rPr>
        <w:lastRenderedPageBreak/>
        <w:t>附件</w:t>
      </w:r>
      <w:r>
        <w:rPr>
          <w:rFonts w:eastAsia="黑体"/>
          <w:snapToGrid w:val="0"/>
          <w:color w:val="000000"/>
          <w:kern w:val="0"/>
          <w:szCs w:val="32"/>
        </w:rPr>
        <w:t>7</w:t>
      </w:r>
    </w:p>
    <w:p w:rsidR="00E65F37" w:rsidRDefault="00E65F37">
      <w:pPr>
        <w:overflowPunct w:val="0"/>
        <w:adjustRightInd w:val="0"/>
        <w:snapToGrid w:val="0"/>
        <w:spacing w:line="360" w:lineRule="exact"/>
        <w:jc w:val="center"/>
        <w:rPr>
          <w:rFonts w:eastAsia="方正小标宋简体"/>
          <w:snapToGrid w:val="0"/>
          <w:color w:val="000000"/>
          <w:kern w:val="0"/>
          <w:sz w:val="24"/>
          <w:szCs w:val="24"/>
        </w:rPr>
      </w:pPr>
    </w:p>
    <w:p w:rsidR="00E65F37" w:rsidRDefault="00F16801">
      <w:pPr>
        <w:tabs>
          <w:tab w:val="left" w:pos="1680"/>
        </w:tabs>
        <w:overflowPunct w:val="0"/>
        <w:adjustRightInd w:val="0"/>
        <w:snapToGrid w:val="0"/>
        <w:spacing w:line="580" w:lineRule="exact"/>
        <w:jc w:val="center"/>
        <w:rPr>
          <w:rFonts w:eastAsia="方正小标宋简体"/>
          <w:color w:val="000000"/>
          <w:sz w:val="44"/>
          <w:szCs w:val="44"/>
        </w:rPr>
      </w:pPr>
      <w:r>
        <w:rPr>
          <w:rFonts w:eastAsia="方正小标宋简体"/>
          <w:color w:val="000000"/>
          <w:sz w:val="44"/>
          <w:szCs w:val="44"/>
        </w:rPr>
        <w:t>典当行考核指标体系</w:t>
      </w:r>
    </w:p>
    <w:p w:rsidR="00E65F37" w:rsidRDefault="00E65F37">
      <w:pPr>
        <w:overflowPunct w:val="0"/>
        <w:adjustRightInd w:val="0"/>
        <w:snapToGrid w:val="0"/>
        <w:spacing w:line="360" w:lineRule="exact"/>
        <w:jc w:val="center"/>
        <w:rPr>
          <w:rFonts w:eastAsia="方正小标宋简体"/>
          <w:snapToGrid w:val="0"/>
          <w:color w:val="000000"/>
          <w:kern w:val="0"/>
          <w:sz w:val="24"/>
          <w:szCs w:val="24"/>
        </w:rPr>
      </w:pPr>
    </w:p>
    <w:tbl>
      <w:tblPr>
        <w:tblW w:w="1322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11"/>
        <w:gridCol w:w="1074"/>
        <w:gridCol w:w="9126"/>
      </w:tblGrid>
      <w:tr w:rsidR="00E65F37">
        <w:trPr>
          <w:trHeight w:val="737"/>
        </w:trPr>
        <w:tc>
          <w:tcPr>
            <w:tcW w:w="817" w:type="dxa"/>
            <w:vAlign w:val="center"/>
          </w:tcPr>
          <w:p w:rsidR="00E65F37" w:rsidRDefault="00F16801">
            <w:pPr>
              <w:overflowPunct w:val="0"/>
              <w:adjustRightInd w:val="0"/>
              <w:snapToGrid w:val="0"/>
              <w:spacing w:line="360" w:lineRule="exact"/>
              <w:jc w:val="center"/>
              <w:rPr>
                <w:rFonts w:eastAsia="黑体"/>
                <w:snapToGrid w:val="0"/>
                <w:color w:val="000000"/>
                <w:kern w:val="0"/>
                <w:sz w:val="24"/>
                <w:szCs w:val="24"/>
              </w:rPr>
            </w:pPr>
            <w:r>
              <w:rPr>
                <w:rFonts w:eastAsia="黑体"/>
                <w:snapToGrid w:val="0"/>
                <w:color w:val="000000"/>
                <w:kern w:val="0"/>
                <w:sz w:val="24"/>
                <w:szCs w:val="24"/>
              </w:rPr>
              <w:t>序号</w:t>
            </w:r>
          </w:p>
        </w:tc>
        <w:tc>
          <w:tcPr>
            <w:tcW w:w="2211" w:type="dxa"/>
            <w:vAlign w:val="center"/>
          </w:tcPr>
          <w:p w:rsidR="00E65F37" w:rsidRDefault="00F16801">
            <w:pPr>
              <w:overflowPunct w:val="0"/>
              <w:adjustRightInd w:val="0"/>
              <w:snapToGrid w:val="0"/>
              <w:spacing w:line="360" w:lineRule="exact"/>
              <w:jc w:val="center"/>
              <w:rPr>
                <w:rFonts w:eastAsia="黑体"/>
                <w:color w:val="000000"/>
                <w:kern w:val="0"/>
                <w:sz w:val="24"/>
                <w:szCs w:val="24"/>
              </w:rPr>
            </w:pPr>
            <w:r>
              <w:rPr>
                <w:rFonts w:eastAsia="黑体"/>
                <w:color w:val="000000"/>
                <w:kern w:val="0"/>
                <w:sz w:val="24"/>
                <w:szCs w:val="24"/>
              </w:rPr>
              <w:t>项目</w:t>
            </w:r>
          </w:p>
        </w:tc>
        <w:tc>
          <w:tcPr>
            <w:tcW w:w="1074" w:type="dxa"/>
            <w:vAlign w:val="center"/>
          </w:tcPr>
          <w:p w:rsidR="00E65F37" w:rsidRDefault="00F16801">
            <w:pPr>
              <w:overflowPunct w:val="0"/>
              <w:adjustRightInd w:val="0"/>
              <w:snapToGrid w:val="0"/>
              <w:spacing w:line="360" w:lineRule="exact"/>
              <w:jc w:val="center"/>
              <w:rPr>
                <w:rFonts w:eastAsia="黑体"/>
                <w:color w:val="000000"/>
                <w:kern w:val="0"/>
                <w:sz w:val="24"/>
                <w:szCs w:val="24"/>
              </w:rPr>
            </w:pPr>
            <w:r>
              <w:rPr>
                <w:rFonts w:eastAsia="黑体"/>
                <w:color w:val="000000"/>
                <w:kern w:val="0"/>
                <w:sz w:val="24"/>
                <w:szCs w:val="24"/>
              </w:rPr>
              <w:t>基本分</w:t>
            </w:r>
          </w:p>
        </w:tc>
        <w:tc>
          <w:tcPr>
            <w:tcW w:w="9126" w:type="dxa"/>
            <w:vAlign w:val="center"/>
          </w:tcPr>
          <w:p w:rsidR="00E65F37" w:rsidRDefault="00F16801">
            <w:pPr>
              <w:overflowPunct w:val="0"/>
              <w:adjustRightInd w:val="0"/>
              <w:snapToGrid w:val="0"/>
              <w:spacing w:line="360" w:lineRule="exact"/>
              <w:jc w:val="center"/>
              <w:rPr>
                <w:rFonts w:eastAsia="黑体"/>
                <w:color w:val="000000"/>
                <w:kern w:val="0"/>
                <w:sz w:val="24"/>
                <w:szCs w:val="24"/>
              </w:rPr>
            </w:pPr>
            <w:r>
              <w:rPr>
                <w:rFonts w:eastAsia="黑体"/>
                <w:color w:val="000000"/>
                <w:kern w:val="0"/>
                <w:sz w:val="24"/>
                <w:szCs w:val="24"/>
              </w:rPr>
              <w:t>评分标准</w:t>
            </w:r>
          </w:p>
        </w:tc>
      </w:tr>
      <w:tr w:rsidR="00E65F37">
        <w:trPr>
          <w:trHeight w:val="737"/>
        </w:trPr>
        <w:tc>
          <w:tcPr>
            <w:tcW w:w="81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1</w:t>
            </w:r>
          </w:p>
        </w:tc>
        <w:tc>
          <w:tcPr>
            <w:tcW w:w="2211"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color w:val="000000"/>
                <w:kern w:val="0"/>
                <w:sz w:val="24"/>
                <w:szCs w:val="24"/>
              </w:rPr>
              <w:t>本年累计典当金额</w:t>
            </w:r>
          </w:p>
        </w:tc>
        <w:tc>
          <w:tcPr>
            <w:tcW w:w="1074"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color w:val="000000"/>
                <w:kern w:val="0"/>
                <w:sz w:val="24"/>
                <w:szCs w:val="24"/>
              </w:rPr>
              <w:t>50</w:t>
            </w:r>
          </w:p>
        </w:tc>
        <w:tc>
          <w:tcPr>
            <w:tcW w:w="9126"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本年累计典当金额最高的得</w:t>
            </w:r>
            <w:r>
              <w:rPr>
                <w:snapToGrid w:val="0"/>
                <w:color w:val="000000"/>
                <w:kern w:val="0"/>
                <w:sz w:val="24"/>
                <w:szCs w:val="24"/>
              </w:rPr>
              <w:t>50</w:t>
            </w:r>
            <w:r>
              <w:rPr>
                <w:snapToGrid w:val="0"/>
                <w:color w:val="000000"/>
                <w:kern w:val="0"/>
                <w:sz w:val="24"/>
                <w:szCs w:val="24"/>
              </w:rPr>
              <w:t>分，其余以此为标准值，按比例相应计分。</w:t>
            </w:r>
          </w:p>
        </w:tc>
      </w:tr>
      <w:tr w:rsidR="00E65F37">
        <w:trPr>
          <w:trHeight w:val="737"/>
        </w:trPr>
        <w:tc>
          <w:tcPr>
            <w:tcW w:w="81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2</w:t>
            </w:r>
          </w:p>
        </w:tc>
        <w:tc>
          <w:tcPr>
            <w:tcW w:w="2211"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color w:val="000000"/>
                <w:kern w:val="0"/>
                <w:sz w:val="24"/>
                <w:szCs w:val="24"/>
              </w:rPr>
              <w:t>本年累计典当笔数</w:t>
            </w:r>
          </w:p>
        </w:tc>
        <w:tc>
          <w:tcPr>
            <w:tcW w:w="1074"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rFonts w:eastAsia="仿宋"/>
                <w:color w:val="000000"/>
                <w:kern w:val="0"/>
                <w:sz w:val="24"/>
                <w:szCs w:val="24"/>
              </w:rPr>
              <w:t>30</w:t>
            </w:r>
          </w:p>
        </w:tc>
        <w:tc>
          <w:tcPr>
            <w:tcW w:w="9126"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本年累计典当笔数最高的得</w:t>
            </w:r>
            <w:r>
              <w:rPr>
                <w:snapToGrid w:val="0"/>
                <w:color w:val="000000"/>
                <w:kern w:val="0"/>
                <w:sz w:val="24"/>
                <w:szCs w:val="24"/>
              </w:rPr>
              <w:t>30</w:t>
            </w:r>
            <w:r>
              <w:rPr>
                <w:snapToGrid w:val="0"/>
                <w:color w:val="000000"/>
                <w:kern w:val="0"/>
                <w:sz w:val="24"/>
                <w:szCs w:val="24"/>
              </w:rPr>
              <w:t>分，其余以此为标准值，按比例相应计分。</w:t>
            </w:r>
          </w:p>
        </w:tc>
      </w:tr>
      <w:tr w:rsidR="00E65F37">
        <w:trPr>
          <w:trHeight w:val="737"/>
        </w:trPr>
        <w:tc>
          <w:tcPr>
            <w:tcW w:w="817" w:type="dxa"/>
            <w:vAlign w:val="center"/>
          </w:tcPr>
          <w:p w:rsidR="00E65F37" w:rsidRDefault="00F16801">
            <w:pPr>
              <w:overflowPunct w:val="0"/>
              <w:adjustRightInd w:val="0"/>
              <w:snapToGrid w:val="0"/>
              <w:spacing w:line="360" w:lineRule="exact"/>
              <w:jc w:val="center"/>
              <w:rPr>
                <w:snapToGrid w:val="0"/>
                <w:color w:val="000000"/>
                <w:kern w:val="0"/>
                <w:sz w:val="24"/>
                <w:szCs w:val="24"/>
              </w:rPr>
            </w:pPr>
            <w:r>
              <w:rPr>
                <w:snapToGrid w:val="0"/>
                <w:color w:val="000000"/>
                <w:kern w:val="0"/>
                <w:sz w:val="24"/>
                <w:szCs w:val="24"/>
              </w:rPr>
              <w:t>3</w:t>
            </w:r>
          </w:p>
        </w:tc>
        <w:tc>
          <w:tcPr>
            <w:tcW w:w="2211"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color w:val="000000"/>
                <w:kern w:val="0"/>
                <w:sz w:val="24"/>
                <w:szCs w:val="24"/>
              </w:rPr>
              <w:t>当年累计纳税</w:t>
            </w:r>
          </w:p>
        </w:tc>
        <w:tc>
          <w:tcPr>
            <w:tcW w:w="1074" w:type="dxa"/>
            <w:vAlign w:val="center"/>
          </w:tcPr>
          <w:p w:rsidR="00E65F37" w:rsidRDefault="00F16801">
            <w:pPr>
              <w:overflowPunct w:val="0"/>
              <w:adjustRightInd w:val="0"/>
              <w:snapToGrid w:val="0"/>
              <w:spacing w:line="360" w:lineRule="exact"/>
              <w:jc w:val="center"/>
              <w:rPr>
                <w:rFonts w:eastAsia="仿宋"/>
                <w:color w:val="000000"/>
                <w:kern w:val="0"/>
                <w:sz w:val="24"/>
                <w:szCs w:val="24"/>
              </w:rPr>
            </w:pPr>
            <w:r>
              <w:rPr>
                <w:color w:val="000000"/>
                <w:kern w:val="0"/>
                <w:sz w:val="24"/>
                <w:szCs w:val="24"/>
              </w:rPr>
              <w:t>20</w:t>
            </w:r>
          </w:p>
        </w:tc>
        <w:tc>
          <w:tcPr>
            <w:tcW w:w="9126" w:type="dxa"/>
            <w:vAlign w:val="center"/>
          </w:tcPr>
          <w:p w:rsidR="00E65F37" w:rsidRDefault="00F16801">
            <w:pPr>
              <w:overflowPunct w:val="0"/>
              <w:adjustRightInd w:val="0"/>
              <w:snapToGrid w:val="0"/>
              <w:spacing w:line="360" w:lineRule="exact"/>
              <w:rPr>
                <w:snapToGrid w:val="0"/>
                <w:color w:val="000000"/>
                <w:kern w:val="0"/>
                <w:sz w:val="24"/>
                <w:szCs w:val="24"/>
              </w:rPr>
            </w:pPr>
            <w:r>
              <w:rPr>
                <w:snapToGrid w:val="0"/>
                <w:color w:val="000000"/>
                <w:kern w:val="0"/>
                <w:sz w:val="24"/>
                <w:szCs w:val="24"/>
              </w:rPr>
              <w:t>当年累计纳税金额最多的得</w:t>
            </w:r>
            <w:r>
              <w:rPr>
                <w:snapToGrid w:val="0"/>
                <w:color w:val="000000"/>
                <w:kern w:val="0"/>
                <w:sz w:val="24"/>
                <w:szCs w:val="24"/>
              </w:rPr>
              <w:t>20</w:t>
            </w:r>
            <w:r>
              <w:rPr>
                <w:snapToGrid w:val="0"/>
                <w:color w:val="000000"/>
                <w:kern w:val="0"/>
                <w:sz w:val="24"/>
                <w:szCs w:val="24"/>
              </w:rPr>
              <w:t>分，其余以此为标准值，按比例相应计分。</w:t>
            </w:r>
          </w:p>
        </w:tc>
      </w:tr>
    </w:tbl>
    <w:p w:rsidR="00E65F37" w:rsidRDefault="00E65F37">
      <w:pPr>
        <w:overflowPunct w:val="0"/>
        <w:adjustRightInd w:val="0"/>
        <w:snapToGrid w:val="0"/>
        <w:rPr>
          <w:color w:val="000000"/>
          <w:szCs w:val="32"/>
        </w:rPr>
      </w:pPr>
    </w:p>
    <w:p w:rsidR="00E65F37" w:rsidRDefault="00E65F37">
      <w:pPr>
        <w:pStyle w:val="2"/>
        <w:ind w:left="640" w:firstLine="640"/>
      </w:pPr>
    </w:p>
    <w:p w:rsidR="00E65F37" w:rsidRDefault="00E65F37">
      <w:pPr>
        <w:pStyle w:val="2"/>
        <w:ind w:left="640" w:firstLine="640"/>
      </w:pPr>
    </w:p>
    <w:p w:rsidR="00E65F37" w:rsidRDefault="00E65F37">
      <w:pPr>
        <w:pStyle w:val="2"/>
        <w:ind w:left="640" w:firstLine="640"/>
      </w:pPr>
    </w:p>
    <w:p w:rsidR="00E65F37" w:rsidRDefault="00E65F37">
      <w:pPr>
        <w:pStyle w:val="2"/>
        <w:ind w:left="640" w:firstLine="640"/>
      </w:pPr>
    </w:p>
    <w:p w:rsidR="00E65F37" w:rsidRDefault="00E65F37">
      <w:pPr>
        <w:pStyle w:val="2"/>
        <w:ind w:left="640" w:firstLine="640"/>
      </w:pPr>
    </w:p>
    <w:p w:rsidR="00E65F37" w:rsidRDefault="00E65F37">
      <w:pPr>
        <w:pStyle w:val="2"/>
        <w:ind w:left="640" w:firstLine="640"/>
      </w:pPr>
    </w:p>
    <w:p w:rsidR="00E65F37" w:rsidRDefault="00E65F37">
      <w:pPr>
        <w:pStyle w:val="2"/>
        <w:ind w:left="640" w:firstLine="640"/>
      </w:pPr>
    </w:p>
    <w:p w:rsidR="00E65F37" w:rsidRDefault="00E65F37">
      <w:pPr>
        <w:pStyle w:val="2"/>
        <w:ind w:left="640" w:firstLine="640"/>
      </w:pPr>
    </w:p>
    <w:p w:rsidR="00E65F37" w:rsidRDefault="00F16801">
      <w:pPr>
        <w:overflowPunct w:val="0"/>
        <w:adjustRightInd w:val="0"/>
        <w:snapToGrid w:val="0"/>
        <w:spacing w:line="580" w:lineRule="exact"/>
        <w:rPr>
          <w:rFonts w:eastAsia="黑体"/>
          <w:sz w:val="28"/>
          <w:szCs w:val="28"/>
        </w:rPr>
      </w:pPr>
      <w:r>
        <w:rPr>
          <w:rFonts w:eastAsia="黑体"/>
          <w:szCs w:val="32"/>
        </w:rPr>
        <w:lastRenderedPageBreak/>
        <w:t>附件</w:t>
      </w:r>
      <w:r>
        <w:rPr>
          <w:rFonts w:eastAsia="黑体" w:cs="黑体" w:hint="eastAsia"/>
          <w:szCs w:val="32"/>
        </w:rPr>
        <w:t>8</w:t>
      </w:r>
    </w:p>
    <w:p w:rsidR="00E65F37" w:rsidRDefault="00F16801">
      <w:pPr>
        <w:tabs>
          <w:tab w:val="left" w:pos="1680"/>
        </w:tabs>
        <w:overflowPunct w:val="0"/>
        <w:adjustRightInd w:val="0"/>
        <w:snapToGrid w:val="0"/>
        <w:spacing w:line="580" w:lineRule="exact"/>
        <w:jc w:val="center"/>
        <w:rPr>
          <w:rFonts w:eastAsia="方正小标宋简体"/>
          <w:color w:val="000000"/>
          <w:sz w:val="44"/>
          <w:szCs w:val="44"/>
        </w:rPr>
      </w:pPr>
      <w:r>
        <w:rPr>
          <w:rFonts w:eastAsia="方正小标宋简体" w:hint="eastAsia"/>
          <w:color w:val="000000"/>
          <w:sz w:val="44"/>
          <w:szCs w:val="44"/>
        </w:rPr>
        <w:t>政府性融资担保机构年末在</w:t>
      </w:r>
      <w:r>
        <w:rPr>
          <w:rFonts w:eastAsia="方正小标宋简体"/>
          <w:color w:val="000000"/>
          <w:sz w:val="44"/>
          <w:szCs w:val="44"/>
        </w:rPr>
        <w:t>保业务明细表</w:t>
      </w:r>
    </w:p>
    <w:p w:rsidR="00E65F37" w:rsidRDefault="00F16801">
      <w:pPr>
        <w:overflowPunct w:val="0"/>
        <w:adjustRightInd w:val="0"/>
        <w:snapToGrid w:val="0"/>
        <w:spacing w:line="580" w:lineRule="exact"/>
        <w:rPr>
          <w:kern w:val="0"/>
          <w:sz w:val="24"/>
          <w:szCs w:val="22"/>
        </w:rPr>
      </w:pPr>
      <w:r>
        <w:rPr>
          <w:rFonts w:hint="eastAsia"/>
          <w:kern w:val="0"/>
          <w:sz w:val="24"/>
          <w:szCs w:val="22"/>
        </w:rPr>
        <w:t>机构名称：</w:t>
      </w:r>
      <w:r>
        <w:rPr>
          <w:rFonts w:hint="eastAsia"/>
          <w:kern w:val="0"/>
          <w:sz w:val="24"/>
          <w:szCs w:val="22"/>
        </w:rPr>
        <w:t xml:space="preserve">  </w:t>
      </w:r>
      <w:r>
        <w:rPr>
          <w:rFonts w:hint="eastAsia"/>
          <w:kern w:val="0"/>
          <w:sz w:val="24"/>
          <w:szCs w:val="22"/>
        </w:rPr>
        <w:t>（盖章）</w:t>
      </w:r>
      <w:r>
        <w:rPr>
          <w:rFonts w:hint="eastAsia"/>
          <w:kern w:val="0"/>
          <w:sz w:val="24"/>
          <w:szCs w:val="22"/>
        </w:rPr>
        <w:t xml:space="preserve">                                  </w:t>
      </w:r>
      <w:r>
        <w:rPr>
          <w:rFonts w:hint="eastAsia"/>
          <w:kern w:val="0"/>
          <w:sz w:val="24"/>
          <w:szCs w:val="22"/>
        </w:rPr>
        <w:t>合作银行：</w:t>
      </w:r>
      <w:r>
        <w:rPr>
          <w:rFonts w:hint="eastAsia"/>
          <w:kern w:val="0"/>
          <w:sz w:val="24"/>
          <w:szCs w:val="22"/>
        </w:rPr>
        <w:t xml:space="preserve">  </w:t>
      </w:r>
      <w:r>
        <w:rPr>
          <w:rFonts w:hint="eastAsia"/>
          <w:kern w:val="0"/>
          <w:sz w:val="24"/>
          <w:szCs w:val="22"/>
        </w:rPr>
        <w:t>（盖章）</w:t>
      </w:r>
      <w:r>
        <w:rPr>
          <w:rFonts w:hint="eastAsia"/>
          <w:kern w:val="0"/>
          <w:sz w:val="24"/>
          <w:szCs w:val="22"/>
        </w:rPr>
        <w:t xml:space="preserve">                           </w:t>
      </w:r>
      <w:r>
        <w:rPr>
          <w:rFonts w:hint="eastAsia"/>
          <w:kern w:val="0"/>
          <w:sz w:val="24"/>
          <w:szCs w:val="22"/>
        </w:rPr>
        <w:t>单位：万元</w:t>
      </w:r>
    </w:p>
    <w:tbl>
      <w:tblPr>
        <w:tblW w:w="13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2911"/>
        <w:gridCol w:w="1207"/>
        <w:gridCol w:w="1190"/>
        <w:gridCol w:w="2448"/>
        <w:gridCol w:w="1293"/>
        <w:gridCol w:w="1200"/>
        <w:gridCol w:w="1365"/>
        <w:gridCol w:w="1229"/>
      </w:tblGrid>
      <w:tr w:rsidR="00E65F37">
        <w:trPr>
          <w:trHeight w:val="527"/>
          <w:jc w:val="center"/>
        </w:trPr>
        <w:tc>
          <w:tcPr>
            <w:tcW w:w="776"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序号</w:t>
            </w:r>
          </w:p>
        </w:tc>
        <w:tc>
          <w:tcPr>
            <w:tcW w:w="2911"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受保企业名称</w:t>
            </w:r>
          </w:p>
        </w:tc>
        <w:tc>
          <w:tcPr>
            <w:tcW w:w="1207"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年末在保余额</w:t>
            </w:r>
          </w:p>
        </w:tc>
        <w:tc>
          <w:tcPr>
            <w:tcW w:w="1190"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担保费率（</w:t>
            </w:r>
            <w:r>
              <w:rPr>
                <w:rFonts w:eastAsia="黑体" w:cs="黑体" w:hint="eastAsia"/>
                <w:bCs/>
                <w:kern w:val="0"/>
                <w:sz w:val="24"/>
                <w:szCs w:val="24"/>
              </w:rPr>
              <w:t>%</w:t>
            </w:r>
            <w:r>
              <w:rPr>
                <w:rFonts w:eastAsia="黑体" w:cs="黑体" w:hint="eastAsia"/>
                <w:bCs/>
                <w:kern w:val="0"/>
                <w:sz w:val="24"/>
                <w:szCs w:val="24"/>
              </w:rPr>
              <w:t>）</w:t>
            </w:r>
          </w:p>
        </w:tc>
        <w:tc>
          <w:tcPr>
            <w:tcW w:w="2448"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受保企业贷款合同号</w:t>
            </w:r>
          </w:p>
        </w:tc>
        <w:tc>
          <w:tcPr>
            <w:tcW w:w="1293"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担保起始日期</w:t>
            </w:r>
          </w:p>
        </w:tc>
        <w:tc>
          <w:tcPr>
            <w:tcW w:w="1200"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担保终止日期</w:t>
            </w:r>
          </w:p>
        </w:tc>
        <w:tc>
          <w:tcPr>
            <w:tcW w:w="1365"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贷款对象</w:t>
            </w:r>
          </w:p>
        </w:tc>
        <w:tc>
          <w:tcPr>
            <w:tcW w:w="1229"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实际损失</w:t>
            </w:r>
          </w:p>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金额</w:t>
            </w:r>
          </w:p>
        </w:tc>
      </w:tr>
      <w:tr w:rsidR="00E65F37">
        <w:trPr>
          <w:trHeight w:val="527"/>
          <w:jc w:val="center"/>
        </w:trPr>
        <w:tc>
          <w:tcPr>
            <w:tcW w:w="776" w:type="dxa"/>
            <w:vAlign w:val="center"/>
          </w:tcPr>
          <w:p w:rsidR="00E65F37" w:rsidRDefault="00E65F37">
            <w:pPr>
              <w:overflowPunct w:val="0"/>
              <w:adjustRightInd w:val="0"/>
              <w:snapToGrid w:val="0"/>
              <w:jc w:val="center"/>
              <w:rPr>
                <w:rFonts w:eastAsia="仿宋" w:cs="仿宋"/>
                <w:kern w:val="0"/>
                <w:sz w:val="24"/>
              </w:rPr>
            </w:pPr>
          </w:p>
        </w:tc>
        <w:tc>
          <w:tcPr>
            <w:tcW w:w="2911" w:type="dxa"/>
            <w:vAlign w:val="center"/>
          </w:tcPr>
          <w:p w:rsidR="00E65F37" w:rsidRDefault="00E65F37">
            <w:pPr>
              <w:overflowPunct w:val="0"/>
              <w:adjustRightInd w:val="0"/>
              <w:snapToGrid w:val="0"/>
              <w:jc w:val="center"/>
              <w:rPr>
                <w:rFonts w:eastAsia="仿宋" w:cs="仿宋"/>
                <w:kern w:val="0"/>
                <w:sz w:val="24"/>
              </w:rPr>
            </w:pPr>
          </w:p>
        </w:tc>
        <w:tc>
          <w:tcPr>
            <w:tcW w:w="1207" w:type="dxa"/>
            <w:vAlign w:val="center"/>
          </w:tcPr>
          <w:p w:rsidR="00E65F37" w:rsidRDefault="00E65F37">
            <w:pPr>
              <w:overflowPunct w:val="0"/>
              <w:adjustRightInd w:val="0"/>
              <w:snapToGrid w:val="0"/>
              <w:jc w:val="center"/>
              <w:rPr>
                <w:rFonts w:eastAsia="仿宋" w:cs="仿宋"/>
                <w:kern w:val="0"/>
                <w:sz w:val="24"/>
              </w:rPr>
            </w:pPr>
          </w:p>
        </w:tc>
        <w:tc>
          <w:tcPr>
            <w:tcW w:w="1190" w:type="dxa"/>
            <w:vAlign w:val="center"/>
          </w:tcPr>
          <w:p w:rsidR="00E65F37" w:rsidRDefault="00E65F37">
            <w:pPr>
              <w:overflowPunct w:val="0"/>
              <w:adjustRightInd w:val="0"/>
              <w:snapToGrid w:val="0"/>
              <w:jc w:val="center"/>
              <w:rPr>
                <w:rFonts w:eastAsia="仿宋" w:cs="仿宋"/>
                <w:kern w:val="0"/>
                <w:sz w:val="24"/>
              </w:rPr>
            </w:pPr>
          </w:p>
        </w:tc>
        <w:tc>
          <w:tcPr>
            <w:tcW w:w="2448" w:type="dxa"/>
            <w:vAlign w:val="center"/>
          </w:tcPr>
          <w:p w:rsidR="00E65F37" w:rsidRDefault="00E65F37">
            <w:pPr>
              <w:overflowPunct w:val="0"/>
              <w:adjustRightInd w:val="0"/>
              <w:snapToGrid w:val="0"/>
              <w:jc w:val="center"/>
              <w:rPr>
                <w:rFonts w:eastAsia="仿宋" w:cs="仿宋"/>
                <w:kern w:val="0"/>
                <w:sz w:val="24"/>
              </w:rPr>
            </w:pPr>
          </w:p>
        </w:tc>
        <w:tc>
          <w:tcPr>
            <w:tcW w:w="1293"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365" w:type="dxa"/>
            <w:vAlign w:val="center"/>
          </w:tcPr>
          <w:p w:rsidR="00E65F37" w:rsidRDefault="00E65F37">
            <w:pPr>
              <w:overflowPunct w:val="0"/>
              <w:adjustRightInd w:val="0"/>
              <w:snapToGrid w:val="0"/>
              <w:jc w:val="center"/>
              <w:rPr>
                <w:rFonts w:eastAsia="仿宋" w:cs="仿宋"/>
                <w:kern w:val="0"/>
                <w:sz w:val="24"/>
              </w:rPr>
            </w:pPr>
          </w:p>
        </w:tc>
        <w:tc>
          <w:tcPr>
            <w:tcW w:w="1229" w:type="dxa"/>
            <w:vAlign w:val="center"/>
          </w:tcPr>
          <w:p w:rsidR="00E65F37" w:rsidRDefault="00E65F37">
            <w:pPr>
              <w:overflowPunct w:val="0"/>
              <w:adjustRightInd w:val="0"/>
              <w:snapToGrid w:val="0"/>
              <w:jc w:val="center"/>
              <w:rPr>
                <w:rFonts w:eastAsia="仿宋" w:cs="仿宋"/>
                <w:kern w:val="0"/>
                <w:sz w:val="24"/>
              </w:rPr>
            </w:pPr>
          </w:p>
        </w:tc>
      </w:tr>
      <w:tr w:rsidR="00E65F37">
        <w:trPr>
          <w:trHeight w:val="527"/>
          <w:jc w:val="center"/>
        </w:trPr>
        <w:tc>
          <w:tcPr>
            <w:tcW w:w="776" w:type="dxa"/>
            <w:vAlign w:val="center"/>
          </w:tcPr>
          <w:p w:rsidR="00E65F37" w:rsidRDefault="00E65F37">
            <w:pPr>
              <w:overflowPunct w:val="0"/>
              <w:adjustRightInd w:val="0"/>
              <w:snapToGrid w:val="0"/>
              <w:jc w:val="center"/>
              <w:rPr>
                <w:rFonts w:eastAsia="仿宋" w:cs="仿宋"/>
                <w:kern w:val="0"/>
                <w:sz w:val="24"/>
              </w:rPr>
            </w:pPr>
          </w:p>
        </w:tc>
        <w:tc>
          <w:tcPr>
            <w:tcW w:w="2911" w:type="dxa"/>
            <w:vAlign w:val="center"/>
          </w:tcPr>
          <w:p w:rsidR="00E65F37" w:rsidRDefault="00E65F37">
            <w:pPr>
              <w:overflowPunct w:val="0"/>
              <w:adjustRightInd w:val="0"/>
              <w:snapToGrid w:val="0"/>
              <w:jc w:val="center"/>
              <w:rPr>
                <w:rFonts w:eastAsia="仿宋" w:cs="仿宋"/>
                <w:kern w:val="0"/>
                <w:sz w:val="24"/>
              </w:rPr>
            </w:pPr>
          </w:p>
        </w:tc>
        <w:tc>
          <w:tcPr>
            <w:tcW w:w="1207" w:type="dxa"/>
            <w:vAlign w:val="center"/>
          </w:tcPr>
          <w:p w:rsidR="00E65F37" w:rsidRDefault="00E65F37">
            <w:pPr>
              <w:overflowPunct w:val="0"/>
              <w:adjustRightInd w:val="0"/>
              <w:snapToGrid w:val="0"/>
              <w:jc w:val="center"/>
              <w:rPr>
                <w:rFonts w:eastAsia="仿宋" w:cs="仿宋"/>
                <w:kern w:val="0"/>
                <w:sz w:val="24"/>
              </w:rPr>
            </w:pPr>
          </w:p>
        </w:tc>
        <w:tc>
          <w:tcPr>
            <w:tcW w:w="1190" w:type="dxa"/>
            <w:vAlign w:val="center"/>
          </w:tcPr>
          <w:p w:rsidR="00E65F37" w:rsidRDefault="00E65F37">
            <w:pPr>
              <w:overflowPunct w:val="0"/>
              <w:adjustRightInd w:val="0"/>
              <w:snapToGrid w:val="0"/>
              <w:jc w:val="center"/>
              <w:rPr>
                <w:rFonts w:eastAsia="仿宋" w:cs="仿宋"/>
                <w:kern w:val="0"/>
                <w:sz w:val="24"/>
              </w:rPr>
            </w:pPr>
          </w:p>
        </w:tc>
        <w:tc>
          <w:tcPr>
            <w:tcW w:w="2448" w:type="dxa"/>
            <w:vAlign w:val="center"/>
          </w:tcPr>
          <w:p w:rsidR="00E65F37" w:rsidRDefault="00E65F37">
            <w:pPr>
              <w:overflowPunct w:val="0"/>
              <w:adjustRightInd w:val="0"/>
              <w:snapToGrid w:val="0"/>
              <w:jc w:val="center"/>
              <w:rPr>
                <w:rFonts w:eastAsia="仿宋" w:cs="仿宋"/>
                <w:kern w:val="0"/>
                <w:sz w:val="24"/>
              </w:rPr>
            </w:pPr>
          </w:p>
        </w:tc>
        <w:tc>
          <w:tcPr>
            <w:tcW w:w="1293"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365" w:type="dxa"/>
            <w:vAlign w:val="center"/>
          </w:tcPr>
          <w:p w:rsidR="00E65F37" w:rsidRDefault="00E65F37">
            <w:pPr>
              <w:overflowPunct w:val="0"/>
              <w:adjustRightInd w:val="0"/>
              <w:snapToGrid w:val="0"/>
              <w:jc w:val="center"/>
              <w:rPr>
                <w:rFonts w:eastAsia="仿宋" w:cs="仿宋"/>
                <w:kern w:val="0"/>
                <w:sz w:val="24"/>
              </w:rPr>
            </w:pPr>
          </w:p>
        </w:tc>
        <w:tc>
          <w:tcPr>
            <w:tcW w:w="1229" w:type="dxa"/>
            <w:vAlign w:val="center"/>
          </w:tcPr>
          <w:p w:rsidR="00E65F37" w:rsidRDefault="00E65F37">
            <w:pPr>
              <w:overflowPunct w:val="0"/>
              <w:adjustRightInd w:val="0"/>
              <w:snapToGrid w:val="0"/>
              <w:jc w:val="center"/>
              <w:rPr>
                <w:rFonts w:eastAsia="仿宋" w:cs="仿宋"/>
                <w:kern w:val="0"/>
                <w:sz w:val="24"/>
              </w:rPr>
            </w:pPr>
          </w:p>
        </w:tc>
      </w:tr>
      <w:tr w:rsidR="00E65F37">
        <w:trPr>
          <w:trHeight w:val="527"/>
          <w:jc w:val="center"/>
        </w:trPr>
        <w:tc>
          <w:tcPr>
            <w:tcW w:w="776" w:type="dxa"/>
            <w:vAlign w:val="center"/>
          </w:tcPr>
          <w:p w:rsidR="00E65F37" w:rsidRDefault="00E65F37">
            <w:pPr>
              <w:overflowPunct w:val="0"/>
              <w:adjustRightInd w:val="0"/>
              <w:snapToGrid w:val="0"/>
              <w:jc w:val="center"/>
              <w:rPr>
                <w:rFonts w:eastAsia="仿宋" w:cs="仿宋"/>
                <w:kern w:val="0"/>
                <w:sz w:val="24"/>
              </w:rPr>
            </w:pPr>
          </w:p>
        </w:tc>
        <w:tc>
          <w:tcPr>
            <w:tcW w:w="2911" w:type="dxa"/>
            <w:vAlign w:val="center"/>
          </w:tcPr>
          <w:p w:rsidR="00E65F37" w:rsidRDefault="00E65F37">
            <w:pPr>
              <w:overflowPunct w:val="0"/>
              <w:adjustRightInd w:val="0"/>
              <w:snapToGrid w:val="0"/>
              <w:jc w:val="center"/>
              <w:rPr>
                <w:rFonts w:eastAsia="仿宋" w:cs="仿宋"/>
                <w:kern w:val="0"/>
                <w:sz w:val="24"/>
              </w:rPr>
            </w:pPr>
          </w:p>
        </w:tc>
        <w:tc>
          <w:tcPr>
            <w:tcW w:w="1207" w:type="dxa"/>
            <w:vAlign w:val="center"/>
          </w:tcPr>
          <w:p w:rsidR="00E65F37" w:rsidRDefault="00E65F37">
            <w:pPr>
              <w:overflowPunct w:val="0"/>
              <w:adjustRightInd w:val="0"/>
              <w:snapToGrid w:val="0"/>
              <w:jc w:val="center"/>
              <w:rPr>
                <w:rFonts w:eastAsia="仿宋" w:cs="仿宋"/>
                <w:kern w:val="0"/>
                <w:sz w:val="24"/>
              </w:rPr>
            </w:pPr>
          </w:p>
        </w:tc>
        <w:tc>
          <w:tcPr>
            <w:tcW w:w="1190" w:type="dxa"/>
            <w:vAlign w:val="center"/>
          </w:tcPr>
          <w:p w:rsidR="00E65F37" w:rsidRDefault="00E65F37">
            <w:pPr>
              <w:overflowPunct w:val="0"/>
              <w:adjustRightInd w:val="0"/>
              <w:snapToGrid w:val="0"/>
              <w:jc w:val="center"/>
              <w:rPr>
                <w:rFonts w:eastAsia="仿宋" w:cs="仿宋"/>
                <w:kern w:val="0"/>
                <w:sz w:val="24"/>
              </w:rPr>
            </w:pPr>
          </w:p>
        </w:tc>
        <w:tc>
          <w:tcPr>
            <w:tcW w:w="2448" w:type="dxa"/>
            <w:vAlign w:val="center"/>
          </w:tcPr>
          <w:p w:rsidR="00E65F37" w:rsidRDefault="00E65F37">
            <w:pPr>
              <w:overflowPunct w:val="0"/>
              <w:adjustRightInd w:val="0"/>
              <w:snapToGrid w:val="0"/>
              <w:jc w:val="center"/>
              <w:rPr>
                <w:rFonts w:eastAsia="仿宋" w:cs="仿宋"/>
                <w:kern w:val="0"/>
                <w:sz w:val="24"/>
              </w:rPr>
            </w:pPr>
          </w:p>
        </w:tc>
        <w:tc>
          <w:tcPr>
            <w:tcW w:w="1293"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365" w:type="dxa"/>
            <w:vAlign w:val="center"/>
          </w:tcPr>
          <w:p w:rsidR="00E65F37" w:rsidRDefault="00E65F37">
            <w:pPr>
              <w:overflowPunct w:val="0"/>
              <w:adjustRightInd w:val="0"/>
              <w:snapToGrid w:val="0"/>
              <w:jc w:val="center"/>
              <w:rPr>
                <w:rFonts w:eastAsia="仿宋" w:cs="仿宋"/>
                <w:kern w:val="0"/>
                <w:sz w:val="24"/>
              </w:rPr>
            </w:pPr>
          </w:p>
        </w:tc>
        <w:tc>
          <w:tcPr>
            <w:tcW w:w="1229" w:type="dxa"/>
            <w:vAlign w:val="center"/>
          </w:tcPr>
          <w:p w:rsidR="00E65F37" w:rsidRDefault="00E65F37">
            <w:pPr>
              <w:overflowPunct w:val="0"/>
              <w:adjustRightInd w:val="0"/>
              <w:snapToGrid w:val="0"/>
              <w:jc w:val="center"/>
              <w:rPr>
                <w:rFonts w:eastAsia="仿宋" w:cs="仿宋"/>
                <w:kern w:val="0"/>
                <w:sz w:val="24"/>
              </w:rPr>
            </w:pPr>
          </w:p>
        </w:tc>
      </w:tr>
      <w:tr w:rsidR="00E65F37">
        <w:trPr>
          <w:trHeight w:val="527"/>
          <w:jc w:val="center"/>
        </w:trPr>
        <w:tc>
          <w:tcPr>
            <w:tcW w:w="776" w:type="dxa"/>
            <w:vAlign w:val="center"/>
          </w:tcPr>
          <w:p w:rsidR="00E65F37" w:rsidRDefault="00E65F37">
            <w:pPr>
              <w:overflowPunct w:val="0"/>
              <w:adjustRightInd w:val="0"/>
              <w:snapToGrid w:val="0"/>
              <w:jc w:val="center"/>
              <w:rPr>
                <w:rFonts w:eastAsia="仿宋" w:cs="仿宋"/>
                <w:kern w:val="0"/>
                <w:sz w:val="24"/>
              </w:rPr>
            </w:pPr>
          </w:p>
        </w:tc>
        <w:tc>
          <w:tcPr>
            <w:tcW w:w="2911" w:type="dxa"/>
            <w:vAlign w:val="center"/>
          </w:tcPr>
          <w:p w:rsidR="00E65F37" w:rsidRDefault="00E65F37">
            <w:pPr>
              <w:overflowPunct w:val="0"/>
              <w:adjustRightInd w:val="0"/>
              <w:snapToGrid w:val="0"/>
              <w:jc w:val="center"/>
              <w:rPr>
                <w:rFonts w:eastAsia="仿宋" w:cs="仿宋"/>
                <w:kern w:val="0"/>
                <w:sz w:val="24"/>
              </w:rPr>
            </w:pPr>
          </w:p>
        </w:tc>
        <w:tc>
          <w:tcPr>
            <w:tcW w:w="1207" w:type="dxa"/>
            <w:vAlign w:val="center"/>
          </w:tcPr>
          <w:p w:rsidR="00E65F37" w:rsidRDefault="00E65F37">
            <w:pPr>
              <w:overflowPunct w:val="0"/>
              <w:adjustRightInd w:val="0"/>
              <w:snapToGrid w:val="0"/>
              <w:jc w:val="center"/>
              <w:rPr>
                <w:rFonts w:eastAsia="仿宋" w:cs="仿宋"/>
                <w:kern w:val="0"/>
                <w:sz w:val="24"/>
              </w:rPr>
            </w:pPr>
          </w:p>
        </w:tc>
        <w:tc>
          <w:tcPr>
            <w:tcW w:w="1190" w:type="dxa"/>
            <w:vAlign w:val="center"/>
          </w:tcPr>
          <w:p w:rsidR="00E65F37" w:rsidRDefault="00E65F37">
            <w:pPr>
              <w:overflowPunct w:val="0"/>
              <w:adjustRightInd w:val="0"/>
              <w:snapToGrid w:val="0"/>
              <w:jc w:val="center"/>
              <w:rPr>
                <w:rFonts w:eastAsia="仿宋" w:cs="仿宋"/>
                <w:kern w:val="0"/>
                <w:sz w:val="24"/>
              </w:rPr>
            </w:pPr>
          </w:p>
        </w:tc>
        <w:tc>
          <w:tcPr>
            <w:tcW w:w="2448" w:type="dxa"/>
            <w:vAlign w:val="center"/>
          </w:tcPr>
          <w:p w:rsidR="00E65F37" w:rsidRDefault="00E65F37">
            <w:pPr>
              <w:overflowPunct w:val="0"/>
              <w:adjustRightInd w:val="0"/>
              <w:snapToGrid w:val="0"/>
              <w:jc w:val="center"/>
              <w:rPr>
                <w:rFonts w:eastAsia="仿宋" w:cs="仿宋"/>
                <w:kern w:val="0"/>
                <w:sz w:val="24"/>
              </w:rPr>
            </w:pPr>
          </w:p>
        </w:tc>
        <w:tc>
          <w:tcPr>
            <w:tcW w:w="1293"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365" w:type="dxa"/>
            <w:vAlign w:val="center"/>
          </w:tcPr>
          <w:p w:rsidR="00E65F37" w:rsidRDefault="00E65F37">
            <w:pPr>
              <w:overflowPunct w:val="0"/>
              <w:adjustRightInd w:val="0"/>
              <w:snapToGrid w:val="0"/>
              <w:jc w:val="center"/>
              <w:rPr>
                <w:rFonts w:eastAsia="仿宋" w:cs="仿宋"/>
                <w:kern w:val="0"/>
                <w:sz w:val="24"/>
              </w:rPr>
            </w:pPr>
          </w:p>
        </w:tc>
        <w:tc>
          <w:tcPr>
            <w:tcW w:w="1229" w:type="dxa"/>
            <w:vAlign w:val="center"/>
          </w:tcPr>
          <w:p w:rsidR="00E65F37" w:rsidRDefault="00E65F37">
            <w:pPr>
              <w:overflowPunct w:val="0"/>
              <w:adjustRightInd w:val="0"/>
              <w:snapToGrid w:val="0"/>
              <w:jc w:val="center"/>
              <w:rPr>
                <w:rFonts w:eastAsia="仿宋" w:cs="仿宋"/>
                <w:kern w:val="0"/>
                <w:sz w:val="24"/>
              </w:rPr>
            </w:pPr>
          </w:p>
        </w:tc>
      </w:tr>
      <w:tr w:rsidR="00E65F37">
        <w:trPr>
          <w:trHeight w:val="527"/>
          <w:jc w:val="center"/>
        </w:trPr>
        <w:tc>
          <w:tcPr>
            <w:tcW w:w="776" w:type="dxa"/>
            <w:vAlign w:val="center"/>
          </w:tcPr>
          <w:p w:rsidR="00E65F37" w:rsidRDefault="00E65F37">
            <w:pPr>
              <w:overflowPunct w:val="0"/>
              <w:adjustRightInd w:val="0"/>
              <w:snapToGrid w:val="0"/>
              <w:jc w:val="center"/>
              <w:rPr>
                <w:rFonts w:eastAsia="仿宋" w:cs="仿宋"/>
                <w:kern w:val="0"/>
                <w:sz w:val="24"/>
              </w:rPr>
            </w:pPr>
          </w:p>
        </w:tc>
        <w:tc>
          <w:tcPr>
            <w:tcW w:w="2911" w:type="dxa"/>
            <w:vAlign w:val="center"/>
          </w:tcPr>
          <w:p w:rsidR="00E65F37" w:rsidRDefault="00E65F37">
            <w:pPr>
              <w:overflowPunct w:val="0"/>
              <w:adjustRightInd w:val="0"/>
              <w:snapToGrid w:val="0"/>
              <w:jc w:val="center"/>
              <w:rPr>
                <w:rFonts w:eastAsia="仿宋" w:cs="仿宋"/>
                <w:kern w:val="0"/>
                <w:sz w:val="24"/>
              </w:rPr>
            </w:pPr>
          </w:p>
        </w:tc>
        <w:tc>
          <w:tcPr>
            <w:tcW w:w="1207" w:type="dxa"/>
            <w:vAlign w:val="center"/>
          </w:tcPr>
          <w:p w:rsidR="00E65F37" w:rsidRDefault="00E65F37">
            <w:pPr>
              <w:overflowPunct w:val="0"/>
              <w:adjustRightInd w:val="0"/>
              <w:snapToGrid w:val="0"/>
              <w:jc w:val="center"/>
              <w:rPr>
                <w:rFonts w:eastAsia="仿宋" w:cs="仿宋"/>
                <w:kern w:val="0"/>
                <w:sz w:val="24"/>
              </w:rPr>
            </w:pPr>
          </w:p>
        </w:tc>
        <w:tc>
          <w:tcPr>
            <w:tcW w:w="1190" w:type="dxa"/>
            <w:vAlign w:val="center"/>
          </w:tcPr>
          <w:p w:rsidR="00E65F37" w:rsidRDefault="00E65F37">
            <w:pPr>
              <w:overflowPunct w:val="0"/>
              <w:adjustRightInd w:val="0"/>
              <w:snapToGrid w:val="0"/>
              <w:jc w:val="center"/>
              <w:rPr>
                <w:rFonts w:eastAsia="仿宋" w:cs="仿宋"/>
                <w:kern w:val="0"/>
                <w:sz w:val="24"/>
              </w:rPr>
            </w:pPr>
          </w:p>
        </w:tc>
        <w:tc>
          <w:tcPr>
            <w:tcW w:w="2448" w:type="dxa"/>
            <w:vAlign w:val="center"/>
          </w:tcPr>
          <w:p w:rsidR="00E65F37" w:rsidRDefault="00E65F37">
            <w:pPr>
              <w:overflowPunct w:val="0"/>
              <w:adjustRightInd w:val="0"/>
              <w:snapToGrid w:val="0"/>
              <w:jc w:val="center"/>
              <w:rPr>
                <w:rFonts w:eastAsia="仿宋" w:cs="仿宋"/>
                <w:kern w:val="0"/>
                <w:sz w:val="24"/>
              </w:rPr>
            </w:pPr>
          </w:p>
        </w:tc>
        <w:tc>
          <w:tcPr>
            <w:tcW w:w="1293"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365" w:type="dxa"/>
            <w:vAlign w:val="center"/>
          </w:tcPr>
          <w:p w:rsidR="00E65F37" w:rsidRDefault="00E65F37">
            <w:pPr>
              <w:overflowPunct w:val="0"/>
              <w:adjustRightInd w:val="0"/>
              <w:snapToGrid w:val="0"/>
              <w:jc w:val="center"/>
              <w:rPr>
                <w:rFonts w:eastAsia="仿宋" w:cs="仿宋"/>
                <w:kern w:val="0"/>
                <w:sz w:val="24"/>
              </w:rPr>
            </w:pPr>
          </w:p>
        </w:tc>
        <w:tc>
          <w:tcPr>
            <w:tcW w:w="1229" w:type="dxa"/>
            <w:vAlign w:val="center"/>
          </w:tcPr>
          <w:p w:rsidR="00E65F37" w:rsidRDefault="00E65F37">
            <w:pPr>
              <w:overflowPunct w:val="0"/>
              <w:adjustRightInd w:val="0"/>
              <w:snapToGrid w:val="0"/>
              <w:jc w:val="center"/>
              <w:rPr>
                <w:rFonts w:eastAsia="仿宋" w:cs="仿宋"/>
                <w:kern w:val="0"/>
                <w:sz w:val="24"/>
              </w:rPr>
            </w:pPr>
          </w:p>
        </w:tc>
      </w:tr>
      <w:tr w:rsidR="00E65F37">
        <w:trPr>
          <w:trHeight w:val="527"/>
          <w:jc w:val="center"/>
        </w:trPr>
        <w:tc>
          <w:tcPr>
            <w:tcW w:w="776" w:type="dxa"/>
            <w:vAlign w:val="center"/>
          </w:tcPr>
          <w:p w:rsidR="00E65F37" w:rsidRDefault="00E65F37">
            <w:pPr>
              <w:overflowPunct w:val="0"/>
              <w:adjustRightInd w:val="0"/>
              <w:snapToGrid w:val="0"/>
              <w:jc w:val="center"/>
              <w:rPr>
                <w:rFonts w:eastAsia="仿宋" w:cs="仿宋"/>
                <w:kern w:val="0"/>
                <w:sz w:val="24"/>
              </w:rPr>
            </w:pPr>
          </w:p>
        </w:tc>
        <w:tc>
          <w:tcPr>
            <w:tcW w:w="2911" w:type="dxa"/>
            <w:vAlign w:val="center"/>
          </w:tcPr>
          <w:p w:rsidR="00E65F37" w:rsidRDefault="00E65F37">
            <w:pPr>
              <w:overflowPunct w:val="0"/>
              <w:adjustRightInd w:val="0"/>
              <w:snapToGrid w:val="0"/>
              <w:jc w:val="center"/>
              <w:rPr>
                <w:rFonts w:eastAsia="仿宋" w:cs="仿宋"/>
                <w:kern w:val="0"/>
                <w:sz w:val="24"/>
              </w:rPr>
            </w:pPr>
          </w:p>
        </w:tc>
        <w:tc>
          <w:tcPr>
            <w:tcW w:w="1207" w:type="dxa"/>
            <w:vAlign w:val="center"/>
          </w:tcPr>
          <w:p w:rsidR="00E65F37" w:rsidRDefault="00E65F37">
            <w:pPr>
              <w:overflowPunct w:val="0"/>
              <w:adjustRightInd w:val="0"/>
              <w:snapToGrid w:val="0"/>
              <w:jc w:val="center"/>
              <w:rPr>
                <w:rFonts w:eastAsia="仿宋" w:cs="仿宋"/>
                <w:kern w:val="0"/>
                <w:sz w:val="24"/>
              </w:rPr>
            </w:pPr>
          </w:p>
        </w:tc>
        <w:tc>
          <w:tcPr>
            <w:tcW w:w="1190" w:type="dxa"/>
            <w:vAlign w:val="center"/>
          </w:tcPr>
          <w:p w:rsidR="00E65F37" w:rsidRDefault="00E65F37">
            <w:pPr>
              <w:overflowPunct w:val="0"/>
              <w:adjustRightInd w:val="0"/>
              <w:snapToGrid w:val="0"/>
              <w:jc w:val="center"/>
              <w:rPr>
                <w:rFonts w:eastAsia="仿宋" w:cs="仿宋"/>
                <w:kern w:val="0"/>
                <w:sz w:val="24"/>
              </w:rPr>
            </w:pPr>
          </w:p>
        </w:tc>
        <w:tc>
          <w:tcPr>
            <w:tcW w:w="2448" w:type="dxa"/>
            <w:vAlign w:val="center"/>
          </w:tcPr>
          <w:p w:rsidR="00E65F37" w:rsidRDefault="00E65F37">
            <w:pPr>
              <w:overflowPunct w:val="0"/>
              <w:adjustRightInd w:val="0"/>
              <w:snapToGrid w:val="0"/>
              <w:jc w:val="center"/>
              <w:rPr>
                <w:rFonts w:eastAsia="仿宋" w:cs="仿宋"/>
                <w:kern w:val="0"/>
                <w:sz w:val="24"/>
              </w:rPr>
            </w:pPr>
          </w:p>
        </w:tc>
        <w:tc>
          <w:tcPr>
            <w:tcW w:w="1293"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365" w:type="dxa"/>
            <w:vAlign w:val="center"/>
          </w:tcPr>
          <w:p w:rsidR="00E65F37" w:rsidRDefault="00E65F37">
            <w:pPr>
              <w:overflowPunct w:val="0"/>
              <w:adjustRightInd w:val="0"/>
              <w:snapToGrid w:val="0"/>
              <w:jc w:val="center"/>
              <w:rPr>
                <w:rFonts w:eastAsia="仿宋" w:cs="仿宋"/>
                <w:kern w:val="0"/>
                <w:sz w:val="24"/>
              </w:rPr>
            </w:pPr>
          </w:p>
        </w:tc>
        <w:tc>
          <w:tcPr>
            <w:tcW w:w="1229" w:type="dxa"/>
            <w:vAlign w:val="center"/>
          </w:tcPr>
          <w:p w:rsidR="00E65F37" w:rsidRDefault="00E65F37">
            <w:pPr>
              <w:overflowPunct w:val="0"/>
              <w:adjustRightInd w:val="0"/>
              <w:snapToGrid w:val="0"/>
              <w:jc w:val="center"/>
              <w:rPr>
                <w:rFonts w:eastAsia="仿宋" w:cs="仿宋"/>
                <w:kern w:val="0"/>
                <w:sz w:val="24"/>
              </w:rPr>
            </w:pPr>
          </w:p>
        </w:tc>
      </w:tr>
      <w:tr w:rsidR="00E65F37">
        <w:trPr>
          <w:trHeight w:val="527"/>
          <w:jc w:val="center"/>
        </w:trPr>
        <w:tc>
          <w:tcPr>
            <w:tcW w:w="776" w:type="dxa"/>
            <w:vAlign w:val="center"/>
          </w:tcPr>
          <w:p w:rsidR="00E65F37" w:rsidRDefault="00E65F37">
            <w:pPr>
              <w:overflowPunct w:val="0"/>
              <w:adjustRightInd w:val="0"/>
              <w:snapToGrid w:val="0"/>
              <w:jc w:val="center"/>
              <w:rPr>
                <w:rFonts w:eastAsia="仿宋" w:cs="仿宋"/>
                <w:kern w:val="0"/>
                <w:sz w:val="24"/>
              </w:rPr>
            </w:pPr>
          </w:p>
        </w:tc>
        <w:tc>
          <w:tcPr>
            <w:tcW w:w="2911" w:type="dxa"/>
            <w:vAlign w:val="center"/>
          </w:tcPr>
          <w:p w:rsidR="00E65F37" w:rsidRDefault="00F16801">
            <w:pPr>
              <w:overflowPunct w:val="0"/>
              <w:adjustRightInd w:val="0"/>
              <w:snapToGrid w:val="0"/>
              <w:jc w:val="center"/>
              <w:rPr>
                <w:b/>
                <w:kern w:val="0"/>
                <w:sz w:val="24"/>
              </w:rPr>
            </w:pPr>
            <w:r>
              <w:rPr>
                <w:rFonts w:hint="eastAsia"/>
                <w:b/>
                <w:kern w:val="0"/>
                <w:sz w:val="24"/>
              </w:rPr>
              <w:t>合计</w:t>
            </w:r>
          </w:p>
        </w:tc>
        <w:tc>
          <w:tcPr>
            <w:tcW w:w="1207" w:type="dxa"/>
            <w:vAlign w:val="center"/>
          </w:tcPr>
          <w:p w:rsidR="00E65F37" w:rsidRDefault="00E65F37">
            <w:pPr>
              <w:overflowPunct w:val="0"/>
              <w:adjustRightInd w:val="0"/>
              <w:snapToGrid w:val="0"/>
              <w:jc w:val="center"/>
              <w:rPr>
                <w:rFonts w:eastAsia="仿宋" w:cs="仿宋"/>
                <w:kern w:val="0"/>
                <w:sz w:val="24"/>
              </w:rPr>
            </w:pPr>
          </w:p>
        </w:tc>
        <w:tc>
          <w:tcPr>
            <w:tcW w:w="1190" w:type="dxa"/>
            <w:vAlign w:val="center"/>
          </w:tcPr>
          <w:p w:rsidR="00E65F37" w:rsidRDefault="00E65F37">
            <w:pPr>
              <w:overflowPunct w:val="0"/>
              <w:adjustRightInd w:val="0"/>
              <w:snapToGrid w:val="0"/>
              <w:jc w:val="center"/>
              <w:rPr>
                <w:rFonts w:eastAsia="仿宋" w:cs="仿宋"/>
                <w:kern w:val="0"/>
                <w:sz w:val="24"/>
              </w:rPr>
            </w:pPr>
          </w:p>
        </w:tc>
        <w:tc>
          <w:tcPr>
            <w:tcW w:w="2448" w:type="dxa"/>
            <w:vAlign w:val="center"/>
          </w:tcPr>
          <w:p w:rsidR="00E65F37" w:rsidRDefault="00E65F37">
            <w:pPr>
              <w:overflowPunct w:val="0"/>
              <w:adjustRightInd w:val="0"/>
              <w:snapToGrid w:val="0"/>
              <w:jc w:val="center"/>
              <w:rPr>
                <w:rFonts w:eastAsia="仿宋" w:cs="仿宋"/>
                <w:kern w:val="0"/>
                <w:sz w:val="24"/>
              </w:rPr>
            </w:pPr>
          </w:p>
        </w:tc>
        <w:tc>
          <w:tcPr>
            <w:tcW w:w="1293"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365" w:type="dxa"/>
            <w:vAlign w:val="center"/>
          </w:tcPr>
          <w:p w:rsidR="00E65F37" w:rsidRDefault="00E65F37">
            <w:pPr>
              <w:overflowPunct w:val="0"/>
              <w:adjustRightInd w:val="0"/>
              <w:snapToGrid w:val="0"/>
              <w:jc w:val="center"/>
              <w:rPr>
                <w:rFonts w:eastAsia="仿宋" w:cs="仿宋"/>
                <w:kern w:val="0"/>
                <w:sz w:val="24"/>
              </w:rPr>
            </w:pPr>
          </w:p>
        </w:tc>
        <w:tc>
          <w:tcPr>
            <w:tcW w:w="1229" w:type="dxa"/>
            <w:vAlign w:val="center"/>
          </w:tcPr>
          <w:p w:rsidR="00E65F37" w:rsidRDefault="00E65F37">
            <w:pPr>
              <w:overflowPunct w:val="0"/>
              <w:adjustRightInd w:val="0"/>
              <w:snapToGrid w:val="0"/>
              <w:jc w:val="center"/>
              <w:rPr>
                <w:rFonts w:eastAsia="仿宋" w:cs="仿宋"/>
                <w:kern w:val="0"/>
                <w:sz w:val="24"/>
              </w:rPr>
            </w:pPr>
          </w:p>
        </w:tc>
      </w:tr>
    </w:tbl>
    <w:p w:rsidR="00E65F37" w:rsidRDefault="00E65F37">
      <w:pPr>
        <w:overflowPunct w:val="0"/>
        <w:adjustRightInd w:val="0"/>
        <w:snapToGrid w:val="0"/>
        <w:rPr>
          <w:color w:val="000000"/>
          <w:szCs w:val="32"/>
        </w:rPr>
      </w:pPr>
    </w:p>
    <w:p w:rsidR="00E65F37" w:rsidRDefault="00F16801">
      <w:pPr>
        <w:overflowPunct w:val="0"/>
        <w:adjustRightInd w:val="0"/>
        <w:snapToGrid w:val="0"/>
        <w:rPr>
          <w:color w:val="000000"/>
          <w:szCs w:val="32"/>
        </w:rPr>
      </w:pPr>
      <w:r>
        <w:rPr>
          <w:rFonts w:hint="eastAsia"/>
          <w:color w:val="000000"/>
          <w:szCs w:val="32"/>
        </w:rPr>
        <w:t>注：</w:t>
      </w:r>
      <w:r>
        <w:rPr>
          <w:rFonts w:hint="eastAsia"/>
          <w:color w:val="000000"/>
          <w:szCs w:val="32"/>
        </w:rPr>
        <w:t>1.</w:t>
      </w:r>
      <w:r>
        <w:rPr>
          <w:rFonts w:hint="eastAsia"/>
          <w:color w:val="000000"/>
          <w:szCs w:val="32"/>
        </w:rPr>
        <w:t>客户性质为小微企业或“三农”的请在贷款对象中列明；</w:t>
      </w:r>
    </w:p>
    <w:p w:rsidR="00E65F37" w:rsidRDefault="00F16801">
      <w:pPr>
        <w:overflowPunct w:val="0"/>
        <w:adjustRightInd w:val="0"/>
        <w:snapToGrid w:val="0"/>
        <w:ind w:firstLineChars="200" w:firstLine="640"/>
        <w:rPr>
          <w:color w:val="000000"/>
          <w:szCs w:val="32"/>
        </w:rPr>
      </w:pPr>
      <w:r>
        <w:rPr>
          <w:rFonts w:hint="eastAsia"/>
          <w:color w:val="000000"/>
          <w:szCs w:val="32"/>
        </w:rPr>
        <w:t>2.</w:t>
      </w:r>
      <w:r>
        <w:rPr>
          <w:rFonts w:hint="eastAsia"/>
          <w:color w:val="000000"/>
          <w:szCs w:val="32"/>
        </w:rPr>
        <w:t>实际损失金额由申请风险补偿的机构填写；</w:t>
      </w:r>
    </w:p>
    <w:p w:rsidR="00E65F37" w:rsidRDefault="00F16801">
      <w:pPr>
        <w:overflowPunct w:val="0"/>
        <w:adjustRightInd w:val="0"/>
        <w:snapToGrid w:val="0"/>
        <w:ind w:firstLine="640"/>
        <w:rPr>
          <w:color w:val="000000"/>
          <w:szCs w:val="32"/>
        </w:rPr>
      </w:pPr>
      <w:r>
        <w:rPr>
          <w:rFonts w:hint="eastAsia"/>
          <w:color w:val="000000"/>
          <w:szCs w:val="32"/>
        </w:rPr>
        <w:t>3.</w:t>
      </w:r>
      <w:r>
        <w:rPr>
          <w:rFonts w:hint="eastAsia"/>
          <w:color w:val="000000"/>
          <w:szCs w:val="32"/>
        </w:rPr>
        <w:t>与各银行合作情况由融资担保公司和合作银行共同盖章确认，建议每家银行一张表格。</w:t>
      </w:r>
    </w:p>
    <w:p w:rsidR="00E65F37" w:rsidRDefault="00E65F37">
      <w:pPr>
        <w:overflowPunct w:val="0"/>
        <w:adjustRightInd w:val="0"/>
        <w:snapToGrid w:val="0"/>
        <w:ind w:firstLine="640"/>
        <w:rPr>
          <w:color w:val="000000"/>
          <w:szCs w:val="32"/>
        </w:rPr>
      </w:pPr>
    </w:p>
    <w:p w:rsidR="00E65F37" w:rsidRDefault="00F16801">
      <w:pPr>
        <w:overflowPunct w:val="0"/>
        <w:adjustRightInd w:val="0"/>
        <w:snapToGrid w:val="0"/>
        <w:spacing w:line="580" w:lineRule="exact"/>
        <w:rPr>
          <w:rFonts w:eastAsia="黑体"/>
          <w:sz w:val="28"/>
          <w:szCs w:val="28"/>
        </w:rPr>
      </w:pPr>
      <w:r>
        <w:rPr>
          <w:rFonts w:eastAsia="黑体"/>
          <w:szCs w:val="32"/>
        </w:rPr>
        <w:lastRenderedPageBreak/>
        <w:t>附件</w:t>
      </w:r>
      <w:r>
        <w:rPr>
          <w:rFonts w:eastAsia="黑体" w:cs="黑体" w:hint="eastAsia"/>
          <w:szCs w:val="32"/>
        </w:rPr>
        <w:t>9</w:t>
      </w:r>
    </w:p>
    <w:p w:rsidR="00E65F37" w:rsidRDefault="00F16801">
      <w:pPr>
        <w:tabs>
          <w:tab w:val="left" w:pos="1680"/>
        </w:tabs>
        <w:overflowPunct w:val="0"/>
        <w:adjustRightInd w:val="0"/>
        <w:snapToGrid w:val="0"/>
        <w:spacing w:line="580" w:lineRule="exact"/>
        <w:jc w:val="center"/>
        <w:rPr>
          <w:rFonts w:eastAsia="方正小标宋简体"/>
          <w:sz w:val="44"/>
          <w:szCs w:val="44"/>
        </w:rPr>
      </w:pPr>
      <w:r>
        <w:rPr>
          <w:rFonts w:eastAsia="方正小标宋简体" w:hint="eastAsia"/>
          <w:sz w:val="44"/>
          <w:szCs w:val="44"/>
        </w:rPr>
        <w:t>政府性融资担保机构小微外贸企业汇率避险增信服务</w:t>
      </w:r>
      <w:r>
        <w:rPr>
          <w:rFonts w:eastAsia="方正小标宋简体"/>
          <w:sz w:val="44"/>
          <w:szCs w:val="44"/>
        </w:rPr>
        <w:t>业务明细表</w:t>
      </w:r>
    </w:p>
    <w:p w:rsidR="00E65F37" w:rsidRDefault="00F16801">
      <w:pPr>
        <w:overflowPunct w:val="0"/>
        <w:adjustRightInd w:val="0"/>
        <w:snapToGrid w:val="0"/>
        <w:spacing w:line="580" w:lineRule="exact"/>
        <w:rPr>
          <w:kern w:val="0"/>
          <w:sz w:val="24"/>
          <w:szCs w:val="22"/>
        </w:rPr>
      </w:pPr>
      <w:r>
        <w:rPr>
          <w:rFonts w:hint="eastAsia"/>
          <w:kern w:val="0"/>
          <w:sz w:val="24"/>
          <w:szCs w:val="22"/>
        </w:rPr>
        <w:t>机构名称：</w:t>
      </w:r>
      <w:r>
        <w:rPr>
          <w:rFonts w:hint="eastAsia"/>
          <w:kern w:val="0"/>
          <w:sz w:val="24"/>
          <w:szCs w:val="22"/>
        </w:rPr>
        <w:t xml:space="preserve">  </w:t>
      </w:r>
      <w:r>
        <w:rPr>
          <w:rFonts w:hint="eastAsia"/>
          <w:kern w:val="0"/>
          <w:sz w:val="24"/>
          <w:szCs w:val="22"/>
        </w:rPr>
        <w:t>（盖章）</w:t>
      </w:r>
      <w:r>
        <w:rPr>
          <w:rFonts w:hint="eastAsia"/>
          <w:kern w:val="0"/>
          <w:sz w:val="24"/>
          <w:szCs w:val="22"/>
        </w:rPr>
        <w:t xml:space="preserve">                                  </w:t>
      </w:r>
      <w:r>
        <w:rPr>
          <w:rFonts w:hint="eastAsia"/>
          <w:kern w:val="0"/>
          <w:sz w:val="24"/>
          <w:szCs w:val="22"/>
        </w:rPr>
        <w:t>合作银行：</w:t>
      </w:r>
      <w:r>
        <w:rPr>
          <w:rFonts w:hint="eastAsia"/>
          <w:kern w:val="0"/>
          <w:sz w:val="24"/>
          <w:szCs w:val="22"/>
        </w:rPr>
        <w:t xml:space="preserve">  </w:t>
      </w:r>
      <w:r>
        <w:rPr>
          <w:rFonts w:hint="eastAsia"/>
          <w:kern w:val="0"/>
          <w:sz w:val="24"/>
          <w:szCs w:val="22"/>
        </w:rPr>
        <w:t>（盖章）</w:t>
      </w:r>
      <w:r>
        <w:rPr>
          <w:rFonts w:hint="eastAsia"/>
          <w:kern w:val="0"/>
          <w:sz w:val="24"/>
          <w:szCs w:val="22"/>
        </w:rPr>
        <w:t xml:space="preserve">                           </w:t>
      </w:r>
      <w:r>
        <w:rPr>
          <w:rFonts w:hint="eastAsia"/>
          <w:kern w:val="0"/>
          <w:sz w:val="24"/>
          <w:szCs w:val="22"/>
        </w:rPr>
        <w:t>单位：万元</w:t>
      </w:r>
    </w:p>
    <w:tbl>
      <w:tblPr>
        <w:tblW w:w="13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
        <w:gridCol w:w="3270"/>
        <w:gridCol w:w="1200"/>
        <w:gridCol w:w="1260"/>
        <w:gridCol w:w="1139"/>
        <w:gridCol w:w="2686"/>
        <w:gridCol w:w="1603"/>
        <w:gridCol w:w="1559"/>
      </w:tblGrid>
      <w:tr w:rsidR="00E65F37" w:rsidTr="00A313FB">
        <w:trPr>
          <w:trHeight w:val="527"/>
          <w:jc w:val="center"/>
        </w:trPr>
        <w:tc>
          <w:tcPr>
            <w:tcW w:w="537"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序号</w:t>
            </w:r>
          </w:p>
        </w:tc>
        <w:tc>
          <w:tcPr>
            <w:tcW w:w="3270"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受保企业名称</w:t>
            </w:r>
          </w:p>
        </w:tc>
        <w:tc>
          <w:tcPr>
            <w:tcW w:w="1200"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主债权金额</w:t>
            </w:r>
          </w:p>
        </w:tc>
        <w:tc>
          <w:tcPr>
            <w:tcW w:w="1260"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增信服务金额</w:t>
            </w:r>
          </w:p>
        </w:tc>
        <w:tc>
          <w:tcPr>
            <w:tcW w:w="1139"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担保费率（</w:t>
            </w:r>
            <w:r>
              <w:rPr>
                <w:rFonts w:eastAsia="黑体" w:cs="黑体" w:hint="eastAsia"/>
                <w:bCs/>
                <w:kern w:val="0"/>
                <w:sz w:val="24"/>
                <w:szCs w:val="24"/>
              </w:rPr>
              <w:t>%</w:t>
            </w:r>
            <w:r>
              <w:rPr>
                <w:rFonts w:eastAsia="黑体" w:cs="黑体" w:hint="eastAsia"/>
                <w:bCs/>
                <w:kern w:val="0"/>
                <w:sz w:val="24"/>
                <w:szCs w:val="24"/>
              </w:rPr>
              <w:t>）</w:t>
            </w:r>
          </w:p>
        </w:tc>
        <w:tc>
          <w:tcPr>
            <w:tcW w:w="2686" w:type="dxa"/>
            <w:vAlign w:val="center"/>
          </w:tcPr>
          <w:p w:rsidR="00E65F37" w:rsidRDefault="00F16801">
            <w:pPr>
              <w:overflowPunct w:val="0"/>
              <w:adjustRightInd w:val="0"/>
              <w:snapToGrid w:val="0"/>
              <w:jc w:val="center"/>
              <w:rPr>
                <w:rFonts w:eastAsia="黑体" w:cs="黑体"/>
                <w:bCs/>
                <w:kern w:val="0"/>
                <w:sz w:val="24"/>
                <w:szCs w:val="24"/>
              </w:rPr>
            </w:pPr>
            <w:r>
              <w:rPr>
                <w:rFonts w:eastAsia="黑体" w:cs="黑体" w:hint="eastAsia"/>
                <w:bCs/>
                <w:kern w:val="0"/>
                <w:sz w:val="24"/>
                <w:szCs w:val="24"/>
              </w:rPr>
              <w:t>受保企业贷款合同号</w:t>
            </w:r>
          </w:p>
        </w:tc>
        <w:tc>
          <w:tcPr>
            <w:tcW w:w="1603" w:type="dxa"/>
            <w:vAlign w:val="center"/>
          </w:tcPr>
          <w:p w:rsidR="00E65F37" w:rsidRDefault="00A313FB">
            <w:pPr>
              <w:overflowPunct w:val="0"/>
              <w:adjustRightInd w:val="0"/>
              <w:snapToGrid w:val="0"/>
              <w:jc w:val="center"/>
              <w:rPr>
                <w:rFonts w:eastAsia="黑体" w:cs="黑体"/>
                <w:bCs/>
                <w:kern w:val="0"/>
                <w:sz w:val="24"/>
                <w:szCs w:val="24"/>
              </w:rPr>
            </w:pPr>
            <w:r>
              <w:rPr>
                <w:rFonts w:eastAsia="黑体" w:cs="黑体" w:hint="eastAsia"/>
                <w:bCs/>
                <w:kern w:val="0"/>
                <w:sz w:val="24"/>
                <w:szCs w:val="24"/>
              </w:rPr>
              <w:t>最高额</w:t>
            </w:r>
            <w:r w:rsidR="00F16801">
              <w:rPr>
                <w:rFonts w:eastAsia="黑体" w:cs="黑体" w:hint="eastAsia"/>
                <w:bCs/>
                <w:kern w:val="0"/>
                <w:sz w:val="24"/>
                <w:szCs w:val="24"/>
              </w:rPr>
              <w:t>担保起始日期</w:t>
            </w:r>
          </w:p>
        </w:tc>
        <w:tc>
          <w:tcPr>
            <w:tcW w:w="1559" w:type="dxa"/>
            <w:vAlign w:val="center"/>
          </w:tcPr>
          <w:p w:rsidR="00E65F37" w:rsidRDefault="00A313FB">
            <w:pPr>
              <w:overflowPunct w:val="0"/>
              <w:adjustRightInd w:val="0"/>
              <w:snapToGrid w:val="0"/>
              <w:jc w:val="center"/>
              <w:rPr>
                <w:rFonts w:eastAsia="黑体" w:cs="黑体"/>
                <w:bCs/>
                <w:kern w:val="0"/>
                <w:sz w:val="24"/>
                <w:szCs w:val="24"/>
              </w:rPr>
            </w:pPr>
            <w:r>
              <w:rPr>
                <w:rFonts w:eastAsia="黑体" w:cs="黑体" w:hint="eastAsia"/>
                <w:bCs/>
                <w:kern w:val="0"/>
                <w:sz w:val="24"/>
                <w:szCs w:val="24"/>
              </w:rPr>
              <w:t>最高额</w:t>
            </w:r>
            <w:r w:rsidR="00F16801">
              <w:rPr>
                <w:rFonts w:eastAsia="黑体" w:cs="黑体" w:hint="eastAsia"/>
                <w:bCs/>
                <w:kern w:val="0"/>
                <w:sz w:val="24"/>
                <w:szCs w:val="24"/>
              </w:rPr>
              <w:t>担保终止日期</w:t>
            </w:r>
          </w:p>
        </w:tc>
      </w:tr>
      <w:tr w:rsidR="00E65F37" w:rsidTr="00A313FB">
        <w:trPr>
          <w:trHeight w:val="527"/>
          <w:jc w:val="center"/>
        </w:trPr>
        <w:tc>
          <w:tcPr>
            <w:tcW w:w="537" w:type="dxa"/>
            <w:vAlign w:val="center"/>
          </w:tcPr>
          <w:p w:rsidR="00E65F37" w:rsidRDefault="00E65F37">
            <w:pPr>
              <w:overflowPunct w:val="0"/>
              <w:adjustRightInd w:val="0"/>
              <w:snapToGrid w:val="0"/>
              <w:jc w:val="center"/>
              <w:rPr>
                <w:rFonts w:eastAsia="仿宋" w:cs="仿宋"/>
                <w:kern w:val="0"/>
                <w:sz w:val="24"/>
              </w:rPr>
            </w:pPr>
          </w:p>
        </w:tc>
        <w:tc>
          <w:tcPr>
            <w:tcW w:w="3270"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260" w:type="dxa"/>
            <w:vAlign w:val="center"/>
          </w:tcPr>
          <w:p w:rsidR="00E65F37" w:rsidRDefault="00E65F37">
            <w:pPr>
              <w:overflowPunct w:val="0"/>
              <w:adjustRightInd w:val="0"/>
              <w:snapToGrid w:val="0"/>
              <w:jc w:val="center"/>
              <w:rPr>
                <w:rFonts w:eastAsia="仿宋" w:cs="仿宋"/>
                <w:kern w:val="0"/>
                <w:sz w:val="24"/>
              </w:rPr>
            </w:pPr>
          </w:p>
        </w:tc>
        <w:tc>
          <w:tcPr>
            <w:tcW w:w="1139" w:type="dxa"/>
            <w:vAlign w:val="center"/>
          </w:tcPr>
          <w:p w:rsidR="00E65F37" w:rsidRDefault="00E65F37">
            <w:pPr>
              <w:overflowPunct w:val="0"/>
              <w:adjustRightInd w:val="0"/>
              <w:snapToGrid w:val="0"/>
              <w:jc w:val="center"/>
              <w:rPr>
                <w:rFonts w:eastAsia="仿宋" w:cs="仿宋"/>
                <w:kern w:val="0"/>
                <w:sz w:val="24"/>
              </w:rPr>
            </w:pPr>
          </w:p>
        </w:tc>
        <w:tc>
          <w:tcPr>
            <w:tcW w:w="2686" w:type="dxa"/>
            <w:vAlign w:val="center"/>
          </w:tcPr>
          <w:p w:rsidR="00E65F37" w:rsidRDefault="00E65F37">
            <w:pPr>
              <w:overflowPunct w:val="0"/>
              <w:adjustRightInd w:val="0"/>
              <w:snapToGrid w:val="0"/>
              <w:jc w:val="center"/>
              <w:rPr>
                <w:rFonts w:eastAsia="仿宋" w:cs="仿宋"/>
                <w:kern w:val="0"/>
                <w:sz w:val="24"/>
              </w:rPr>
            </w:pPr>
          </w:p>
        </w:tc>
        <w:tc>
          <w:tcPr>
            <w:tcW w:w="1603" w:type="dxa"/>
            <w:vAlign w:val="center"/>
          </w:tcPr>
          <w:p w:rsidR="00E65F37" w:rsidRDefault="00E65F37">
            <w:pPr>
              <w:overflowPunct w:val="0"/>
              <w:adjustRightInd w:val="0"/>
              <w:snapToGrid w:val="0"/>
              <w:jc w:val="center"/>
              <w:rPr>
                <w:rFonts w:eastAsia="仿宋" w:cs="仿宋"/>
                <w:kern w:val="0"/>
                <w:sz w:val="24"/>
              </w:rPr>
            </w:pPr>
          </w:p>
        </w:tc>
        <w:tc>
          <w:tcPr>
            <w:tcW w:w="1559" w:type="dxa"/>
            <w:vAlign w:val="center"/>
          </w:tcPr>
          <w:p w:rsidR="00E65F37" w:rsidRDefault="00E65F37">
            <w:pPr>
              <w:overflowPunct w:val="0"/>
              <w:adjustRightInd w:val="0"/>
              <w:snapToGrid w:val="0"/>
              <w:jc w:val="center"/>
              <w:rPr>
                <w:rFonts w:eastAsia="仿宋" w:cs="仿宋"/>
                <w:kern w:val="0"/>
                <w:sz w:val="24"/>
              </w:rPr>
            </w:pPr>
          </w:p>
        </w:tc>
      </w:tr>
      <w:tr w:rsidR="00E65F37" w:rsidTr="00A313FB">
        <w:trPr>
          <w:trHeight w:val="527"/>
          <w:jc w:val="center"/>
        </w:trPr>
        <w:tc>
          <w:tcPr>
            <w:tcW w:w="537" w:type="dxa"/>
            <w:vAlign w:val="center"/>
          </w:tcPr>
          <w:p w:rsidR="00E65F37" w:rsidRDefault="00E65F37">
            <w:pPr>
              <w:overflowPunct w:val="0"/>
              <w:adjustRightInd w:val="0"/>
              <w:snapToGrid w:val="0"/>
              <w:jc w:val="center"/>
              <w:rPr>
                <w:rFonts w:eastAsia="仿宋" w:cs="仿宋"/>
                <w:kern w:val="0"/>
                <w:sz w:val="24"/>
              </w:rPr>
            </w:pPr>
          </w:p>
        </w:tc>
        <w:tc>
          <w:tcPr>
            <w:tcW w:w="3270"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260" w:type="dxa"/>
            <w:vAlign w:val="center"/>
          </w:tcPr>
          <w:p w:rsidR="00E65F37" w:rsidRDefault="00E65F37">
            <w:pPr>
              <w:overflowPunct w:val="0"/>
              <w:adjustRightInd w:val="0"/>
              <w:snapToGrid w:val="0"/>
              <w:jc w:val="center"/>
              <w:rPr>
                <w:rFonts w:eastAsia="仿宋" w:cs="仿宋"/>
                <w:kern w:val="0"/>
                <w:sz w:val="24"/>
              </w:rPr>
            </w:pPr>
          </w:p>
        </w:tc>
        <w:tc>
          <w:tcPr>
            <w:tcW w:w="1139" w:type="dxa"/>
            <w:vAlign w:val="center"/>
          </w:tcPr>
          <w:p w:rsidR="00E65F37" w:rsidRDefault="00E65F37">
            <w:pPr>
              <w:overflowPunct w:val="0"/>
              <w:adjustRightInd w:val="0"/>
              <w:snapToGrid w:val="0"/>
              <w:jc w:val="center"/>
              <w:rPr>
                <w:rFonts w:eastAsia="仿宋" w:cs="仿宋"/>
                <w:kern w:val="0"/>
                <w:sz w:val="24"/>
              </w:rPr>
            </w:pPr>
          </w:p>
        </w:tc>
        <w:tc>
          <w:tcPr>
            <w:tcW w:w="2686" w:type="dxa"/>
            <w:vAlign w:val="center"/>
          </w:tcPr>
          <w:p w:rsidR="00E65F37" w:rsidRDefault="00E65F37">
            <w:pPr>
              <w:overflowPunct w:val="0"/>
              <w:adjustRightInd w:val="0"/>
              <w:snapToGrid w:val="0"/>
              <w:jc w:val="center"/>
              <w:rPr>
                <w:rFonts w:eastAsia="仿宋" w:cs="仿宋"/>
                <w:kern w:val="0"/>
                <w:sz w:val="24"/>
              </w:rPr>
            </w:pPr>
          </w:p>
        </w:tc>
        <w:tc>
          <w:tcPr>
            <w:tcW w:w="1603" w:type="dxa"/>
            <w:vAlign w:val="center"/>
          </w:tcPr>
          <w:p w:rsidR="00E65F37" w:rsidRDefault="00E65F37">
            <w:pPr>
              <w:overflowPunct w:val="0"/>
              <w:adjustRightInd w:val="0"/>
              <w:snapToGrid w:val="0"/>
              <w:jc w:val="center"/>
              <w:rPr>
                <w:rFonts w:eastAsia="仿宋" w:cs="仿宋"/>
                <w:kern w:val="0"/>
                <w:sz w:val="24"/>
              </w:rPr>
            </w:pPr>
          </w:p>
        </w:tc>
        <w:tc>
          <w:tcPr>
            <w:tcW w:w="1559" w:type="dxa"/>
            <w:vAlign w:val="center"/>
          </w:tcPr>
          <w:p w:rsidR="00E65F37" w:rsidRDefault="00E65F37">
            <w:pPr>
              <w:overflowPunct w:val="0"/>
              <w:adjustRightInd w:val="0"/>
              <w:snapToGrid w:val="0"/>
              <w:jc w:val="center"/>
              <w:rPr>
                <w:rFonts w:eastAsia="仿宋" w:cs="仿宋"/>
                <w:kern w:val="0"/>
                <w:sz w:val="24"/>
              </w:rPr>
            </w:pPr>
          </w:p>
        </w:tc>
      </w:tr>
      <w:tr w:rsidR="00E65F37" w:rsidTr="00A313FB">
        <w:trPr>
          <w:trHeight w:val="527"/>
          <w:jc w:val="center"/>
        </w:trPr>
        <w:tc>
          <w:tcPr>
            <w:tcW w:w="537" w:type="dxa"/>
            <w:vAlign w:val="center"/>
          </w:tcPr>
          <w:p w:rsidR="00E65F37" w:rsidRDefault="00E65F37">
            <w:pPr>
              <w:overflowPunct w:val="0"/>
              <w:adjustRightInd w:val="0"/>
              <w:snapToGrid w:val="0"/>
              <w:jc w:val="center"/>
              <w:rPr>
                <w:rFonts w:eastAsia="仿宋" w:cs="仿宋"/>
                <w:kern w:val="0"/>
                <w:sz w:val="24"/>
              </w:rPr>
            </w:pPr>
          </w:p>
        </w:tc>
        <w:tc>
          <w:tcPr>
            <w:tcW w:w="3270"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260" w:type="dxa"/>
            <w:vAlign w:val="center"/>
          </w:tcPr>
          <w:p w:rsidR="00E65F37" w:rsidRDefault="00E65F37">
            <w:pPr>
              <w:overflowPunct w:val="0"/>
              <w:adjustRightInd w:val="0"/>
              <w:snapToGrid w:val="0"/>
              <w:jc w:val="center"/>
              <w:rPr>
                <w:rFonts w:eastAsia="仿宋" w:cs="仿宋"/>
                <w:kern w:val="0"/>
                <w:sz w:val="24"/>
              </w:rPr>
            </w:pPr>
          </w:p>
        </w:tc>
        <w:tc>
          <w:tcPr>
            <w:tcW w:w="1139" w:type="dxa"/>
            <w:vAlign w:val="center"/>
          </w:tcPr>
          <w:p w:rsidR="00E65F37" w:rsidRDefault="00E65F37">
            <w:pPr>
              <w:overflowPunct w:val="0"/>
              <w:adjustRightInd w:val="0"/>
              <w:snapToGrid w:val="0"/>
              <w:jc w:val="center"/>
              <w:rPr>
                <w:rFonts w:eastAsia="仿宋" w:cs="仿宋"/>
                <w:kern w:val="0"/>
                <w:sz w:val="24"/>
              </w:rPr>
            </w:pPr>
          </w:p>
        </w:tc>
        <w:tc>
          <w:tcPr>
            <w:tcW w:w="2686" w:type="dxa"/>
            <w:vAlign w:val="center"/>
          </w:tcPr>
          <w:p w:rsidR="00E65F37" w:rsidRDefault="00E65F37">
            <w:pPr>
              <w:overflowPunct w:val="0"/>
              <w:adjustRightInd w:val="0"/>
              <w:snapToGrid w:val="0"/>
              <w:jc w:val="center"/>
              <w:rPr>
                <w:rFonts w:eastAsia="仿宋" w:cs="仿宋"/>
                <w:kern w:val="0"/>
                <w:sz w:val="24"/>
              </w:rPr>
            </w:pPr>
          </w:p>
        </w:tc>
        <w:tc>
          <w:tcPr>
            <w:tcW w:w="1603" w:type="dxa"/>
            <w:vAlign w:val="center"/>
          </w:tcPr>
          <w:p w:rsidR="00E65F37" w:rsidRDefault="00E65F37">
            <w:pPr>
              <w:overflowPunct w:val="0"/>
              <w:adjustRightInd w:val="0"/>
              <w:snapToGrid w:val="0"/>
              <w:jc w:val="center"/>
              <w:rPr>
                <w:rFonts w:eastAsia="仿宋" w:cs="仿宋"/>
                <w:kern w:val="0"/>
                <w:sz w:val="24"/>
              </w:rPr>
            </w:pPr>
          </w:p>
        </w:tc>
        <w:tc>
          <w:tcPr>
            <w:tcW w:w="1559" w:type="dxa"/>
            <w:vAlign w:val="center"/>
          </w:tcPr>
          <w:p w:rsidR="00E65F37" w:rsidRDefault="00E65F37">
            <w:pPr>
              <w:overflowPunct w:val="0"/>
              <w:adjustRightInd w:val="0"/>
              <w:snapToGrid w:val="0"/>
              <w:jc w:val="center"/>
              <w:rPr>
                <w:rFonts w:eastAsia="仿宋" w:cs="仿宋"/>
                <w:kern w:val="0"/>
                <w:sz w:val="24"/>
              </w:rPr>
            </w:pPr>
          </w:p>
        </w:tc>
      </w:tr>
      <w:tr w:rsidR="00E65F37" w:rsidTr="00A313FB">
        <w:trPr>
          <w:trHeight w:val="527"/>
          <w:jc w:val="center"/>
        </w:trPr>
        <w:tc>
          <w:tcPr>
            <w:tcW w:w="537" w:type="dxa"/>
            <w:vAlign w:val="center"/>
          </w:tcPr>
          <w:p w:rsidR="00E65F37" w:rsidRDefault="00E65F37">
            <w:pPr>
              <w:overflowPunct w:val="0"/>
              <w:adjustRightInd w:val="0"/>
              <w:snapToGrid w:val="0"/>
              <w:jc w:val="center"/>
              <w:rPr>
                <w:rFonts w:eastAsia="仿宋" w:cs="仿宋"/>
                <w:kern w:val="0"/>
                <w:sz w:val="24"/>
              </w:rPr>
            </w:pPr>
          </w:p>
        </w:tc>
        <w:tc>
          <w:tcPr>
            <w:tcW w:w="3270"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260" w:type="dxa"/>
            <w:vAlign w:val="center"/>
          </w:tcPr>
          <w:p w:rsidR="00E65F37" w:rsidRDefault="00E65F37">
            <w:pPr>
              <w:overflowPunct w:val="0"/>
              <w:adjustRightInd w:val="0"/>
              <w:snapToGrid w:val="0"/>
              <w:jc w:val="center"/>
              <w:rPr>
                <w:rFonts w:eastAsia="仿宋" w:cs="仿宋"/>
                <w:kern w:val="0"/>
                <w:sz w:val="24"/>
              </w:rPr>
            </w:pPr>
          </w:p>
        </w:tc>
        <w:tc>
          <w:tcPr>
            <w:tcW w:w="1139" w:type="dxa"/>
            <w:vAlign w:val="center"/>
          </w:tcPr>
          <w:p w:rsidR="00E65F37" w:rsidRDefault="00E65F37">
            <w:pPr>
              <w:overflowPunct w:val="0"/>
              <w:adjustRightInd w:val="0"/>
              <w:snapToGrid w:val="0"/>
              <w:jc w:val="center"/>
              <w:rPr>
                <w:rFonts w:eastAsia="仿宋" w:cs="仿宋"/>
                <w:kern w:val="0"/>
                <w:sz w:val="24"/>
              </w:rPr>
            </w:pPr>
          </w:p>
        </w:tc>
        <w:tc>
          <w:tcPr>
            <w:tcW w:w="2686" w:type="dxa"/>
            <w:vAlign w:val="center"/>
          </w:tcPr>
          <w:p w:rsidR="00E65F37" w:rsidRDefault="00E65F37">
            <w:pPr>
              <w:overflowPunct w:val="0"/>
              <w:adjustRightInd w:val="0"/>
              <w:snapToGrid w:val="0"/>
              <w:jc w:val="center"/>
              <w:rPr>
                <w:rFonts w:eastAsia="仿宋" w:cs="仿宋"/>
                <w:kern w:val="0"/>
                <w:sz w:val="24"/>
              </w:rPr>
            </w:pPr>
          </w:p>
        </w:tc>
        <w:tc>
          <w:tcPr>
            <w:tcW w:w="1603" w:type="dxa"/>
            <w:vAlign w:val="center"/>
          </w:tcPr>
          <w:p w:rsidR="00E65F37" w:rsidRDefault="00E65F37">
            <w:pPr>
              <w:overflowPunct w:val="0"/>
              <w:adjustRightInd w:val="0"/>
              <w:snapToGrid w:val="0"/>
              <w:jc w:val="center"/>
              <w:rPr>
                <w:rFonts w:eastAsia="仿宋" w:cs="仿宋"/>
                <w:kern w:val="0"/>
                <w:sz w:val="24"/>
              </w:rPr>
            </w:pPr>
          </w:p>
        </w:tc>
        <w:tc>
          <w:tcPr>
            <w:tcW w:w="1559" w:type="dxa"/>
            <w:vAlign w:val="center"/>
          </w:tcPr>
          <w:p w:rsidR="00E65F37" w:rsidRDefault="00E65F37">
            <w:pPr>
              <w:overflowPunct w:val="0"/>
              <w:adjustRightInd w:val="0"/>
              <w:snapToGrid w:val="0"/>
              <w:jc w:val="center"/>
              <w:rPr>
                <w:rFonts w:eastAsia="仿宋" w:cs="仿宋"/>
                <w:kern w:val="0"/>
                <w:sz w:val="24"/>
              </w:rPr>
            </w:pPr>
          </w:p>
        </w:tc>
      </w:tr>
      <w:tr w:rsidR="00E65F37" w:rsidTr="00A313FB">
        <w:trPr>
          <w:trHeight w:val="527"/>
          <w:jc w:val="center"/>
        </w:trPr>
        <w:tc>
          <w:tcPr>
            <w:tcW w:w="537" w:type="dxa"/>
            <w:vAlign w:val="center"/>
          </w:tcPr>
          <w:p w:rsidR="00E65F37" w:rsidRDefault="00E65F37">
            <w:pPr>
              <w:overflowPunct w:val="0"/>
              <w:adjustRightInd w:val="0"/>
              <w:snapToGrid w:val="0"/>
              <w:jc w:val="center"/>
              <w:rPr>
                <w:rFonts w:eastAsia="仿宋" w:cs="仿宋"/>
                <w:kern w:val="0"/>
                <w:sz w:val="24"/>
              </w:rPr>
            </w:pPr>
          </w:p>
        </w:tc>
        <w:tc>
          <w:tcPr>
            <w:tcW w:w="3270"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260" w:type="dxa"/>
            <w:vAlign w:val="center"/>
          </w:tcPr>
          <w:p w:rsidR="00E65F37" w:rsidRDefault="00E65F37">
            <w:pPr>
              <w:overflowPunct w:val="0"/>
              <w:adjustRightInd w:val="0"/>
              <w:snapToGrid w:val="0"/>
              <w:jc w:val="center"/>
              <w:rPr>
                <w:rFonts w:eastAsia="仿宋" w:cs="仿宋"/>
                <w:kern w:val="0"/>
                <w:sz w:val="24"/>
              </w:rPr>
            </w:pPr>
          </w:p>
        </w:tc>
        <w:tc>
          <w:tcPr>
            <w:tcW w:w="1139" w:type="dxa"/>
            <w:vAlign w:val="center"/>
          </w:tcPr>
          <w:p w:rsidR="00E65F37" w:rsidRDefault="00E65F37">
            <w:pPr>
              <w:overflowPunct w:val="0"/>
              <w:adjustRightInd w:val="0"/>
              <w:snapToGrid w:val="0"/>
              <w:jc w:val="center"/>
              <w:rPr>
                <w:rFonts w:eastAsia="仿宋" w:cs="仿宋"/>
                <w:kern w:val="0"/>
                <w:sz w:val="24"/>
              </w:rPr>
            </w:pPr>
          </w:p>
        </w:tc>
        <w:tc>
          <w:tcPr>
            <w:tcW w:w="2686" w:type="dxa"/>
            <w:vAlign w:val="center"/>
          </w:tcPr>
          <w:p w:rsidR="00E65F37" w:rsidRDefault="00E65F37">
            <w:pPr>
              <w:overflowPunct w:val="0"/>
              <w:adjustRightInd w:val="0"/>
              <w:snapToGrid w:val="0"/>
              <w:jc w:val="center"/>
              <w:rPr>
                <w:rFonts w:eastAsia="仿宋" w:cs="仿宋"/>
                <w:kern w:val="0"/>
                <w:sz w:val="24"/>
              </w:rPr>
            </w:pPr>
          </w:p>
        </w:tc>
        <w:tc>
          <w:tcPr>
            <w:tcW w:w="1603" w:type="dxa"/>
            <w:vAlign w:val="center"/>
          </w:tcPr>
          <w:p w:rsidR="00E65F37" w:rsidRDefault="00E65F37">
            <w:pPr>
              <w:overflowPunct w:val="0"/>
              <w:adjustRightInd w:val="0"/>
              <w:snapToGrid w:val="0"/>
              <w:jc w:val="center"/>
              <w:rPr>
                <w:rFonts w:eastAsia="仿宋" w:cs="仿宋"/>
                <w:kern w:val="0"/>
                <w:sz w:val="24"/>
              </w:rPr>
            </w:pPr>
          </w:p>
        </w:tc>
        <w:tc>
          <w:tcPr>
            <w:tcW w:w="1559" w:type="dxa"/>
            <w:vAlign w:val="center"/>
          </w:tcPr>
          <w:p w:rsidR="00E65F37" w:rsidRDefault="00E65F37">
            <w:pPr>
              <w:overflowPunct w:val="0"/>
              <w:adjustRightInd w:val="0"/>
              <w:snapToGrid w:val="0"/>
              <w:jc w:val="center"/>
              <w:rPr>
                <w:rFonts w:eastAsia="仿宋" w:cs="仿宋"/>
                <w:kern w:val="0"/>
                <w:sz w:val="24"/>
              </w:rPr>
            </w:pPr>
          </w:p>
        </w:tc>
      </w:tr>
      <w:tr w:rsidR="00E65F37" w:rsidTr="00A313FB">
        <w:trPr>
          <w:trHeight w:val="527"/>
          <w:jc w:val="center"/>
        </w:trPr>
        <w:tc>
          <w:tcPr>
            <w:tcW w:w="537" w:type="dxa"/>
            <w:vAlign w:val="center"/>
          </w:tcPr>
          <w:p w:rsidR="00E65F37" w:rsidRDefault="00E65F37">
            <w:pPr>
              <w:overflowPunct w:val="0"/>
              <w:adjustRightInd w:val="0"/>
              <w:snapToGrid w:val="0"/>
              <w:jc w:val="center"/>
              <w:rPr>
                <w:rFonts w:eastAsia="仿宋" w:cs="仿宋"/>
                <w:kern w:val="0"/>
                <w:sz w:val="24"/>
              </w:rPr>
            </w:pPr>
          </w:p>
        </w:tc>
        <w:tc>
          <w:tcPr>
            <w:tcW w:w="3270"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260" w:type="dxa"/>
            <w:vAlign w:val="center"/>
          </w:tcPr>
          <w:p w:rsidR="00E65F37" w:rsidRDefault="00E65F37">
            <w:pPr>
              <w:overflowPunct w:val="0"/>
              <w:adjustRightInd w:val="0"/>
              <w:snapToGrid w:val="0"/>
              <w:jc w:val="center"/>
              <w:rPr>
                <w:rFonts w:eastAsia="仿宋" w:cs="仿宋"/>
                <w:kern w:val="0"/>
                <w:sz w:val="24"/>
              </w:rPr>
            </w:pPr>
          </w:p>
        </w:tc>
        <w:tc>
          <w:tcPr>
            <w:tcW w:w="1139" w:type="dxa"/>
            <w:vAlign w:val="center"/>
          </w:tcPr>
          <w:p w:rsidR="00E65F37" w:rsidRDefault="00E65F37">
            <w:pPr>
              <w:overflowPunct w:val="0"/>
              <w:adjustRightInd w:val="0"/>
              <w:snapToGrid w:val="0"/>
              <w:jc w:val="center"/>
              <w:rPr>
                <w:rFonts w:eastAsia="仿宋" w:cs="仿宋"/>
                <w:kern w:val="0"/>
                <w:sz w:val="24"/>
              </w:rPr>
            </w:pPr>
          </w:p>
        </w:tc>
        <w:tc>
          <w:tcPr>
            <w:tcW w:w="2686" w:type="dxa"/>
            <w:vAlign w:val="center"/>
          </w:tcPr>
          <w:p w:rsidR="00E65F37" w:rsidRDefault="00E65F37">
            <w:pPr>
              <w:overflowPunct w:val="0"/>
              <w:adjustRightInd w:val="0"/>
              <w:snapToGrid w:val="0"/>
              <w:jc w:val="center"/>
              <w:rPr>
                <w:rFonts w:eastAsia="仿宋" w:cs="仿宋"/>
                <w:kern w:val="0"/>
                <w:sz w:val="24"/>
              </w:rPr>
            </w:pPr>
          </w:p>
        </w:tc>
        <w:tc>
          <w:tcPr>
            <w:tcW w:w="1603" w:type="dxa"/>
            <w:vAlign w:val="center"/>
          </w:tcPr>
          <w:p w:rsidR="00E65F37" w:rsidRDefault="00E65F37">
            <w:pPr>
              <w:overflowPunct w:val="0"/>
              <w:adjustRightInd w:val="0"/>
              <w:snapToGrid w:val="0"/>
              <w:jc w:val="center"/>
              <w:rPr>
                <w:rFonts w:eastAsia="仿宋" w:cs="仿宋"/>
                <w:kern w:val="0"/>
                <w:sz w:val="24"/>
              </w:rPr>
            </w:pPr>
          </w:p>
        </w:tc>
        <w:tc>
          <w:tcPr>
            <w:tcW w:w="1559" w:type="dxa"/>
            <w:vAlign w:val="center"/>
          </w:tcPr>
          <w:p w:rsidR="00E65F37" w:rsidRDefault="00E65F37">
            <w:pPr>
              <w:overflowPunct w:val="0"/>
              <w:adjustRightInd w:val="0"/>
              <w:snapToGrid w:val="0"/>
              <w:jc w:val="center"/>
              <w:rPr>
                <w:rFonts w:eastAsia="仿宋" w:cs="仿宋"/>
                <w:kern w:val="0"/>
                <w:sz w:val="24"/>
              </w:rPr>
            </w:pPr>
          </w:p>
        </w:tc>
      </w:tr>
      <w:tr w:rsidR="00E65F37" w:rsidTr="00A313FB">
        <w:trPr>
          <w:trHeight w:val="527"/>
          <w:jc w:val="center"/>
        </w:trPr>
        <w:tc>
          <w:tcPr>
            <w:tcW w:w="537" w:type="dxa"/>
            <w:vAlign w:val="center"/>
          </w:tcPr>
          <w:p w:rsidR="00E65F37" w:rsidRDefault="00E65F37">
            <w:pPr>
              <w:overflowPunct w:val="0"/>
              <w:adjustRightInd w:val="0"/>
              <w:snapToGrid w:val="0"/>
              <w:jc w:val="center"/>
              <w:rPr>
                <w:rFonts w:eastAsia="仿宋" w:cs="仿宋"/>
                <w:kern w:val="0"/>
                <w:sz w:val="24"/>
              </w:rPr>
            </w:pPr>
          </w:p>
        </w:tc>
        <w:tc>
          <w:tcPr>
            <w:tcW w:w="3270" w:type="dxa"/>
            <w:vAlign w:val="center"/>
          </w:tcPr>
          <w:p w:rsidR="00E65F37" w:rsidRDefault="00E65F37">
            <w:pPr>
              <w:overflowPunct w:val="0"/>
              <w:adjustRightInd w:val="0"/>
              <w:snapToGrid w:val="0"/>
              <w:jc w:val="center"/>
              <w:rPr>
                <w:rFonts w:eastAsia="仿宋" w:cs="仿宋"/>
                <w:kern w:val="0"/>
                <w:sz w:val="24"/>
              </w:rPr>
            </w:pP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260" w:type="dxa"/>
            <w:vAlign w:val="center"/>
          </w:tcPr>
          <w:p w:rsidR="00E65F37" w:rsidRDefault="00E65F37">
            <w:pPr>
              <w:overflowPunct w:val="0"/>
              <w:adjustRightInd w:val="0"/>
              <w:snapToGrid w:val="0"/>
              <w:jc w:val="center"/>
              <w:rPr>
                <w:rFonts w:eastAsia="仿宋" w:cs="仿宋"/>
                <w:kern w:val="0"/>
                <w:sz w:val="24"/>
              </w:rPr>
            </w:pPr>
          </w:p>
        </w:tc>
        <w:tc>
          <w:tcPr>
            <w:tcW w:w="1139" w:type="dxa"/>
            <w:vAlign w:val="center"/>
          </w:tcPr>
          <w:p w:rsidR="00E65F37" w:rsidRDefault="00E65F37">
            <w:pPr>
              <w:overflowPunct w:val="0"/>
              <w:adjustRightInd w:val="0"/>
              <w:snapToGrid w:val="0"/>
              <w:jc w:val="center"/>
              <w:rPr>
                <w:rFonts w:eastAsia="仿宋" w:cs="仿宋"/>
                <w:kern w:val="0"/>
                <w:sz w:val="24"/>
              </w:rPr>
            </w:pPr>
          </w:p>
        </w:tc>
        <w:tc>
          <w:tcPr>
            <w:tcW w:w="2686" w:type="dxa"/>
            <w:vAlign w:val="center"/>
          </w:tcPr>
          <w:p w:rsidR="00E65F37" w:rsidRDefault="00E65F37">
            <w:pPr>
              <w:overflowPunct w:val="0"/>
              <w:adjustRightInd w:val="0"/>
              <w:snapToGrid w:val="0"/>
              <w:jc w:val="center"/>
              <w:rPr>
                <w:rFonts w:eastAsia="仿宋" w:cs="仿宋"/>
                <w:kern w:val="0"/>
                <w:sz w:val="24"/>
              </w:rPr>
            </w:pPr>
          </w:p>
        </w:tc>
        <w:tc>
          <w:tcPr>
            <w:tcW w:w="1603" w:type="dxa"/>
            <w:vAlign w:val="center"/>
          </w:tcPr>
          <w:p w:rsidR="00E65F37" w:rsidRDefault="00E65F37">
            <w:pPr>
              <w:overflowPunct w:val="0"/>
              <w:adjustRightInd w:val="0"/>
              <w:snapToGrid w:val="0"/>
              <w:jc w:val="center"/>
              <w:rPr>
                <w:rFonts w:eastAsia="仿宋" w:cs="仿宋"/>
                <w:kern w:val="0"/>
                <w:sz w:val="24"/>
              </w:rPr>
            </w:pPr>
          </w:p>
        </w:tc>
        <w:tc>
          <w:tcPr>
            <w:tcW w:w="1559" w:type="dxa"/>
            <w:vAlign w:val="center"/>
          </w:tcPr>
          <w:p w:rsidR="00E65F37" w:rsidRDefault="00E65F37">
            <w:pPr>
              <w:overflowPunct w:val="0"/>
              <w:adjustRightInd w:val="0"/>
              <w:snapToGrid w:val="0"/>
              <w:jc w:val="center"/>
              <w:rPr>
                <w:rFonts w:eastAsia="仿宋" w:cs="仿宋"/>
                <w:kern w:val="0"/>
                <w:sz w:val="24"/>
              </w:rPr>
            </w:pPr>
          </w:p>
        </w:tc>
      </w:tr>
      <w:tr w:rsidR="00E65F37" w:rsidTr="00A313FB">
        <w:trPr>
          <w:trHeight w:val="527"/>
          <w:jc w:val="center"/>
        </w:trPr>
        <w:tc>
          <w:tcPr>
            <w:tcW w:w="537" w:type="dxa"/>
            <w:vAlign w:val="center"/>
          </w:tcPr>
          <w:p w:rsidR="00E65F37" w:rsidRDefault="00E65F37">
            <w:pPr>
              <w:overflowPunct w:val="0"/>
              <w:adjustRightInd w:val="0"/>
              <w:snapToGrid w:val="0"/>
              <w:jc w:val="center"/>
              <w:rPr>
                <w:rFonts w:eastAsia="仿宋" w:cs="仿宋"/>
                <w:kern w:val="0"/>
                <w:sz w:val="24"/>
              </w:rPr>
            </w:pPr>
          </w:p>
        </w:tc>
        <w:tc>
          <w:tcPr>
            <w:tcW w:w="3270" w:type="dxa"/>
            <w:vAlign w:val="center"/>
          </w:tcPr>
          <w:p w:rsidR="00E65F37" w:rsidRDefault="00F16801">
            <w:pPr>
              <w:overflowPunct w:val="0"/>
              <w:adjustRightInd w:val="0"/>
              <w:snapToGrid w:val="0"/>
              <w:jc w:val="center"/>
              <w:rPr>
                <w:b/>
                <w:kern w:val="0"/>
                <w:sz w:val="24"/>
              </w:rPr>
            </w:pPr>
            <w:r>
              <w:rPr>
                <w:rFonts w:hint="eastAsia"/>
                <w:b/>
                <w:kern w:val="0"/>
                <w:sz w:val="24"/>
              </w:rPr>
              <w:t>合计</w:t>
            </w:r>
          </w:p>
        </w:tc>
        <w:tc>
          <w:tcPr>
            <w:tcW w:w="1200" w:type="dxa"/>
            <w:vAlign w:val="center"/>
          </w:tcPr>
          <w:p w:rsidR="00E65F37" w:rsidRDefault="00E65F37">
            <w:pPr>
              <w:overflowPunct w:val="0"/>
              <w:adjustRightInd w:val="0"/>
              <w:snapToGrid w:val="0"/>
              <w:jc w:val="center"/>
              <w:rPr>
                <w:rFonts w:eastAsia="仿宋" w:cs="仿宋"/>
                <w:kern w:val="0"/>
                <w:sz w:val="24"/>
              </w:rPr>
            </w:pPr>
          </w:p>
        </w:tc>
        <w:tc>
          <w:tcPr>
            <w:tcW w:w="1260" w:type="dxa"/>
            <w:vAlign w:val="center"/>
          </w:tcPr>
          <w:p w:rsidR="00E65F37" w:rsidRDefault="00E65F37">
            <w:pPr>
              <w:overflowPunct w:val="0"/>
              <w:adjustRightInd w:val="0"/>
              <w:snapToGrid w:val="0"/>
              <w:jc w:val="center"/>
              <w:rPr>
                <w:rFonts w:eastAsia="仿宋" w:cs="仿宋"/>
                <w:kern w:val="0"/>
                <w:sz w:val="24"/>
              </w:rPr>
            </w:pPr>
          </w:p>
        </w:tc>
        <w:tc>
          <w:tcPr>
            <w:tcW w:w="1139" w:type="dxa"/>
            <w:vAlign w:val="center"/>
          </w:tcPr>
          <w:p w:rsidR="00E65F37" w:rsidRDefault="00E65F37">
            <w:pPr>
              <w:overflowPunct w:val="0"/>
              <w:adjustRightInd w:val="0"/>
              <w:snapToGrid w:val="0"/>
              <w:jc w:val="center"/>
              <w:rPr>
                <w:rFonts w:eastAsia="仿宋" w:cs="仿宋"/>
                <w:kern w:val="0"/>
                <w:sz w:val="24"/>
              </w:rPr>
            </w:pPr>
          </w:p>
        </w:tc>
        <w:tc>
          <w:tcPr>
            <w:tcW w:w="2686" w:type="dxa"/>
            <w:vAlign w:val="center"/>
          </w:tcPr>
          <w:p w:rsidR="00E65F37" w:rsidRDefault="00E65F37">
            <w:pPr>
              <w:overflowPunct w:val="0"/>
              <w:adjustRightInd w:val="0"/>
              <w:snapToGrid w:val="0"/>
              <w:jc w:val="center"/>
              <w:rPr>
                <w:rFonts w:eastAsia="仿宋" w:cs="仿宋"/>
                <w:kern w:val="0"/>
                <w:sz w:val="24"/>
              </w:rPr>
            </w:pPr>
          </w:p>
        </w:tc>
        <w:tc>
          <w:tcPr>
            <w:tcW w:w="1603" w:type="dxa"/>
            <w:vAlign w:val="center"/>
          </w:tcPr>
          <w:p w:rsidR="00E65F37" w:rsidRDefault="00E65F37">
            <w:pPr>
              <w:overflowPunct w:val="0"/>
              <w:adjustRightInd w:val="0"/>
              <w:snapToGrid w:val="0"/>
              <w:jc w:val="center"/>
              <w:rPr>
                <w:rFonts w:eastAsia="仿宋" w:cs="仿宋"/>
                <w:kern w:val="0"/>
                <w:sz w:val="24"/>
              </w:rPr>
            </w:pPr>
          </w:p>
        </w:tc>
        <w:tc>
          <w:tcPr>
            <w:tcW w:w="1559" w:type="dxa"/>
            <w:vAlign w:val="center"/>
          </w:tcPr>
          <w:p w:rsidR="00E65F37" w:rsidRDefault="00E65F37">
            <w:pPr>
              <w:overflowPunct w:val="0"/>
              <w:adjustRightInd w:val="0"/>
              <w:snapToGrid w:val="0"/>
              <w:jc w:val="center"/>
              <w:rPr>
                <w:rFonts w:eastAsia="仿宋" w:cs="仿宋"/>
                <w:kern w:val="0"/>
                <w:sz w:val="24"/>
              </w:rPr>
            </w:pPr>
          </w:p>
        </w:tc>
      </w:tr>
    </w:tbl>
    <w:p w:rsidR="00E65F37" w:rsidRDefault="00E65F37">
      <w:pPr>
        <w:overflowPunct w:val="0"/>
        <w:adjustRightInd w:val="0"/>
        <w:snapToGrid w:val="0"/>
        <w:rPr>
          <w:color w:val="000000"/>
          <w:szCs w:val="32"/>
        </w:rPr>
      </w:pPr>
    </w:p>
    <w:p w:rsidR="00E65F37" w:rsidRDefault="00F16801">
      <w:pPr>
        <w:overflowPunct w:val="0"/>
        <w:adjustRightInd w:val="0"/>
        <w:snapToGrid w:val="0"/>
        <w:rPr>
          <w:color w:val="000000"/>
          <w:szCs w:val="32"/>
        </w:rPr>
      </w:pPr>
      <w:r>
        <w:rPr>
          <w:rFonts w:hint="eastAsia"/>
          <w:color w:val="000000"/>
          <w:szCs w:val="32"/>
        </w:rPr>
        <w:t>注：与各银行合作情况由融资担保公司和合作银行共同盖章确认，建议每家银行一张表格。</w:t>
      </w:r>
    </w:p>
    <w:p w:rsidR="00E65F37" w:rsidRDefault="00E65F37">
      <w:pPr>
        <w:pStyle w:val="2"/>
        <w:ind w:leftChars="0" w:left="0" w:firstLineChars="0" w:firstLine="0"/>
        <w:sectPr w:rsidR="00E65F37">
          <w:headerReference w:type="default" r:id="rId10"/>
          <w:footerReference w:type="even" r:id="rId11"/>
          <w:footerReference w:type="default" r:id="rId12"/>
          <w:pgSz w:w="16838" w:h="11906" w:orient="landscape"/>
          <w:pgMar w:top="1531" w:right="2098" w:bottom="1531" w:left="1871" w:header="851" w:footer="1191" w:gutter="0"/>
          <w:cols w:space="720"/>
          <w:docGrid w:linePitch="644"/>
        </w:sectPr>
      </w:pPr>
    </w:p>
    <w:p w:rsidR="00E65F37" w:rsidRDefault="00F16801">
      <w:pPr>
        <w:overflowPunct w:val="0"/>
        <w:adjustRightInd w:val="0"/>
        <w:snapToGrid w:val="0"/>
        <w:spacing w:line="580" w:lineRule="exact"/>
        <w:rPr>
          <w:rFonts w:eastAsia="黑体"/>
          <w:sz w:val="28"/>
          <w:szCs w:val="28"/>
        </w:rPr>
      </w:pPr>
      <w:r>
        <w:rPr>
          <w:rFonts w:eastAsia="黑体"/>
          <w:szCs w:val="32"/>
        </w:rPr>
        <w:lastRenderedPageBreak/>
        <w:t>附件</w:t>
      </w:r>
      <w:r>
        <w:rPr>
          <w:rFonts w:eastAsia="黑体" w:cs="黑体" w:hint="eastAsia"/>
          <w:szCs w:val="32"/>
        </w:rPr>
        <w:t>10</w:t>
      </w:r>
    </w:p>
    <w:p w:rsidR="00E65F37" w:rsidRDefault="00F16801">
      <w:pPr>
        <w:widowControl/>
        <w:jc w:val="left"/>
        <w:rPr>
          <w:rFonts w:ascii="方正小标宋简体" w:eastAsia="方正小标宋简体" w:hAnsi="方正小标宋简体" w:cs="方正小标宋简体"/>
          <w:color w:val="000000"/>
          <w:kern w:val="0"/>
          <w:sz w:val="43"/>
          <w:szCs w:val="43"/>
        </w:rPr>
      </w:pPr>
      <w:r>
        <w:rPr>
          <w:rFonts w:ascii="方正小标宋简体" w:eastAsia="方正小标宋简体" w:hAnsi="方正小标宋简体" w:cs="方正小标宋简体" w:hint="eastAsia"/>
          <w:color w:val="000000"/>
          <w:kern w:val="0"/>
          <w:sz w:val="43"/>
          <w:szCs w:val="43"/>
        </w:rPr>
        <w:t>绍兴</w:t>
      </w:r>
      <w:r>
        <w:rPr>
          <w:rFonts w:ascii="方正小标宋简体" w:eastAsia="方正小标宋简体" w:hAnsi="方正小标宋简体" w:cs="方正小标宋简体"/>
          <w:color w:val="000000"/>
          <w:kern w:val="0"/>
          <w:sz w:val="43"/>
          <w:szCs w:val="43"/>
        </w:rPr>
        <w:t>市招引</w:t>
      </w:r>
      <w:r>
        <w:rPr>
          <w:rFonts w:ascii="方正小标宋简体" w:eastAsia="方正小标宋简体" w:hAnsi="方正小标宋简体" w:cs="方正小标宋简体" w:hint="eastAsia"/>
          <w:color w:val="000000"/>
          <w:kern w:val="0"/>
          <w:sz w:val="43"/>
          <w:szCs w:val="43"/>
        </w:rPr>
        <w:t>拟</w:t>
      </w:r>
      <w:r>
        <w:rPr>
          <w:rFonts w:ascii="方正小标宋简体" w:eastAsia="方正小标宋简体" w:hAnsi="方正小标宋简体" w:cs="方正小标宋简体"/>
          <w:color w:val="000000"/>
          <w:kern w:val="0"/>
          <w:sz w:val="43"/>
          <w:szCs w:val="43"/>
        </w:rPr>
        <w:t>上市</w:t>
      </w:r>
      <w:r>
        <w:rPr>
          <w:rFonts w:ascii="方正小标宋简体" w:eastAsia="方正小标宋简体" w:hAnsi="方正小标宋简体" w:cs="方正小标宋简体" w:hint="eastAsia"/>
          <w:color w:val="000000"/>
          <w:kern w:val="0"/>
          <w:sz w:val="43"/>
          <w:szCs w:val="43"/>
        </w:rPr>
        <w:t>项目</w:t>
      </w:r>
      <w:r>
        <w:rPr>
          <w:rFonts w:ascii="方正小标宋简体" w:eastAsia="方正小标宋简体" w:hAnsi="方正小标宋简体" w:cs="方正小标宋简体"/>
          <w:color w:val="000000"/>
          <w:kern w:val="0"/>
          <w:sz w:val="43"/>
          <w:szCs w:val="43"/>
        </w:rPr>
        <w:t>引荐人资格认定表</w:t>
      </w:r>
    </w:p>
    <w:tbl>
      <w:tblPr>
        <w:tblStyle w:val="a7"/>
        <w:tblpPr w:leftFromText="180" w:rightFromText="180" w:vertAnchor="text" w:horzAnchor="page" w:tblpX="1826" w:tblpY="352"/>
        <w:tblOverlap w:val="never"/>
        <w:tblW w:w="8688" w:type="dxa"/>
        <w:tblLook w:val="04A0"/>
      </w:tblPr>
      <w:tblGrid>
        <w:gridCol w:w="1035"/>
        <w:gridCol w:w="963"/>
        <w:gridCol w:w="2055"/>
        <w:gridCol w:w="713"/>
        <w:gridCol w:w="1013"/>
        <w:gridCol w:w="590"/>
        <w:gridCol w:w="2319"/>
      </w:tblGrid>
      <w:tr w:rsidR="00E65F37">
        <w:trPr>
          <w:trHeight w:val="983"/>
        </w:trPr>
        <w:tc>
          <w:tcPr>
            <w:tcW w:w="1998" w:type="dxa"/>
            <w:gridSpan w:val="2"/>
            <w:vAlign w:val="center"/>
          </w:tcPr>
          <w:p w:rsidR="00E65F37" w:rsidRDefault="00F16801">
            <w:pPr>
              <w:jc w:val="center"/>
              <w:rPr>
                <w:rFonts w:ascii="仿宋" w:eastAsia="仿宋" w:hAnsi="仿宋" w:cstheme="minorEastAsia"/>
                <w:kern w:val="0"/>
                <w:sz w:val="24"/>
                <w:szCs w:val="24"/>
              </w:rPr>
            </w:pPr>
            <w:r>
              <w:rPr>
                <w:rFonts w:ascii="仿宋" w:eastAsia="仿宋" w:hAnsi="仿宋" w:cstheme="minorEastAsia" w:hint="eastAsia"/>
                <w:kern w:val="0"/>
                <w:sz w:val="24"/>
                <w:szCs w:val="24"/>
              </w:rPr>
              <w:t>引荐主体（单位）</w:t>
            </w:r>
          </w:p>
        </w:tc>
        <w:tc>
          <w:tcPr>
            <w:tcW w:w="2768" w:type="dxa"/>
            <w:gridSpan w:val="2"/>
            <w:vAlign w:val="center"/>
          </w:tcPr>
          <w:p w:rsidR="00E65F37" w:rsidRDefault="00E65F37">
            <w:pPr>
              <w:jc w:val="center"/>
              <w:rPr>
                <w:rFonts w:ascii="仿宋" w:eastAsia="仿宋" w:hAnsi="仿宋" w:cstheme="minorEastAsia"/>
                <w:kern w:val="0"/>
                <w:sz w:val="24"/>
                <w:szCs w:val="24"/>
              </w:rPr>
            </w:pPr>
          </w:p>
        </w:tc>
        <w:tc>
          <w:tcPr>
            <w:tcW w:w="1013" w:type="dxa"/>
            <w:vAlign w:val="center"/>
          </w:tcPr>
          <w:p w:rsidR="00E65F37" w:rsidRDefault="00F16801">
            <w:pPr>
              <w:jc w:val="center"/>
              <w:rPr>
                <w:rFonts w:ascii="仿宋" w:eastAsia="仿宋" w:hAnsi="仿宋" w:cstheme="minorEastAsia"/>
                <w:kern w:val="0"/>
                <w:sz w:val="24"/>
                <w:szCs w:val="24"/>
              </w:rPr>
            </w:pPr>
            <w:r>
              <w:rPr>
                <w:rFonts w:ascii="仿宋" w:eastAsia="仿宋" w:hAnsi="仿宋" w:cstheme="minorEastAsia" w:hint="eastAsia"/>
                <w:kern w:val="0"/>
                <w:sz w:val="24"/>
                <w:szCs w:val="24"/>
              </w:rPr>
              <w:t>注册</w:t>
            </w:r>
          </w:p>
          <w:p w:rsidR="00E65F37" w:rsidRDefault="00F16801">
            <w:pPr>
              <w:jc w:val="center"/>
              <w:rPr>
                <w:rFonts w:ascii="仿宋" w:eastAsia="仿宋" w:hAnsi="仿宋" w:cstheme="minorEastAsia"/>
                <w:kern w:val="0"/>
                <w:sz w:val="24"/>
                <w:szCs w:val="24"/>
              </w:rPr>
            </w:pPr>
            <w:r>
              <w:rPr>
                <w:rFonts w:ascii="仿宋" w:eastAsia="仿宋" w:hAnsi="仿宋" w:cstheme="minorEastAsia" w:hint="eastAsia"/>
                <w:kern w:val="0"/>
                <w:sz w:val="24"/>
                <w:szCs w:val="24"/>
              </w:rPr>
              <w:t>地址</w:t>
            </w:r>
          </w:p>
        </w:tc>
        <w:tc>
          <w:tcPr>
            <w:tcW w:w="2908" w:type="dxa"/>
            <w:gridSpan w:val="2"/>
            <w:vAlign w:val="center"/>
          </w:tcPr>
          <w:p w:rsidR="00E65F37" w:rsidRDefault="00E65F37">
            <w:pPr>
              <w:jc w:val="center"/>
              <w:rPr>
                <w:rFonts w:ascii="仿宋" w:eastAsia="仿宋" w:hAnsi="仿宋" w:cstheme="minorEastAsia"/>
                <w:kern w:val="0"/>
                <w:sz w:val="24"/>
                <w:szCs w:val="24"/>
              </w:rPr>
            </w:pPr>
          </w:p>
        </w:tc>
      </w:tr>
      <w:tr w:rsidR="00E65F37">
        <w:trPr>
          <w:trHeight w:val="983"/>
        </w:trPr>
        <w:tc>
          <w:tcPr>
            <w:tcW w:w="1998" w:type="dxa"/>
            <w:gridSpan w:val="2"/>
            <w:vAlign w:val="center"/>
          </w:tcPr>
          <w:p w:rsidR="00E65F37" w:rsidRDefault="00F16801">
            <w:pPr>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法人代表人</w:t>
            </w:r>
          </w:p>
        </w:tc>
        <w:tc>
          <w:tcPr>
            <w:tcW w:w="2055" w:type="dxa"/>
            <w:vAlign w:val="center"/>
          </w:tcPr>
          <w:p w:rsidR="00E65F37" w:rsidRDefault="00E65F37">
            <w:pPr>
              <w:jc w:val="center"/>
              <w:rPr>
                <w:rFonts w:ascii="仿宋" w:eastAsia="仿宋" w:hAnsi="仿宋" w:cstheme="minorEastAsia"/>
                <w:color w:val="000000"/>
                <w:kern w:val="0"/>
                <w:sz w:val="24"/>
                <w:szCs w:val="24"/>
              </w:rPr>
            </w:pPr>
          </w:p>
        </w:tc>
        <w:tc>
          <w:tcPr>
            <w:tcW w:w="2316" w:type="dxa"/>
            <w:gridSpan w:val="3"/>
            <w:vAlign w:val="center"/>
          </w:tcPr>
          <w:p w:rsidR="00E65F37" w:rsidRDefault="00F16801">
            <w:pPr>
              <w:widowControl/>
              <w:jc w:val="center"/>
              <w:rPr>
                <w:rFonts w:ascii="仿宋" w:eastAsia="仿宋" w:hAnsi="仿宋" w:cstheme="minorEastAsia"/>
                <w:color w:val="000000"/>
                <w:kern w:val="0"/>
                <w:sz w:val="24"/>
                <w:szCs w:val="24"/>
              </w:rPr>
            </w:pPr>
            <w:r>
              <w:rPr>
                <w:rFonts w:ascii="仿宋" w:eastAsia="仿宋" w:hAnsi="仿宋" w:cstheme="minorEastAsia" w:hint="eastAsia"/>
                <w:color w:val="000000"/>
                <w:kern w:val="0"/>
                <w:sz w:val="24"/>
                <w:szCs w:val="24"/>
              </w:rPr>
              <w:t>联系电话</w:t>
            </w:r>
          </w:p>
        </w:tc>
        <w:tc>
          <w:tcPr>
            <w:tcW w:w="2318" w:type="dxa"/>
            <w:vAlign w:val="center"/>
          </w:tcPr>
          <w:p w:rsidR="00E65F37" w:rsidRDefault="00E65F37">
            <w:pPr>
              <w:jc w:val="center"/>
              <w:rPr>
                <w:rFonts w:ascii="仿宋" w:eastAsia="仿宋" w:hAnsi="仿宋" w:cstheme="minorEastAsia"/>
                <w:color w:val="000000"/>
                <w:kern w:val="0"/>
                <w:sz w:val="24"/>
                <w:szCs w:val="24"/>
              </w:rPr>
            </w:pPr>
          </w:p>
        </w:tc>
      </w:tr>
      <w:tr w:rsidR="00E65F37">
        <w:trPr>
          <w:trHeight w:val="842"/>
        </w:trPr>
        <w:tc>
          <w:tcPr>
            <w:tcW w:w="1998" w:type="dxa"/>
            <w:gridSpan w:val="2"/>
            <w:vAlign w:val="center"/>
          </w:tcPr>
          <w:p w:rsidR="00E65F37" w:rsidRDefault="00F16801">
            <w:pPr>
              <w:rPr>
                <w:rFonts w:ascii="仿宋" w:eastAsia="仿宋" w:hAnsi="仿宋" w:cstheme="minorEastAsia"/>
                <w:color w:val="000000"/>
                <w:kern w:val="0"/>
                <w:sz w:val="24"/>
                <w:szCs w:val="24"/>
              </w:rPr>
            </w:pPr>
            <w:r>
              <w:rPr>
                <w:rFonts w:ascii="仿宋" w:eastAsia="仿宋" w:hAnsi="仿宋" w:cstheme="minorEastAsia" w:hint="eastAsia"/>
                <w:color w:val="000000"/>
                <w:kern w:val="0"/>
                <w:sz w:val="24"/>
                <w:szCs w:val="24"/>
              </w:rPr>
              <w:t>投资入股</w:t>
            </w:r>
            <w:r w:rsidRPr="000E579F">
              <w:rPr>
                <w:rFonts w:ascii="仿宋" w:eastAsia="仿宋" w:hAnsi="仿宋" w:cstheme="minorEastAsia" w:hint="eastAsia"/>
                <w:color w:val="000000"/>
                <w:kern w:val="0"/>
                <w:sz w:val="24"/>
                <w:szCs w:val="24"/>
              </w:rPr>
              <w:t>金额（万元）</w:t>
            </w:r>
          </w:p>
        </w:tc>
        <w:tc>
          <w:tcPr>
            <w:tcW w:w="2055" w:type="dxa"/>
            <w:vAlign w:val="center"/>
          </w:tcPr>
          <w:p w:rsidR="00E65F37" w:rsidRDefault="00E65F37">
            <w:pPr>
              <w:jc w:val="center"/>
              <w:rPr>
                <w:rFonts w:ascii="仿宋" w:eastAsia="仿宋" w:hAnsi="仿宋" w:cstheme="minorEastAsia"/>
                <w:color w:val="000000"/>
                <w:kern w:val="0"/>
                <w:sz w:val="24"/>
                <w:szCs w:val="24"/>
              </w:rPr>
            </w:pPr>
          </w:p>
        </w:tc>
        <w:tc>
          <w:tcPr>
            <w:tcW w:w="2316" w:type="dxa"/>
            <w:gridSpan w:val="3"/>
            <w:vAlign w:val="center"/>
          </w:tcPr>
          <w:p w:rsidR="00E65F37" w:rsidRDefault="00F16801">
            <w:pPr>
              <w:widowControl/>
              <w:jc w:val="center"/>
              <w:rPr>
                <w:rFonts w:ascii="仿宋" w:eastAsia="仿宋" w:hAnsi="仿宋" w:cstheme="minorEastAsia"/>
                <w:color w:val="000000"/>
                <w:kern w:val="0"/>
                <w:sz w:val="24"/>
                <w:szCs w:val="24"/>
              </w:rPr>
            </w:pPr>
            <w:r>
              <w:rPr>
                <w:rFonts w:ascii="仿宋" w:eastAsia="仿宋" w:hAnsi="仿宋" w:cstheme="minorEastAsia" w:hint="eastAsia"/>
                <w:color w:val="000000"/>
                <w:kern w:val="0"/>
                <w:sz w:val="24"/>
                <w:szCs w:val="24"/>
              </w:rPr>
              <w:t>投资时间</w:t>
            </w:r>
          </w:p>
        </w:tc>
        <w:tc>
          <w:tcPr>
            <w:tcW w:w="2318" w:type="dxa"/>
            <w:vAlign w:val="center"/>
          </w:tcPr>
          <w:p w:rsidR="00E65F37" w:rsidRDefault="00E65F37">
            <w:pPr>
              <w:jc w:val="center"/>
              <w:rPr>
                <w:rFonts w:ascii="仿宋" w:eastAsia="仿宋" w:hAnsi="仿宋" w:cstheme="minorEastAsia"/>
                <w:color w:val="000000"/>
                <w:kern w:val="0"/>
                <w:sz w:val="24"/>
                <w:szCs w:val="24"/>
              </w:rPr>
            </w:pPr>
          </w:p>
        </w:tc>
      </w:tr>
      <w:tr w:rsidR="00E65F37">
        <w:trPr>
          <w:trHeight w:val="2620"/>
        </w:trPr>
        <w:tc>
          <w:tcPr>
            <w:tcW w:w="1998" w:type="dxa"/>
            <w:gridSpan w:val="2"/>
            <w:vAlign w:val="center"/>
          </w:tcPr>
          <w:p w:rsidR="00E65F37" w:rsidRPr="000E579F" w:rsidRDefault="00F16801">
            <w:pPr>
              <w:jc w:val="center"/>
              <w:rPr>
                <w:rFonts w:ascii="仿宋" w:eastAsia="仿宋" w:hAnsi="仿宋" w:cstheme="minorEastAsia"/>
                <w:color w:val="000000"/>
                <w:kern w:val="0"/>
                <w:sz w:val="24"/>
                <w:szCs w:val="24"/>
              </w:rPr>
            </w:pPr>
            <w:r w:rsidRPr="000E579F">
              <w:rPr>
                <w:rFonts w:ascii="仿宋" w:eastAsia="仿宋" w:hAnsi="仿宋" w:cstheme="minorEastAsia" w:hint="eastAsia"/>
                <w:color w:val="000000"/>
                <w:kern w:val="0"/>
                <w:sz w:val="24"/>
                <w:szCs w:val="24"/>
              </w:rPr>
              <w:t>引荐项目基本情况</w:t>
            </w:r>
          </w:p>
        </w:tc>
        <w:tc>
          <w:tcPr>
            <w:tcW w:w="6689" w:type="dxa"/>
            <w:gridSpan w:val="5"/>
            <w:vAlign w:val="center"/>
          </w:tcPr>
          <w:p w:rsidR="00E65F37" w:rsidRDefault="00F16801">
            <w:pPr>
              <w:widowControl/>
              <w:jc w:val="left"/>
              <w:rPr>
                <w:rFonts w:ascii="仿宋" w:eastAsia="仿宋" w:hAnsi="仿宋" w:cstheme="minorEastAsia"/>
                <w:kern w:val="0"/>
                <w:sz w:val="24"/>
                <w:szCs w:val="24"/>
              </w:rPr>
            </w:pPr>
            <w:r>
              <w:rPr>
                <w:rFonts w:ascii="仿宋" w:eastAsia="仿宋" w:hAnsi="仿宋" w:cstheme="minorEastAsia" w:hint="eastAsia"/>
                <w:kern w:val="0"/>
                <w:sz w:val="24"/>
                <w:szCs w:val="24"/>
              </w:rPr>
              <w:t>（项目简介，包括不限于</w:t>
            </w:r>
            <w:r>
              <w:rPr>
                <w:rFonts w:ascii="仿宋" w:eastAsia="仿宋" w:hAnsi="仿宋" w:cstheme="minorEastAsia" w:hint="eastAsia"/>
                <w:color w:val="000000"/>
                <w:kern w:val="0"/>
                <w:sz w:val="24"/>
                <w:szCs w:val="24"/>
              </w:rPr>
              <w:t>主营业务、经营业绩、计划落地注册时间、</w:t>
            </w:r>
            <w:r w:rsidRPr="000E579F">
              <w:rPr>
                <w:rFonts w:ascii="仿宋" w:eastAsia="仿宋" w:hAnsi="仿宋" w:cstheme="minorEastAsia" w:hint="eastAsia"/>
                <w:color w:val="000000"/>
                <w:kern w:val="0"/>
                <w:sz w:val="24"/>
                <w:szCs w:val="24"/>
              </w:rPr>
              <w:t>拟注册地及原注册地</w:t>
            </w:r>
            <w:r>
              <w:rPr>
                <w:rFonts w:ascii="仿宋" w:eastAsia="仿宋" w:hAnsi="仿宋" w:cstheme="minorEastAsia" w:hint="eastAsia"/>
                <w:color w:val="000000"/>
                <w:kern w:val="0"/>
                <w:sz w:val="24"/>
                <w:szCs w:val="24"/>
              </w:rPr>
              <w:t>、注册资本、 股权结构、上市规划等，</w:t>
            </w:r>
            <w:r w:rsidRPr="000E579F">
              <w:rPr>
                <w:rFonts w:ascii="仿宋" w:eastAsia="仿宋" w:hAnsi="仿宋" w:cstheme="minorEastAsia" w:hint="eastAsia"/>
                <w:color w:val="000000"/>
                <w:kern w:val="0"/>
                <w:sz w:val="24"/>
                <w:szCs w:val="24"/>
              </w:rPr>
              <w:t>材料可另附</w:t>
            </w:r>
            <w:r>
              <w:rPr>
                <w:rFonts w:ascii="仿宋" w:eastAsia="仿宋" w:hAnsi="仿宋" w:cstheme="minorEastAsia" w:hint="eastAsia"/>
                <w:color w:val="000000"/>
                <w:kern w:val="0"/>
                <w:sz w:val="24"/>
                <w:szCs w:val="24"/>
              </w:rPr>
              <w:t>）</w:t>
            </w:r>
          </w:p>
        </w:tc>
      </w:tr>
      <w:tr w:rsidR="00E65F37">
        <w:trPr>
          <w:trHeight w:val="1637"/>
        </w:trPr>
        <w:tc>
          <w:tcPr>
            <w:tcW w:w="1035" w:type="dxa"/>
            <w:vAlign w:val="center"/>
          </w:tcPr>
          <w:p w:rsidR="00E65F37" w:rsidRDefault="00F16801">
            <w:pPr>
              <w:widowControl/>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引荐主体（单位）承诺</w:t>
            </w:r>
          </w:p>
        </w:tc>
        <w:tc>
          <w:tcPr>
            <w:tcW w:w="7653" w:type="dxa"/>
            <w:gridSpan w:val="6"/>
            <w:vAlign w:val="center"/>
          </w:tcPr>
          <w:p w:rsidR="00E65F37" w:rsidRDefault="00F16801">
            <w:pPr>
              <w:widowControl/>
              <w:jc w:val="left"/>
              <w:rPr>
                <w:rFonts w:ascii="仿宋" w:eastAsia="仿宋" w:hAnsi="仿宋" w:cstheme="minorEastAsia"/>
                <w:kern w:val="0"/>
                <w:sz w:val="24"/>
                <w:szCs w:val="24"/>
              </w:rPr>
            </w:pPr>
            <w:r>
              <w:rPr>
                <w:rFonts w:ascii="仿宋" w:eastAsia="仿宋" w:hAnsi="仿宋" w:cstheme="minorEastAsia" w:hint="eastAsia"/>
                <w:color w:val="000000"/>
                <w:kern w:val="0"/>
                <w:sz w:val="24"/>
                <w:szCs w:val="24"/>
              </w:rPr>
              <w:t xml:space="preserve">对以上填列内容及提供材料的真实性、合法性负责。 </w:t>
            </w:r>
          </w:p>
          <w:p w:rsidR="00E65F37" w:rsidRDefault="00F16801">
            <w:pPr>
              <w:rPr>
                <w:rFonts w:ascii="仿宋" w:eastAsia="仿宋" w:hAnsi="仿宋" w:cstheme="minorEastAsia"/>
                <w:kern w:val="0"/>
                <w:sz w:val="24"/>
                <w:szCs w:val="24"/>
              </w:rPr>
            </w:pPr>
            <w:r>
              <w:rPr>
                <w:rFonts w:ascii="仿宋" w:eastAsia="仿宋" w:hAnsi="仿宋" w:cstheme="minorEastAsia" w:hint="eastAsia"/>
                <w:kern w:val="0"/>
                <w:sz w:val="24"/>
                <w:szCs w:val="24"/>
              </w:rPr>
              <w:t xml:space="preserve">  </w:t>
            </w:r>
          </w:p>
          <w:p w:rsidR="00E65F37" w:rsidRDefault="00E65F37">
            <w:pPr>
              <w:ind w:firstLineChars="100" w:firstLine="240"/>
              <w:rPr>
                <w:rFonts w:ascii="仿宋" w:eastAsia="仿宋" w:hAnsi="仿宋" w:cstheme="minorEastAsia"/>
                <w:kern w:val="0"/>
                <w:sz w:val="24"/>
                <w:szCs w:val="24"/>
              </w:rPr>
            </w:pPr>
          </w:p>
          <w:p w:rsidR="00E65F37" w:rsidRDefault="00F16801">
            <w:pPr>
              <w:widowControl/>
              <w:ind w:firstLineChars="100" w:firstLine="240"/>
              <w:jc w:val="left"/>
              <w:rPr>
                <w:rFonts w:ascii="仿宋" w:eastAsia="仿宋" w:hAnsi="仿宋" w:cstheme="minorEastAsia"/>
                <w:color w:val="000000"/>
                <w:kern w:val="0"/>
                <w:sz w:val="24"/>
                <w:szCs w:val="24"/>
              </w:rPr>
            </w:pPr>
            <w:r>
              <w:rPr>
                <w:rFonts w:ascii="仿宋" w:eastAsia="仿宋" w:hAnsi="仿宋" w:cstheme="minorEastAsia" w:hint="eastAsia"/>
                <w:color w:val="000000"/>
                <w:kern w:val="0"/>
                <w:sz w:val="24"/>
                <w:szCs w:val="24"/>
              </w:rPr>
              <w:t xml:space="preserve">法定代表人签字并盖章： </w:t>
            </w:r>
          </w:p>
          <w:p w:rsidR="00E65F37" w:rsidRDefault="00F16801">
            <w:pPr>
              <w:wordWrap w:val="0"/>
              <w:jc w:val="right"/>
              <w:rPr>
                <w:rFonts w:ascii="仿宋" w:eastAsia="仿宋" w:hAnsi="仿宋" w:cstheme="minorEastAsia"/>
                <w:kern w:val="0"/>
                <w:sz w:val="24"/>
                <w:szCs w:val="24"/>
              </w:rPr>
            </w:pPr>
            <w:r>
              <w:rPr>
                <w:rFonts w:ascii="仿宋" w:eastAsia="仿宋" w:hAnsi="仿宋" w:cstheme="minorEastAsia" w:hint="eastAsia"/>
                <w:kern w:val="0"/>
                <w:sz w:val="24"/>
                <w:szCs w:val="24"/>
              </w:rPr>
              <w:t xml:space="preserve">  年     月      日    </w:t>
            </w:r>
          </w:p>
        </w:tc>
      </w:tr>
      <w:tr w:rsidR="00E65F37">
        <w:trPr>
          <w:trHeight w:val="1902"/>
        </w:trPr>
        <w:tc>
          <w:tcPr>
            <w:tcW w:w="1035" w:type="dxa"/>
            <w:vAlign w:val="center"/>
          </w:tcPr>
          <w:p w:rsidR="00E65F37" w:rsidRDefault="00F16801">
            <w:pPr>
              <w:widowControl/>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招引项目单位意见</w:t>
            </w:r>
          </w:p>
        </w:tc>
        <w:tc>
          <w:tcPr>
            <w:tcW w:w="7653" w:type="dxa"/>
            <w:gridSpan w:val="6"/>
            <w:vAlign w:val="center"/>
          </w:tcPr>
          <w:p w:rsidR="00E65F37" w:rsidRDefault="00E65F37">
            <w:pPr>
              <w:widowControl/>
              <w:ind w:firstLineChars="100" w:firstLine="240"/>
              <w:jc w:val="left"/>
              <w:rPr>
                <w:rFonts w:ascii="仿宋" w:eastAsia="仿宋" w:hAnsi="仿宋" w:cstheme="minorEastAsia"/>
                <w:color w:val="000000"/>
                <w:kern w:val="0"/>
                <w:sz w:val="24"/>
                <w:szCs w:val="24"/>
              </w:rPr>
            </w:pPr>
          </w:p>
          <w:p w:rsidR="00E65F37" w:rsidRDefault="00E65F37">
            <w:pPr>
              <w:widowControl/>
              <w:ind w:firstLineChars="100" w:firstLine="240"/>
              <w:jc w:val="left"/>
              <w:rPr>
                <w:rFonts w:ascii="仿宋" w:eastAsia="仿宋" w:hAnsi="仿宋" w:cstheme="minorEastAsia"/>
                <w:color w:val="000000"/>
                <w:kern w:val="0"/>
                <w:sz w:val="24"/>
                <w:szCs w:val="24"/>
              </w:rPr>
            </w:pPr>
          </w:p>
          <w:p w:rsidR="00E65F37" w:rsidRDefault="00E65F37">
            <w:pPr>
              <w:widowControl/>
              <w:jc w:val="left"/>
              <w:rPr>
                <w:rFonts w:ascii="仿宋" w:eastAsia="仿宋" w:hAnsi="仿宋" w:cstheme="minorEastAsia"/>
                <w:color w:val="000000"/>
                <w:kern w:val="0"/>
                <w:sz w:val="24"/>
                <w:szCs w:val="24"/>
              </w:rPr>
            </w:pPr>
          </w:p>
          <w:p w:rsidR="00E65F37" w:rsidRDefault="00F16801">
            <w:pPr>
              <w:widowControl/>
              <w:ind w:firstLineChars="100" w:firstLine="240"/>
              <w:jc w:val="left"/>
              <w:rPr>
                <w:rFonts w:ascii="仿宋" w:eastAsia="仿宋" w:hAnsi="仿宋" w:cstheme="minorEastAsia"/>
                <w:color w:val="000000"/>
                <w:kern w:val="0"/>
                <w:sz w:val="24"/>
                <w:szCs w:val="24"/>
              </w:rPr>
            </w:pPr>
            <w:r>
              <w:rPr>
                <w:rFonts w:ascii="仿宋" w:eastAsia="仿宋" w:hAnsi="仿宋" w:cstheme="minorEastAsia" w:hint="eastAsia"/>
                <w:color w:val="000000"/>
                <w:kern w:val="0"/>
                <w:sz w:val="24"/>
                <w:szCs w:val="24"/>
              </w:rPr>
              <w:t xml:space="preserve">法定代表人签字并盖章： </w:t>
            </w:r>
          </w:p>
          <w:p w:rsidR="00E65F37" w:rsidRDefault="00F16801">
            <w:pPr>
              <w:widowControl/>
              <w:jc w:val="center"/>
              <w:rPr>
                <w:rFonts w:ascii="仿宋" w:eastAsia="仿宋" w:hAnsi="仿宋" w:cstheme="minorEastAsia"/>
                <w:color w:val="000000"/>
                <w:kern w:val="0"/>
                <w:sz w:val="24"/>
                <w:szCs w:val="24"/>
              </w:rPr>
            </w:pPr>
            <w:r>
              <w:rPr>
                <w:rFonts w:ascii="仿宋" w:eastAsia="仿宋" w:hAnsi="仿宋" w:cstheme="minorEastAsia" w:hint="eastAsia"/>
                <w:kern w:val="0"/>
                <w:sz w:val="24"/>
                <w:szCs w:val="24"/>
              </w:rPr>
              <w:t xml:space="preserve">                                            年     月      日 </w:t>
            </w:r>
          </w:p>
        </w:tc>
      </w:tr>
      <w:tr w:rsidR="00E65F37">
        <w:trPr>
          <w:trHeight w:val="2259"/>
        </w:trPr>
        <w:tc>
          <w:tcPr>
            <w:tcW w:w="1035" w:type="dxa"/>
            <w:vAlign w:val="center"/>
          </w:tcPr>
          <w:p w:rsidR="00E65F37" w:rsidRDefault="00F16801">
            <w:pPr>
              <w:widowControl/>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资格</w:t>
            </w:r>
          </w:p>
          <w:p w:rsidR="00E65F37" w:rsidRDefault="00F16801">
            <w:pPr>
              <w:widowControl/>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认定</w:t>
            </w:r>
          </w:p>
        </w:tc>
        <w:tc>
          <w:tcPr>
            <w:tcW w:w="963" w:type="dxa"/>
            <w:vAlign w:val="center"/>
          </w:tcPr>
          <w:p w:rsidR="00E65F37" w:rsidRDefault="00F16801">
            <w:pPr>
              <w:widowControl/>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引荐企业落户地确认意见</w:t>
            </w:r>
          </w:p>
        </w:tc>
        <w:tc>
          <w:tcPr>
            <w:tcW w:w="2768" w:type="dxa"/>
            <w:gridSpan w:val="2"/>
            <w:vAlign w:val="center"/>
          </w:tcPr>
          <w:p w:rsidR="00E65F37" w:rsidRDefault="00F16801">
            <w:pPr>
              <w:widowControl/>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（盖章）</w:t>
            </w:r>
          </w:p>
          <w:p w:rsidR="00E65F37" w:rsidRDefault="00F16801">
            <w:pPr>
              <w:widowControl/>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年 月 日</w:t>
            </w:r>
          </w:p>
        </w:tc>
        <w:tc>
          <w:tcPr>
            <w:tcW w:w="1013" w:type="dxa"/>
            <w:vAlign w:val="center"/>
          </w:tcPr>
          <w:p w:rsidR="00E65F37" w:rsidRDefault="00F16801">
            <w:pPr>
              <w:widowControl/>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属地金融办确认意见</w:t>
            </w:r>
          </w:p>
        </w:tc>
        <w:tc>
          <w:tcPr>
            <w:tcW w:w="2908" w:type="dxa"/>
            <w:gridSpan w:val="2"/>
            <w:vAlign w:val="center"/>
          </w:tcPr>
          <w:p w:rsidR="00E65F37" w:rsidRDefault="00F16801">
            <w:pPr>
              <w:widowControl/>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（盖章）</w:t>
            </w:r>
          </w:p>
          <w:p w:rsidR="00E65F37" w:rsidRDefault="00F16801">
            <w:pPr>
              <w:widowControl/>
              <w:jc w:val="center"/>
              <w:rPr>
                <w:rFonts w:ascii="仿宋" w:eastAsia="仿宋" w:hAnsi="仿宋" w:cstheme="minorEastAsia"/>
                <w:kern w:val="0"/>
                <w:sz w:val="24"/>
                <w:szCs w:val="24"/>
              </w:rPr>
            </w:pPr>
            <w:r>
              <w:rPr>
                <w:rFonts w:ascii="仿宋" w:eastAsia="仿宋" w:hAnsi="仿宋" w:cstheme="minorEastAsia" w:hint="eastAsia"/>
                <w:color w:val="000000"/>
                <w:kern w:val="0"/>
                <w:sz w:val="24"/>
                <w:szCs w:val="24"/>
              </w:rPr>
              <w:t>年 月 日</w:t>
            </w:r>
          </w:p>
        </w:tc>
      </w:tr>
    </w:tbl>
    <w:p w:rsidR="00E65F37" w:rsidRDefault="00E65F37">
      <w:pPr>
        <w:spacing w:line="560" w:lineRule="exact"/>
        <w:outlineLvl w:val="0"/>
        <w:rPr>
          <w:rFonts w:ascii="仿宋" w:eastAsia="仿宋" w:hAnsi="仿宋" w:cs="仿宋"/>
          <w:b/>
        </w:rPr>
      </w:pPr>
    </w:p>
    <w:p w:rsidR="00E65F37" w:rsidRDefault="00E65F37"/>
    <w:sectPr w:rsidR="00E65F37" w:rsidSect="00E65F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85" w:rsidRDefault="00EA2185" w:rsidP="00E65F37">
      <w:r>
        <w:separator/>
      </w:r>
    </w:p>
  </w:endnote>
  <w:endnote w:type="continuationSeparator" w:id="0">
    <w:p w:rsidR="00EA2185" w:rsidRDefault="00EA2185" w:rsidP="00E65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870087"/>
      <w:docPartObj>
        <w:docPartGallery w:val="AutoText"/>
      </w:docPartObj>
    </w:sdtPr>
    <w:sdtContent>
      <w:p w:rsidR="00493C4D" w:rsidRDefault="00185640">
        <w:pPr>
          <w:pStyle w:val="a5"/>
          <w:jc w:val="center"/>
        </w:pPr>
        <w:r w:rsidRPr="00185640">
          <w:fldChar w:fldCharType="begin"/>
        </w:r>
        <w:r w:rsidR="00493C4D">
          <w:instrText xml:space="preserve"> PAGE   \* MERGEFORMAT </w:instrText>
        </w:r>
        <w:r w:rsidRPr="00185640">
          <w:fldChar w:fldCharType="separate"/>
        </w:r>
        <w:r w:rsidR="000E579F" w:rsidRPr="000E579F">
          <w:rPr>
            <w:noProof/>
            <w:lang w:val="zh-CN"/>
          </w:rPr>
          <w:t>18</w:t>
        </w:r>
        <w:r>
          <w:rPr>
            <w:lang w:val="zh-CN"/>
          </w:rPr>
          <w:fldChar w:fldCharType="end"/>
        </w:r>
      </w:p>
    </w:sdtContent>
  </w:sdt>
  <w:p w:rsidR="00493C4D" w:rsidRDefault="00493C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4D" w:rsidRDefault="00185640">
    <w:pPr>
      <w:pStyle w:val="a5"/>
    </w:pPr>
    <w:r>
      <w:pict>
        <v:shapetype id="_x0000_t202" coordsize="21600,21600" o:spt="202" path="m,l,21600r21600,l21600,xe">
          <v:stroke joinstyle="miter"/>
          <v:path gradientshapeok="t" o:connecttype="rect"/>
        </v:shapetype>
        <v:shape id="_x0000_s1026" type="#_x0000_t202" style="position:absolute;margin-left:72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493C4D" w:rsidRDefault="00493C4D">
                <w:pPr>
                  <w:pStyle w:val="a5"/>
                  <w:rPr>
                    <w:rFonts w:ascii="宋体" w:eastAsia="宋体" w:hAnsi="宋体" w:cs="宋体"/>
                    <w:sz w:val="28"/>
                    <w:szCs w:val="28"/>
                  </w:rPr>
                </w:pPr>
                <w:r>
                  <w:rPr>
                    <w:rStyle w:val="a8"/>
                    <w:rFonts w:hint="eastAsia"/>
                    <w:sz w:val="28"/>
                  </w:rPr>
                  <w:t>─</w:t>
                </w:r>
                <w:r>
                  <w:rPr>
                    <w:rStyle w:val="a8"/>
                    <w:rFonts w:hint="eastAsia"/>
                    <w:sz w:val="28"/>
                  </w:rPr>
                  <w:t xml:space="preserve"> </w:t>
                </w:r>
                <w:r w:rsidR="00185640">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185640">
                  <w:rPr>
                    <w:rFonts w:ascii="宋体" w:eastAsia="宋体" w:hAnsi="宋体" w:cs="宋体" w:hint="eastAsia"/>
                    <w:sz w:val="28"/>
                    <w:szCs w:val="28"/>
                  </w:rPr>
                  <w:fldChar w:fldCharType="separate"/>
                </w:r>
                <w:r w:rsidR="000E579F">
                  <w:rPr>
                    <w:rFonts w:ascii="宋体" w:eastAsia="宋体" w:hAnsi="宋体" w:cs="宋体"/>
                    <w:noProof/>
                    <w:sz w:val="28"/>
                    <w:szCs w:val="28"/>
                  </w:rPr>
                  <w:t>24</w:t>
                </w:r>
                <w:r w:rsidR="00185640">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Style w:val="a8"/>
                    <w:rFonts w:hint="eastAsia"/>
                    <w:sz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4D" w:rsidRDefault="00185640">
    <w:pPr>
      <w:pStyle w:val="a5"/>
      <w:framePr w:wrap="around" w:vAnchor="text" w:hAnchor="margin" w:xAlign="center" w:y="1"/>
      <w:rPr>
        <w:rStyle w:val="a8"/>
      </w:rPr>
    </w:pPr>
    <w:r>
      <w:fldChar w:fldCharType="begin"/>
    </w:r>
    <w:r w:rsidR="00493C4D">
      <w:rPr>
        <w:rStyle w:val="a8"/>
      </w:rPr>
      <w:instrText xml:space="preserve">PAGE  </w:instrText>
    </w:r>
    <w:r>
      <w:fldChar w:fldCharType="end"/>
    </w:r>
  </w:p>
  <w:p w:rsidR="00493C4D" w:rsidRDefault="00493C4D">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4D" w:rsidRDefault="00185640">
    <w:pPr>
      <w:pStyle w:val="a5"/>
    </w:pPr>
    <w:r>
      <w:pict>
        <v:shapetype id="_x0000_t202" coordsize="21600,21600" o:spt="202" path="m,l,21600r21600,l21600,xe">
          <v:stroke joinstyle="miter"/>
          <v:path gradientshapeok="t" o:connecttype="rect"/>
        </v:shapetype>
        <v:shape id="_x0000_s1027" type="#_x0000_t202" style="position:absolute;margin-left:72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493C4D" w:rsidRDefault="00493C4D">
                <w:pPr>
                  <w:pStyle w:val="a5"/>
                  <w:rPr>
                    <w:rFonts w:ascii="宋体" w:eastAsia="宋体" w:hAnsi="宋体" w:cs="宋体"/>
                    <w:sz w:val="28"/>
                    <w:szCs w:val="28"/>
                  </w:rPr>
                </w:pPr>
                <w:r>
                  <w:rPr>
                    <w:rStyle w:val="a8"/>
                    <w:rFonts w:hint="eastAsia"/>
                    <w:sz w:val="28"/>
                  </w:rPr>
                  <w:t>─</w:t>
                </w:r>
                <w:r>
                  <w:rPr>
                    <w:rStyle w:val="a8"/>
                    <w:rFonts w:hint="eastAsia"/>
                    <w:sz w:val="28"/>
                  </w:rPr>
                  <w:t xml:space="preserve"> </w:t>
                </w:r>
                <w:r w:rsidR="00185640">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185640">
                  <w:rPr>
                    <w:rFonts w:ascii="宋体" w:eastAsia="宋体" w:hAnsi="宋体" w:cs="宋体" w:hint="eastAsia"/>
                    <w:sz w:val="28"/>
                    <w:szCs w:val="28"/>
                  </w:rPr>
                  <w:fldChar w:fldCharType="separate"/>
                </w:r>
                <w:r w:rsidR="000E579F">
                  <w:rPr>
                    <w:rFonts w:ascii="宋体" w:eastAsia="宋体" w:hAnsi="宋体" w:cs="宋体"/>
                    <w:noProof/>
                    <w:sz w:val="28"/>
                    <w:szCs w:val="28"/>
                  </w:rPr>
                  <w:t>30</w:t>
                </w:r>
                <w:r w:rsidR="00185640">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Style w:val="a8"/>
                    <w:rFonts w:hint="eastAsia"/>
                    <w:sz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85" w:rsidRDefault="00EA2185" w:rsidP="00E65F37">
      <w:r>
        <w:separator/>
      </w:r>
    </w:p>
  </w:footnote>
  <w:footnote w:type="continuationSeparator" w:id="0">
    <w:p w:rsidR="00EA2185" w:rsidRDefault="00EA2185" w:rsidP="00E65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4D" w:rsidRDefault="00493C4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4D" w:rsidRDefault="00493C4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39163CB"/>
    <w:rsid w:val="000E579F"/>
    <w:rsid w:val="0014798B"/>
    <w:rsid w:val="00185640"/>
    <w:rsid w:val="001D4C1F"/>
    <w:rsid w:val="002B591E"/>
    <w:rsid w:val="00322162"/>
    <w:rsid w:val="00325671"/>
    <w:rsid w:val="00396473"/>
    <w:rsid w:val="003B03A0"/>
    <w:rsid w:val="003C7101"/>
    <w:rsid w:val="00467CE8"/>
    <w:rsid w:val="00493C4D"/>
    <w:rsid w:val="004956A6"/>
    <w:rsid w:val="004970A3"/>
    <w:rsid w:val="004A687A"/>
    <w:rsid w:val="004C1B85"/>
    <w:rsid w:val="004D1390"/>
    <w:rsid w:val="004F6647"/>
    <w:rsid w:val="00551777"/>
    <w:rsid w:val="00566025"/>
    <w:rsid w:val="005842CF"/>
    <w:rsid w:val="005A006E"/>
    <w:rsid w:val="006319B2"/>
    <w:rsid w:val="00666E1E"/>
    <w:rsid w:val="007262F7"/>
    <w:rsid w:val="00773BA6"/>
    <w:rsid w:val="00803A22"/>
    <w:rsid w:val="00815EB3"/>
    <w:rsid w:val="008626F1"/>
    <w:rsid w:val="008B66F4"/>
    <w:rsid w:val="00912035"/>
    <w:rsid w:val="00992FC7"/>
    <w:rsid w:val="00A313FB"/>
    <w:rsid w:val="00AB3282"/>
    <w:rsid w:val="00C339C6"/>
    <w:rsid w:val="00CA59DA"/>
    <w:rsid w:val="00D7054C"/>
    <w:rsid w:val="00D96214"/>
    <w:rsid w:val="00E412B8"/>
    <w:rsid w:val="00E65F37"/>
    <w:rsid w:val="00EA2185"/>
    <w:rsid w:val="00EB102C"/>
    <w:rsid w:val="00F16801"/>
    <w:rsid w:val="2F6846CD"/>
    <w:rsid w:val="439163CB"/>
    <w:rsid w:val="68F253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65F37"/>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E65F37"/>
    <w:pPr>
      <w:ind w:firstLineChars="200" w:firstLine="420"/>
    </w:pPr>
  </w:style>
  <w:style w:type="paragraph" w:styleId="a3">
    <w:name w:val="Body Text Indent"/>
    <w:basedOn w:val="a"/>
    <w:qFormat/>
    <w:rsid w:val="00E65F37"/>
    <w:pPr>
      <w:spacing w:after="120"/>
      <w:ind w:leftChars="200" w:left="420"/>
    </w:pPr>
  </w:style>
  <w:style w:type="paragraph" w:styleId="a4">
    <w:name w:val="Body Text"/>
    <w:basedOn w:val="a"/>
    <w:uiPriority w:val="1"/>
    <w:qFormat/>
    <w:rsid w:val="00E65F37"/>
    <w:pPr>
      <w:ind w:left="108"/>
    </w:pPr>
    <w:rPr>
      <w:rFonts w:ascii="宋体" w:eastAsia="宋体" w:hAnsi="宋体" w:cs="宋体"/>
      <w:szCs w:val="32"/>
      <w:lang w:val="zh-CN" w:bidi="zh-CN"/>
    </w:rPr>
  </w:style>
  <w:style w:type="paragraph" w:styleId="a5">
    <w:name w:val="footer"/>
    <w:basedOn w:val="a"/>
    <w:link w:val="Char"/>
    <w:uiPriority w:val="99"/>
    <w:qFormat/>
    <w:rsid w:val="00E65F37"/>
    <w:pPr>
      <w:tabs>
        <w:tab w:val="center" w:pos="4153"/>
        <w:tab w:val="right" w:pos="8306"/>
      </w:tabs>
      <w:snapToGrid w:val="0"/>
      <w:jc w:val="left"/>
    </w:pPr>
    <w:rPr>
      <w:sz w:val="18"/>
      <w:szCs w:val="18"/>
    </w:rPr>
  </w:style>
  <w:style w:type="paragraph" w:styleId="a6">
    <w:name w:val="header"/>
    <w:basedOn w:val="a"/>
    <w:link w:val="Char0"/>
    <w:qFormat/>
    <w:rsid w:val="00E65F37"/>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E65F3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E65F37"/>
  </w:style>
  <w:style w:type="paragraph" w:customStyle="1" w:styleId="Char1">
    <w:name w:val="Char"/>
    <w:qFormat/>
    <w:rsid w:val="00E65F37"/>
    <w:pPr>
      <w:widowControl w:val="0"/>
      <w:adjustRightInd w:val="0"/>
      <w:spacing w:line="360" w:lineRule="auto"/>
      <w:jc w:val="both"/>
    </w:pPr>
    <w:rPr>
      <w:rFonts w:ascii="Calibri" w:eastAsia="宋体" w:hAnsi="Calibri" w:cs="Times New Roman"/>
      <w:sz w:val="24"/>
    </w:rPr>
  </w:style>
  <w:style w:type="character" w:customStyle="1" w:styleId="Char0">
    <w:name w:val="页眉 Char"/>
    <w:link w:val="a6"/>
    <w:qFormat/>
    <w:rsid w:val="00E65F37"/>
    <w:rPr>
      <w:rFonts w:ascii="Times New Roman" w:eastAsia="仿宋_GB2312" w:hAnsi="Times New Roman" w:cs="Times New Roman"/>
      <w:kern w:val="2"/>
      <w:sz w:val="18"/>
      <w:szCs w:val="18"/>
    </w:rPr>
  </w:style>
  <w:style w:type="character" w:customStyle="1" w:styleId="Char">
    <w:name w:val="页脚 Char"/>
    <w:link w:val="a5"/>
    <w:uiPriority w:val="99"/>
    <w:qFormat/>
    <w:rsid w:val="00E65F37"/>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30</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N-TRACY-康</dc:creator>
  <cp:lastModifiedBy>Administrator</cp:lastModifiedBy>
  <cp:revision>66</cp:revision>
  <cp:lastPrinted>2023-01-20T06:24:00Z</cp:lastPrinted>
  <dcterms:created xsi:type="dcterms:W3CDTF">2023-01-18T03:00:00Z</dcterms:created>
  <dcterms:modified xsi:type="dcterms:W3CDTF">2023-01-28T06:42:00Z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