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ind w:firstLine="210"/>
        <w:rPr>
          <w:rFonts w:hint="eastAsia" w:eastAsia="宋体"/>
          <w:color w:val="auto"/>
          <w:lang w:val="en-US" w:eastAsia="zh-CN"/>
        </w:rPr>
      </w:pPr>
      <w:r>
        <w:rPr>
          <w:rFonts w:hint="eastAsia"/>
          <w:color w:val="auto"/>
          <w:lang w:val="en-US" w:eastAsia="zh-CN"/>
        </w:rPr>
        <w:t xml:space="preserve"> </w:t>
      </w:r>
    </w:p>
    <w:p>
      <w:pPr>
        <w:jc w:val="center"/>
        <w:rPr>
          <w:b w:val="0"/>
          <w:bCs/>
          <w:color w:val="auto"/>
          <w:sz w:val="44"/>
          <w:szCs w:val="44"/>
        </w:rPr>
      </w:pPr>
    </w:p>
    <w:p>
      <w:pPr>
        <w:jc w:val="center"/>
        <w:rPr>
          <w:b/>
          <w:color w:val="auto"/>
          <w:sz w:val="44"/>
          <w:szCs w:val="44"/>
        </w:rPr>
      </w:pPr>
    </w:p>
    <w:p>
      <w:pPr>
        <w:jc w:val="center"/>
        <w:rPr>
          <w:b/>
          <w:color w:val="auto"/>
          <w:sz w:val="48"/>
          <w:szCs w:val="48"/>
        </w:rPr>
      </w:pPr>
      <w:r>
        <w:rPr>
          <w:rFonts w:hint="eastAsia"/>
          <w:b/>
          <w:color w:val="auto"/>
          <w:sz w:val="48"/>
          <w:szCs w:val="48"/>
        </w:rPr>
        <w:t>浙江省房屋建筑和市政基础设施</w:t>
      </w:r>
    </w:p>
    <w:p>
      <w:pPr>
        <w:jc w:val="center"/>
        <w:rPr>
          <w:rFonts w:hint="eastAsia" w:eastAsia="宋体"/>
          <w:b/>
          <w:color w:val="auto"/>
          <w:sz w:val="48"/>
          <w:szCs w:val="48"/>
          <w:lang w:eastAsia="zh-CN"/>
        </w:rPr>
      </w:pPr>
      <w:r>
        <w:rPr>
          <w:rFonts w:hint="eastAsia"/>
          <w:b/>
          <w:color w:val="auto"/>
          <w:sz w:val="48"/>
          <w:szCs w:val="48"/>
        </w:rPr>
        <w:t>施工招标文件示范文本</w:t>
      </w:r>
      <w:r>
        <w:rPr>
          <w:rFonts w:hint="eastAsia"/>
          <w:b/>
          <w:color w:val="auto"/>
          <w:sz w:val="48"/>
          <w:szCs w:val="48"/>
          <w:lang w:eastAsia="zh-CN"/>
        </w:rPr>
        <w:t>（征求意见稿）</w:t>
      </w:r>
    </w:p>
    <w:p>
      <w:pPr>
        <w:jc w:val="center"/>
        <w:rPr>
          <w:rFonts w:ascii="等线" w:hAnsi="等线"/>
          <w:b/>
          <w:color w:val="auto"/>
          <w:sz w:val="36"/>
          <w:szCs w:val="36"/>
        </w:rPr>
      </w:pPr>
      <w:r>
        <w:rPr>
          <w:rFonts w:ascii="等线" w:hAnsi="等线"/>
          <w:b/>
          <w:color w:val="auto"/>
          <w:sz w:val="36"/>
          <w:szCs w:val="36"/>
        </w:rPr>
        <w:t>（202</w:t>
      </w:r>
      <w:r>
        <w:rPr>
          <w:rFonts w:hint="eastAsia" w:ascii="等线" w:hAnsi="等线"/>
          <w:b/>
          <w:color w:val="auto"/>
          <w:sz w:val="36"/>
          <w:szCs w:val="36"/>
        </w:rPr>
        <w:t>1版</w:t>
      </w:r>
      <w:r>
        <w:rPr>
          <w:rFonts w:ascii="等线" w:hAnsi="等线"/>
          <w:b/>
          <w:color w:val="auto"/>
          <w:sz w:val="36"/>
          <w:szCs w:val="36"/>
        </w:rPr>
        <w:t>）</w:t>
      </w:r>
    </w:p>
    <w:p>
      <w:pPr>
        <w:jc w:val="center"/>
        <w:rPr>
          <w:b/>
          <w:color w:val="auto"/>
          <w:sz w:val="48"/>
          <w:szCs w:val="48"/>
        </w:rPr>
      </w:pPr>
    </w:p>
    <w:p>
      <w:pPr>
        <w:jc w:val="center"/>
        <w:rPr>
          <w:b/>
          <w:color w:val="auto"/>
          <w:sz w:val="48"/>
          <w:szCs w:val="48"/>
        </w:rPr>
      </w:pPr>
    </w:p>
    <w:p>
      <w:pPr>
        <w:jc w:val="center"/>
        <w:rPr>
          <w:b/>
          <w:color w:val="auto"/>
          <w:sz w:val="48"/>
          <w:szCs w:val="48"/>
        </w:rPr>
      </w:pPr>
    </w:p>
    <w:p>
      <w:pPr>
        <w:jc w:val="center"/>
        <w:rPr>
          <w:b/>
          <w:color w:val="auto"/>
          <w:sz w:val="48"/>
          <w:szCs w:val="48"/>
        </w:rPr>
      </w:pPr>
    </w:p>
    <w:p>
      <w:pPr>
        <w:jc w:val="center"/>
        <w:rPr>
          <w:b/>
          <w:color w:val="auto"/>
          <w:sz w:val="48"/>
          <w:szCs w:val="48"/>
        </w:rPr>
      </w:pPr>
    </w:p>
    <w:p>
      <w:pPr>
        <w:jc w:val="center"/>
        <w:rPr>
          <w:b/>
          <w:color w:val="auto"/>
          <w:sz w:val="48"/>
          <w:szCs w:val="48"/>
        </w:rPr>
      </w:pPr>
    </w:p>
    <w:p>
      <w:pPr>
        <w:jc w:val="center"/>
        <w:rPr>
          <w:b/>
          <w:color w:val="auto"/>
          <w:sz w:val="48"/>
          <w:szCs w:val="48"/>
        </w:rPr>
      </w:pPr>
    </w:p>
    <w:p>
      <w:pPr>
        <w:jc w:val="center"/>
        <w:rPr>
          <w:b/>
          <w:color w:val="auto"/>
          <w:sz w:val="48"/>
          <w:szCs w:val="48"/>
        </w:rPr>
      </w:pPr>
    </w:p>
    <w:p>
      <w:pPr>
        <w:jc w:val="center"/>
        <w:rPr>
          <w:b/>
          <w:color w:val="auto"/>
          <w:sz w:val="48"/>
          <w:szCs w:val="48"/>
        </w:rPr>
      </w:pPr>
    </w:p>
    <w:p>
      <w:pPr>
        <w:jc w:val="center"/>
        <w:rPr>
          <w:b/>
          <w:color w:val="auto"/>
          <w:sz w:val="36"/>
          <w:szCs w:val="36"/>
        </w:rPr>
      </w:pPr>
      <w:r>
        <w:rPr>
          <w:rFonts w:hint="eastAsia"/>
          <w:b/>
          <w:color w:val="auto"/>
          <w:sz w:val="36"/>
          <w:szCs w:val="36"/>
        </w:rPr>
        <w:t>浙江省住房和城乡建设厅</w:t>
      </w:r>
    </w:p>
    <w:p>
      <w:pPr>
        <w:jc w:val="center"/>
        <w:rPr>
          <w:b/>
          <w:color w:val="auto"/>
          <w:sz w:val="36"/>
          <w:szCs w:val="36"/>
        </w:rPr>
      </w:pPr>
      <w:r>
        <w:rPr>
          <w:rFonts w:hint="eastAsia"/>
          <w:b/>
          <w:color w:val="auto"/>
          <w:sz w:val="36"/>
          <w:szCs w:val="36"/>
        </w:rPr>
        <w:t>浙江省发展和改革委员会</w:t>
      </w:r>
    </w:p>
    <w:p>
      <w:pPr>
        <w:pStyle w:val="2"/>
        <w:rPr>
          <w:color w:val="auto"/>
        </w:rPr>
      </w:pPr>
    </w:p>
    <w:p>
      <w:pPr>
        <w:jc w:val="center"/>
        <w:rPr>
          <w:b/>
          <w:color w:val="auto"/>
          <w:sz w:val="36"/>
          <w:szCs w:val="36"/>
        </w:rPr>
      </w:pPr>
      <w:r>
        <w:rPr>
          <w:rFonts w:hint="eastAsia"/>
          <w:b/>
          <w:color w:val="auto"/>
          <w:sz w:val="36"/>
          <w:szCs w:val="36"/>
        </w:rPr>
        <w:t>二O二一年六月</w:t>
      </w:r>
    </w:p>
    <w:p>
      <w:pPr>
        <w:jc w:val="center"/>
        <w:rPr>
          <w:rFonts w:ascii="黑体" w:hAnsi="黑体" w:eastAsia="黑体"/>
          <w:color w:val="auto"/>
          <w:sz w:val="44"/>
          <w:szCs w:val="44"/>
        </w:rPr>
      </w:pPr>
      <w:r>
        <w:rPr>
          <w:b/>
          <w:color w:val="auto"/>
          <w:sz w:val="48"/>
          <w:szCs w:val="48"/>
        </w:rPr>
        <w:br w:type="page"/>
      </w:r>
      <w:bookmarkStart w:id="0" w:name="_Toc45697217"/>
      <w:r>
        <w:rPr>
          <w:rFonts w:hint="eastAsia" w:ascii="黑体" w:hAnsi="黑体" w:eastAsia="黑体"/>
          <w:color w:val="auto"/>
          <w:sz w:val="44"/>
          <w:szCs w:val="44"/>
        </w:rPr>
        <w:t>编制说明</w:t>
      </w:r>
      <w:bookmarkEnd w:id="0"/>
    </w:p>
    <w:p>
      <w:pPr>
        <w:pStyle w:val="2"/>
        <w:rPr>
          <w:color w:val="auto"/>
        </w:rPr>
      </w:pPr>
    </w:p>
    <w:p>
      <w:pPr>
        <w:pStyle w:val="151"/>
        <w:numPr>
          <w:ilvl w:val="0"/>
          <w:numId w:val="2"/>
        </w:numPr>
        <w:spacing w:line="336" w:lineRule="auto"/>
        <w:ind w:left="0" w:firstLine="480"/>
        <w:jc w:val="left"/>
        <w:rPr>
          <w:rFonts w:ascii="宋体" w:hAnsi="宋体"/>
          <w:color w:val="auto"/>
          <w:sz w:val="24"/>
          <w:szCs w:val="24"/>
        </w:rPr>
      </w:pPr>
      <w:r>
        <w:rPr>
          <w:rFonts w:hint="eastAsia" w:ascii="宋体" w:hAnsi="宋体"/>
          <w:color w:val="auto"/>
          <w:sz w:val="24"/>
          <w:szCs w:val="24"/>
        </w:rPr>
        <w:t>为规范房屋建筑和市政基础设施施工招标投标活动，保障招标人和投标人的合法权益</w:t>
      </w:r>
      <w:r>
        <w:rPr>
          <w:rFonts w:hint="eastAsia" w:ascii="宋体" w:hAnsi="宋体"/>
          <w:i/>
          <w:iCs/>
          <w:color w:val="auto"/>
          <w:sz w:val="24"/>
          <w:szCs w:val="24"/>
        </w:rPr>
        <w:t>，</w:t>
      </w:r>
      <w:r>
        <w:rPr>
          <w:rFonts w:hint="eastAsia" w:ascii="宋体" w:hAnsi="宋体"/>
          <w:color w:val="auto"/>
          <w:sz w:val="24"/>
          <w:szCs w:val="24"/>
        </w:rPr>
        <w:t>根据《中华人民共和国招标投标法》等有关规定，结合我省房屋建筑和市政基础设施施工招标投标活动的实际情况，制定《浙江省房屋建筑和市政基础设施施工招标文件示范文本（2021版）》。</w:t>
      </w:r>
    </w:p>
    <w:p>
      <w:pPr>
        <w:pStyle w:val="151"/>
        <w:numPr>
          <w:ilvl w:val="0"/>
          <w:numId w:val="2"/>
        </w:numPr>
        <w:spacing w:line="336" w:lineRule="auto"/>
        <w:ind w:left="0" w:firstLine="480"/>
        <w:jc w:val="left"/>
        <w:rPr>
          <w:rFonts w:ascii="宋体" w:hAnsi="宋体"/>
          <w:color w:val="auto"/>
          <w:sz w:val="24"/>
          <w:szCs w:val="24"/>
        </w:rPr>
      </w:pPr>
      <w:r>
        <w:rPr>
          <w:rFonts w:hint="eastAsia" w:ascii="宋体" w:hAnsi="宋体"/>
          <w:color w:val="auto"/>
          <w:sz w:val="24"/>
          <w:szCs w:val="24"/>
        </w:rPr>
        <w:t>本施工招标文件示范文本适用于浙江省行政区域内采用资格后审依法必须招标的房屋建筑和市政基础设施工程项目</w:t>
      </w:r>
      <w:r>
        <w:rPr>
          <w:rFonts w:ascii="宋体" w:hAnsi="宋体"/>
          <w:color w:val="auto"/>
          <w:sz w:val="24"/>
          <w:szCs w:val="24"/>
        </w:rPr>
        <w:t>。</w:t>
      </w:r>
    </w:p>
    <w:p>
      <w:pPr>
        <w:pStyle w:val="151"/>
        <w:numPr>
          <w:ilvl w:val="0"/>
          <w:numId w:val="2"/>
        </w:numPr>
        <w:spacing w:line="360" w:lineRule="auto"/>
        <w:ind w:left="0" w:firstLine="480"/>
        <w:jc w:val="left"/>
        <w:rPr>
          <w:rFonts w:ascii="宋体" w:hAnsi="宋体"/>
          <w:color w:val="auto"/>
          <w:sz w:val="24"/>
          <w:szCs w:val="24"/>
        </w:rPr>
      </w:pPr>
      <w:r>
        <w:rPr>
          <w:rFonts w:hint="eastAsia" w:ascii="宋体" w:hAnsi="宋体"/>
          <w:color w:val="auto"/>
          <w:sz w:val="24"/>
          <w:szCs w:val="24"/>
        </w:rPr>
        <w:t>本施工招标文件示范文本的主要编写依据：</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《中华人民共和国建筑法》；</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《中华人民共和国招标投标法》；</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《中华人民共和国民法典》；</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《中华人民共和国招标投标法实施条例》；</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《浙江省建筑业管理条例》；</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《浙江省招标投标条例》；</w:t>
      </w:r>
    </w:p>
    <w:p>
      <w:pPr>
        <w:pStyle w:val="151"/>
        <w:numPr>
          <w:ilvl w:val="0"/>
          <w:numId w:val="3"/>
        </w:numPr>
        <w:spacing w:line="360" w:lineRule="auto"/>
        <w:ind w:left="0" w:firstLine="480" w:firstLineChars="0"/>
        <w:jc w:val="left"/>
        <w:rPr>
          <w:rFonts w:ascii="宋体" w:hAnsi="宋体"/>
          <w:color w:val="auto"/>
          <w:sz w:val="24"/>
          <w:szCs w:val="24"/>
        </w:rPr>
      </w:pPr>
      <w:r>
        <w:rPr>
          <w:rFonts w:hint="eastAsia" w:ascii="宋体" w:hAnsi="宋体"/>
          <w:color w:val="auto"/>
          <w:sz w:val="24"/>
          <w:szCs w:val="24"/>
        </w:rPr>
        <w:t>《浙江省建设工程造价管理办法》（浙江省人民政府令第</w:t>
      </w:r>
      <w:r>
        <w:rPr>
          <w:rFonts w:ascii="宋体" w:hAnsi="宋体"/>
          <w:color w:val="auto"/>
          <w:sz w:val="24"/>
          <w:szCs w:val="24"/>
        </w:rPr>
        <w:t>296号</w:t>
      </w:r>
      <w:r>
        <w:rPr>
          <w:rFonts w:hint="eastAsia" w:ascii="宋体" w:hAnsi="宋体"/>
          <w:color w:val="auto"/>
          <w:sz w:val="24"/>
          <w:szCs w:val="24"/>
        </w:rPr>
        <w:t>，第</w:t>
      </w:r>
      <w:r>
        <w:rPr>
          <w:rFonts w:ascii="宋体" w:hAnsi="宋体"/>
          <w:color w:val="auto"/>
          <w:sz w:val="24"/>
          <w:szCs w:val="24"/>
        </w:rPr>
        <w:t>378号</w:t>
      </w:r>
      <w:r>
        <w:rPr>
          <w:rFonts w:hint="eastAsia" w:ascii="宋体" w:hAnsi="宋体"/>
          <w:color w:val="auto"/>
          <w:sz w:val="24"/>
          <w:szCs w:val="24"/>
        </w:rPr>
        <w:t>修正</w:t>
      </w:r>
      <w:r>
        <w:rPr>
          <w:rFonts w:ascii="宋体" w:hAnsi="宋体"/>
          <w:color w:val="auto"/>
          <w:sz w:val="24"/>
          <w:szCs w:val="24"/>
        </w:rPr>
        <w:t>）</w:t>
      </w:r>
      <w:r>
        <w:rPr>
          <w:rFonts w:hint="eastAsia"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bookmarkStart w:id="1" w:name="_Hlk47595832"/>
      <w:r>
        <w:rPr>
          <w:rFonts w:hint="eastAsia" w:ascii="宋体" w:hAnsi="宋体"/>
          <w:color w:val="auto"/>
          <w:sz w:val="24"/>
          <w:szCs w:val="24"/>
        </w:rPr>
        <w:t>《浙江省综合性评标专家库管理办法》（浙江省人民政府令第</w:t>
      </w:r>
      <w:r>
        <w:rPr>
          <w:rFonts w:ascii="宋体" w:hAnsi="宋体"/>
          <w:color w:val="auto"/>
          <w:sz w:val="24"/>
          <w:szCs w:val="24"/>
        </w:rPr>
        <w:t>279号</w:t>
      </w:r>
      <w:r>
        <w:rPr>
          <w:rFonts w:hint="eastAsia" w:ascii="宋体" w:hAnsi="宋体"/>
          <w:color w:val="auto"/>
          <w:sz w:val="24"/>
          <w:szCs w:val="24"/>
        </w:rPr>
        <w:t>）</w:t>
      </w:r>
      <w:bookmarkEnd w:id="1"/>
      <w:r>
        <w:rPr>
          <w:rFonts w:hint="eastAsia"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《工程建设项目招标投标活动投诉处理办法》</w:t>
      </w:r>
      <w:r>
        <w:rPr>
          <w:rFonts w:ascii="宋体" w:hAnsi="宋体"/>
          <w:color w:val="auto"/>
          <w:sz w:val="24"/>
          <w:szCs w:val="24"/>
        </w:rPr>
        <w:t>(国家</w:t>
      </w:r>
      <w:r>
        <w:rPr>
          <w:rFonts w:hint="eastAsia" w:ascii="宋体" w:hAnsi="宋体"/>
          <w:color w:val="auto"/>
          <w:sz w:val="24"/>
          <w:szCs w:val="24"/>
        </w:rPr>
        <w:t>发改委等7</w:t>
      </w:r>
      <w:r>
        <w:rPr>
          <w:rFonts w:ascii="宋体" w:hAnsi="宋体"/>
          <w:color w:val="auto"/>
          <w:sz w:val="24"/>
          <w:szCs w:val="24"/>
        </w:rPr>
        <w:t>部委令第11号</w:t>
      </w:r>
      <w:r>
        <w:rPr>
          <w:rFonts w:hint="eastAsia" w:ascii="宋体" w:hAnsi="宋体"/>
          <w:color w:val="auto"/>
          <w:sz w:val="24"/>
          <w:szCs w:val="24"/>
        </w:rPr>
        <w:t>，国家发改委等9部委令第</w:t>
      </w:r>
      <w:r>
        <w:rPr>
          <w:rFonts w:ascii="宋体" w:hAnsi="宋体"/>
          <w:color w:val="auto"/>
          <w:sz w:val="24"/>
          <w:szCs w:val="24"/>
        </w:rPr>
        <w:t>23号</w:t>
      </w:r>
      <w:r>
        <w:rPr>
          <w:rFonts w:hint="eastAsia" w:ascii="宋体" w:hAnsi="宋体"/>
          <w:color w:val="auto"/>
          <w:sz w:val="24"/>
          <w:szCs w:val="24"/>
        </w:rPr>
        <w:t>修改</w:t>
      </w:r>
      <w:r>
        <w:rPr>
          <w:rFonts w:ascii="宋体" w:hAnsi="宋体"/>
          <w:color w:val="auto"/>
          <w:sz w:val="24"/>
          <w:szCs w:val="24"/>
        </w:rPr>
        <w:t>)</w:t>
      </w:r>
      <w:r>
        <w:rPr>
          <w:rFonts w:hint="eastAsia" w:ascii="宋体" w:hAnsi="宋体"/>
          <w:color w:val="auto"/>
          <w:sz w:val="24"/>
          <w:szCs w:val="24"/>
        </w:rPr>
        <w:t>；</w:t>
      </w:r>
    </w:p>
    <w:p>
      <w:pPr>
        <w:pStyle w:val="151"/>
        <w:numPr>
          <w:ilvl w:val="0"/>
          <w:numId w:val="3"/>
        </w:numPr>
        <w:spacing w:line="360" w:lineRule="auto"/>
        <w:ind w:left="0" w:firstLine="480" w:firstLineChars="0"/>
        <w:jc w:val="left"/>
        <w:rPr>
          <w:rFonts w:ascii="宋体" w:hAnsi="宋体"/>
          <w:color w:val="auto"/>
          <w:sz w:val="24"/>
          <w:szCs w:val="24"/>
        </w:rPr>
      </w:pPr>
      <w:r>
        <w:rPr>
          <w:rFonts w:hint="eastAsia" w:ascii="宋体" w:hAnsi="宋体"/>
          <w:color w:val="auto"/>
          <w:sz w:val="24"/>
          <w:szCs w:val="24"/>
        </w:rPr>
        <w:t>《评标委员会和评标方法暂行规定》</w:t>
      </w:r>
      <w:r>
        <w:rPr>
          <w:rFonts w:ascii="宋体" w:hAnsi="宋体"/>
          <w:color w:val="auto"/>
          <w:sz w:val="24"/>
          <w:szCs w:val="24"/>
        </w:rPr>
        <w:t>(国家</w:t>
      </w:r>
      <w:r>
        <w:rPr>
          <w:rFonts w:hint="eastAsia" w:ascii="宋体" w:hAnsi="宋体"/>
          <w:color w:val="auto"/>
          <w:sz w:val="24"/>
          <w:szCs w:val="24"/>
        </w:rPr>
        <w:t>计委等7</w:t>
      </w:r>
      <w:r>
        <w:rPr>
          <w:rFonts w:ascii="宋体" w:hAnsi="宋体"/>
          <w:color w:val="auto"/>
          <w:sz w:val="24"/>
          <w:szCs w:val="24"/>
        </w:rPr>
        <w:t>部委令第12号</w:t>
      </w:r>
      <w:r>
        <w:rPr>
          <w:rFonts w:hint="eastAsia" w:ascii="宋体" w:hAnsi="宋体"/>
          <w:color w:val="auto"/>
          <w:sz w:val="24"/>
          <w:szCs w:val="24"/>
        </w:rPr>
        <w:t>，国家发改委等9部委令第</w:t>
      </w:r>
      <w:r>
        <w:rPr>
          <w:rFonts w:ascii="宋体" w:hAnsi="宋体"/>
          <w:color w:val="auto"/>
          <w:sz w:val="24"/>
          <w:szCs w:val="24"/>
        </w:rPr>
        <w:t>23号</w:t>
      </w:r>
      <w:r>
        <w:rPr>
          <w:rFonts w:hint="eastAsia" w:ascii="宋体" w:hAnsi="宋体"/>
          <w:color w:val="auto"/>
          <w:sz w:val="24"/>
          <w:szCs w:val="24"/>
        </w:rPr>
        <w:t>修改</w:t>
      </w:r>
      <w:r>
        <w:rPr>
          <w:rFonts w:ascii="宋体" w:hAnsi="宋体"/>
          <w:color w:val="auto"/>
          <w:sz w:val="24"/>
          <w:szCs w:val="24"/>
        </w:rPr>
        <w:t>)</w:t>
      </w:r>
      <w:r>
        <w:rPr>
          <w:rFonts w:hint="eastAsia" w:ascii="宋体" w:hAnsi="宋体"/>
          <w:color w:val="auto"/>
          <w:sz w:val="24"/>
          <w:szCs w:val="24"/>
        </w:rPr>
        <w:t>；</w:t>
      </w:r>
    </w:p>
    <w:p>
      <w:pPr>
        <w:pStyle w:val="151"/>
        <w:numPr>
          <w:ilvl w:val="0"/>
          <w:numId w:val="3"/>
        </w:numPr>
        <w:spacing w:line="360" w:lineRule="auto"/>
        <w:ind w:left="0" w:firstLine="480" w:firstLineChars="0"/>
        <w:jc w:val="left"/>
        <w:rPr>
          <w:rFonts w:ascii="宋体" w:hAnsi="宋体"/>
          <w:color w:val="auto"/>
          <w:sz w:val="24"/>
          <w:szCs w:val="24"/>
        </w:rPr>
      </w:pPr>
      <w:r>
        <w:rPr>
          <w:rFonts w:hint="eastAsia" w:ascii="宋体" w:hAnsi="宋体"/>
          <w:color w:val="auto"/>
          <w:sz w:val="24"/>
          <w:szCs w:val="24"/>
        </w:rPr>
        <w:t>《工程建设项目施工招标投标办法》（国家发改委等7部委令第</w:t>
      </w:r>
      <w:r>
        <w:rPr>
          <w:rFonts w:ascii="宋体" w:hAnsi="宋体"/>
          <w:color w:val="auto"/>
          <w:sz w:val="24"/>
          <w:szCs w:val="24"/>
        </w:rPr>
        <w:t>30号</w:t>
      </w:r>
      <w:r>
        <w:rPr>
          <w:rFonts w:hint="eastAsia" w:ascii="宋体" w:hAnsi="宋体"/>
          <w:color w:val="auto"/>
          <w:sz w:val="24"/>
          <w:szCs w:val="24"/>
        </w:rPr>
        <w:t>，国家发改委等9部委令第</w:t>
      </w:r>
      <w:r>
        <w:rPr>
          <w:rFonts w:ascii="宋体" w:hAnsi="宋体"/>
          <w:color w:val="auto"/>
          <w:sz w:val="24"/>
          <w:szCs w:val="24"/>
        </w:rPr>
        <w:t>23号</w:t>
      </w:r>
      <w:r>
        <w:rPr>
          <w:rFonts w:hint="eastAsia" w:ascii="宋体" w:hAnsi="宋体"/>
          <w:color w:val="auto"/>
          <w:sz w:val="24"/>
          <w:szCs w:val="24"/>
        </w:rPr>
        <w:t>修改）；</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《电子招标投标办法》</w:t>
      </w:r>
      <w:r>
        <w:rPr>
          <w:rFonts w:ascii="宋体" w:hAnsi="宋体"/>
          <w:color w:val="auto"/>
          <w:sz w:val="24"/>
          <w:szCs w:val="24"/>
        </w:rPr>
        <w:t>(国家</w:t>
      </w:r>
      <w:r>
        <w:rPr>
          <w:rFonts w:hint="eastAsia" w:ascii="宋体" w:hAnsi="宋体"/>
          <w:color w:val="auto"/>
          <w:sz w:val="24"/>
          <w:szCs w:val="24"/>
        </w:rPr>
        <w:t>发改委等8</w:t>
      </w:r>
      <w:r>
        <w:rPr>
          <w:rFonts w:ascii="宋体" w:hAnsi="宋体"/>
          <w:color w:val="auto"/>
          <w:sz w:val="24"/>
          <w:szCs w:val="24"/>
        </w:rPr>
        <w:t>部委令第20号)</w:t>
      </w:r>
      <w:r>
        <w:rPr>
          <w:rFonts w:hint="eastAsia"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《房屋建筑和市政基础设施工程施工招标投标管理办法》（</w:t>
      </w:r>
      <w:r>
        <w:rPr>
          <w:rFonts w:ascii="宋体" w:hAnsi="宋体"/>
          <w:color w:val="auto"/>
          <w:sz w:val="24"/>
          <w:szCs w:val="24"/>
        </w:rPr>
        <w:t>住房</w:t>
      </w:r>
      <w:r>
        <w:rPr>
          <w:rFonts w:hint="eastAsia" w:ascii="宋体" w:hAnsi="宋体"/>
          <w:color w:val="auto"/>
          <w:sz w:val="24"/>
          <w:szCs w:val="24"/>
        </w:rPr>
        <w:t>和</w:t>
      </w:r>
      <w:r>
        <w:rPr>
          <w:rFonts w:ascii="宋体" w:hAnsi="宋体"/>
          <w:color w:val="auto"/>
          <w:sz w:val="24"/>
          <w:szCs w:val="24"/>
        </w:rPr>
        <w:t>城乡建设部</w:t>
      </w:r>
      <w:r>
        <w:rPr>
          <w:rFonts w:hint="eastAsia" w:ascii="宋体" w:hAnsi="宋体"/>
          <w:color w:val="auto"/>
          <w:sz w:val="24"/>
          <w:szCs w:val="24"/>
        </w:rPr>
        <w:t>令第</w:t>
      </w:r>
      <w:r>
        <w:rPr>
          <w:rFonts w:ascii="宋体" w:hAnsi="宋体"/>
          <w:color w:val="auto"/>
          <w:sz w:val="24"/>
          <w:szCs w:val="24"/>
        </w:rPr>
        <w:t>43号）</w:t>
      </w:r>
      <w:r>
        <w:rPr>
          <w:rFonts w:hint="eastAsia"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《必须招标的工程项目规定》（国家发改委令第16</w:t>
      </w:r>
      <w:r>
        <w:rPr>
          <w:rFonts w:ascii="宋体" w:hAnsi="宋体"/>
          <w:color w:val="auto"/>
          <w:sz w:val="24"/>
          <w:szCs w:val="24"/>
        </w:rPr>
        <w:t>号）</w:t>
      </w:r>
      <w:r>
        <w:rPr>
          <w:rFonts w:hint="eastAsia"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《建设工程工程量清单计价规范》（</w:t>
      </w:r>
      <w:r>
        <w:rPr>
          <w:rFonts w:ascii="宋体" w:hAnsi="宋体"/>
          <w:color w:val="auto"/>
          <w:sz w:val="24"/>
          <w:szCs w:val="24"/>
        </w:rPr>
        <w:t>GB50500-2013）；</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《住房和城乡建设部关于进一步加强房屋建筑和市政基础设施工程招标投标监管的指导意见》（建市规〔</w:t>
      </w:r>
      <w:r>
        <w:rPr>
          <w:rFonts w:ascii="宋体" w:hAnsi="宋体"/>
          <w:color w:val="auto"/>
          <w:sz w:val="24"/>
          <w:szCs w:val="24"/>
        </w:rPr>
        <w:t>2019〕11号）</w:t>
      </w:r>
      <w:r>
        <w:rPr>
          <w:rFonts w:hint="eastAsia"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w:t>
      </w:r>
      <w:r>
        <w:rPr>
          <w:rFonts w:ascii="宋体" w:hAnsi="宋体" w:cs="宋体"/>
          <w:color w:val="auto"/>
          <w:sz w:val="24"/>
          <w:szCs w:val="24"/>
        </w:rPr>
        <w:t>浙江省人民政府关于进一步加强工程建设项目招标投标领域依法治理的意见</w:t>
      </w:r>
      <w:r>
        <w:rPr>
          <w:rFonts w:hint="eastAsia" w:ascii="宋体" w:hAnsi="宋体"/>
          <w:color w:val="auto"/>
          <w:sz w:val="24"/>
          <w:szCs w:val="24"/>
        </w:rPr>
        <w:t>》</w:t>
      </w:r>
      <w:r>
        <w:rPr>
          <w:rFonts w:ascii="宋体" w:hAnsi="宋体"/>
          <w:color w:val="auto"/>
          <w:sz w:val="24"/>
          <w:szCs w:val="24"/>
        </w:rPr>
        <w:t>(浙政发〔20</w:t>
      </w:r>
      <w:r>
        <w:rPr>
          <w:rFonts w:hint="eastAsia" w:ascii="宋体" w:hAnsi="宋体"/>
          <w:color w:val="auto"/>
          <w:sz w:val="24"/>
          <w:szCs w:val="24"/>
        </w:rPr>
        <w:t>21</w:t>
      </w:r>
      <w:r>
        <w:rPr>
          <w:rFonts w:ascii="宋体" w:hAnsi="宋体"/>
          <w:color w:val="auto"/>
          <w:sz w:val="24"/>
          <w:szCs w:val="24"/>
        </w:rPr>
        <w:t>〕</w:t>
      </w:r>
      <w:r>
        <w:rPr>
          <w:rFonts w:hint="eastAsia" w:ascii="宋体" w:hAnsi="宋体"/>
          <w:color w:val="auto"/>
          <w:sz w:val="24"/>
          <w:szCs w:val="24"/>
        </w:rPr>
        <w:t>5</w:t>
      </w:r>
      <w:r>
        <w:rPr>
          <w:rFonts w:ascii="宋体" w:hAnsi="宋体"/>
          <w:color w:val="auto"/>
          <w:sz w:val="24"/>
          <w:szCs w:val="24"/>
        </w:rPr>
        <w:t>号)</w:t>
      </w:r>
      <w:r>
        <w:rPr>
          <w:rFonts w:hint="eastAsia"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w:t>
      </w:r>
      <w:r>
        <w:rPr>
          <w:rFonts w:ascii="宋体" w:hAnsi="宋体" w:cs="宋体"/>
          <w:color w:val="auto"/>
          <w:sz w:val="24"/>
          <w:szCs w:val="24"/>
        </w:rPr>
        <w:t>浙江省人民政府</w:t>
      </w:r>
      <w:r>
        <w:rPr>
          <w:rFonts w:hint="eastAsia" w:ascii="宋体" w:hAnsi="宋体" w:cs="宋体"/>
          <w:color w:val="auto"/>
          <w:sz w:val="24"/>
          <w:szCs w:val="24"/>
        </w:rPr>
        <w:t>办公厅关于推动浙江建筑业改革创新高质量发展的实施意见</w:t>
      </w:r>
      <w:r>
        <w:rPr>
          <w:rFonts w:hint="eastAsia" w:ascii="宋体" w:hAnsi="宋体"/>
          <w:color w:val="auto"/>
          <w:sz w:val="24"/>
          <w:szCs w:val="24"/>
        </w:rPr>
        <w:t>》</w:t>
      </w:r>
      <w:r>
        <w:rPr>
          <w:rFonts w:ascii="宋体" w:hAnsi="宋体"/>
          <w:color w:val="auto"/>
          <w:sz w:val="24"/>
          <w:szCs w:val="24"/>
        </w:rPr>
        <w:t>(浙政</w:t>
      </w:r>
      <w:r>
        <w:rPr>
          <w:rFonts w:hint="eastAsia" w:ascii="宋体" w:hAnsi="宋体"/>
          <w:color w:val="auto"/>
          <w:sz w:val="24"/>
          <w:szCs w:val="24"/>
        </w:rPr>
        <w:t>办</w:t>
      </w:r>
      <w:r>
        <w:rPr>
          <w:rFonts w:ascii="宋体" w:hAnsi="宋体"/>
          <w:color w:val="auto"/>
          <w:sz w:val="24"/>
          <w:szCs w:val="24"/>
        </w:rPr>
        <w:t>发〔20</w:t>
      </w:r>
      <w:r>
        <w:rPr>
          <w:rFonts w:hint="eastAsia" w:ascii="宋体" w:hAnsi="宋体"/>
          <w:color w:val="auto"/>
          <w:sz w:val="24"/>
          <w:szCs w:val="24"/>
        </w:rPr>
        <w:t>21</w:t>
      </w:r>
      <w:r>
        <w:rPr>
          <w:rFonts w:ascii="宋体" w:hAnsi="宋体"/>
          <w:color w:val="auto"/>
          <w:sz w:val="24"/>
          <w:szCs w:val="24"/>
        </w:rPr>
        <w:t>〕</w:t>
      </w:r>
      <w:r>
        <w:rPr>
          <w:rFonts w:hint="eastAsia" w:ascii="宋体" w:hAnsi="宋体"/>
          <w:color w:val="auto"/>
          <w:sz w:val="24"/>
          <w:szCs w:val="24"/>
        </w:rPr>
        <w:t>19</w:t>
      </w:r>
      <w:r>
        <w:rPr>
          <w:rFonts w:ascii="宋体" w:hAnsi="宋体"/>
          <w:color w:val="auto"/>
          <w:sz w:val="24"/>
          <w:szCs w:val="24"/>
        </w:rPr>
        <w:t>号)</w:t>
      </w:r>
      <w:r>
        <w:rPr>
          <w:rFonts w:hint="eastAsia"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《关于规范建设工程施工招标文件计价条款的指导意见》（浙建〔2016〕2号）；</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《浙江省关于进一步加强房屋建筑和市政基础设施工程项目招标投标行政监督管理工作的指导意见》（浙建〔</w:t>
      </w:r>
      <w:r>
        <w:rPr>
          <w:rFonts w:ascii="宋体" w:hAnsi="宋体"/>
          <w:color w:val="auto"/>
          <w:sz w:val="24"/>
          <w:szCs w:val="24"/>
        </w:rPr>
        <w:t>2014〕9号</w:t>
      </w:r>
      <w:r>
        <w:rPr>
          <w:rFonts w:hint="eastAsia"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《关于在房屋建筑和市政基础设施工程中推行施工过程结算的实施意见》（浙建〔</w:t>
      </w:r>
      <w:r>
        <w:rPr>
          <w:rFonts w:ascii="宋体" w:hAnsi="宋体"/>
          <w:color w:val="auto"/>
          <w:sz w:val="24"/>
          <w:szCs w:val="24"/>
        </w:rPr>
        <w:t>2020〕5号）</w:t>
      </w:r>
      <w:r>
        <w:rPr>
          <w:rFonts w:hint="eastAsia" w:ascii="宋体" w:hAnsi="宋体"/>
          <w:color w:val="auto"/>
          <w:sz w:val="24"/>
          <w:szCs w:val="24"/>
        </w:rPr>
        <w:t>；</w:t>
      </w:r>
    </w:p>
    <w:p>
      <w:pPr>
        <w:pStyle w:val="151"/>
        <w:numPr>
          <w:ilvl w:val="0"/>
          <w:numId w:val="3"/>
        </w:numPr>
        <w:spacing w:line="360" w:lineRule="auto"/>
        <w:ind w:left="0" w:firstLine="480" w:firstLineChars="0"/>
        <w:jc w:val="left"/>
        <w:rPr>
          <w:rFonts w:ascii="宋体" w:hAnsi="宋体"/>
          <w:color w:val="auto"/>
          <w:sz w:val="24"/>
          <w:szCs w:val="24"/>
        </w:rPr>
      </w:pPr>
      <w:r>
        <w:rPr>
          <w:rFonts w:ascii="宋体" w:hAnsi="宋体"/>
          <w:color w:val="auto"/>
          <w:sz w:val="24"/>
          <w:szCs w:val="24"/>
        </w:rPr>
        <w:t>《</w:t>
      </w:r>
      <w:r>
        <w:rPr>
          <w:rFonts w:hint="eastAsia" w:ascii="宋体" w:hAnsi="宋体"/>
          <w:color w:val="auto"/>
          <w:sz w:val="24"/>
          <w:szCs w:val="24"/>
        </w:rPr>
        <w:t>关于在全省工程建设领域改革保证金制度的通知》（浙建〔</w:t>
      </w:r>
      <w:r>
        <w:rPr>
          <w:rFonts w:ascii="宋体" w:hAnsi="宋体"/>
          <w:color w:val="auto"/>
          <w:sz w:val="24"/>
          <w:szCs w:val="24"/>
        </w:rPr>
        <w:t>2020〕7号）</w:t>
      </w:r>
      <w:r>
        <w:rPr>
          <w:rFonts w:hint="eastAsia"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《房屋建筑和市政工程标准施工招标文件》（建市〔</w:t>
      </w:r>
      <w:r>
        <w:rPr>
          <w:rFonts w:ascii="宋体" w:hAnsi="宋体"/>
          <w:color w:val="auto"/>
          <w:sz w:val="24"/>
          <w:szCs w:val="24"/>
        </w:rPr>
        <w:t>20</w:t>
      </w:r>
      <w:r>
        <w:rPr>
          <w:rFonts w:hint="eastAsia" w:ascii="宋体" w:hAnsi="宋体"/>
          <w:color w:val="auto"/>
          <w:sz w:val="24"/>
          <w:szCs w:val="24"/>
        </w:rPr>
        <w:t>10</w:t>
      </w:r>
      <w:r>
        <w:rPr>
          <w:rFonts w:ascii="宋体" w:hAnsi="宋体"/>
          <w:color w:val="auto"/>
          <w:sz w:val="24"/>
          <w:szCs w:val="24"/>
        </w:rPr>
        <w:t>〕</w:t>
      </w:r>
      <w:r>
        <w:rPr>
          <w:rFonts w:hint="eastAsia" w:ascii="宋体" w:hAnsi="宋体"/>
          <w:color w:val="auto"/>
          <w:sz w:val="24"/>
          <w:szCs w:val="24"/>
        </w:rPr>
        <w:t>88号</w:t>
      </w:r>
      <w:r>
        <w:rPr>
          <w:rFonts w:ascii="宋体" w:hAnsi="宋体"/>
          <w:color w:val="auto"/>
          <w:sz w:val="24"/>
          <w:szCs w:val="24"/>
        </w:rPr>
        <w:t>）；</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《浙江省建设工程计价规则（2018版）》；</w:t>
      </w:r>
    </w:p>
    <w:p>
      <w:pPr>
        <w:pStyle w:val="151"/>
        <w:numPr>
          <w:ilvl w:val="0"/>
          <w:numId w:val="3"/>
        </w:numPr>
        <w:spacing w:line="360" w:lineRule="auto"/>
        <w:ind w:left="0" w:firstLine="480"/>
        <w:jc w:val="left"/>
        <w:rPr>
          <w:rFonts w:ascii="宋体" w:hAnsi="宋体"/>
          <w:color w:val="auto"/>
          <w:sz w:val="24"/>
          <w:szCs w:val="24"/>
        </w:rPr>
      </w:pPr>
      <w:r>
        <w:rPr>
          <w:rFonts w:hint="eastAsia" w:ascii="宋体" w:hAnsi="宋体"/>
          <w:color w:val="auto"/>
          <w:sz w:val="24"/>
          <w:szCs w:val="24"/>
        </w:rPr>
        <w:t>其他有关工程建设的法律、法规、规章和行政规范性文件。</w:t>
      </w:r>
    </w:p>
    <w:p>
      <w:pPr>
        <w:widowControl/>
        <w:autoSpaceDE/>
        <w:autoSpaceDN/>
        <w:adjustRightInd/>
        <w:rPr>
          <w:rFonts w:ascii="黑体" w:hAnsi="黑体" w:eastAsia="黑体"/>
          <w:color w:val="auto"/>
          <w:sz w:val="44"/>
          <w:szCs w:val="44"/>
        </w:rPr>
      </w:pPr>
      <w:bookmarkStart w:id="2" w:name="_Toc45697218"/>
      <w:r>
        <w:rPr>
          <w:rFonts w:ascii="黑体" w:hAnsi="黑体" w:eastAsia="黑体"/>
          <w:color w:val="auto"/>
          <w:sz w:val="44"/>
          <w:szCs w:val="44"/>
        </w:rPr>
        <w:br w:type="page"/>
      </w:r>
    </w:p>
    <w:p>
      <w:pPr>
        <w:jc w:val="center"/>
        <w:rPr>
          <w:rFonts w:ascii="黑体" w:hAnsi="黑体" w:eastAsia="黑体"/>
          <w:color w:val="auto"/>
          <w:sz w:val="44"/>
          <w:szCs w:val="44"/>
        </w:rPr>
      </w:pPr>
      <w:r>
        <w:rPr>
          <w:rFonts w:hint="eastAsia" w:ascii="黑体" w:hAnsi="黑体" w:eastAsia="黑体"/>
          <w:color w:val="auto"/>
          <w:sz w:val="44"/>
          <w:szCs w:val="44"/>
        </w:rPr>
        <w:t>使</w:t>
      </w:r>
      <w:r>
        <w:rPr>
          <w:rFonts w:ascii="黑体" w:hAnsi="黑体" w:eastAsia="黑体"/>
          <w:color w:val="auto"/>
          <w:sz w:val="44"/>
          <w:szCs w:val="44"/>
        </w:rPr>
        <w:t>用指</w:t>
      </w:r>
      <w:r>
        <w:rPr>
          <w:rFonts w:hint="eastAsia" w:ascii="黑体" w:hAnsi="黑体" w:eastAsia="黑体"/>
          <w:color w:val="auto"/>
          <w:sz w:val="44"/>
          <w:szCs w:val="44"/>
        </w:rPr>
        <w:t>南</w:t>
      </w:r>
      <w:bookmarkEnd w:id="2"/>
    </w:p>
    <w:p>
      <w:pPr>
        <w:pStyle w:val="151"/>
        <w:numPr>
          <w:ilvl w:val="0"/>
          <w:numId w:val="4"/>
        </w:numPr>
        <w:spacing w:line="360" w:lineRule="auto"/>
        <w:ind w:left="0" w:firstLine="482"/>
        <w:jc w:val="left"/>
        <w:rPr>
          <w:rFonts w:ascii="宋体" w:hAnsi="宋体"/>
          <w:b/>
          <w:color w:val="auto"/>
          <w:kern w:val="0"/>
          <w:sz w:val="24"/>
          <w:szCs w:val="24"/>
        </w:rPr>
      </w:pPr>
      <w:bookmarkStart w:id="3" w:name="_Hlk25926924"/>
      <w:r>
        <w:rPr>
          <w:rFonts w:hint="eastAsia" w:ascii="宋体" w:hAnsi="宋体"/>
          <w:b/>
          <w:color w:val="auto"/>
          <w:kern w:val="0"/>
          <w:sz w:val="24"/>
          <w:szCs w:val="24"/>
        </w:rPr>
        <w:t>总体要求</w:t>
      </w:r>
    </w:p>
    <w:bookmarkEnd w:id="3"/>
    <w:p>
      <w:pPr>
        <w:pStyle w:val="151"/>
        <w:numPr>
          <w:ilvl w:val="0"/>
          <w:numId w:val="5"/>
        </w:numPr>
        <w:spacing w:line="360" w:lineRule="auto"/>
        <w:ind w:left="0" w:firstLine="480"/>
        <w:jc w:val="left"/>
        <w:rPr>
          <w:rFonts w:ascii="宋体" w:hAnsi="宋体"/>
          <w:color w:val="auto"/>
          <w:sz w:val="24"/>
          <w:szCs w:val="24"/>
        </w:rPr>
      </w:pPr>
      <w:r>
        <w:rPr>
          <w:rFonts w:hint="eastAsia" w:ascii="宋体" w:hAnsi="宋体"/>
          <w:color w:val="auto"/>
          <w:sz w:val="24"/>
          <w:szCs w:val="24"/>
        </w:rPr>
        <w:t>在浙江省行政区域内依法必须招标的房屋建筑和市政基础设施工程施工招标采用资格后审的，招标人应使用本示范文本编制招标文件。</w:t>
      </w:r>
    </w:p>
    <w:p>
      <w:pPr>
        <w:pStyle w:val="151"/>
        <w:numPr>
          <w:ilvl w:val="0"/>
          <w:numId w:val="5"/>
        </w:numPr>
        <w:spacing w:line="360" w:lineRule="auto"/>
        <w:ind w:left="0" w:firstLine="480"/>
        <w:jc w:val="left"/>
        <w:rPr>
          <w:rFonts w:ascii="宋体" w:hAnsi="宋体"/>
          <w:color w:val="auto"/>
          <w:sz w:val="24"/>
          <w:szCs w:val="24"/>
        </w:rPr>
      </w:pPr>
      <w:r>
        <w:rPr>
          <w:rFonts w:hint="eastAsia" w:ascii="宋体" w:hAnsi="宋体"/>
          <w:color w:val="auto"/>
          <w:sz w:val="24"/>
          <w:szCs w:val="24"/>
        </w:rPr>
        <w:t>有下划线和投标人须知前附表空白部分，由招标人根据招标项目实际情况和国家有关法律法规规定进行填写，文字应采用斜体字；确实不需要填写内容的，用“</w:t>
      </w:r>
      <w:r>
        <w:rPr>
          <w:rFonts w:ascii="宋体" w:hAnsi="宋体"/>
          <w:color w:val="auto"/>
          <w:sz w:val="24"/>
          <w:szCs w:val="24"/>
        </w:rPr>
        <w:t>/”标示。</w:t>
      </w:r>
    </w:p>
    <w:p>
      <w:pPr>
        <w:pStyle w:val="151"/>
        <w:numPr>
          <w:ilvl w:val="0"/>
          <w:numId w:val="5"/>
        </w:numPr>
        <w:spacing w:line="360" w:lineRule="auto"/>
        <w:ind w:left="0" w:firstLine="480"/>
        <w:jc w:val="left"/>
        <w:rPr>
          <w:rFonts w:ascii="宋体" w:hAnsi="宋体"/>
          <w:color w:val="auto"/>
          <w:sz w:val="24"/>
          <w:szCs w:val="24"/>
        </w:rPr>
      </w:pPr>
      <w:r>
        <w:rPr>
          <w:rFonts w:hint="eastAsia" w:ascii="宋体" w:hAnsi="宋体"/>
          <w:color w:val="auto"/>
          <w:sz w:val="24"/>
          <w:szCs w:val="24"/>
        </w:rPr>
        <w:t>除可选择部分、下划线空白部分由招标人根据以上两项进行选择或填写外，其他文字不得改动。</w:t>
      </w:r>
    </w:p>
    <w:p>
      <w:pPr>
        <w:pStyle w:val="151"/>
        <w:numPr>
          <w:ilvl w:val="0"/>
          <w:numId w:val="5"/>
        </w:numPr>
        <w:spacing w:line="360" w:lineRule="auto"/>
        <w:ind w:left="0" w:firstLine="480"/>
        <w:jc w:val="left"/>
        <w:rPr>
          <w:rFonts w:ascii="宋体" w:hAnsi="宋体"/>
          <w:color w:val="auto"/>
          <w:sz w:val="24"/>
          <w:szCs w:val="24"/>
        </w:rPr>
      </w:pPr>
      <w:r>
        <w:rPr>
          <w:rFonts w:ascii="宋体" w:hAnsi="宋体" w:cs="宋体"/>
          <w:color w:val="auto"/>
          <w:sz w:val="24"/>
          <w:szCs w:val="24"/>
        </w:rPr>
        <w:t>采用公开招标方式的，在招标文件送有关行政监督部门备案前，招标人应在交易平台或省公共资源交易服务平台向社会公众公示不少于３日。</w:t>
      </w:r>
    </w:p>
    <w:p>
      <w:pPr>
        <w:pStyle w:val="151"/>
        <w:numPr>
          <w:ilvl w:val="0"/>
          <w:numId w:val="5"/>
        </w:numPr>
        <w:spacing w:line="360" w:lineRule="auto"/>
        <w:ind w:left="0" w:firstLine="480"/>
        <w:jc w:val="left"/>
        <w:rPr>
          <w:rFonts w:ascii="宋体" w:hAnsi="宋体"/>
          <w:color w:val="auto"/>
          <w:sz w:val="24"/>
          <w:szCs w:val="24"/>
        </w:rPr>
      </w:pPr>
      <w:r>
        <w:rPr>
          <w:rFonts w:hint="eastAsia" w:ascii="宋体" w:hAnsi="宋体"/>
          <w:color w:val="auto"/>
          <w:sz w:val="24"/>
          <w:szCs w:val="24"/>
        </w:rPr>
        <w:t>合同条款及格式的协议书、通用合同条款，同住房和城乡建设部、工商总局《建设工程施工合同（示范文本）》（GF-2017-0201）的对应部分，本示范文本不再誊抄。</w:t>
      </w:r>
    </w:p>
    <w:p>
      <w:pPr>
        <w:pStyle w:val="151"/>
        <w:numPr>
          <w:ilvl w:val="0"/>
          <w:numId w:val="5"/>
        </w:numPr>
        <w:spacing w:line="360" w:lineRule="auto"/>
        <w:ind w:left="0" w:firstLine="480"/>
        <w:jc w:val="left"/>
        <w:rPr>
          <w:rFonts w:ascii="宋体" w:hAnsi="宋体"/>
          <w:color w:val="auto"/>
          <w:sz w:val="24"/>
          <w:szCs w:val="24"/>
        </w:rPr>
      </w:pPr>
      <w:r>
        <w:rPr>
          <w:rFonts w:hint="eastAsia" w:ascii="宋体" w:hAnsi="宋体"/>
          <w:color w:val="auto"/>
          <w:sz w:val="24"/>
          <w:szCs w:val="24"/>
        </w:rPr>
        <w:t>招标文件应由具备编制招标文件相应能力的专业人员（具有与招标项目规模和复杂程度相适应的技术、经济等方面的专业人员）撰写。</w:t>
      </w:r>
    </w:p>
    <w:p>
      <w:pPr>
        <w:pStyle w:val="151"/>
        <w:numPr>
          <w:ilvl w:val="0"/>
          <w:numId w:val="5"/>
        </w:numPr>
        <w:spacing w:line="360" w:lineRule="auto"/>
        <w:ind w:left="0" w:firstLine="480"/>
        <w:jc w:val="left"/>
        <w:rPr>
          <w:rFonts w:ascii="宋体" w:hAnsi="宋体"/>
          <w:color w:val="auto"/>
          <w:sz w:val="24"/>
          <w:szCs w:val="24"/>
        </w:rPr>
      </w:pPr>
      <w:r>
        <w:rPr>
          <w:rFonts w:hint="eastAsia" w:ascii="宋体" w:hAnsi="宋体"/>
          <w:color w:val="auto"/>
          <w:sz w:val="24"/>
          <w:szCs w:val="24"/>
        </w:rPr>
        <w:t>招标人可根据项目情况采用技术标暗标形式，暗标相应规则可由当地招投标主管部门制定，涉及否决其投标条款应依法设定，并在投标须知前附表集中载明。</w:t>
      </w:r>
    </w:p>
    <w:p>
      <w:pPr>
        <w:pStyle w:val="151"/>
        <w:numPr>
          <w:ilvl w:val="0"/>
          <w:numId w:val="4"/>
        </w:numPr>
        <w:spacing w:line="360" w:lineRule="auto"/>
        <w:ind w:left="0" w:firstLine="482"/>
        <w:jc w:val="left"/>
        <w:rPr>
          <w:rFonts w:ascii="宋体" w:hAnsi="宋体"/>
          <w:b/>
          <w:color w:val="auto"/>
        </w:rPr>
      </w:pPr>
      <w:r>
        <w:rPr>
          <w:rFonts w:hint="eastAsia" w:ascii="宋体" w:hAnsi="宋体"/>
          <w:b/>
          <w:color w:val="auto"/>
          <w:kern w:val="0"/>
          <w:sz w:val="24"/>
          <w:szCs w:val="24"/>
        </w:rPr>
        <w:t>招标公告（或投标邀请书）部分</w:t>
      </w:r>
    </w:p>
    <w:p>
      <w:pPr>
        <w:pStyle w:val="129"/>
        <w:numPr>
          <w:ilvl w:val="0"/>
          <w:numId w:val="6"/>
        </w:numPr>
        <w:spacing w:line="360" w:lineRule="auto"/>
        <w:ind w:left="0" w:firstLine="480" w:firstLineChars="200"/>
        <w:rPr>
          <w:rFonts w:ascii="宋体" w:hAnsi="宋体"/>
          <w:color w:val="auto"/>
        </w:rPr>
      </w:pPr>
      <w:r>
        <w:rPr>
          <w:rFonts w:hint="eastAsia" w:ascii="宋体" w:hAnsi="宋体"/>
          <w:color w:val="auto"/>
        </w:rPr>
        <w:t>招标项目基本信息</w:t>
      </w:r>
    </w:p>
    <w:p>
      <w:pPr>
        <w:pStyle w:val="129"/>
        <w:numPr>
          <w:ilvl w:val="0"/>
          <w:numId w:val="7"/>
        </w:numPr>
        <w:spacing w:line="360" w:lineRule="auto"/>
        <w:ind w:left="0" w:firstLine="480" w:firstLineChars="200"/>
        <w:rPr>
          <w:rFonts w:ascii="宋体" w:hAnsi="宋体"/>
          <w:color w:val="auto"/>
        </w:rPr>
      </w:pPr>
      <w:r>
        <w:rPr>
          <w:rFonts w:hint="eastAsia" w:ascii="宋体" w:hAnsi="宋体"/>
          <w:color w:val="auto"/>
        </w:rPr>
        <w:t>项目名称、审批文号。项目名称、审批文号应与批复等前期审批资料内容一致。</w:t>
      </w:r>
    </w:p>
    <w:p>
      <w:pPr>
        <w:pStyle w:val="129"/>
        <w:numPr>
          <w:ilvl w:val="0"/>
          <w:numId w:val="7"/>
        </w:numPr>
        <w:spacing w:line="360" w:lineRule="auto"/>
        <w:ind w:left="0" w:firstLine="480" w:firstLineChars="200"/>
        <w:rPr>
          <w:rFonts w:ascii="宋体" w:hAnsi="宋体"/>
          <w:b/>
          <w:bCs/>
          <w:color w:val="auto"/>
        </w:rPr>
      </w:pPr>
      <w:r>
        <w:rPr>
          <w:rFonts w:hint="eastAsia" w:ascii="宋体" w:hAnsi="宋体"/>
          <w:color w:val="auto"/>
        </w:rPr>
        <w:t>项目概况。应与前期审批资料中内容一致。其中项目概算应根据前期审批内容进行填写，概算汇总表中不能反映本次招标的投资概算值时，应根据经批准的详细概算文件汇总计算；本次招标建安工程概算，应根据前期审批内容中相应的招标工程范围汇总填写。</w:t>
      </w:r>
    </w:p>
    <w:p>
      <w:pPr>
        <w:pStyle w:val="129"/>
        <w:numPr>
          <w:ilvl w:val="0"/>
          <w:numId w:val="7"/>
        </w:numPr>
        <w:spacing w:line="360" w:lineRule="auto"/>
        <w:ind w:left="0" w:firstLine="480" w:firstLineChars="200"/>
        <w:rPr>
          <w:rFonts w:ascii="宋体" w:hAnsi="宋体"/>
          <w:color w:val="auto"/>
        </w:rPr>
      </w:pPr>
      <w:r>
        <w:rPr>
          <w:rFonts w:hint="eastAsia" w:ascii="宋体" w:hAnsi="宋体"/>
          <w:color w:val="auto"/>
        </w:rPr>
        <w:t>资金来源、投资比例。按项目建议书、可行性研究报告、初步设计批复等前期审批资料填写。</w:t>
      </w:r>
    </w:p>
    <w:p>
      <w:pPr>
        <w:pStyle w:val="129"/>
        <w:numPr>
          <w:ilvl w:val="0"/>
          <w:numId w:val="7"/>
        </w:numPr>
        <w:spacing w:line="360" w:lineRule="auto"/>
        <w:ind w:left="0" w:firstLine="480" w:firstLineChars="200"/>
        <w:rPr>
          <w:rFonts w:ascii="宋体" w:hAnsi="宋体"/>
          <w:color w:val="auto"/>
        </w:rPr>
      </w:pPr>
      <w:r>
        <w:rPr>
          <w:rFonts w:hint="eastAsia" w:ascii="宋体" w:hAnsi="宋体"/>
          <w:color w:val="auto"/>
        </w:rPr>
        <w:t>项目业主。即招标项目的法人或其他组织，一般是招标项目建设单位。</w:t>
      </w:r>
    </w:p>
    <w:p>
      <w:pPr>
        <w:pStyle w:val="129"/>
        <w:numPr>
          <w:ilvl w:val="0"/>
          <w:numId w:val="7"/>
        </w:numPr>
        <w:spacing w:line="360" w:lineRule="auto"/>
        <w:ind w:left="0" w:firstLine="480" w:firstLineChars="200"/>
        <w:rPr>
          <w:rFonts w:ascii="宋体" w:hAnsi="宋体"/>
          <w:color w:val="auto"/>
        </w:rPr>
      </w:pPr>
      <w:bookmarkStart w:id="767" w:name="_GoBack"/>
      <w:bookmarkEnd w:id="767"/>
      <w:r>
        <w:rPr>
          <w:rFonts w:hint="eastAsia" w:ascii="宋体" w:hAnsi="宋体"/>
          <w:color w:val="auto"/>
        </w:rPr>
        <w:t>招标人。</w:t>
      </w:r>
      <w:r>
        <w:rPr>
          <w:rFonts w:ascii="Arial" w:hAnsi="Arial" w:cs="Arial"/>
          <w:color w:val="auto"/>
          <w:szCs w:val="21"/>
        </w:rPr>
        <w:t>依照</w:t>
      </w:r>
      <w:r>
        <w:rPr>
          <w:rFonts w:hint="eastAsia" w:ascii="Arial" w:hAnsi="Arial" w:cs="Arial"/>
          <w:color w:val="auto"/>
          <w:szCs w:val="21"/>
        </w:rPr>
        <w:t>《中华人民共和国招标投标法》</w:t>
      </w:r>
      <w:r>
        <w:rPr>
          <w:rFonts w:ascii="Arial" w:hAnsi="Arial" w:cs="Arial"/>
          <w:color w:val="auto"/>
          <w:szCs w:val="21"/>
        </w:rPr>
        <w:t>规定提出招标项目、进行招标的法人或者其他组织。</w:t>
      </w:r>
      <w:r>
        <w:rPr>
          <w:rFonts w:hint="eastAsia" w:ascii="宋体" w:hAnsi="宋体"/>
          <w:color w:val="auto"/>
        </w:rPr>
        <w:t xml:space="preserve"> </w:t>
      </w:r>
    </w:p>
    <w:p>
      <w:pPr>
        <w:pStyle w:val="129"/>
        <w:numPr>
          <w:ilvl w:val="0"/>
          <w:numId w:val="7"/>
        </w:numPr>
        <w:spacing w:line="360" w:lineRule="auto"/>
        <w:ind w:left="0" w:firstLine="480" w:firstLineChars="200"/>
        <w:rPr>
          <w:rFonts w:ascii="宋体" w:hAnsi="宋体"/>
          <w:color w:val="auto"/>
        </w:rPr>
      </w:pPr>
      <w:r>
        <w:rPr>
          <w:rFonts w:hint="eastAsia" w:ascii="宋体" w:hAnsi="宋体"/>
          <w:color w:val="auto"/>
        </w:rPr>
        <w:t>代理机构。为本次招标提供招标代理服务的机构。自行招标的，相关的代理内容应删除。</w:t>
      </w:r>
    </w:p>
    <w:p>
      <w:pPr>
        <w:pStyle w:val="129"/>
        <w:numPr>
          <w:ilvl w:val="0"/>
          <w:numId w:val="7"/>
        </w:numPr>
        <w:spacing w:line="360" w:lineRule="auto"/>
        <w:ind w:left="0" w:firstLine="480" w:firstLineChars="200"/>
        <w:jc w:val="both"/>
        <w:rPr>
          <w:rFonts w:ascii="宋体" w:hAnsi="宋体"/>
          <w:color w:val="auto"/>
        </w:rPr>
      </w:pPr>
      <w:r>
        <w:rPr>
          <w:rFonts w:hint="eastAsia" w:ascii="宋体" w:hAnsi="宋体"/>
          <w:color w:val="auto"/>
        </w:rPr>
        <w:t>招标人应合理规划项目建设。经相关部门审批后实施分阶段（标段）招标的，招标项目的工程名称应体现本次招标内容。</w:t>
      </w:r>
    </w:p>
    <w:p>
      <w:pPr>
        <w:pStyle w:val="129"/>
        <w:numPr>
          <w:ilvl w:val="0"/>
          <w:numId w:val="6"/>
        </w:numPr>
        <w:spacing w:line="360" w:lineRule="auto"/>
        <w:ind w:left="0" w:firstLine="480" w:firstLineChars="200"/>
        <w:rPr>
          <w:rFonts w:ascii="宋体" w:hAnsi="宋体"/>
          <w:color w:val="auto"/>
        </w:rPr>
      </w:pPr>
      <w:r>
        <w:rPr>
          <w:rFonts w:hint="eastAsia" w:ascii="宋体" w:hAnsi="宋体"/>
          <w:color w:val="auto"/>
        </w:rPr>
        <w:t>本次招标范围</w:t>
      </w:r>
    </w:p>
    <w:p>
      <w:pPr>
        <w:snapToGrid w:val="0"/>
        <w:spacing w:line="360" w:lineRule="auto"/>
        <w:ind w:firstLine="480" w:firstLineChars="200"/>
        <w:rPr>
          <w:rFonts w:ascii="宋体" w:hAnsi="宋体"/>
          <w:color w:val="auto"/>
        </w:rPr>
      </w:pPr>
      <w:r>
        <w:rPr>
          <w:rFonts w:hint="eastAsia" w:ascii="宋体" w:hAnsi="宋体"/>
          <w:color w:val="auto"/>
        </w:rPr>
        <w:t>应与工程量清单编制说明中招标范围相一致。</w:t>
      </w:r>
    </w:p>
    <w:p>
      <w:pPr>
        <w:pStyle w:val="129"/>
        <w:numPr>
          <w:ilvl w:val="0"/>
          <w:numId w:val="6"/>
        </w:numPr>
        <w:spacing w:line="360" w:lineRule="auto"/>
        <w:ind w:left="0" w:firstLine="480" w:firstLineChars="200"/>
        <w:rPr>
          <w:rFonts w:ascii="宋体" w:hAnsi="宋体"/>
          <w:color w:val="auto"/>
        </w:rPr>
      </w:pPr>
      <w:r>
        <w:rPr>
          <w:rFonts w:hint="eastAsia" w:ascii="宋体" w:hAnsi="宋体"/>
          <w:color w:val="auto"/>
        </w:rPr>
        <w:t>投标资格条件、要求</w:t>
      </w:r>
    </w:p>
    <w:p>
      <w:pPr>
        <w:pStyle w:val="129"/>
        <w:numPr>
          <w:ilvl w:val="0"/>
          <w:numId w:val="8"/>
        </w:numPr>
        <w:spacing w:line="360" w:lineRule="auto"/>
        <w:ind w:left="0" w:firstLine="480" w:firstLineChars="200"/>
        <w:rPr>
          <w:rFonts w:ascii="宋体" w:hAnsi="宋体"/>
          <w:color w:val="auto"/>
        </w:rPr>
      </w:pPr>
      <w:r>
        <w:rPr>
          <w:rFonts w:hint="eastAsia" w:ascii="宋体" w:hAnsi="宋体"/>
          <w:color w:val="auto"/>
        </w:rPr>
        <w:t>企业资质要求。根据本次招标内容和建筑业企业资质标准的有关规定，按照完成本次招标工程所需的最低资质条件设置投标人资质及等级要求，不得以不合理的条件限制、排斥投标人或潜在投标人。</w:t>
      </w:r>
    </w:p>
    <w:p>
      <w:pPr>
        <w:pStyle w:val="129"/>
        <w:numPr>
          <w:ilvl w:val="0"/>
          <w:numId w:val="8"/>
        </w:numPr>
        <w:spacing w:line="360" w:lineRule="auto"/>
        <w:ind w:left="0" w:firstLine="480" w:firstLineChars="200"/>
        <w:rPr>
          <w:rFonts w:ascii="宋体" w:hAnsi="宋体"/>
          <w:color w:val="auto"/>
        </w:rPr>
      </w:pPr>
      <w:r>
        <w:rPr>
          <w:rFonts w:hint="eastAsia" w:ascii="宋体" w:hAnsi="宋体"/>
          <w:color w:val="auto"/>
        </w:rPr>
        <w:t>联合体。如完成本次招标工程需要投标人同时具备2项或以上资质时，</w:t>
      </w:r>
      <w:r>
        <w:rPr>
          <w:rFonts w:hint="eastAsia"/>
          <w:color w:val="auto"/>
        </w:rPr>
        <w:t>不得排斥联合体投标人</w:t>
      </w:r>
      <w:r>
        <w:rPr>
          <w:rFonts w:hint="eastAsia" w:ascii="宋体" w:hAnsi="宋体"/>
          <w:color w:val="auto"/>
        </w:rPr>
        <w:t>。</w:t>
      </w:r>
    </w:p>
    <w:p>
      <w:pPr>
        <w:pStyle w:val="129"/>
        <w:numPr>
          <w:ilvl w:val="0"/>
          <w:numId w:val="8"/>
        </w:numPr>
        <w:spacing w:line="360" w:lineRule="auto"/>
        <w:ind w:left="0" w:firstLine="480" w:firstLineChars="200"/>
        <w:rPr>
          <w:rFonts w:ascii="宋体" w:hAnsi="宋体"/>
          <w:color w:val="auto"/>
        </w:rPr>
      </w:pPr>
      <w:r>
        <w:rPr>
          <w:rFonts w:hint="eastAsia" w:ascii="宋体" w:hAnsi="宋体"/>
          <w:color w:val="auto"/>
        </w:rPr>
        <w:t>拟派项目负责人资格要求。根据住房和城乡建设部《注册建造师执业工程范围》和《注册建造师执业工程规模标准》的有关规定进行设置，按照完成本次招标工程所需的最低资格条件设置拟派项目负责人的专业和资格等级，《注册建造师执业工程规模标准》未作规定的，拟派项目负责人可采用职称等作为资格要求。</w:t>
      </w:r>
    </w:p>
    <w:p>
      <w:pPr>
        <w:spacing w:line="360" w:lineRule="auto"/>
        <w:ind w:firstLine="480" w:firstLineChars="200"/>
        <w:rPr>
          <w:rFonts w:ascii="宋体" w:hAnsi="宋体"/>
          <w:color w:val="auto"/>
        </w:rPr>
      </w:pPr>
      <w:r>
        <w:rPr>
          <w:rFonts w:hint="eastAsia" w:ascii="宋体" w:hAnsi="宋体"/>
          <w:color w:val="auto"/>
        </w:rPr>
        <w:t>采用“技术标打分制的综合评估法”或“技术标通过制的综合评估法”评标办法的项目，招标人确需投标人或项目负责人具备类似工程业绩的，原则上只设置一个工程业绩条件。设置的业绩条件不得高于该标段相关指标要求</w:t>
      </w:r>
      <w:r>
        <w:rPr>
          <w:rFonts w:ascii="宋体" w:hAnsi="宋体"/>
          <w:color w:val="auto"/>
        </w:rPr>
        <w:t>，且应在招标文件中载明要求提供的证明材料</w:t>
      </w:r>
      <w:r>
        <w:rPr>
          <w:rFonts w:hint="eastAsia" w:ascii="宋体" w:hAnsi="宋体"/>
          <w:color w:val="auto"/>
        </w:rPr>
        <w:t>名称和形式（包括工程中标通知书、工程合同</w:t>
      </w:r>
      <w:r>
        <w:rPr>
          <w:rFonts w:ascii="宋体" w:hAnsi="宋体"/>
          <w:color w:val="auto"/>
        </w:rPr>
        <w:t>、</w:t>
      </w:r>
      <w:r>
        <w:rPr>
          <w:rFonts w:hint="eastAsia" w:ascii="宋体" w:hAnsi="宋体"/>
          <w:color w:val="auto"/>
        </w:rPr>
        <w:t>工程竣工验收文件。</w:t>
      </w:r>
      <w:r>
        <w:rPr>
          <w:rFonts w:ascii="宋体" w:hAnsi="宋体"/>
          <w:color w:val="auto"/>
        </w:rPr>
        <w:t>如上述材料所能承载的证明内容不能完全体现业绩要求的，需同时提供其他相关的竣工验收资料</w:t>
      </w:r>
      <w:r>
        <w:rPr>
          <w:rFonts w:hint="eastAsia" w:ascii="宋体" w:hAnsi="宋体"/>
          <w:color w:val="auto"/>
        </w:rPr>
        <w:t>，包括但不限于竣工验收阶段及之后签署的工程资料，如竣工图、工程价款最终结算凭证等。）招标人可根据业绩的具体要求，按照宜少不宜多的原则从上述证明材料范围中选择相应的证明材料，</w:t>
      </w:r>
      <w:r>
        <w:rPr>
          <w:rFonts w:ascii="宋体" w:hAnsi="宋体"/>
          <w:color w:val="auto"/>
        </w:rPr>
        <w:t>宜</w:t>
      </w:r>
      <w:r>
        <w:rPr>
          <w:rFonts w:hint="eastAsia" w:ascii="宋体" w:hAnsi="宋体"/>
          <w:color w:val="auto"/>
        </w:rPr>
        <w:t>明确证明材料载明信息不一致时的认定顺序</w:t>
      </w:r>
      <w:r>
        <w:rPr>
          <w:rFonts w:ascii="宋体" w:hAnsi="宋体"/>
          <w:color w:val="auto"/>
        </w:rPr>
        <w:t>。</w:t>
      </w:r>
    </w:p>
    <w:p>
      <w:pPr>
        <w:pStyle w:val="129"/>
        <w:numPr>
          <w:ilvl w:val="0"/>
          <w:numId w:val="8"/>
        </w:numPr>
        <w:spacing w:line="360" w:lineRule="auto"/>
        <w:ind w:left="0" w:firstLine="480" w:firstLineChars="200"/>
        <w:rPr>
          <w:rFonts w:ascii="宋体" w:hAnsi="宋体"/>
          <w:color w:val="auto"/>
        </w:rPr>
      </w:pPr>
      <w:r>
        <w:rPr>
          <w:rFonts w:hint="eastAsia" w:ascii="宋体" w:hAnsi="宋体"/>
          <w:color w:val="auto"/>
        </w:rPr>
        <w:t>评标办法</w:t>
      </w:r>
    </w:p>
    <w:p>
      <w:pPr>
        <w:spacing w:line="360" w:lineRule="auto"/>
        <w:ind w:firstLine="480" w:firstLineChars="200"/>
        <w:rPr>
          <w:rFonts w:ascii="宋体" w:hAnsi="宋体"/>
          <w:color w:val="auto"/>
        </w:rPr>
      </w:pPr>
      <w:r>
        <w:rPr>
          <w:rFonts w:hint="eastAsia" w:ascii="宋体" w:hAnsi="宋体"/>
          <w:color w:val="auto"/>
        </w:rPr>
        <w:t>经评审的最低投标价法：适用于具有通用技术标准或者招标人对其技术、性能没有特殊要求的一般房屋建筑和市政基础设施工程施工招标；</w:t>
      </w:r>
    </w:p>
    <w:p>
      <w:pPr>
        <w:spacing w:line="360" w:lineRule="auto"/>
        <w:ind w:firstLine="480" w:firstLineChars="200"/>
        <w:rPr>
          <w:rFonts w:ascii="宋体" w:hAnsi="宋体"/>
          <w:color w:val="auto"/>
        </w:rPr>
      </w:pPr>
      <w:r>
        <w:rPr>
          <w:rFonts w:hint="eastAsia" w:ascii="宋体" w:hAnsi="宋体"/>
          <w:color w:val="auto"/>
        </w:rPr>
        <w:t>技术标通过制的综合评估法：适用于一般房屋建筑和市政基础设施工程施工招标（包括适用于经评审的最低投标价法的工程）；</w:t>
      </w:r>
    </w:p>
    <w:p>
      <w:pPr>
        <w:spacing w:line="360" w:lineRule="auto"/>
        <w:ind w:firstLine="480" w:firstLineChars="200"/>
        <w:rPr>
          <w:rFonts w:ascii="宋体" w:hAnsi="宋体"/>
          <w:color w:val="auto"/>
        </w:rPr>
      </w:pPr>
      <w:r>
        <w:rPr>
          <w:rFonts w:hint="eastAsia" w:ascii="宋体" w:hAnsi="宋体"/>
          <w:color w:val="auto"/>
        </w:rPr>
        <w:t>技术标打分制的综合评估法：适用于采用新工艺、技术特别复杂或具有特殊专业技术要求的房屋建筑和市政基础设施工程（标准由当地招投标主管部门确定）施工招标；</w:t>
      </w:r>
    </w:p>
    <w:p>
      <w:pPr>
        <w:spacing w:line="360" w:lineRule="auto"/>
        <w:ind w:firstLine="480" w:firstLineChars="200"/>
        <w:rPr>
          <w:rFonts w:ascii="宋体" w:hAnsi="宋体"/>
          <w:color w:val="auto"/>
        </w:rPr>
      </w:pPr>
      <w:r>
        <w:rPr>
          <w:rFonts w:hint="eastAsia" w:ascii="宋体" w:hAnsi="宋体"/>
          <w:color w:val="auto"/>
        </w:rPr>
        <w:t>其他：符合相关法律法规的方法。</w:t>
      </w:r>
    </w:p>
    <w:p>
      <w:pPr>
        <w:spacing w:line="360" w:lineRule="auto"/>
        <w:ind w:firstLine="480" w:firstLineChars="200"/>
        <w:rPr>
          <w:rFonts w:ascii="宋体" w:hAnsi="宋体"/>
          <w:color w:val="auto"/>
        </w:rPr>
      </w:pPr>
      <w:r>
        <w:rPr>
          <w:rFonts w:hint="eastAsia" w:ascii="宋体" w:hAnsi="宋体"/>
          <w:color w:val="auto"/>
        </w:rPr>
        <w:t>招标人应根据招标的实际情况合理选定评标办法，谨慎选用经评审的最低投标价法，鼓励选用技术标通过制的综合评估法，控制选用技术标打分制的综合评估法。</w:t>
      </w:r>
    </w:p>
    <w:p>
      <w:pPr>
        <w:numPr>
          <w:ilvl w:val="0"/>
          <w:numId w:val="8"/>
        </w:numPr>
        <w:snapToGrid w:val="0"/>
        <w:spacing w:line="360" w:lineRule="auto"/>
        <w:ind w:left="0" w:firstLine="480" w:firstLineChars="200"/>
        <w:rPr>
          <w:rFonts w:hint="default" w:ascii="宋体" w:hAnsi="宋体"/>
          <w:color w:val="auto"/>
          <w:lang w:val="en-US"/>
        </w:rPr>
      </w:pPr>
      <w:r>
        <w:rPr>
          <w:rFonts w:hint="eastAsia" w:ascii="宋体" w:hAnsi="宋体"/>
          <w:color w:val="auto"/>
        </w:rPr>
        <w:t>选用“技术标打分制的综合评估法”的项目标准</w:t>
      </w:r>
      <w:r>
        <w:rPr>
          <w:rFonts w:hint="eastAsia" w:ascii="宋体" w:hAnsi="宋体"/>
          <w:color w:val="auto"/>
          <w:lang w:val="en-US" w:eastAsia="zh-CN"/>
        </w:rPr>
        <w:t>:</w:t>
      </w:r>
    </w:p>
    <w:tbl>
      <w:tblPr>
        <w:tblStyle w:val="41"/>
        <w:tblW w:w="93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2112"/>
        <w:gridCol w:w="5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1491" w:type="dxa"/>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eastAsia="黑体"/>
                <w:color w:val="auto"/>
              </w:rPr>
            </w:pPr>
            <w:r>
              <w:rPr>
                <w:rFonts w:hint="eastAsia" w:ascii="Times New Roman" w:hAnsi="Times New Roman" w:eastAsia="黑体"/>
                <w:color w:val="auto"/>
              </w:rPr>
              <w:t>行业</w:t>
            </w:r>
          </w:p>
        </w:tc>
        <w:tc>
          <w:tcPr>
            <w:tcW w:w="2112" w:type="dxa"/>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eastAsia="黑体"/>
                <w:color w:val="auto"/>
              </w:rPr>
            </w:pPr>
            <w:r>
              <w:rPr>
                <w:rFonts w:hint="eastAsia" w:ascii="Times New Roman" w:hAnsi="Times New Roman" w:eastAsia="黑体"/>
                <w:color w:val="auto"/>
              </w:rPr>
              <w:t>工程类别</w:t>
            </w:r>
          </w:p>
        </w:tc>
        <w:tc>
          <w:tcPr>
            <w:tcW w:w="5723" w:type="dxa"/>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eastAsia="黑体"/>
                <w:color w:val="auto"/>
              </w:rPr>
            </w:pPr>
            <w:r>
              <w:rPr>
                <w:rFonts w:hint="eastAsia" w:ascii="Times New Roman" w:hAnsi="Times New Roman" w:eastAsia="黑体"/>
                <w:color w:val="auto"/>
              </w:rPr>
              <w:t>标段规模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restart"/>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eastAsia="宋体"/>
                <w:color w:val="auto"/>
                <w:sz w:val="21"/>
                <w:szCs w:val="21"/>
              </w:rPr>
            </w:pPr>
            <w:r>
              <w:rPr>
                <w:rFonts w:hint="eastAsia" w:ascii="Times New Roman" w:hAnsi="Times New Roman"/>
                <w:color w:val="auto"/>
                <w:sz w:val="21"/>
                <w:szCs w:val="21"/>
              </w:rPr>
              <w:t>房屋建筑工程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rPr>
            </w:pPr>
            <w:r>
              <w:rPr>
                <w:rFonts w:hint="eastAsia" w:ascii="Times New Roman" w:hAnsi="Times New Roman" w:cs="宋体"/>
                <w:color w:val="auto"/>
                <w:sz w:val="21"/>
                <w:szCs w:val="21"/>
                <w:lang w:bidi="ar"/>
              </w:rPr>
              <w:t>一般房屋建筑工程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ascii="Times New Roman" w:hAnsi="Times New Roman"/>
                <w:color w:val="auto"/>
                <w:sz w:val="21"/>
                <w:szCs w:val="21"/>
              </w:rPr>
            </w:pPr>
            <w:r>
              <w:rPr>
                <w:rStyle w:val="166"/>
                <w:rFonts w:hint="default" w:ascii="Times New Roman" w:hAnsi="Times New Roman"/>
                <w:color w:val="auto"/>
                <w:sz w:val="21"/>
                <w:szCs w:val="21"/>
                <w:lang w:bidi="ar"/>
              </w:rPr>
              <w:t>建筑物层数≥32层，或建筑物高度≥</w:t>
            </w:r>
            <w:r>
              <w:rPr>
                <w:rStyle w:val="167"/>
                <w:rFonts w:hint="default" w:ascii="Times New Roman" w:hAnsi="Times New Roman"/>
                <w:color w:val="auto"/>
                <w:sz w:val="21"/>
                <w:szCs w:val="21"/>
                <w:lang w:bidi="ar"/>
              </w:rPr>
              <w:t>80米，</w:t>
            </w:r>
            <w:r>
              <w:rPr>
                <w:rStyle w:val="166"/>
                <w:rFonts w:hint="default" w:ascii="Times New Roman" w:hAnsi="Times New Roman"/>
                <w:color w:val="auto"/>
                <w:sz w:val="21"/>
                <w:szCs w:val="21"/>
                <w:lang w:bidi="ar"/>
              </w:rPr>
              <w:t>或单跨跨度≥</w:t>
            </w:r>
            <w:r>
              <w:rPr>
                <w:rStyle w:val="168"/>
                <w:rFonts w:hint="default" w:ascii="Times New Roman" w:hAnsi="Times New Roman"/>
                <w:color w:val="auto"/>
                <w:sz w:val="21"/>
                <w:szCs w:val="21"/>
                <w:lang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rPr>
            </w:pPr>
            <w:r>
              <w:rPr>
                <w:rFonts w:hint="eastAsia" w:ascii="Times New Roman" w:hAnsi="Times New Roman" w:cs="宋体"/>
                <w:color w:val="auto"/>
                <w:sz w:val="21"/>
                <w:szCs w:val="21"/>
                <w:lang w:bidi="ar"/>
              </w:rPr>
              <w:t>高耸构筑物工程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ascii="Times New Roman" w:hAnsi="Times New Roman"/>
                <w:color w:val="auto"/>
                <w:sz w:val="21"/>
                <w:szCs w:val="21"/>
              </w:rPr>
            </w:pPr>
            <w:r>
              <w:rPr>
                <w:rFonts w:hint="eastAsia" w:ascii="Times New Roman" w:hAnsi="Times New Roman" w:cs="宋体"/>
                <w:color w:val="auto"/>
                <w:sz w:val="21"/>
                <w:szCs w:val="21"/>
                <w:lang w:bidi="ar"/>
              </w:rPr>
              <w:t>构筑物高度≥</w:t>
            </w:r>
            <w:r>
              <w:rPr>
                <w:rFonts w:ascii="Times New Roman" w:hAnsi="Times New Roman" w:cs="宋体"/>
                <w:color w:val="auto"/>
                <w:sz w:val="21"/>
                <w:szCs w:val="21"/>
                <w:lang w:bidi="ar"/>
              </w:rPr>
              <w:t>100米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rPr>
            </w:pPr>
            <w:r>
              <w:rPr>
                <w:rFonts w:hint="eastAsia" w:ascii="Times New Roman" w:hAnsi="Times New Roman" w:cs="宋体"/>
                <w:color w:val="auto"/>
                <w:sz w:val="21"/>
                <w:szCs w:val="21"/>
                <w:lang w:bidi="ar"/>
              </w:rPr>
              <w:t>地基与基础工程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ascii="Times New Roman" w:hAnsi="Times New Roman"/>
                <w:color w:val="auto"/>
                <w:sz w:val="21"/>
                <w:szCs w:val="21"/>
              </w:rPr>
            </w:pPr>
            <w:r>
              <w:rPr>
                <w:rFonts w:hint="eastAsia" w:ascii="Times New Roman" w:hAnsi="Times New Roman" w:cs="宋体"/>
                <w:color w:val="auto"/>
                <w:sz w:val="21"/>
                <w:szCs w:val="21"/>
                <w:lang w:bidi="ar"/>
              </w:rPr>
              <w:t>基坑深度≥</w:t>
            </w:r>
            <w:r>
              <w:rPr>
                <w:rFonts w:ascii="Times New Roman" w:hAnsi="Times New Roman" w:cs="宋体"/>
                <w:color w:val="auto"/>
                <w:sz w:val="21"/>
                <w:szCs w:val="21"/>
                <w:lang w:bidi="ar"/>
              </w:rPr>
              <w:t>8米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rPr>
            </w:pPr>
            <w:r>
              <w:rPr>
                <w:rFonts w:hint="eastAsia" w:ascii="Times New Roman" w:hAnsi="Times New Roman" w:cs="宋体"/>
                <w:color w:val="auto"/>
                <w:sz w:val="21"/>
                <w:szCs w:val="21"/>
                <w:lang w:bidi="ar"/>
              </w:rPr>
              <w:t>钢结构工程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ascii="Times New Roman" w:hAnsi="Times New Roman"/>
                <w:color w:val="auto"/>
                <w:sz w:val="21"/>
                <w:szCs w:val="21"/>
              </w:rPr>
            </w:pPr>
            <w:r>
              <w:rPr>
                <w:rFonts w:hint="eastAsia" w:ascii="Times New Roman" w:hAnsi="Times New Roman" w:cs="宋体"/>
                <w:color w:val="auto"/>
                <w:sz w:val="21"/>
                <w:szCs w:val="21"/>
                <w:lang w:bidi="ar"/>
              </w:rPr>
              <w:t>钢结构：跨度≥</w:t>
            </w:r>
            <w:r>
              <w:rPr>
                <w:rFonts w:ascii="Times New Roman" w:hAnsi="Times New Roman" w:cs="宋体"/>
                <w:color w:val="auto"/>
                <w:sz w:val="21"/>
                <w:szCs w:val="21"/>
                <w:lang w:bidi="ar"/>
              </w:rPr>
              <w:t>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rPr>
            </w:pPr>
            <w:r>
              <w:rPr>
                <w:rFonts w:hint="eastAsia" w:ascii="Times New Roman" w:hAnsi="Times New Roman" w:cs="宋体"/>
                <w:color w:val="auto"/>
                <w:sz w:val="21"/>
                <w:szCs w:val="21"/>
                <w:lang w:bidi="ar"/>
              </w:rPr>
              <w:t>室外附属工程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hint="eastAsia" w:ascii="Times New Roman" w:hAnsi="Times New Roman" w:eastAsia="宋体"/>
                <w:color w:val="auto"/>
                <w:sz w:val="21"/>
                <w:szCs w:val="21"/>
                <w:lang w:eastAsia="zh-CN"/>
              </w:rPr>
            </w:pPr>
            <w:r>
              <w:rPr>
                <w:rFonts w:hint="eastAsia" w:ascii="Times New Roman" w:hAnsi="Times New Roman" w:cs="宋体"/>
                <w:color w:val="auto"/>
                <w:sz w:val="21"/>
                <w:szCs w:val="21"/>
                <w:lang w:bidi="ar"/>
              </w:rPr>
              <w:t>新建项目单体工程建筑面积≥</w:t>
            </w:r>
            <w:r>
              <w:rPr>
                <w:rFonts w:ascii="Times New Roman" w:hAnsi="Times New Roman" w:cs="宋体"/>
                <w:color w:val="auto"/>
                <w:sz w:val="21"/>
                <w:szCs w:val="21"/>
                <w:lang w:bidi="ar"/>
              </w:rPr>
              <w:t>3.2万平方米的室外附属工程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u w:val="none"/>
              </w:rPr>
            </w:pPr>
            <w:r>
              <w:rPr>
                <w:rFonts w:hint="eastAsia" w:ascii="Times New Roman" w:hAnsi="Times New Roman" w:cs="宋体"/>
                <w:color w:val="auto"/>
                <w:sz w:val="21"/>
                <w:szCs w:val="21"/>
                <w:u w:val="none"/>
                <w:lang w:bidi="ar"/>
              </w:rPr>
              <w:t>装配式建筑工程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hint="eastAsia" w:ascii="Times New Roman" w:hAnsi="Times New Roman" w:eastAsia="宋体"/>
                <w:color w:val="auto"/>
                <w:sz w:val="21"/>
                <w:szCs w:val="21"/>
                <w:u w:val="none"/>
                <w:lang w:eastAsia="zh-CN"/>
              </w:rPr>
            </w:pPr>
            <w:r>
              <w:rPr>
                <w:rFonts w:hint="eastAsia" w:ascii="Times New Roman" w:hAnsi="Times New Roman"/>
                <w:color w:val="auto"/>
                <w:sz w:val="21"/>
                <w:szCs w:val="21"/>
                <w:u w:val="none"/>
                <w:lang w:val="en-US" w:eastAsia="zh-CN"/>
              </w:rPr>
              <w:t>建筑</w:t>
            </w:r>
            <w:r>
              <w:rPr>
                <w:rFonts w:hint="eastAsia" w:ascii="Times New Roman" w:hAnsi="Times New Roman" w:eastAsia="宋体"/>
                <w:color w:val="auto"/>
                <w:sz w:val="21"/>
                <w:szCs w:val="21"/>
                <w:u w:val="none"/>
                <w:lang w:eastAsia="zh-CN"/>
              </w:rPr>
              <w:t>面积</w:t>
            </w:r>
            <w:r>
              <w:rPr>
                <w:rFonts w:hint="eastAsia" w:ascii="Times New Roman" w:hAnsi="Times New Roman" w:cs="宋体"/>
                <w:color w:val="auto"/>
                <w:sz w:val="21"/>
                <w:szCs w:val="21"/>
                <w:lang w:bidi="ar"/>
              </w:rPr>
              <w:t>≥</w:t>
            </w:r>
            <w:r>
              <w:rPr>
                <w:rFonts w:hint="eastAsia" w:ascii="Times New Roman" w:hAnsi="Times New Roman" w:eastAsia="宋体"/>
                <w:color w:val="auto"/>
                <w:sz w:val="21"/>
                <w:szCs w:val="21"/>
                <w:u w:val="none"/>
                <w:lang w:eastAsia="zh-CN"/>
              </w:rPr>
              <w:t>4万</w:t>
            </w:r>
            <w:r>
              <w:rPr>
                <w:rFonts w:hint="eastAsia" w:ascii="Times New Roman" w:hAnsi="Times New Roman"/>
                <w:color w:val="auto"/>
                <w:sz w:val="21"/>
                <w:szCs w:val="21"/>
                <w:u w:val="none"/>
                <w:lang w:val="en-US" w:eastAsia="zh-CN"/>
              </w:rPr>
              <w:t>平方米</w:t>
            </w:r>
            <w:r>
              <w:rPr>
                <w:rFonts w:hint="eastAsia" w:ascii="Times New Roman" w:hAnsi="Times New Roman" w:eastAsia="宋体"/>
                <w:color w:val="auto"/>
                <w:sz w:val="21"/>
                <w:szCs w:val="21"/>
                <w:u w:val="none"/>
                <w:lang w:eastAsia="zh-CN"/>
              </w:rPr>
              <w:t>的装配式建筑项目；或根据《装配式建筑评价标准》（DB33/T 1165-2019）评价为A级及以上的装配式建筑项目；或符合《近零能耗建筑技术标准》（GB/T 51350-2019）要求的超低能耗建筑、近零能耗建筑、零能耗建筑的装配式建筑项目。</w:t>
            </w:r>
            <w:r>
              <w:rPr>
                <w:rFonts w:hint="eastAsia" w:ascii="Times New Roman" w:hAnsi="Times New Roman"/>
                <w:color w:val="auto"/>
                <w:sz w:val="21"/>
                <w:szCs w:val="21"/>
                <w:u w:val="none"/>
                <w:lang w:eastAsia="zh-CN"/>
              </w:rPr>
              <w:t>（</w:t>
            </w:r>
            <w:r>
              <w:rPr>
                <w:rFonts w:hint="eastAsia" w:ascii="Times New Roman" w:hAnsi="Times New Roman"/>
                <w:color w:val="auto"/>
                <w:sz w:val="21"/>
                <w:szCs w:val="21"/>
                <w:u w:val="none"/>
                <w:lang w:val="en-US" w:eastAsia="zh-CN"/>
              </w:rPr>
              <w:t>判断方法</w:t>
            </w:r>
            <w:r>
              <w:rPr>
                <w:rFonts w:hint="eastAsia" w:ascii="Times New Roman" w:hAnsi="Times New Roman"/>
                <w:color w:val="auto"/>
                <w:sz w:val="21"/>
                <w:szCs w:val="21"/>
                <w:u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rPr>
            </w:pPr>
            <w:r>
              <w:rPr>
                <w:rFonts w:hint="eastAsia" w:ascii="Times New Roman" w:hAnsi="Times New Roman" w:cs="宋体"/>
                <w:color w:val="auto"/>
                <w:sz w:val="21"/>
                <w:szCs w:val="21"/>
                <w:lang w:bidi="ar"/>
              </w:rPr>
              <w:t>古建筑、保护性建筑修缮工程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ascii="Times New Roman" w:hAnsi="Times New Roman"/>
                <w:color w:val="auto"/>
                <w:sz w:val="21"/>
                <w:szCs w:val="21"/>
              </w:rPr>
            </w:pPr>
            <w:r>
              <w:rPr>
                <w:rFonts w:hint="eastAsia" w:ascii="Times New Roman" w:hAnsi="Times New Roman" w:cs="宋体"/>
                <w:color w:val="auto"/>
                <w:sz w:val="21"/>
                <w:szCs w:val="21"/>
                <w:lang w:bidi="ar"/>
              </w:rPr>
              <w:t>古建筑、保护性建筑修缮工程：修缮建筑面积≥</w:t>
            </w:r>
            <w:r>
              <w:rPr>
                <w:rFonts w:ascii="Times New Roman" w:hAnsi="Times New Roman" w:cs="宋体"/>
                <w:color w:val="auto"/>
                <w:sz w:val="21"/>
                <w:szCs w:val="21"/>
                <w:lang w:bidi="ar"/>
              </w:rPr>
              <w:t>400平方米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both"/>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rPr>
            </w:pPr>
            <w:r>
              <w:rPr>
                <w:rFonts w:hint="eastAsia" w:ascii="Times New Roman" w:hAnsi="Times New Roman" w:cs="宋体"/>
                <w:color w:val="auto"/>
                <w:sz w:val="21"/>
                <w:szCs w:val="21"/>
                <w:lang w:bidi="ar"/>
              </w:rPr>
              <w:t>其他房屋建筑工程</w:t>
            </w:r>
          </w:p>
        </w:tc>
        <w:tc>
          <w:tcPr>
            <w:tcW w:w="5723" w:type="dxa"/>
            <w:noWrap w:val="0"/>
            <w:vAlign w:val="center"/>
          </w:tcPr>
          <w:p>
            <w:pPr>
              <w:pageBreakBefore w:val="0"/>
              <w:widowControl/>
              <w:kinsoku/>
              <w:wordWrap/>
              <w:topLinePunct w:val="0"/>
              <w:autoSpaceDE/>
              <w:autoSpaceDN/>
              <w:bidi w:val="0"/>
              <w:adjustRightInd/>
              <w:ind w:left="0" w:leftChars="0"/>
              <w:jc w:val="both"/>
              <w:textAlignment w:val="center"/>
              <w:rPr>
                <w:rFonts w:hint="eastAsia" w:ascii="Times New Roman" w:hAnsi="Times New Roman" w:eastAsia="宋体"/>
                <w:color w:val="auto"/>
                <w:sz w:val="21"/>
                <w:szCs w:val="21"/>
                <w:lang w:eastAsia="zh-CN"/>
              </w:rPr>
            </w:pPr>
            <w:r>
              <w:rPr>
                <w:rFonts w:hint="eastAsia" w:ascii="Times New Roman" w:hAnsi="Times New Roman" w:cs="宋体"/>
                <w:color w:val="auto"/>
                <w:sz w:val="21"/>
                <w:szCs w:val="21"/>
                <w:u w:val="none"/>
                <w:lang w:bidi="ar"/>
              </w:rPr>
              <w:t>涉及地铁保护、名胜古迹保护的房屋建筑工程（以相关部门批复为准）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restart"/>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eastAsia="宋体"/>
                <w:color w:val="auto"/>
                <w:sz w:val="21"/>
                <w:szCs w:val="21"/>
              </w:rPr>
            </w:pPr>
            <w:r>
              <w:rPr>
                <w:rFonts w:hint="eastAsia" w:ascii="Times New Roman" w:hAnsi="Times New Roman"/>
                <w:color w:val="auto"/>
                <w:sz w:val="21"/>
                <w:szCs w:val="21"/>
              </w:rPr>
              <w:t>市政公用工程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城市道路</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城市快速路、主干道路≥</w:t>
            </w:r>
            <w:r>
              <w:rPr>
                <w:rFonts w:ascii="Times New Roman" w:hAnsi="Times New Roman" w:cs="宋体"/>
                <w:color w:val="auto"/>
                <w:sz w:val="21"/>
                <w:szCs w:val="21"/>
                <w:lang w:bidi="ar"/>
              </w:rPr>
              <w:t>8千米；或城市快速路、主干道路面积≥12万平方米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城市公共广场</w:t>
            </w:r>
          </w:p>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ascii="Times New Roman" w:hAnsi="Times New Roman" w:cs="宋体"/>
                <w:color w:val="auto"/>
                <w:sz w:val="21"/>
                <w:szCs w:val="21"/>
                <w:lang w:bidi="ar"/>
              </w:rPr>
              <w:t>(</w:t>
            </w:r>
            <w:r>
              <w:rPr>
                <w:rFonts w:hint="eastAsia" w:ascii="Times New Roman" w:hAnsi="Times New Roman" w:cs="宋体"/>
                <w:color w:val="auto"/>
                <w:sz w:val="21"/>
                <w:szCs w:val="21"/>
                <w:lang w:bidi="ar"/>
              </w:rPr>
              <w:t>含体育场</w:t>
            </w:r>
            <w:r>
              <w:rPr>
                <w:rFonts w:ascii="Times New Roman" w:hAnsi="Times New Roman" w:cs="宋体"/>
                <w:color w:val="auto"/>
                <w:sz w:val="21"/>
                <w:szCs w:val="21"/>
                <w:lang w:bidi="ar"/>
              </w:rPr>
              <w:t>)</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广场面积≥</w:t>
            </w:r>
            <w:r>
              <w:rPr>
                <w:rFonts w:ascii="Times New Roman" w:hAnsi="Times New Roman" w:cs="宋体"/>
                <w:color w:val="auto"/>
                <w:sz w:val="21"/>
                <w:szCs w:val="21"/>
                <w:lang w:bidi="ar"/>
              </w:rPr>
              <w:t>8万平方米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桥梁工程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单跨跨度≥</w:t>
            </w:r>
            <w:r>
              <w:rPr>
                <w:rFonts w:ascii="Times New Roman" w:hAnsi="Times New Roman" w:cs="宋体"/>
                <w:color w:val="auto"/>
                <w:sz w:val="21"/>
                <w:szCs w:val="21"/>
                <w:lang w:bidi="ar"/>
              </w:rPr>
              <w:t>64米；或墩高≥40米的桥梁；或铺装面积≥8000平方米的装配式桥梁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地下交通</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隧道工程：内径≥</w:t>
            </w:r>
            <w:r>
              <w:rPr>
                <w:rFonts w:ascii="Times New Roman" w:hAnsi="Times New Roman" w:cs="宋体"/>
                <w:color w:val="auto"/>
                <w:sz w:val="21"/>
                <w:szCs w:val="21"/>
                <w:lang w:bidi="ar"/>
              </w:rPr>
              <w:t>6米，或单洞洞长≥1600米，或单洞断面面积≥40平方米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车站工程：基坑深度≥</w:t>
            </w:r>
            <w:r>
              <w:rPr>
                <w:rFonts w:ascii="Times New Roman" w:hAnsi="Times New Roman" w:cs="宋体"/>
                <w:color w:val="auto"/>
                <w:sz w:val="21"/>
                <w:szCs w:val="21"/>
                <w:lang w:bidi="ar"/>
              </w:rPr>
              <w:t>8米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深基坑工程：基坑深度≥</w:t>
            </w:r>
            <w:r>
              <w:rPr>
                <w:rFonts w:ascii="Times New Roman" w:hAnsi="Times New Roman" w:cs="宋体"/>
                <w:color w:val="auto"/>
                <w:sz w:val="21"/>
                <w:szCs w:val="21"/>
                <w:lang w:bidi="ar"/>
              </w:rPr>
              <w:t>8米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临近既有线路</w:t>
            </w:r>
            <w:r>
              <w:rPr>
                <w:rFonts w:ascii="Times New Roman" w:hAnsi="Times New Roman" w:cs="宋体"/>
                <w:color w:val="auto"/>
                <w:sz w:val="21"/>
                <w:szCs w:val="21"/>
                <w:lang w:bidi="ar"/>
              </w:rPr>
              <w:t>30m范围内的基坑工程、地基处理工程、隧道工程等：基坑与轨道交通结构外边线的净距≤30米的旁侧基坑工程；</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基坑深度≥</w:t>
            </w:r>
            <w:r>
              <w:rPr>
                <w:rFonts w:ascii="Times New Roman" w:hAnsi="Times New Roman" w:cs="宋体"/>
                <w:color w:val="auto"/>
                <w:sz w:val="21"/>
                <w:szCs w:val="21"/>
                <w:lang w:bidi="ar"/>
              </w:rPr>
              <w:t>2米的轨道交通上方基坑工程；</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涉轨道交通的穿越工程（桥涵、隧道、地下管线工程）；</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净距≤</w:t>
            </w:r>
            <w:r>
              <w:rPr>
                <w:rFonts w:ascii="Times New Roman" w:hAnsi="Times New Roman" w:cs="宋体"/>
                <w:color w:val="auto"/>
                <w:sz w:val="21"/>
                <w:szCs w:val="21"/>
                <w:lang w:bidi="ar"/>
              </w:rPr>
              <w:t>30米的涉轨道交通的并行工程（桥涵、隧道、地下管线工程）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其他地下工程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城市综合管廊工程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城市供水</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日处理量≥</w:t>
            </w:r>
            <w:r>
              <w:rPr>
                <w:rFonts w:ascii="Times New Roman" w:hAnsi="Times New Roman" w:cs="宋体"/>
                <w:color w:val="auto"/>
                <w:sz w:val="21"/>
                <w:szCs w:val="21"/>
                <w:lang w:bidi="ar"/>
              </w:rPr>
              <w:t>20万吨的供水厂，或管径≥1.5米的供水管道工程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城市排水</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日处理量≥</w:t>
            </w:r>
            <w:r>
              <w:rPr>
                <w:rFonts w:ascii="Times New Roman" w:hAnsi="Times New Roman" w:cs="宋体"/>
                <w:color w:val="auto"/>
                <w:sz w:val="21"/>
                <w:szCs w:val="21"/>
                <w:lang w:bidi="ar"/>
              </w:rPr>
              <w:t>12万吨的污水处理厂，或管径≥1.5米的排水管道工程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城市供气</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燃气管道工程：超高压管道；</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储备厂（站）工程：设计压力≥</w:t>
            </w:r>
            <w:r>
              <w:rPr>
                <w:rFonts w:ascii="Times New Roman" w:hAnsi="Times New Roman" w:cs="宋体"/>
                <w:color w:val="auto"/>
                <w:sz w:val="21"/>
                <w:szCs w:val="21"/>
                <w:lang w:bidi="ar"/>
              </w:rPr>
              <w:t>4兆帕、或总贮存容量≥1200立方米的液化石油气贮罐厂（站）、或总贮存容量≥400立方米的液化天然气贮罐厂（站）、或供气规模≥20万立方米/日的燃气工程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生活垃圾</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填埋场工程：日处理量≥</w:t>
            </w:r>
            <w:r>
              <w:rPr>
                <w:rFonts w:ascii="Times New Roman" w:hAnsi="Times New Roman" w:cs="宋体"/>
                <w:color w:val="auto"/>
                <w:sz w:val="21"/>
                <w:szCs w:val="21"/>
                <w:lang w:bidi="ar"/>
              </w:rPr>
              <w:t>500吨；</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焚烧厂工程：日处理量≥</w:t>
            </w:r>
            <w:r>
              <w:rPr>
                <w:rFonts w:ascii="Times New Roman" w:hAnsi="Times New Roman" w:cs="宋体"/>
                <w:color w:val="auto"/>
                <w:sz w:val="21"/>
                <w:szCs w:val="21"/>
                <w:lang w:bidi="ar"/>
              </w:rPr>
              <w:t>100吨；</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餐厨（厨余）垃圾处理工程：日处理量≥</w:t>
            </w:r>
            <w:r>
              <w:rPr>
                <w:rFonts w:ascii="Times New Roman" w:hAnsi="Times New Roman" w:cs="宋体"/>
                <w:color w:val="auto"/>
                <w:sz w:val="21"/>
                <w:szCs w:val="21"/>
                <w:lang w:bidi="ar"/>
              </w:rPr>
              <w:t>100</w:t>
            </w:r>
            <w:r>
              <w:rPr>
                <w:rFonts w:hint="eastAsia" w:ascii="Times New Roman" w:hAnsi="Times New Roman" w:cs="宋体"/>
                <w:color w:val="auto"/>
                <w:sz w:val="21"/>
                <w:szCs w:val="21"/>
                <w:lang w:bidi="ar"/>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spacing w:line="440" w:lineRule="exact"/>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轻轨交通</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单跨跨度≥</w:t>
            </w:r>
            <w:r>
              <w:rPr>
                <w:rFonts w:ascii="Times New Roman" w:hAnsi="Times New Roman" w:cs="宋体"/>
                <w:color w:val="auto"/>
                <w:sz w:val="21"/>
                <w:szCs w:val="21"/>
                <w:lang w:bidi="ar"/>
              </w:rPr>
              <w:t>48米的桥涵工程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restart"/>
            <w:noWrap w:val="0"/>
            <w:vAlign w:val="center"/>
          </w:tcPr>
          <w:p>
            <w:pPr>
              <w:pageBreakBefore w:val="0"/>
              <w:kinsoku/>
              <w:wordWrap/>
              <w:topLinePunct w:val="0"/>
              <w:autoSpaceDE/>
              <w:autoSpaceDN/>
              <w:bidi w:val="0"/>
              <w:adjustRightInd/>
              <w:snapToGrid w:val="0"/>
              <w:ind w:left="0" w:leftChars="0"/>
              <w:jc w:val="center"/>
              <w:rPr>
                <w:rFonts w:ascii="Times New Roman" w:hAnsi="Times New Roman" w:eastAsia="宋体"/>
                <w:color w:val="auto"/>
                <w:sz w:val="21"/>
                <w:szCs w:val="21"/>
              </w:rPr>
            </w:pPr>
            <w:r>
              <w:rPr>
                <w:rFonts w:hint="eastAsia" w:ascii="Times New Roman" w:hAnsi="Times New Roman"/>
                <w:color w:val="auto"/>
                <w:sz w:val="21"/>
                <w:szCs w:val="21"/>
              </w:rPr>
              <w:t>机电安装工程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一般工民建工程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通风空调工程：空调制冷量≥</w:t>
            </w:r>
            <w:r>
              <w:rPr>
                <w:rFonts w:ascii="Times New Roman" w:hAnsi="Times New Roman" w:cs="宋体"/>
                <w:color w:val="auto"/>
                <w:sz w:val="21"/>
                <w:szCs w:val="21"/>
                <w:lang w:bidi="ar"/>
              </w:rPr>
              <w:t>2000冷吨；</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消防工程：建筑面积≥</w:t>
            </w:r>
            <w:r>
              <w:rPr>
                <w:rFonts w:ascii="Times New Roman" w:hAnsi="Times New Roman" w:cs="宋体"/>
                <w:color w:val="auto"/>
                <w:sz w:val="21"/>
                <w:szCs w:val="21"/>
                <w:lang w:bidi="ar"/>
              </w:rPr>
              <w:t>8万平方米；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自动控制系统工程：计算机或可编程控制器≥</w:t>
            </w:r>
            <w:r>
              <w:rPr>
                <w:rFonts w:ascii="Times New Roman" w:hAnsi="Times New Roman" w:cs="宋体"/>
                <w:color w:val="auto"/>
                <w:sz w:val="21"/>
                <w:szCs w:val="21"/>
                <w:lang w:bidi="ar"/>
              </w:rPr>
              <w:t>60台（套）；</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建筑智能化工程：智能化系统≥</w:t>
            </w:r>
            <w:r>
              <w:rPr>
                <w:rFonts w:ascii="Times New Roman" w:hAnsi="Times New Roman" w:cs="宋体"/>
                <w:color w:val="auto"/>
                <w:sz w:val="21"/>
                <w:szCs w:val="21"/>
                <w:lang w:bidi="ar"/>
              </w:rPr>
              <w:t>12个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净化工程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洁净等级≥</w:t>
            </w:r>
            <w:r>
              <w:rPr>
                <w:rFonts w:ascii="Times New Roman" w:hAnsi="Times New Roman" w:cs="宋体"/>
                <w:color w:val="auto"/>
                <w:sz w:val="21"/>
                <w:szCs w:val="21"/>
                <w:lang w:bidi="ar"/>
              </w:rPr>
              <w:t>5级（即千级及以上）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环保工程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医疗污水处理工程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restart"/>
            <w:noWrap w:val="0"/>
            <w:vAlign w:val="center"/>
          </w:tcPr>
          <w:p>
            <w:pPr>
              <w:pageBreakBefore w:val="0"/>
              <w:kinsoku/>
              <w:wordWrap/>
              <w:topLinePunct w:val="0"/>
              <w:autoSpaceDE/>
              <w:autoSpaceDN/>
              <w:bidi w:val="0"/>
              <w:adjustRightInd/>
              <w:snapToGrid w:val="0"/>
              <w:ind w:left="0" w:leftChars="0"/>
              <w:jc w:val="center"/>
              <w:rPr>
                <w:rFonts w:ascii="Times New Roman" w:hAnsi="Times New Roman" w:eastAsia="宋体"/>
                <w:color w:val="auto"/>
                <w:sz w:val="21"/>
                <w:szCs w:val="21"/>
              </w:rPr>
            </w:pPr>
            <w:r>
              <w:rPr>
                <w:rFonts w:hint="eastAsia" w:ascii="Times New Roman" w:hAnsi="Times New Roman"/>
                <w:color w:val="auto"/>
                <w:sz w:val="21"/>
                <w:szCs w:val="21"/>
              </w:rPr>
              <w:t>装饰装修工程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装饰装修工程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单项装修面积≥</w:t>
            </w:r>
            <w:r>
              <w:rPr>
                <w:rFonts w:ascii="Times New Roman" w:hAnsi="Times New Roman" w:cs="宋体"/>
                <w:color w:val="auto"/>
                <w:sz w:val="21"/>
                <w:szCs w:val="21"/>
                <w:lang w:bidi="ar"/>
              </w:rPr>
              <w:t>20000平方米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kinsoku/>
              <w:wordWrap/>
              <w:topLinePunct w:val="0"/>
              <w:autoSpaceDE/>
              <w:autoSpaceDN/>
              <w:bidi w:val="0"/>
              <w:adjustRightInd/>
              <w:snapToGrid w:val="0"/>
              <w:ind w:left="0" w:leftChars="0"/>
              <w:jc w:val="center"/>
              <w:rPr>
                <w:rFonts w:ascii="Times New Roman" w:hAnsi="Times New Roman"/>
                <w:color w:val="auto"/>
                <w:sz w:val="21"/>
                <w:szCs w:val="21"/>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幕墙工程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单体建筑幕墙高度≥</w:t>
            </w:r>
            <w:r>
              <w:rPr>
                <w:rFonts w:ascii="Times New Roman" w:hAnsi="Times New Roman" w:cs="宋体"/>
                <w:color w:val="auto"/>
                <w:sz w:val="21"/>
                <w:szCs w:val="21"/>
                <w:lang w:bidi="ar"/>
              </w:rPr>
              <w:t>80米，或面积≥8000平方米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olor w:val="auto"/>
                <w:sz w:val="21"/>
                <w:szCs w:val="21"/>
              </w:rPr>
            </w:pPr>
            <w:r>
              <w:rPr>
                <w:rFonts w:hint="eastAsia" w:ascii="Times New Roman" w:hAnsi="Times New Roman" w:cs="宋体"/>
                <w:color w:val="auto"/>
                <w:sz w:val="21"/>
                <w:szCs w:val="21"/>
                <w:lang w:bidi="ar"/>
              </w:rPr>
              <w:t>特种工程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特种工程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特殊专业工程（建筑物纠偏和平移、结构补强、特殊设备起重吊装、特种防雷等特殊工程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restart"/>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其他专业工程</w:t>
            </w: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石油天然气工程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大型石油化工工程主体工程（具体标准按照《建筑业企业资质标准》确定）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穿跨越工程</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顶管工程：单条穿越长度≥</w:t>
            </w:r>
            <w:r>
              <w:rPr>
                <w:rFonts w:ascii="Times New Roman" w:hAnsi="Times New Roman" w:cs="宋体"/>
                <w:color w:val="auto"/>
                <w:sz w:val="21"/>
                <w:szCs w:val="21"/>
                <w:lang w:bidi="ar"/>
              </w:rPr>
              <w:t>80米，或工作井深度≥8米；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隧道穿越工程：单洞洞长≥</w:t>
            </w:r>
            <w:r>
              <w:rPr>
                <w:rFonts w:ascii="Times New Roman" w:hAnsi="Times New Roman" w:cs="宋体"/>
                <w:color w:val="auto"/>
                <w:sz w:val="21"/>
                <w:szCs w:val="21"/>
                <w:lang w:bidi="ar"/>
              </w:rPr>
              <w:t>1600米；</w:t>
            </w:r>
          </w:p>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定向钻穿越工程：单条穿越长度≥</w:t>
            </w:r>
            <w:r>
              <w:rPr>
                <w:rFonts w:ascii="Times New Roman" w:hAnsi="Times New Roman" w:cs="宋体"/>
                <w:color w:val="auto"/>
                <w:sz w:val="21"/>
                <w:szCs w:val="21"/>
                <w:lang w:bidi="ar"/>
              </w:rPr>
              <w:t>600米，或者穿越地质为卵石层、松散状砂土或者粗砂层与破碎岩石层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p>
        </w:tc>
        <w:tc>
          <w:tcPr>
            <w:tcW w:w="2112" w:type="dxa"/>
            <w:noWrap w:val="0"/>
            <w:vAlign w:val="center"/>
          </w:tcPr>
          <w:p>
            <w:pPr>
              <w:pageBreakBefore w:val="0"/>
              <w:kinsoku/>
              <w:wordWrap/>
              <w:topLinePunct w:val="0"/>
              <w:autoSpaceDE/>
              <w:autoSpaceDN/>
              <w:bidi w:val="0"/>
              <w:adjustRightInd/>
              <w:snapToGrid w:val="0"/>
              <w:ind w:left="0" w:leftChars="0"/>
              <w:jc w:val="center"/>
              <w:rPr>
                <w:rFonts w:ascii="Times New Roman" w:hAnsi="Times New Roman" w:cs="宋体"/>
                <w:color w:val="auto"/>
                <w:sz w:val="21"/>
                <w:szCs w:val="21"/>
                <w:lang w:bidi="ar"/>
              </w:rPr>
            </w:pPr>
            <w:r>
              <w:rPr>
                <w:rFonts w:hint="eastAsia" w:ascii="Times New Roman" w:hAnsi="Times New Roman"/>
                <w:color w:val="auto"/>
                <w:sz w:val="21"/>
                <w:szCs w:val="21"/>
              </w:rPr>
              <w:t>爆破与拆除工程</w:t>
            </w:r>
          </w:p>
        </w:tc>
        <w:tc>
          <w:tcPr>
            <w:tcW w:w="5723" w:type="dxa"/>
            <w:noWrap w:val="0"/>
            <w:vAlign w:val="top"/>
          </w:tcPr>
          <w:p>
            <w:pPr>
              <w:pageBreakBefore w:val="0"/>
              <w:kinsoku/>
              <w:wordWrap/>
              <w:topLinePunct w:val="0"/>
              <w:autoSpaceDE/>
              <w:autoSpaceDN/>
              <w:bidi w:val="0"/>
              <w:adjustRightInd/>
              <w:snapToGrid w:val="0"/>
              <w:ind w:left="0" w:leftChars="0"/>
              <w:jc w:val="both"/>
              <w:rPr>
                <w:rFonts w:ascii="Times New Roman" w:hAnsi="Times New Roman" w:cs="宋体"/>
                <w:color w:val="auto"/>
                <w:sz w:val="21"/>
                <w:szCs w:val="21"/>
                <w:lang w:bidi="ar"/>
              </w:rPr>
            </w:pPr>
            <w:r>
              <w:rPr>
                <w:rFonts w:ascii="Times New Roman" w:hAnsi="Times New Roman"/>
                <w:color w:val="auto"/>
                <w:sz w:val="21"/>
                <w:szCs w:val="21"/>
              </w:rPr>
              <w:t>C</w:t>
            </w:r>
            <w:r>
              <w:rPr>
                <w:rFonts w:hint="eastAsia" w:ascii="Times New Roman" w:hAnsi="Times New Roman"/>
                <w:color w:val="auto"/>
                <w:sz w:val="21"/>
                <w:szCs w:val="21"/>
              </w:rPr>
              <w:t>级以上大爆破工程、</w:t>
            </w:r>
            <w:r>
              <w:rPr>
                <w:rFonts w:ascii="Times New Roman" w:hAnsi="Times New Roman"/>
                <w:color w:val="auto"/>
                <w:sz w:val="21"/>
                <w:szCs w:val="21"/>
              </w:rPr>
              <w:t>B</w:t>
            </w:r>
            <w:r>
              <w:rPr>
                <w:rFonts w:hint="eastAsia" w:ascii="Times New Roman" w:hAnsi="Times New Roman"/>
                <w:color w:val="auto"/>
                <w:sz w:val="21"/>
                <w:szCs w:val="21"/>
              </w:rPr>
              <w:t>级以上复杂环境深孔爆破、拆除爆破及城市控制爆破及其他爆破拆除工程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Merge w:val="continue"/>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p>
        </w:tc>
        <w:tc>
          <w:tcPr>
            <w:tcW w:w="2112" w:type="dxa"/>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盾构隧道</w:t>
            </w:r>
          </w:p>
        </w:tc>
        <w:tc>
          <w:tcPr>
            <w:tcW w:w="5723" w:type="dxa"/>
            <w:noWrap w:val="0"/>
            <w:vAlign w:val="center"/>
          </w:tcPr>
          <w:p>
            <w:pPr>
              <w:pageBreakBefore w:val="0"/>
              <w:widowControl/>
              <w:kinsoku/>
              <w:wordWrap/>
              <w:topLinePunct w:val="0"/>
              <w:autoSpaceDE/>
              <w:autoSpaceDN/>
              <w:bidi w:val="0"/>
              <w:adjustRightInd/>
              <w:ind w:left="0" w:leftChars="0"/>
              <w:jc w:val="left"/>
              <w:textAlignment w:val="center"/>
              <w:rPr>
                <w:rFonts w:ascii="Times New Roman" w:hAnsi="Times New Roman" w:cs="宋体"/>
                <w:color w:val="auto"/>
                <w:sz w:val="21"/>
                <w:szCs w:val="21"/>
                <w:lang w:bidi="ar"/>
              </w:rPr>
            </w:pPr>
            <w:r>
              <w:rPr>
                <w:rFonts w:hint="eastAsia" w:ascii="Times New Roman" w:hAnsi="Times New Roman" w:cs="宋体"/>
                <w:color w:val="auto"/>
                <w:sz w:val="21"/>
                <w:szCs w:val="21"/>
                <w:lang w:bidi="ar"/>
              </w:rPr>
              <w:t>单洞洞长≥</w:t>
            </w:r>
            <w:r>
              <w:rPr>
                <w:rFonts w:ascii="Times New Roman" w:hAnsi="Times New Roman" w:cs="宋体"/>
                <w:color w:val="auto"/>
                <w:sz w:val="21"/>
                <w:szCs w:val="21"/>
                <w:lang w:bidi="ar"/>
              </w:rPr>
              <w:t>2000米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491" w:type="dxa"/>
            <w:vMerge w:val="continue"/>
            <w:noWrap w:val="0"/>
            <w:vAlign w:val="center"/>
          </w:tcPr>
          <w:p>
            <w:pPr>
              <w:pageBreakBefore w:val="0"/>
              <w:widowControl/>
              <w:kinsoku/>
              <w:wordWrap/>
              <w:topLinePunct w:val="0"/>
              <w:autoSpaceDE/>
              <w:autoSpaceDN/>
              <w:bidi w:val="0"/>
              <w:adjustRightInd/>
              <w:ind w:left="0" w:leftChars="0"/>
              <w:jc w:val="center"/>
              <w:textAlignment w:val="center"/>
              <w:rPr>
                <w:rFonts w:ascii="Times New Roman" w:hAnsi="Times New Roman" w:cs="宋体"/>
                <w:color w:val="auto"/>
                <w:sz w:val="21"/>
                <w:szCs w:val="21"/>
                <w:lang w:bidi="ar"/>
              </w:rPr>
            </w:pPr>
          </w:p>
        </w:tc>
        <w:tc>
          <w:tcPr>
            <w:tcW w:w="2112" w:type="dxa"/>
            <w:noWrap w:val="0"/>
            <w:vAlign w:val="center"/>
          </w:tcPr>
          <w:p>
            <w:pPr>
              <w:pageBreakBefore w:val="0"/>
              <w:kinsoku/>
              <w:wordWrap/>
              <w:topLinePunct w:val="0"/>
              <w:autoSpaceDE/>
              <w:autoSpaceDN/>
              <w:bidi w:val="0"/>
              <w:adjustRightInd/>
              <w:snapToGrid w:val="0"/>
              <w:ind w:left="0" w:leftChars="0"/>
              <w:jc w:val="center"/>
              <w:rPr>
                <w:rFonts w:ascii="Times New Roman" w:hAnsi="Times New Roman" w:cs="宋体"/>
                <w:color w:val="auto"/>
                <w:sz w:val="21"/>
                <w:szCs w:val="21"/>
                <w:lang w:bidi="ar"/>
              </w:rPr>
            </w:pPr>
            <w:r>
              <w:rPr>
                <w:rFonts w:hint="eastAsia" w:ascii="Times New Roman" w:hAnsi="Times New Roman"/>
                <w:color w:val="auto"/>
                <w:sz w:val="21"/>
                <w:szCs w:val="21"/>
              </w:rPr>
              <w:t>其他专业工程</w:t>
            </w:r>
          </w:p>
        </w:tc>
        <w:tc>
          <w:tcPr>
            <w:tcW w:w="5723" w:type="dxa"/>
            <w:noWrap w:val="0"/>
            <w:vAlign w:val="center"/>
          </w:tcPr>
          <w:p>
            <w:pPr>
              <w:pageBreakBefore w:val="0"/>
              <w:kinsoku/>
              <w:wordWrap/>
              <w:topLinePunct w:val="0"/>
              <w:autoSpaceDE/>
              <w:autoSpaceDN/>
              <w:bidi w:val="0"/>
              <w:adjustRightInd/>
              <w:snapToGrid w:val="0"/>
              <w:ind w:left="0" w:leftChars="0"/>
              <w:jc w:val="both"/>
              <w:rPr>
                <w:rFonts w:ascii="Times New Roman" w:hAnsi="Times New Roman" w:cs="宋体"/>
                <w:color w:val="auto"/>
                <w:sz w:val="21"/>
                <w:szCs w:val="21"/>
                <w:u w:val="single"/>
                <w:lang w:bidi="ar"/>
              </w:rPr>
            </w:pPr>
          </w:p>
        </w:tc>
      </w:tr>
    </w:tbl>
    <w:p>
      <w:pPr>
        <w:pStyle w:val="19"/>
        <w:pageBreakBefore w:val="0"/>
        <w:numPr>
          <w:ilvl w:val="0"/>
          <w:numId w:val="0"/>
        </w:numPr>
        <w:kinsoku/>
        <w:wordWrap/>
        <w:topLinePunct w:val="0"/>
        <w:autoSpaceDE/>
        <w:autoSpaceDN/>
        <w:bidi w:val="0"/>
        <w:adjustRightInd/>
        <w:ind w:left="0" w:leftChars="0"/>
        <w:rPr>
          <w:rFonts w:ascii="Times New Roman" w:hAnsi="Times New Roman"/>
          <w:color w:val="auto"/>
        </w:rPr>
      </w:pPr>
    </w:p>
    <w:p>
      <w:pPr>
        <w:pStyle w:val="129"/>
        <w:numPr>
          <w:ilvl w:val="0"/>
          <w:numId w:val="6"/>
        </w:numPr>
        <w:spacing w:line="360" w:lineRule="auto"/>
        <w:ind w:left="0" w:firstLine="480" w:firstLineChars="200"/>
        <w:rPr>
          <w:rFonts w:ascii="宋体" w:hAnsi="宋体"/>
          <w:color w:val="auto"/>
        </w:rPr>
      </w:pPr>
      <w:r>
        <w:rPr>
          <w:rFonts w:hint="eastAsia" w:ascii="宋体" w:hAnsi="宋体"/>
          <w:color w:val="auto"/>
        </w:rPr>
        <w:t>招标文件的获取</w:t>
      </w:r>
    </w:p>
    <w:p>
      <w:pPr>
        <w:pStyle w:val="129"/>
        <w:numPr>
          <w:ilvl w:val="0"/>
          <w:numId w:val="9"/>
        </w:numPr>
        <w:spacing w:line="360" w:lineRule="auto"/>
        <w:ind w:left="0" w:firstLine="480" w:firstLineChars="200"/>
        <w:rPr>
          <w:rFonts w:ascii="宋体" w:hAnsi="宋体"/>
          <w:color w:val="auto"/>
        </w:rPr>
      </w:pPr>
      <w:r>
        <w:rPr>
          <w:rFonts w:hint="eastAsia" w:ascii="宋体" w:hAnsi="宋体"/>
          <w:color w:val="auto"/>
        </w:rPr>
        <w:t>招标文件的获取为网上下载形式。招标人应在招标公告（或投标邀请书）及招标文件中明确招标文件发售方式及时间，发售期不得少于</w:t>
      </w:r>
      <w:r>
        <w:rPr>
          <w:rFonts w:ascii="宋体" w:hAnsi="宋体"/>
          <w:color w:val="auto"/>
        </w:rPr>
        <w:t>5日。截止时间如遇国家法定休假日的，应顺延至法定休假日后的第一个工作日。</w:t>
      </w:r>
    </w:p>
    <w:p>
      <w:pPr>
        <w:pStyle w:val="129"/>
        <w:numPr>
          <w:ilvl w:val="0"/>
          <w:numId w:val="9"/>
        </w:numPr>
        <w:spacing w:line="360" w:lineRule="auto"/>
        <w:ind w:left="0" w:firstLine="480" w:firstLineChars="200"/>
        <w:rPr>
          <w:rFonts w:ascii="宋体" w:hAnsi="宋体"/>
          <w:color w:val="auto"/>
        </w:rPr>
      </w:pPr>
      <w:r>
        <w:rPr>
          <w:rFonts w:hint="eastAsia" w:ascii="宋体" w:hAnsi="宋体"/>
          <w:color w:val="auto"/>
        </w:rPr>
        <w:t>疑问提交时间。由招标人依法设定，具体时间应充分考虑投标人获取、阅读招标文件、提出疑问的时间，同时要为答疑预留一定的时间。</w:t>
      </w:r>
    </w:p>
    <w:p>
      <w:pPr>
        <w:pStyle w:val="129"/>
        <w:numPr>
          <w:ilvl w:val="0"/>
          <w:numId w:val="9"/>
        </w:numPr>
        <w:spacing w:line="360" w:lineRule="auto"/>
        <w:ind w:left="0" w:firstLine="480" w:firstLineChars="200"/>
        <w:rPr>
          <w:rFonts w:ascii="宋体" w:hAnsi="宋体"/>
          <w:color w:val="auto"/>
        </w:rPr>
      </w:pPr>
      <w:r>
        <w:rPr>
          <w:rFonts w:hint="eastAsia" w:ascii="宋体" w:hAnsi="宋体"/>
          <w:color w:val="auto"/>
        </w:rPr>
        <w:t>补充（答疑、澄清）招标文件发布日期。为招标人最迟可能发出补充文件的时间，应充分考虑在投标截止时间前可能发生的变化。</w:t>
      </w:r>
    </w:p>
    <w:p>
      <w:pPr>
        <w:pStyle w:val="129"/>
        <w:numPr>
          <w:ilvl w:val="0"/>
          <w:numId w:val="9"/>
        </w:numPr>
        <w:spacing w:line="360" w:lineRule="auto"/>
        <w:ind w:left="0" w:firstLine="480" w:firstLineChars="200"/>
        <w:rPr>
          <w:rFonts w:ascii="宋体" w:hAnsi="宋体"/>
          <w:color w:val="auto"/>
        </w:rPr>
      </w:pPr>
      <w:r>
        <w:rPr>
          <w:rFonts w:hint="eastAsia" w:ascii="宋体" w:hAnsi="宋体"/>
          <w:color w:val="auto"/>
        </w:rPr>
        <w:t>投标截止时间。自招标文件发出之日起至投标截止时间不得少于</w:t>
      </w:r>
      <w:r>
        <w:rPr>
          <w:rFonts w:ascii="宋体" w:hAnsi="宋体"/>
          <w:color w:val="auto"/>
        </w:rPr>
        <w:t>20</w:t>
      </w:r>
      <w:r>
        <w:rPr>
          <w:rFonts w:hint="eastAsia" w:ascii="宋体" w:hAnsi="宋体"/>
          <w:color w:val="auto"/>
        </w:rPr>
        <w:t>日。招标人应考虑补充（答疑、澄清）招标文件可能影响投标文件编制内容的，且必须在投标截止时间</w:t>
      </w:r>
      <w:r>
        <w:rPr>
          <w:rFonts w:ascii="宋体" w:hAnsi="宋体"/>
          <w:color w:val="auto"/>
        </w:rPr>
        <w:t>15</w:t>
      </w:r>
      <w:r>
        <w:rPr>
          <w:rFonts w:hint="eastAsia" w:ascii="宋体" w:hAnsi="宋体"/>
          <w:color w:val="auto"/>
        </w:rPr>
        <w:t>日前发布的规定，应适当安排投标截止时间。截止时间如遇国家法定休假日的，应顺延至法定休假日后的第一个工作日。</w:t>
      </w:r>
    </w:p>
    <w:p>
      <w:pPr>
        <w:pStyle w:val="129"/>
        <w:numPr>
          <w:ilvl w:val="0"/>
          <w:numId w:val="9"/>
        </w:numPr>
        <w:spacing w:line="360" w:lineRule="auto"/>
        <w:ind w:left="0" w:firstLine="480" w:firstLineChars="200"/>
        <w:rPr>
          <w:rFonts w:ascii="宋体" w:hAnsi="宋体"/>
          <w:color w:val="auto"/>
        </w:rPr>
      </w:pPr>
      <w:r>
        <w:rPr>
          <w:rFonts w:hint="eastAsia" w:ascii="宋体" w:hAnsi="宋体"/>
          <w:color w:val="auto"/>
        </w:rPr>
        <w:t>投标文件的递交方式为电子网上传输提交形式。招标人应在招标公告（或投标邀请书）及招标文件中明确投标文件递交方式及时间，还应明确是否需要同时递交纸质投标文件。</w:t>
      </w:r>
    </w:p>
    <w:p>
      <w:pPr>
        <w:pStyle w:val="151"/>
        <w:numPr>
          <w:ilvl w:val="0"/>
          <w:numId w:val="4"/>
        </w:numPr>
        <w:spacing w:line="360" w:lineRule="auto"/>
        <w:ind w:left="0" w:firstLine="482"/>
        <w:jc w:val="left"/>
        <w:rPr>
          <w:rFonts w:ascii="宋体" w:hAnsi="宋体"/>
          <w:b/>
          <w:color w:val="auto"/>
        </w:rPr>
      </w:pPr>
      <w:r>
        <w:rPr>
          <w:rFonts w:hint="eastAsia" w:ascii="宋体" w:hAnsi="宋体"/>
          <w:b/>
          <w:color w:val="auto"/>
          <w:kern w:val="0"/>
          <w:sz w:val="24"/>
          <w:szCs w:val="24"/>
        </w:rPr>
        <w:t>投标人须知前附表部分</w:t>
      </w:r>
    </w:p>
    <w:p>
      <w:pPr>
        <w:pStyle w:val="129"/>
        <w:numPr>
          <w:ilvl w:val="0"/>
          <w:numId w:val="10"/>
        </w:numPr>
        <w:spacing w:line="360" w:lineRule="auto"/>
        <w:ind w:left="0" w:firstLine="480" w:firstLineChars="200"/>
        <w:rPr>
          <w:rFonts w:ascii="宋体" w:hAnsi="宋体"/>
          <w:color w:val="auto"/>
        </w:rPr>
      </w:pPr>
      <w:r>
        <w:rPr>
          <w:rFonts w:hint="eastAsia" w:ascii="宋体" w:hAnsi="宋体"/>
          <w:color w:val="auto"/>
        </w:rPr>
        <w:t>条款号</w:t>
      </w:r>
      <w:r>
        <w:rPr>
          <w:rFonts w:ascii="宋体" w:hAnsi="宋体"/>
          <w:color w:val="auto"/>
        </w:rPr>
        <w:t>1.1.2—1.2.2。</w:t>
      </w:r>
      <w:r>
        <w:rPr>
          <w:rFonts w:hint="eastAsia" w:ascii="宋体" w:hAnsi="宋体"/>
          <w:color w:val="auto"/>
        </w:rPr>
        <w:t>应</w:t>
      </w:r>
      <w:r>
        <w:rPr>
          <w:rFonts w:ascii="宋体" w:hAnsi="宋体"/>
          <w:color w:val="auto"/>
        </w:rPr>
        <w:t>与招标公告（或投标邀请书）相关内容填写一致。</w:t>
      </w:r>
    </w:p>
    <w:p>
      <w:pPr>
        <w:pStyle w:val="129"/>
        <w:numPr>
          <w:ilvl w:val="0"/>
          <w:numId w:val="10"/>
        </w:numPr>
        <w:spacing w:line="360" w:lineRule="auto"/>
        <w:ind w:left="0" w:firstLine="480" w:firstLineChars="200"/>
        <w:rPr>
          <w:rFonts w:ascii="宋体" w:hAnsi="宋体"/>
          <w:color w:val="auto"/>
        </w:rPr>
      </w:pPr>
      <w:r>
        <w:rPr>
          <w:rFonts w:ascii="宋体" w:hAnsi="宋体"/>
          <w:color w:val="auto"/>
        </w:rPr>
        <w:t>招标范围</w:t>
      </w:r>
      <w:r>
        <w:rPr>
          <w:rFonts w:hint="eastAsia" w:ascii="宋体" w:hAnsi="宋体"/>
          <w:color w:val="auto"/>
        </w:rPr>
        <w:t>。应与招标公告（或投标邀请书）中招标内容一致，具体描述可详见公告。</w:t>
      </w:r>
    </w:p>
    <w:p>
      <w:pPr>
        <w:pStyle w:val="129"/>
        <w:numPr>
          <w:ilvl w:val="0"/>
          <w:numId w:val="10"/>
        </w:numPr>
        <w:spacing w:line="360" w:lineRule="auto"/>
        <w:ind w:left="0" w:firstLine="480" w:firstLineChars="200"/>
        <w:rPr>
          <w:rFonts w:ascii="宋体" w:hAnsi="宋体"/>
          <w:color w:val="auto"/>
        </w:rPr>
      </w:pPr>
      <w:r>
        <w:rPr>
          <w:rFonts w:ascii="宋体" w:hAnsi="宋体"/>
          <w:color w:val="auto"/>
        </w:rPr>
        <w:t>工期</w:t>
      </w:r>
      <w:r>
        <w:rPr>
          <w:rFonts w:hint="eastAsia" w:ascii="宋体" w:hAnsi="宋体"/>
          <w:color w:val="auto"/>
        </w:rPr>
        <w:t>要求。招标人应合理设定时间，有定额工期的应符合国家和省有关工期定额的规定。招标工期比定额工期提前的，应按照我省建设工程计价依据的相关规定在工程量清单中编列提前竣工增加费项目。招标人确定的工期低于定额工期</w:t>
      </w:r>
      <w:r>
        <w:rPr>
          <w:rFonts w:ascii="宋体" w:hAnsi="宋体"/>
          <w:color w:val="auto"/>
        </w:rPr>
        <w:t>70%的，招标人应当组织专家论证，并依照审定的技术措施方案编制相应的提前竣工增加费</w:t>
      </w:r>
      <w:r>
        <w:rPr>
          <w:rFonts w:hint="eastAsia" w:ascii="宋体" w:hAnsi="宋体"/>
          <w:color w:val="auto"/>
        </w:rPr>
        <w:t>项目</w:t>
      </w:r>
      <w:r>
        <w:rPr>
          <w:rFonts w:ascii="宋体" w:hAnsi="宋体"/>
          <w:color w:val="auto"/>
        </w:rPr>
        <w:t>。</w:t>
      </w:r>
    </w:p>
    <w:p>
      <w:pPr>
        <w:pStyle w:val="129"/>
        <w:numPr>
          <w:ilvl w:val="0"/>
          <w:numId w:val="10"/>
        </w:numPr>
        <w:spacing w:line="360" w:lineRule="auto"/>
        <w:ind w:left="0" w:firstLine="480" w:firstLineChars="200"/>
        <w:rPr>
          <w:rFonts w:ascii="宋体" w:hAnsi="宋体"/>
          <w:color w:val="auto"/>
        </w:rPr>
      </w:pPr>
      <w:r>
        <w:rPr>
          <w:rFonts w:hint="eastAsia" w:ascii="宋体" w:hAnsi="宋体"/>
          <w:color w:val="auto"/>
        </w:rPr>
        <w:t>条款号</w:t>
      </w:r>
      <w:r>
        <w:rPr>
          <w:rFonts w:ascii="宋体" w:hAnsi="宋体"/>
          <w:color w:val="auto"/>
        </w:rPr>
        <w:t>1.4.1-2.1。根据本次招标的具体情况和要求，按示范文本提示内容选择或填写。</w:t>
      </w:r>
    </w:p>
    <w:p>
      <w:pPr>
        <w:pStyle w:val="129"/>
        <w:numPr>
          <w:ilvl w:val="0"/>
          <w:numId w:val="10"/>
        </w:numPr>
        <w:spacing w:line="360" w:lineRule="auto"/>
        <w:ind w:left="0" w:firstLine="480" w:firstLineChars="200"/>
        <w:rPr>
          <w:rFonts w:ascii="宋体" w:hAnsi="宋体"/>
          <w:color w:val="auto"/>
        </w:rPr>
      </w:pPr>
      <w:r>
        <w:rPr>
          <w:rFonts w:hint="eastAsia" w:ascii="宋体" w:hAnsi="宋体"/>
          <w:color w:val="auto"/>
        </w:rPr>
        <w:t>投标截止时间。应与招标公告（或投标邀请书）规定的投标截止时间一致。</w:t>
      </w:r>
    </w:p>
    <w:p>
      <w:pPr>
        <w:pStyle w:val="129"/>
        <w:numPr>
          <w:ilvl w:val="0"/>
          <w:numId w:val="10"/>
        </w:numPr>
        <w:spacing w:line="360" w:lineRule="auto"/>
        <w:ind w:left="0" w:firstLine="480" w:firstLineChars="200"/>
        <w:rPr>
          <w:rFonts w:ascii="宋体" w:hAnsi="宋体"/>
          <w:color w:val="auto"/>
        </w:rPr>
      </w:pPr>
      <w:r>
        <w:rPr>
          <w:rFonts w:hint="eastAsia" w:ascii="宋体" w:hAnsi="宋体"/>
          <w:color w:val="auto"/>
        </w:rPr>
        <w:t>条款号</w:t>
      </w:r>
      <w:r>
        <w:rPr>
          <w:rFonts w:ascii="宋体" w:hAnsi="宋体"/>
          <w:color w:val="auto"/>
        </w:rPr>
        <w:t>2.2.1-3.3.1。根据本次招标的具体情况和要求，按示范文本提示内容选择或填写。</w:t>
      </w:r>
    </w:p>
    <w:p>
      <w:pPr>
        <w:pStyle w:val="129"/>
        <w:numPr>
          <w:ilvl w:val="0"/>
          <w:numId w:val="10"/>
        </w:numPr>
        <w:spacing w:line="360" w:lineRule="auto"/>
        <w:ind w:left="0" w:firstLine="480" w:firstLineChars="200"/>
        <w:rPr>
          <w:rFonts w:ascii="宋体" w:hAnsi="宋体"/>
          <w:color w:val="auto"/>
        </w:rPr>
      </w:pPr>
      <w:r>
        <w:rPr>
          <w:rFonts w:hint="eastAsia" w:ascii="宋体" w:hAnsi="宋体"/>
          <w:color w:val="auto"/>
        </w:rPr>
        <w:t>条款号</w:t>
      </w:r>
      <w:r>
        <w:rPr>
          <w:rFonts w:ascii="宋体" w:hAnsi="宋体"/>
          <w:color w:val="auto"/>
        </w:rPr>
        <w:t>3.5-4.2.2。根据本次招标的情况填写。</w:t>
      </w:r>
    </w:p>
    <w:p>
      <w:pPr>
        <w:pStyle w:val="129"/>
        <w:numPr>
          <w:ilvl w:val="0"/>
          <w:numId w:val="10"/>
        </w:numPr>
        <w:spacing w:line="360" w:lineRule="auto"/>
        <w:ind w:left="0" w:firstLine="480" w:firstLineChars="200"/>
        <w:rPr>
          <w:rFonts w:ascii="宋体" w:hAnsi="宋体"/>
          <w:color w:val="auto"/>
        </w:rPr>
      </w:pPr>
      <w:r>
        <w:rPr>
          <w:rFonts w:hint="eastAsia" w:ascii="宋体" w:hAnsi="宋体"/>
          <w:color w:val="auto"/>
        </w:rPr>
        <w:t>条款号</w:t>
      </w:r>
      <w:r>
        <w:rPr>
          <w:rFonts w:ascii="宋体" w:hAnsi="宋体"/>
          <w:color w:val="auto"/>
        </w:rPr>
        <w:t>5.1-6.1.1。根据实际情况填写。</w:t>
      </w:r>
    </w:p>
    <w:p>
      <w:pPr>
        <w:pStyle w:val="129"/>
        <w:numPr>
          <w:ilvl w:val="0"/>
          <w:numId w:val="10"/>
        </w:numPr>
        <w:spacing w:line="360" w:lineRule="auto"/>
        <w:ind w:left="0" w:firstLine="420"/>
        <w:rPr>
          <w:rFonts w:ascii="宋体" w:hAnsi="宋体"/>
          <w:color w:val="auto"/>
        </w:rPr>
      </w:pPr>
      <w:r>
        <w:rPr>
          <w:rFonts w:hint="eastAsia" w:ascii="宋体" w:hAnsi="宋体"/>
          <w:color w:val="auto"/>
        </w:rPr>
        <w:t>评标专家抽取与使用：按照《浙江省综合性评标专家库管理办法》（浙江省人民政府令第</w:t>
      </w:r>
      <w:r>
        <w:rPr>
          <w:rFonts w:ascii="宋体" w:hAnsi="宋体"/>
          <w:color w:val="auto"/>
        </w:rPr>
        <w:t>279号</w:t>
      </w:r>
      <w:r>
        <w:rPr>
          <w:rFonts w:hint="eastAsia" w:ascii="宋体" w:hAnsi="宋体"/>
          <w:color w:val="auto"/>
        </w:rPr>
        <w:t>）、《浙江省人民政府关于进一步加强工程建设项目招标投标领域依法治理的意见》</w:t>
      </w:r>
      <w:r>
        <w:rPr>
          <w:rFonts w:ascii="宋体" w:hAnsi="宋体"/>
          <w:color w:val="auto"/>
        </w:rPr>
        <w:t>(浙政发〔2021〕5号)规定。全省范围内依法必须招标的工程建设项目评标专家应从省综合性评标专家库中随机抽取，国家或省政府有特殊要求、库内符合条件的专家数量不满足抽取规则要求除外。</w:t>
      </w:r>
    </w:p>
    <w:p>
      <w:pPr>
        <w:pStyle w:val="129"/>
        <w:numPr>
          <w:ilvl w:val="0"/>
          <w:numId w:val="10"/>
        </w:numPr>
        <w:spacing w:line="360" w:lineRule="auto"/>
        <w:ind w:left="0" w:firstLine="480" w:firstLineChars="200"/>
        <w:rPr>
          <w:rFonts w:ascii="宋体" w:hAnsi="宋体"/>
          <w:color w:val="auto"/>
        </w:rPr>
      </w:pPr>
      <w:r>
        <w:rPr>
          <w:rFonts w:hint="eastAsia" w:ascii="宋体" w:hAnsi="宋体"/>
          <w:color w:val="auto"/>
        </w:rPr>
        <w:t>评标办法。应根据本次招标的实际情况合理选定评标办法。</w:t>
      </w:r>
    </w:p>
    <w:p>
      <w:pPr>
        <w:pStyle w:val="129"/>
        <w:numPr>
          <w:ilvl w:val="0"/>
          <w:numId w:val="10"/>
        </w:numPr>
        <w:spacing w:line="360" w:lineRule="auto"/>
        <w:ind w:left="0" w:firstLine="480" w:firstLineChars="200"/>
        <w:rPr>
          <w:rFonts w:ascii="宋体" w:hAnsi="宋体"/>
          <w:color w:val="auto"/>
        </w:rPr>
      </w:pPr>
      <w:r>
        <w:rPr>
          <w:rFonts w:hint="eastAsia" w:ascii="宋体" w:hAnsi="宋体"/>
          <w:color w:val="auto"/>
        </w:rPr>
        <w:t>使用的电子招标工具应及时更新，并选择与本项目相匹配的招标工具模式（如：评标办法、技术明（暗）标、电子标书递交方式等）。</w:t>
      </w:r>
    </w:p>
    <w:p>
      <w:pPr>
        <w:pStyle w:val="129"/>
        <w:numPr>
          <w:ilvl w:val="0"/>
          <w:numId w:val="10"/>
        </w:numPr>
        <w:spacing w:line="360" w:lineRule="auto"/>
        <w:ind w:left="0" w:firstLine="480" w:firstLineChars="200"/>
        <w:rPr>
          <w:rFonts w:ascii="宋体" w:hAnsi="宋体"/>
          <w:color w:val="auto"/>
        </w:rPr>
      </w:pPr>
      <w:r>
        <w:rPr>
          <w:rFonts w:hint="eastAsia" w:ascii="宋体" w:hAnsi="宋体"/>
          <w:color w:val="auto"/>
        </w:rPr>
        <w:t>条款号</w:t>
      </w:r>
      <w:r>
        <w:rPr>
          <w:rFonts w:ascii="宋体" w:hAnsi="宋体"/>
          <w:color w:val="auto"/>
        </w:rPr>
        <w:t>6.4-9.5。根据实际情况填写。</w:t>
      </w:r>
    </w:p>
    <w:p>
      <w:pPr>
        <w:pStyle w:val="129"/>
        <w:numPr>
          <w:ilvl w:val="0"/>
          <w:numId w:val="10"/>
        </w:numPr>
        <w:spacing w:line="360" w:lineRule="auto"/>
        <w:ind w:left="0" w:firstLine="480" w:firstLineChars="200"/>
        <w:rPr>
          <w:rFonts w:ascii="宋体" w:hAnsi="宋体"/>
          <w:color w:val="auto"/>
        </w:rPr>
      </w:pPr>
      <w:r>
        <w:rPr>
          <w:rFonts w:hint="eastAsia" w:ascii="宋体" w:hAnsi="宋体"/>
          <w:color w:val="auto"/>
        </w:rPr>
        <w:t>根据实际情况需要补充的其他内容，应集中在第</w:t>
      </w:r>
      <w:r>
        <w:rPr>
          <w:rFonts w:ascii="宋体" w:hAnsi="宋体"/>
          <w:color w:val="auto"/>
        </w:rPr>
        <w:t>10条，并在10.4条后依次排序，如10.5、10.6…</w:t>
      </w:r>
    </w:p>
    <w:p>
      <w:pPr>
        <w:pStyle w:val="151"/>
        <w:numPr>
          <w:ilvl w:val="0"/>
          <w:numId w:val="4"/>
        </w:numPr>
        <w:spacing w:line="360" w:lineRule="auto"/>
        <w:ind w:left="0" w:firstLine="482"/>
        <w:jc w:val="left"/>
        <w:rPr>
          <w:rFonts w:ascii="宋体" w:hAnsi="宋体"/>
          <w:b/>
          <w:color w:val="auto"/>
        </w:rPr>
      </w:pPr>
      <w:r>
        <w:rPr>
          <w:rFonts w:hint="eastAsia" w:ascii="宋体" w:hAnsi="宋体"/>
          <w:b/>
          <w:color w:val="auto"/>
          <w:kern w:val="0"/>
          <w:sz w:val="24"/>
          <w:szCs w:val="24"/>
        </w:rPr>
        <w:t>工程量清单部分</w:t>
      </w:r>
    </w:p>
    <w:p>
      <w:pPr>
        <w:tabs>
          <w:tab w:val="left" w:pos="438"/>
        </w:tabs>
        <w:snapToGrid w:val="0"/>
        <w:spacing w:line="360" w:lineRule="auto"/>
        <w:ind w:firstLine="480" w:firstLineChars="200"/>
        <w:rPr>
          <w:rFonts w:ascii="宋体" w:hAnsi="宋体"/>
          <w:color w:val="auto"/>
        </w:rPr>
      </w:pPr>
      <w:r>
        <w:rPr>
          <w:rFonts w:hint="eastAsia" w:ascii="宋体" w:hAnsi="宋体"/>
          <w:color w:val="auto"/>
        </w:rPr>
        <w:t>由招标人补充。</w:t>
      </w:r>
    </w:p>
    <w:p>
      <w:pPr>
        <w:pStyle w:val="151"/>
        <w:numPr>
          <w:ilvl w:val="0"/>
          <w:numId w:val="4"/>
        </w:numPr>
        <w:spacing w:line="360" w:lineRule="auto"/>
        <w:ind w:left="0" w:firstLine="482"/>
        <w:jc w:val="left"/>
        <w:rPr>
          <w:rFonts w:ascii="宋体" w:hAnsi="宋体"/>
          <w:b/>
          <w:color w:val="auto"/>
        </w:rPr>
      </w:pPr>
      <w:r>
        <w:rPr>
          <w:rFonts w:hint="eastAsia" w:ascii="宋体" w:hAnsi="宋体"/>
          <w:b/>
          <w:color w:val="auto"/>
          <w:kern w:val="0"/>
          <w:sz w:val="24"/>
          <w:szCs w:val="24"/>
        </w:rPr>
        <w:t>合同文本部分</w:t>
      </w:r>
    </w:p>
    <w:p>
      <w:pPr>
        <w:snapToGrid w:val="0"/>
        <w:spacing w:line="360" w:lineRule="auto"/>
        <w:ind w:firstLine="480" w:firstLineChars="200"/>
        <w:rPr>
          <w:rFonts w:ascii="宋体" w:hAnsi="宋体"/>
          <w:color w:val="auto"/>
        </w:rPr>
      </w:pPr>
      <w:r>
        <w:rPr>
          <w:rFonts w:hint="eastAsia" w:ascii="宋体" w:hAnsi="宋体"/>
          <w:color w:val="auto"/>
        </w:rPr>
        <w:t>协议书格式及通用合同条款可省略；专用合同条款，招标人可根据工程实际情况在补充部分予以补充。</w:t>
      </w:r>
    </w:p>
    <w:p>
      <w:pPr>
        <w:pStyle w:val="151"/>
        <w:numPr>
          <w:ilvl w:val="0"/>
          <w:numId w:val="4"/>
        </w:numPr>
        <w:spacing w:line="360" w:lineRule="auto"/>
        <w:ind w:left="0" w:firstLine="482"/>
        <w:jc w:val="left"/>
        <w:rPr>
          <w:rFonts w:ascii="宋体" w:hAnsi="宋体"/>
          <w:b/>
          <w:color w:val="auto"/>
        </w:rPr>
      </w:pPr>
      <w:r>
        <w:rPr>
          <w:rFonts w:hint="eastAsia" w:ascii="宋体" w:hAnsi="宋体"/>
          <w:b/>
          <w:color w:val="auto"/>
          <w:kern w:val="0"/>
          <w:sz w:val="24"/>
          <w:szCs w:val="24"/>
        </w:rPr>
        <w:t>注解和说明</w:t>
      </w:r>
    </w:p>
    <w:p>
      <w:pPr>
        <w:pStyle w:val="129"/>
        <w:numPr>
          <w:ilvl w:val="0"/>
          <w:numId w:val="0"/>
        </w:numPr>
        <w:snapToGrid w:val="0"/>
        <w:spacing w:line="360" w:lineRule="auto"/>
        <w:ind w:firstLine="480" w:firstLineChars="200"/>
        <w:rPr>
          <w:rFonts w:ascii="宋体" w:hAnsi="宋体"/>
          <w:color w:val="auto"/>
        </w:rPr>
      </w:pPr>
      <w:r>
        <w:rPr>
          <w:rFonts w:hint="eastAsia" w:ascii="宋体" w:hAnsi="宋体"/>
          <w:color w:val="auto"/>
        </w:rPr>
        <w:t>投标格式文件中要求法定代表人（或委托代理人）签字或盖章的，电子投标文件应使用</w:t>
      </w:r>
      <w:r>
        <w:rPr>
          <w:rFonts w:ascii="宋体" w:hAnsi="宋体"/>
          <w:color w:val="auto"/>
        </w:rPr>
        <w:t>CA</w:t>
      </w:r>
      <w:r>
        <w:rPr>
          <w:rFonts w:hint="eastAsia" w:ascii="宋体" w:hAnsi="宋体"/>
          <w:color w:val="auto"/>
        </w:rPr>
        <w:t>数字证书加盖法定代表人个人电子印章；投标格式文件中要求投标人单位盖章的，电子投标文件应使用</w:t>
      </w:r>
      <w:r>
        <w:rPr>
          <w:rFonts w:ascii="宋体" w:hAnsi="宋体"/>
          <w:color w:val="auto"/>
        </w:rPr>
        <w:t>CA</w:t>
      </w:r>
      <w:r>
        <w:rPr>
          <w:rFonts w:hint="eastAsia" w:ascii="宋体" w:hAnsi="宋体"/>
          <w:color w:val="auto"/>
        </w:rPr>
        <w:t>数字证书加盖投标人单位电子印章。</w:t>
      </w:r>
    </w:p>
    <w:p>
      <w:pPr>
        <w:widowControl/>
        <w:autoSpaceDE/>
        <w:autoSpaceDN/>
        <w:adjustRightInd/>
        <w:rPr>
          <w:rFonts w:ascii="宋体" w:hAnsi="宋体"/>
          <w:color w:val="auto"/>
        </w:rPr>
      </w:pPr>
      <w:r>
        <w:rPr>
          <w:rFonts w:ascii="宋体" w:hAnsi="宋体"/>
          <w:color w:val="auto"/>
        </w:rPr>
        <w:br w:type="page"/>
      </w:r>
    </w:p>
    <w:p>
      <w:pPr>
        <w:pStyle w:val="129"/>
        <w:numPr>
          <w:ilvl w:val="0"/>
          <w:numId w:val="0"/>
        </w:numPr>
        <w:snapToGrid w:val="0"/>
        <w:spacing w:line="360" w:lineRule="auto"/>
        <w:ind w:firstLine="480" w:firstLineChars="200"/>
        <w:rPr>
          <w:rFonts w:ascii="宋体" w:hAnsi="宋体"/>
          <w:color w:val="auto"/>
        </w:rPr>
      </w:pPr>
    </w:p>
    <w:p>
      <w:pPr>
        <w:pStyle w:val="129"/>
        <w:numPr>
          <w:ilvl w:val="0"/>
          <w:numId w:val="0"/>
        </w:numPr>
        <w:snapToGrid w:val="0"/>
        <w:spacing w:line="360" w:lineRule="auto"/>
        <w:ind w:firstLine="480" w:firstLineChars="200"/>
        <w:rPr>
          <w:rFonts w:ascii="宋体" w:hAnsi="宋体"/>
          <w:color w:val="auto"/>
        </w:rPr>
      </w:pPr>
    </w:p>
    <w:p>
      <w:pPr>
        <w:pStyle w:val="129"/>
        <w:numPr>
          <w:ilvl w:val="0"/>
          <w:numId w:val="0"/>
        </w:numPr>
        <w:snapToGrid w:val="0"/>
        <w:spacing w:line="360" w:lineRule="auto"/>
        <w:rPr>
          <w:rFonts w:ascii="宋体" w:hAnsi="宋体"/>
          <w:color w:val="auto"/>
        </w:rPr>
      </w:pPr>
    </w:p>
    <w:p>
      <w:pPr>
        <w:pStyle w:val="129"/>
        <w:tabs>
          <w:tab w:val="left" w:pos="3839"/>
        </w:tabs>
        <w:kinsoku w:val="0"/>
        <w:snapToGrid w:val="0"/>
        <w:spacing w:before="174" w:line="360" w:lineRule="auto"/>
        <w:ind w:right="175"/>
        <w:jc w:val="center"/>
        <w:rPr>
          <w:color w:val="auto"/>
          <w:sz w:val="36"/>
          <w:szCs w:val="36"/>
        </w:rPr>
      </w:pPr>
      <w:r>
        <w:rPr>
          <w:rFonts w:hint="eastAsia"/>
          <w:color w:val="auto"/>
          <w:sz w:val="36"/>
          <w:szCs w:val="36"/>
          <w:u w:val="single"/>
        </w:rPr>
        <w:t>（工程名称）</w:t>
      </w:r>
      <w:r>
        <w:rPr>
          <w:rFonts w:hint="eastAsia"/>
          <w:color w:val="auto"/>
          <w:sz w:val="36"/>
          <w:szCs w:val="36"/>
        </w:rPr>
        <w:t>施工项目</w:t>
      </w:r>
    </w:p>
    <w:p>
      <w:pPr>
        <w:pStyle w:val="18"/>
        <w:kinsoku w:val="0"/>
        <w:spacing w:before="2"/>
        <w:ind w:left="0"/>
        <w:rPr>
          <w:color w:val="auto"/>
          <w:sz w:val="23"/>
          <w:szCs w:val="23"/>
        </w:rPr>
      </w:pPr>
    </w:p>
    <w:p>
      <w:pPr>
        <w:pStyle w:val="18"/>
        <w:tabs>
          <w:tab w:val="left" w:pos="5834"/>
        </w:tabs>
        <w:kinsoku w:val="0"/>
        <w:spacing w:before="14"/>
        <w:ind w:left="2685" w:right="175"/>
        <w:rPr>
          <w:color w:val="auto"/>
          <w:sz w:val="28"/>
          <w:szCs w:val="28"/>
        </w:rPr>
      </w:pPr>
      <w:r>
        <w:rPr>
          <w:rFonts w:hint="eastAsia"/>
          <w:color w:val="auto"/>
          <w:spacing w:val="-1"/>
          <w:sz w:val="28"/>
          <w:szCs w:val="28"/>
        </w:rPr>
        <w:t>（招标编号：</w:t>
      </w:r>
      <w:r>
        <w:rPr>
          <w:color w:val="auto"/>
          <w:spacing w:val="-1"/>
          <w:sz w:val="28"/>
          <w:szCs w:val="28"/>
          <w:u w:val="single"/>
        </w:rPr>
        <w:tab/>
      </w:r>
      <w:r>
        <w:rPr>
          <w:rFonts w:hint="eastAsia"/>
          <w:color w:val="auto"/>
          <w:sz w:val="28"/>
          <w:szCs w:val="28"/>
        </w:rPr>
        <w:t>）</w:t>
      </w:r>
    </w:p>
    <w:p>
      <w:pPr>
        <w:pStyle w:val="18"/>
        <w:kinsoku w:val="0"/>
        <w:ind w:left="0"/>
        <w:rPr>
          <w:color w:val="auto"/>
          <w:sz w:val="20"/>
          <w:szCs w:val="20"/>
        </w:rPr>
      </w:pPr>
    </w:p>
    <w:p>
      <w:pPr>
        <w:pStyle w:val="18"/>
        <w:kinsoku w:val="0"/>
        <w:ind w:left="0"/>
        <w:rPr>
          <w:color w:val="auto"/>
          <w:sz w:val="20"/>
          <w:szCs w:val="20"/>
        </w:rPr>
      </w:pPr>
    </w:p>
    <w:p>
      <w:pPr>
        <w:pStyle w:val="18"/>
        <w:kinsoku w:val="0"/>
        <w:ind w:left="0"/>
        <w:rPr>
          <w:color w:val="auto"/>
          <w:sz w:val="20"/>
          <w:szCs w:val="20"/>
        </w:rPr>
      </w:pPr>
    </w:p>
    <w:p>
      <w:pPr>
        <w:pStyle w:val="18"/>
        <w:kinsoku w:val="0"/>
        <w:ind w:left="0"/>
        <w:rPr>
          <w:color w:val="auto"/>
          <w:sz w:val="20"/>
          <w:szCs w:val="20"/>
        </w:rPr>
      </w:pPr>
    </w:p>
    <w:p>
      <w:pPr>
        <w:pStyle w:val="18"/>
        <w:kinsoku w:val="0"/>
        <w:ind w:left="0"/>
        <w:rPr>
          <w:color w:val="auto"/>
          <w:sz w:val="20"/>
          <w:szCs w:val="20"/>
        </w:rPr>
      </w:pPr>
    </w:p>
    <w:p>
      <w:pPr>
        <w:pStyle w:val="18"/>
        <w:kinsoku w:val="0"/>
        <w:spacing w:before="106"/>
        <w:ind w:left="3" w:right="4"/>
        <w:jc w:val="center"/>
        <w:rPr>
          <w:color w:val="auto"/>
          <w:sz w:val="44"/>
          <w:szCs w:val="44"/>
        </w:rPr>
      </w:pPr>
      <w:r>
        <w:rPr>
          <w:rFonts w:hint="eastAsia"/>
          <w:color w:val="auto"/>
          <w:sz w:val="44"/>
          <w:szCs w:val="44"/>
        </w:rPr>
        <w:t>招标文件</w:t>
      </w:r>
    </w:p>
    <w:p>
      <w:pPr>
        <w:pStyle w:val="18"/>
        <w:kinsoku w:val="0"/>
        <w:spacing w:before="106"/>
        <w:ind w:left="3" w:right="4"/>
        <w:jc w:val="center"/>
        <w:rPr>
          <w:color w:val="auto"/>
          <w:sz w:val="44"/>
          <w:szCs w:val="44"/>
        </w:rPr>
      </w:pPr>
      <w:r>
        <w:rPr>
          <w:rFonts w:hint="eastAsia"/>
          <w:color w:val="auto"/>
          <w:sz w:val="44"/>
          <w:szCs w:val="44"/>
        </w:rPr>
        <w:t>（</w:t>
      </w:r>
      <w:r>
        <w:rPr>
          <w:rFonts w:hint="eastAsia" w:hAnsi="宋体"/>
          <w:color w:val="auto"/>
          <w:sz w:val="44"/>
          <w:szCs w:val="44"/>
        </w:rPr>
        <w:t>□</w:t>
      </w:r>
      <w:r>
        <w:rPr>
          <w:rFonts w:hint="eastAsia"/>
          <w:color w:val="auto"/>
          <w:sz w:val="44"/>
          <w:szCs w:val="44"/>
        </w:rPr>
        <w:t>公开招标</w:t>
      </w:r>
      <w:r>
        <w:rPr>
          <w:rFonts w:hint="eastAsia" w:hAnsi="宋体"/>
          <w:color w:val="auto"/>
          <w:sz w:val="44"/>
          <w:szCs w:val="44"/>
        </w:rPr>
        <w:t>□</w:t>
      </w:r>
      <w:r>
        <w:rPr>
          <w:rFonts w:hint="eastAsia"/>
          <w:color w:val="auto"/>
          <w:sz w:val="44"/>
          <w:szCs w:val="44"/>
        </w:rPr>
        <w:t>邀请招标）</w:t>
      </w:r>
    </w:p>
    <w:p>
      <w:pPr>
        <w:pStyle w:val="18"/>
        <w:kinsoku w:val="0"/>
        <w:ind w:left="0"/>
        <w:rPr>
          <w:color w:val="auto"/>
          <w:sz w:val="44"/>
          <w:szCs w:val="44"/>
        </w:rPr>
      </w:pPr>
    </w:p>
    <w:p>
      <w:pPr>
        <w:pStyle w:val="18"/>
        <w:kinsoku w:val="0"/>
        <w:ind w:left="0"/>
        <w:rPr>
          <w:color w:val="auto"/>
          <w:sz w:val="44"/>
          <w:szCs w:val="44"/>
        </w:rPr>
      </w:pPr>
    </w:p>
    <w:p>
      <w:pPr>
        <w:pStyle w:val="18"/>
        <w:kinsoku w:val="0"/>
        <w:ind w:left="0"/>
        <w:rPr>
          <w:color w:val="auto"/>
          <w:sz w:val="44"/>
          <w:szCs w:val="44"/>
        </w:rPr>
      </w:pPr>
    </w:p>
    <w:p>
      <w:pPr>
        <w:pStyle w:val="18"/>
        <w:kinsoku w:val="0"/>
        <w:ind w:left="0"/>
        <w:rPr>
          <w:color w:val="auto"/>
          <w:sz w:val="44"/>
          <w:szCs w:val="44"/>
        </w:rPr>
      </w:pPr>
    </w:p>
    <w:p>
      <w:pPr>
        <w:pStyle w:val="18"/>
        <w:kinsoku w:val="0"/>
        <w:ind w:left="0"/>
        <w:rPr>
          <w:color w:val="auto"/>
          <w:sz w:val="44"/>
          <w:szCs w:val="44"/>
        </w:rPr>
      </w:pPr>
    </w:p>
    <w:p>
      <w:pPr>
        <w:pStyle w:val="18"/>
        <w:kinsoku w:val="0"/>
        <w:ind w:left="0"/>
        <w:rPr>
          <w:color w:val="auto"/>
          <w:sz w:val="44"/>
          <w:szCs w:val="44"/>
        </w:rPr>
      </w:pPr>
    </w:p>
    <w:p>
      <w:pPr>
        <w:pStyle w:val="18"/>
        <w:kinsoku w:val="0"/>
        <w:ind w:left="0"/>
        <w:rPr>
          <w:color w:val="auto"/>
          <w:sz w:val="44"/>
          <w:szCs w:val="44"/>
        </w:rPr>
      </w:pPr>
    </w:p>
    <w:p>
      <w:pPr>
        <w:pStyle w:val="18"/>
        <w:kinsoku w:val="0"/>
        <w:ind w:left="0"/>
        <w:rPr>
          <w:color w:val="auto"/>
          <w:sz w:val="44"/>
          <w:szCs w:val="44"/>
        </w:rPr>
      </w:pPr>
    </w:p>
    <w:p>
      <w:pPr>
        <w:pStyle w:val="18"/>
        <w:kinsoku w:val="0"/>
        <w:spacing w:before="8" w:line="360" w:lineRule="auto"/>
        <w:ind w:left="0"/>
        <w:rPr>
          <w:color w:val="auto"/>
          <w:sz w:val="33"/>
          <w:szCs w:val="33"/>
        </w:rPr>
      </w:pPr>
    </w:p>
    <w:p>
      <w:pPr>
        <w:pStyle w:val="18"/>
        <w:tabs>
          <w:tab w:val="left" w:pos="2593"/>
        </w:tabs>
        <w:kinsoku w:val="0"/>
        <w:spacing w:line="360" w:lineRule="auto"/>
        <w:ind w:left="3"/>
        <w:jc w:val="center"/>
        <w:rPr>
          <w:color w:val="auto"/>
          <w:sz w:val="28"/>
          <w:szCs w:val="28"/>
        </w:rPr>
      </w:pPr>
      <w:r>
        <w:rPr>
          <w:rFonts w:hint="eastAsia"/>
          <w:color w:val="auto"/>
          <w:sz w:val="28"/>
          <w:szCs w:val="28"/>
        </w:rPr>
        <w:t>招标人：</w:t>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rFonts w:hint="eastAsia"/>
          <w:color w:val="auto"/>
          <w:sz w:val="28"/>
          <w:szCs w:val="28"/>
        </w:rPr>
        <w:t>（单位盖章）</w:t>
      </w:r>
    </w:p>
    <w:p>
      <w:pPr>
        <w:pStyle w:val="18"/>
        <w:tabs>
          <w:tab w:val="left" w:pos="2593"/>
        </w:tabs>
        <w:kinsoku w:val="0"/>
        <w:spacing w:line="360" w:lineRule="auto"/>
        <w:ind w:left="3"/>
        <w:jc w:val="center"/>
        <w:rPr>
          <w:color w:val="auto"/>
          <w:sz w:val="28"/>
          <w:szCs w:val="28"/>
        </w:rPr>
      </w:pPr>
      <w:r>
        <w:rPr>
          <w:rFonts w:hint="eastAsia"/>
          <w:color w:val="auto"/>
          <w:sz w:val="28"/>
          <w:szCs w:val="28"/>
        </w:rPr>
        <w:t>招标代理机构：</w:t>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color w:val="auto"/>
          <w:sz w:val="28"/>
          <w:szCs w:val="28"/>
          <w:u w:val="single"/>
        </w:rPr>
        <w:tab/>
      </w:r>
      <w:r>
        <w:rPr>
          <w:rFonts w:hint="eastAsia"/>
          <w:color w:val="auto"/>
          <w:sz w:val="28"/>
          <w:szCs w:val="28"/>
        </w:rPr>
        <w:t>（单位盖章）</w:t>
      </w:r>
    </w:p>
    <w:p>
      <w:pPr>
        <w:pStyle w:val="18"/>
        <w:kinsoku w:val="0"/>
        <w:spacing w:before="5" w:line="360" w:lineRule="auto"/>
        <w:ind w:left="0"/>
        <w:rPr>
          <w:color w:val="auto"/>
          <w:sz w:val="23"/>
          <w:szCs w:val="23"/>
        </w:rPr>
      </w:pPr>
    </w:p>
    <w:p>
      <w:pPr>
        <w:pStyle w:val="18"/>
        <w:tabs>
          <w:tab w:val="left" w:pos="3611"/>
          <w:tab w:val="left" w:pos="4626"/>
          <w:tab w:val="left" w:pos="5642"/>
        </w:tabs>
        <w:kinsoku w:val="0"/>
        <w:spacing w:before="14" w:line="360" w:lineRule="auto"/>
        <w:ind w:left="2877" w:right="175"/>
        <w:rPr>
          <w:color w:val="auto"/>
          <w:sz w:val="28"/>
          <w:szCs w:val="28"/>
        </w:rPr>
      </w:pPr>
      <w:r>
        <w:rPr>
          <w:color w:val="auto"/>
          <w:sz w:val="28"/>
          <w:szCs w:val="28"/>
          <w:u w:val="single"/>
        </w:rPr>
        <w:t xml:space="preserve"> </w:t>
      </w:r>
      <w:r>
        <w:rPr>
          <w:color w:val="auto"/>
          <w:sz w:val="28"/>
          <w:szCs w:val="28"/>
          <w:u w:val="single"/>
        </w:rPr>
        <w:tab/>
      </w:r>
      <w:r>
        <w:rPr>
          <w:rFonts w:hint="eastAsia"/>
          <w:color w:val="auto"/>
          <w:sz w:val="28"/>
          <w:szCs w:val="28"/>
        </w:rPr>
        <w:t>年</w:t>
      </w:r>
      <w:r>
        <w:rPr>
          <w:color w:val="auto"/>
          <w:sz w:val="28"/>
          <w:szCs w:val="28"/>
          <w:u w:val="single"/>
        </w:rPr>
        <w:tab/>
      </w:r>
      <w:r>
        <w:rPr>
          <w:rFonts w:hint="eastAsia"/>
          <w:color w:val="auto"/>
          <w:sz w:val="28"/>
          <w:szCs w:val="28"/>
        </w:rPr>
        <w:t>月</w:t>
      </w:r>
      <w:r>
        <w:rPr>
          <w:color w:val="auto"/>
          <w:sz w:val="28"/>
          <w:szCs w:val="28"/>
          <w:u w:val="single"/>
        </w:rPr>
        <w:tab/>
      </w:r>
      <w:r>
        <w:rPr>
          <w:rFonts w:hint="eastAsia"/>
          <w:color w:val="auto"/>
          <w:sz w:val="28"/>
          <w:szCs w:val="28"/>
        </w:rPr>
        <w:t>日</w:t>
      </w:r>
    </w:p>
    <w:p>
      <w:pPr>
        <w:pStyle w:val="18"/>
        <w:tabs>
          <w:tab w:val="left" w:pos="3611"/>
          <w:tab w:val="left" w:pos="4626"/>
          <w:tab w:val="left" w:pos="5642"/>
        </w:tabs>
        <w:kinsoku w:val="0"/>
        <w:spacing w:before="14" w:line="360" w:lineRule="auto"/>
        <w:ind w:left="2877" w:right="175"/>
        <w:rPr>
          <w:color w:val="auto"/>
          <w:sz w:val="28"/>
          <w:szCs w:val="28"/>
        </w:rPr>
        <w:sectPr>
          <w:footerReference r:id="rId5" w:type="default"/>
          <w:pgSz w:w="11906" w:h="16838"/>
          <w:pgMar w:top="1701" w:right="1587" w:bottom="1417" w:left="1587" w:header="720" w:footer="720" w:gutter="0"/>
          <w:cols w:space="720" w:num="1"/>
        </w:sectPr>
      </w:pPr>
    </w:p>
    <w:p>
      <w:pPr>
        <w:pStyle w:val="169"/>
        <w:jc w:val="center"/>
        <w:rPr>
          <w:rFonts w:ascii="黑体" w:hAnsi="黑体" w:eastAsia="黑体"/>
          <w:color w:val="auto"/>
          <w:sz w:val="44"/>
          <w:szCs w:val="44"/>
        </w:rPr>
      </w:pPr>
      <w:bookmarkStart w:id="4" w:name="bookmark1"/>
      <w:bookmarkEnd w:id="4"/>
      <w:bookmarkStart w:id="5" w:name="_Toc13432"/>
      <w:bookmarkStart w:id="6" w:name="_Toc22828050"/>
      <w:r>
        <w:rPr>
          <w:rFonts w:ascii="黑体" w:hAnsi="黑体" w:eastAsia="黑体"/>
          <w:color w:val="auto"/>
          <w:sz w:val="44"/>
          <w:szCs w:val="44"/>
          <w:lang w:val="zh-CN"/>
        </w:rPr>
        <w:t>目  录</w:t>
      </w:r>
    </w:p>
    <w:p>
      <w:pPr>
        <w:pStyle w:val="2"/>
        <w:tabs>
          <w:tab w:val="right" w:leader="dot" w:pos="8890"/>
        </w:tabs>
        <w:rPr>
          <w:rFonts w:ascii="Calibri" w:hAnsi="Calibri" w:eastAsia="宋体" w:cs="Times New Roman"/>
          <w:color w:val="auto"/>
          <w:kern w:val="2"/>
          <w:sz w:val="21"/>
        </w:rPr>
      </w:pPr>
      <w:r>
        <w:rPr>
          <w:color w:val="auto"/>
        </w:rPr>
        <w:fldChar w:fldCharType="begin"/>
      </w:r>
      <w:r>
        <w:rPr>
          <w:color w:val="auto"/>
        </w:rPr>
        <w:instrText xml:space="preserve"> TOC \o "1-3" \h \z \u </w:instrText>
      </w:r>
      <w:r>
        <w:rPr>
          <w:color w:val="auto"/>
        </w:rPr>
        <w:fldChar w:fldCharType="separate"/>
      </w:r>
      <w:r>
        <w:rPr>
          <w:color w:val="auto"/>
        </w:rPr>
        <w:fldChar w:fldCharType="begin"/>
      </w:r>
      <w:r>
        <w:rPr>
          <w:color w:val="auto"/>
        </w:rPr>
        <w:instrText xml:space="preserve"> HYPERLINK \l "_Toc67589032" </w:instrText>
      </w:r>
      <w:r>
        <w:rPr>
          <w:color w:val="auto"/>
        </w:rPr>
        <w:fldChar w:fldCharType="separate"/>
      </w:r>
      <w:r>
        <w:rPr>
          <w:rStyle w:val="47"/>
          <w:rFonts w:hint="eastAsia"/>
          <w:color w:val="auto"/>
        </w:rPr>
        <w:t>第一章</w:t>
      </w:r>
      <w:r>
        <w:rPr>
          <w:rStyle w:val="47"/>
          <w:color w:val="auto"/>
        </w:rPr>
        <w:t xml:space="preserve"> </w:t>
      </w:r>
      <w:r>
        <w:rPr>
          <w:rStyle w:val="47"/>
          <w:rFonts w:hint="eastAsia"/>
          <w:color w:val="auto"/>
        </w:rPr>
        <w:t>招标公告</w:t>
      </w:r>
      <w:r>
        <w:rPr>
          <w:color w:val="auto"/>
        </w:rPr>
        <w:tab/>
      </w:r>
      <w:r>
        <w:rPr>
          <w:color w:val="auto"/>
        </w:rPr>
        <w:fldChar w:fldCharType="begin"/>
      </w:r>
      <w:r>
        <w:rPr>
          <w:color w:val="auto"/>
        </w:rPr>
        <w:instrText xml:space="preserve"> PAGEREF _Toc67589032 \h </w:instrText>
      </w:r>
      <w:r>
        <w:rPr>
          <w:color w:val="auto"/>
        </w:rPr>
        <w:fldChar w:fldCharType="separate"/>
      </w:r>
      <w:r>
        <w:rPr>
          <w:color w:val="auto"/>
        </w:rPr>
        <w:t>2</w:t>
      </w:r>
      <w:r>
        <w:rPr>
          <w:color w:val="auto"/>
        </w:rPr>
        <w:fldChar w:fldCharType="end"/>
      </w:r>
      <w:r>
        <w:rPr>
          <w:color w:val="auto"/>
        </w:rPr>
        <w:fldChar w:fldCharType="end"/>
      </w:r>
    </w:p>
    <w:p>
      <w:pPr>
        <w:pStyle w:val="2"/>
        <w:tabs>
          <w:tab w:val="right" w:leader="dot" w:pos="8890"/>
        </w:tabs>
        <w:rPr>
          <w:rFonts w:ascii="Calibri" w:hAnsi="Calibri" w:eastAsia="宋体" w:cs="Times New Roman"/>
          <w:color w:val="auto"/>
          <w:kern w:val="2"/>
          <w:sz w:val="21"/>
        </w:rPr>
      </w:pPr>
      <w:r>
        <w:rPr>
          <w:color w:val="auto"/>
        </w:rPr>
        <w:fldChar w:fldCharType="begin"/>
      </w:r>
      <w:r>
        <w:rPr>
          <w:color w:val="auto"/>
        </w:rPr>
        <w:instrText xml:space="preserve"> HYPERLINK \l "_Toc67589033" </w:instrText>
      </w:r>
      <w:r>
        <w:rPr>
          <w:color w:val="auto"/>
        </w:rPr>
        <w:fldChar w:fldCharType="separate"/>
      </w:r>
      <w:r>
        <w:rPr>
          <w:rStyle w:val="47"/>
          <w:rFonts w:hint="eastAsia"/>
          <w:color w:val="auto"/>
        </w:rPr>
        <w:t>第二章</w:t>
      </w:r>
      <w:r>
        <w:rPr>
          <w:rStyle w:val="47"/>
          <w:color w:val="auto"/>
        </w:rPr>
        <w:t xml:space="preserve"> </w:t>
      </w:r>
      <w:r>
        <w:rPr>
          <w:rStyle w:val="47"/>
          <w:rFonts w:hint="eastAsia"/>
          <w:color w:val="auto"/>
        </w:rPr>
        <w:t>投标人须知</w:t>
      </w:r>
      <w:r>
        <w:rPr>
          <w:color w:val="auto"/>
        </w:rPr>
        <w:tab/>
      </w:r>
      <w:r>
        <w:rPr>
          <w:color w:val="auto"/>
        </w:rPr>
        <w:fldChar w:fldCharType="begin"/>
      </w:r>
      <w:r>
        <w:rPr>
          <w:color w:val="auto"/>
        </w:rPr>
        <w:instrText xml:space="preserve"> PAGEREF _Toc67589033 \h </w:instrText>
      </w:r>
      <w:r>
        <w:rPr>
          <w:color w:val="auto"/>
        </w:rPr>
        <w:fldChar w:fldCharType="separate"/>
      </w:r>
      <w:r>
        <w:rPr>
          <w:color w:val="auto"/>
        </w:rPr>
        <w:t>9</w:t>
      </w:r>
      <w:r>
        <w:rPr>
          <w:color w:val="auto"/>
        </w:rPr>
        <w:fldChar w:fldCharType="end"/>
      </w:r>
      <w:r>
        <w:rPr>
          <w:color w:val="auto"/>
        </w:rPr>
        <w:fldChar w:fldCharType="end"/>
      </w:r>
    </w:p>
    <w:p>
      <w:pPr>
        <w:pStyle w:val="2"/>
        <w:tabs>
          <w:tab w:val="right" w:leader="dot" w:pos="8890"/>
        </w:tabs>
        <w:rPr>
          <w:rFonts w:ascii="Calibri" w:hAnsi="Calibri" w:eastAsia="宋体" w:cs="Times New Roman"/>
          <w:color w:val="auto"/>
          <w:kern w:val="2"/>
          <w:sz w:val="21"/>
        </w:rPr>
      </w:pPr>
      <w:r>
        <w:rPr>
          <w:color w:val="auto"/>
        </w:rPr>
        <w:fldChar w:fldCharType="begin"/>
      </w:r>
      <w:r>
        <w:rPr>
          <w:color w:val="auto"/>
        </w:rPr>
        <w:instrText xml:space="preserve"> HYPERLINK \l "_Toc67589034" </w:instrText>
      </w:r>
      <w:r>
        <w:rPr>
          <w:color w:val="auto"/>
        </w:rPr>
        <w:fldChar w:fldCharType="separate"/>
      </w:r>
      <w:r>
        <w:rPr>
          <w:rStyle w:val="47"/>
          <w:rFonts w:hint="eastAsia"/>
          <w:color w:val="auto"/>
        </w:rPr>
        <w:t>第三章</w:t>
      </w:r>
      <w:r>
        <w:rPr>
          <w:rStyle w:val="47"/>
          <w:color w:val="auto"/>
        </w:rPr>
        <w:t xml:space="preserve"> </w:t>
      </w:r>
      <w:r>
        <w:rPr>
          <w:rStyle w:val="47"/>
          <w:rFonts w:hint="eastAsia"/>
          <w:color w:val="auto"/>
        </w:rPr>
        <w:t>评标办法</w:t>
      </w:r>
      <w:r>
        <w:rPr>
          <w:color w:val="auto"/>
        </w:rPr>
        <w:tab/>
      </w:r>
      <w:r>
        <w:rPr>
          <w:color w:val="auto"/>
        </w:rPr>
        <w:fldChar w:fldCharType="begin"/>
      </w:r>
      <w:r>
        <w:rPr>
          <w:color w:val="auto"/>
        </w:rPr>
        <w:instrText xml:space="preserve"> PAGEREF _Toc67589034 \h </w:instrText>
      </w:r>
      <w:r>
        <w:rPr>
          <w:color w:val="auto"/>
        </w:rPr>
        <w:fldChar w:fldCharType="separate"/>
      </w:r>
      <w:r>
        <w:rPr>
          <w:color w:val="auto"/>
        </w:rPr>
        <w:t>39</w:t>
      </w:r>
      <w:r>
        <w:rPr>
          <w:color w:val="auto"/>
        </w:rPr>
        <w:fldChar w:fldCharType="end"/>
      </w:r>
      <w:r>
        <w:rPr>
          <w:color w:val="auto"/>
        </w:rPr>
        <w:fldChar w:fldCharType="end"/>
      </w:r>
    </w:p>
    <w:p>
      <w:pPr>
        <w:pStyle w:val="2"/>
        <w:tabs>
          <w:tab w:val="right" w:leader="dot" w:pos="8890"/>
        </w:tabs>
        <w:rPr>
          <w:rFonts w:ascii="Calibri" w:hAnsi="Calibri" w:eastAsia="宋体" w:cs="Times New Roman"/>
          <w:color w:val="auto"/>
          <w:kern w:val="2"/>
          <w:sz w:val="21"/>
        </w:rPr>
      </w:pPr>
      <w:r>
        <w:rPr>
          <w:color w:val="auto"/>
        </w:rPr>
        <w:fldChar w:fldCharType="begin"/>
      </w:r>
      <w:r>
        <w:rPr>
          <w:color w:val="auto"/>
        </w:rPr>
        <w:instrText xml:space="preserve"> HYPERLINK \l "_Toc67589035" </w:instrText>
      </w:r>
      <w:r>
        <w:rPr>
          <w:color w:val="auto"/>
        </w:rPr>
        <w:fldChar w:fldCharType="separate"/>
      </w:r>
      <w:r>
        <w:rPr>
          <w:rStyle w:val="47"/>
          <w:rFonts w:hint="eastAsia"/>
          <w:color w:val="auto"/>
        </w:rPr>
        <w:t>第四章</w:t>
      </w:r>
      <w:r>
        <w:rPr>
          <w:rStyle w:val="47"/>
          <w:color w:val="auto"/>
        </w:rPr>
        <w:t xml:space="preserve"> </w:t>
      </w:r>
      <w:r>
        <w:rPr>
          <w:rStyle w:val="47"/>
          <w:rFonts w:hint="eastAsia"/>
          <w:color w:val="auto"/>
        </w:rPr>
        <w:t>合同条款及格式</w:t>
      </w:r>
      <w:r>
        <w:rPr>
          <w:color w:val="auto"/>
        </w:rPr>
        <w:tab/>
      </w:r>
      <w:r>
        <w:rPr>
          <w:color w:val="auto"/>
        </w:rPr>
        <w:fldChar w:fldCharType="begin"/>
      </w:r>
      <w:r>
        <w:rPr>
          <w:color w:val="auto"/>
        </w:rPr>
        <w:instrText xml:space="preserve"> PAGEREF _Toc67589035 \h </w:instrText>
      </w:r>
      <w:r>
        <w:rPr>
          <w:color w:val="auto"/>
        </w:rPr>
        <w:fldChar w:fldCharType="separate"/>
      </w:r>
      <w:r>
        <w:rPr>
          <w:color w:val="auto"/>
        </w:rPr>
        <w:t>50</w:t>
      </w:r>
      <w:r>
        <w:rPr>
          <w:color w:val="auto"/>
        </w:rPr>
        <w:fldChar w:fldCharType="end"/>
      </w:r>
      <w:r>
        <w:rPr>
          <w:color w:val="auto"/>
        </w:rPr>
        <w:fldChar w:fldCharType="end"/>
      </w:r>
    </w:p>
    <w:p>
      <w:pPr>
        <w:pStyle w:val="2"/>
        <w:tabs>
          <w:tab w:val="right" w:leader="dot" w:pos="8890"/>
        </w:tabs>
        <w:rPr>
          <w:rFonts w:ascii="Calibri" w:hAnsi="Calibri" w:eastAsia="宋体" w:cs="Times New Roman"/>
          <w:color w:val="auto"/>
          <w:kern w:val="2"/>
          <w:sz w:val="21"/>
        </w:rPr>
      </w:pPr>
      <w:r>
        <w:rPr>
          <w:color w:val="auto"/>
        </w:rPr>
        <w:fldChar w:fldCharType="begin"/>
      </w:r>
      <w:r>
        <w:rPr>
          <w:color w:val="auto"/>
        </w:rPr>
        <w:instrText xml:space="preserve"> HYPERLINK \l "_Toc67589036" </w:instrText>
      </w:r>
      <w:r>
        <w:rPr>
          <w:color w:val="auto"/>
        </w:rPr>
        <w:fldChar w:fldCharType="separate"/>
      </w:r>
      <w:r>
        <w:rPr>
          <w:rStyle w:val="47"/>
          <w:rFonts w:hint="eastAsia"/>
          <w:color w:val="auto"/>
        </w:rPr>
        <w:t>第五章</w:t>
      </w:r>
      <w:r>
        <w:rPr>
          <w:rStyle w:val="47"/>
          <w:color w:val="auto"/>
        </w:rPr>
        <w:t xml:space="preserve"> </w:t>
      </w:r>
      <w:r>
        <w:rPr>
          <w:rStyle w:val="47"/>
          <w:rFonts w:hint="eastAsia"/>
          <w:color w:val="auto"/>
        </w:rPr>
        <w:t>工程量清单编制</w:t>
      </w:r>
      <w:r>
        <w:rPr>
          <w:color w:val="auto"/>
        </w:rPr>
        <w:tab/>
      </w:r>
      <w:r>
        <w:rPr>
          <w:color w:val="auto"/>
        </w:rPr>
        <w:fldChar w:fldCharType="begin"/>
      </w:r>
      <w:r>
        <w:rPr>
          <w:color w:val="auto"/>
        </w:rPr>
        <w:instrText xml:space="preserve"> PAGEREF _Toc67589036 \h </w:instrText>
      </w:r>
      <w:r>
        <w:rPr>
          <w:color w:val="auto"/>
        </w:rPr>
        <w:fldChar w:fldCharType="separate"/>
      </w:r>
      <w:r>
        <w:rPr>
          <w:b/>
        </w:rPr>
        <w:t>错误！未定义书签。</w:t>
      </w:r>
      <w:r>
        <w:rPr>
          <w:color w:val="auto"/>
        </w:rPr>
        <w:fldChar w:fldCharType="end"/>
      </w:r>
      <w:r>
        <w:rPr>
          <w:color w:val="auto"/>
        </w:rPr>
        <w:fldChar w:fldCharType="end"/>
      </w:r>
    </w:p>
    <w:p>
      <w:pPr>
        <w:pStyle w:val="2"/>
        <w:tabs>
          <w:tab w:val="right" w:leader="dot" w:pos="8890"/>
        </w:tabs>
        <w:rPr>
          <w:rFonts w:ascii="Calibri" w:hAnsi="Calibri" w:cs="Times New Roman"/>
          <w:color w:val="auto"/>
          <w:kern w:val="2"/>
          <w:sz w:val="21"/>
        </w:rPr>
      </w:pPr>
      <w:r>
        <w:rPr>
          <w:color w:val="auto"/>
        </w:rPr>
        <w:fldChar w:fldCharType="begin"/>
      </w:r>
      <w:r>
        <w:rPr>
          <w:color w:val="auto"/>
        </w:rPr>
        <w:instrText xml:space="preserve"> HYPERLINK \l "_Toc67589037" </w:instrText>
      </w:r>
      <w:r>
        <w:rPr>
          <w:color w:val="auto"/>
        </w:rPr>
        <w:fldChar w:fldCharType="separate"/>
      </w:r>
      <w:r>
        <w:rPr>
          <w:rStyle w:val="47"/>
          <w:rFonts w:hint="eastAsia"/>
          <w:color w:val="auto"/>
        </w:rPr>
        <w:t>第六章</w:t>
      </w:r>
      <w:r>
        <w:rPr>
          <w:rStyle w:val="47"/>
          <w:color w:val="auto"/>
        </w:rPr>
        <w:t xml:space="preserve"> </w:t>
      </w:r>
      <w:r>
        <w:rPr>
          <w:rStyle w:val="47"/>
          <w:rFonts w:hint="eastAsia"/>
          <w:color w:val="auto"/>
        </w:rPr>
        <w:t>图纸</w:t>
      </w:r>
      <w:r>
        <w:rPr>
          <w:color w:val="auto"/>
        </w:rPr>
        <w:tab/>
      </w:r>
      <w:r>
        <w:rPr>
          <w:color w:val="auto"/>
        </w:rPr>
        <w:fldChar w:fldCharType="end"/>
      </w:r>
      <w:r>
        <w:rPr>
          <w:rFonts w:hint="eastAsia"/>
          <w:color w:val="auto"/>
        </w:rPr>
        <w:t>53</w:t>
      </w:r>
    </w:p>
    <w:p>
      <w:pPr>
        <w:pStyle w:val="2"/>
        <w:tabs>
          <w:tab w:val="right" w:leader="dot" w:pos="8890"/>
        </w:tabs>
        <w:rPr>
          <w:rFonts w:ascii="Calibri" w:hAnsi="Calibri" w:cs="Times New Roman"/>
          <w:color w:val="auto"/>
          <w:kern w:val="2"/>
          <w:sz w:val="21"/>
        </w:rPr>
      </w:pPr>
      <w:r>
        <w:rPr>
          <w:color w:val="auto"/>
        </w:rPr>
        <w:fldChar w:fldCharType="begin"/>
      </w:r>
      <w:r>
        <w:rPr>
          <w:color w:val="auto"/>
        </w:rPr>
        <w:instrText xml:space="preserve"> HYPERLINK \l "_Toc67589038" </w:instrText>
      </w:r>
      <w:r>
        <w:rPr>
          <w:color w:val="auto"/>
        </w:rPr>
        <w:fldChar w:fldCharType="separate"/>
      </w:r>
      <w:r>
        <w:rPr>
          <w:rStyle w:val="47"/>
          <w:rFonts w:hint="eastAsia"/>
          <w:color w:val="auto"/>
        </w:rPr>
        <w:t>第七章</w:t>
      </w:r>
      <w:r>
        <w:rPr>
          <w:rStyle w:val="47"/>
          <w:color w:val="auto"/>
        </w:rPr>
        <w:t xml:space="preserve"> </w:t>
      </w:r>
      <w:r>
        <w:rPr>
          <w:rStyle w:val="47"/>
          <w:rFonts w:hint="eastAsia"/>
          <w:color w:val="auto"/>
        </w:rPr>
        <w:t>技术标准和要求</w:t>
      </w:r>
      <w:r>
        <w:rPr>
          <w:color w:val="auto"/>
        </w:rPr>
        <w:tab/>
      </w:r>
      <w:r>
        <w:rPr>
          <w:color w:val="auto"/>
        </w:rPr>
        <w:fldChar w:fldCharType="end"/>
      </w:r>
      <w:r>
        <w:rPr>
          <w:rFonts w:hint="eastAsia"/>
          <w:color w:val="auto"/>
        </w:rPr>
        <w:t>55</w:t>
      </w:r>
    </w:p>
    <w:p>
      <w:pPr>
        <w:pStyle w:val="2"/>
        <w:tabs>
          <w:tab w:val="right" w:leader="dot" w:pos="8890"/>
        </w:tabs>
        <w:rPr>
          <w:rFonts w:ascii="Calibri" w:hAnsi="Calibri" w:cs="Times New Roman"/>
          <w:color w:val="auto"/>
          <w:kern w:val="2"/>
          <w:sz w:val="21"/>
        </w:rPr>
      </w:pPr>
      <w:r>
        <w:rPr>
          <w:color w:val="auto"/>
        </w:rPr>
        <w:fldChar w:fldCharType="begin"/>
      </w:r>
      <w:r>
        <w:rPr>
          <w:color w:val="auto"/>
        </w:rPr>
        <w:instrText xml:space="preserve"> HYPERLINK \l "_Toc67589039" </w:instrText>
      </w:r>
      <w:r>
        <w:rPr>
          <w:color w:val="auto"/>
        </w:rPr>
        <w:fldChar w:fldCharType="separate"/>
      </w:r>
      <w:r>
        <w:rPr>
          <w:rStyle w:val="47"/>
          <w:rFonts w:hint="eastAsia"/>
          <w:color w:val="auto"/>
        </w:rPr>
        <w:t>第八章</w:t>
      </w:r>
      <w:r>
        <w:rPr>
          <w:rStyle w:val="47"/>
          <w:color w:val="auto"/>
        </w:rPr>
        <w:t xml:space="preserve"> </w:t>
      </w:r>
      <w:r>
        <w:rPr>
          <w:rStyle w:val="47"/>
          <w:rFonts w:hint="eastAsia"/>
          <w:color w:val="auto"/>
        </w:rPr>
        <w:t>投标文件格式</w:t>
      </w:r>
      <w:r>
        <w:rPr>
          <w:color w:val="auto"/>
        </w:rPr>
        <w:tab/>
      </w:r>
      <w:r>
        <w:rPr>
          <w:color w:val="auto"/>
        </w:rPr>
        <w:fldChar w:fldCharType="begin"/>
      </w:r>
      <w:r>
        <w:rPr>
          <w:color w:val="auto"/>
        </w:rPr>
        <w:instrText xml:space="preserve"> PAGEREF _Toc67589039 \h </w:instrText>
      </w:r>
      <w:r>
        <w:rPr>
          <w:color w:val="auto"/>
        </w:rPr>
        <w:fldChar w:fldCharType="separate"/>
      </w:r>
      <w:r>
        <w:rPr>
          <w:color w:val="auto"/>
        </w:rPr>
        <w:t>89</w:t>
      </w:r>
      <w:r>
        <w:rPr>
          <w:color w:val="auto"/>
        </w:rPr>
        <w:fldChar w:fldCharType="end"/>
      </w:r>
      <w:r>
        <w:rPr>
          <w:color w:val="auto"/>
        </w:rPr>
        <w:fldChar w:fldCharType="end"/>
      </w:r>
      <w:r>
        <w:rPr>
          <w:rFonts w:hint="eastAsia"/>
          <w:color w:val="auto"/>
        </w:rPr>
        <w:t>7</w:t>
      </w:r>
    </w:p>
    <w:p>
      <w:pPr>
        <w:rPr>
          <w:color w:val="auto"/>
        </w:rPr>
      </w:pPr>
      <w:r>
        <w:rPr>
          <w:b/>
          <w:bCs/>
          <w:color w:val="auto"/>
          <w:lang w:val="zh-CN"/>
        </w:rPr>
        <w:fldChar w:fldCharType="end"/>
      </w:r>
    </w:p>
    <w:p>
      <w:pPr>
        <w:rPr>
          <w:color w:val="auto"/>
        </w:rPr>
        <w:sectPr>
          <w:footerReference r:id="rId6" w:type="default"/>
          <w:pgSz w:w="12240" w:h="15840"/>
          <w:pgMar w:top="1503" w:right="1639" w:bottom="1304" w:left="1701" w:header="0" w:footer="919" w:gutter="0"/>
          <w:pgNumType w:start="1"/>
          <w:cols w:space="720" w:num="1"/>
        </w:sectPr>
      </w:pPr>
    </w:p>
    <w:p>
      <w:pPr>
        <w:pStyle w:val="3"/>
        <w:ind w:left="6"/>
        <w:rPr>
          <w:color w:val="auto"/>
        </w:rPr>
      </w:pPr>
      <w:bookmarkStart w:id="7" w:name="_Toc45697219"/>
      <w:bookmarkStart w:id="8" w:name="_Toc67589032"/>
      <w:r>
        <w:rPr>
          <w:color w:val="auto"/>
        </w:rPr>
        <w:sym w:font="Wingdings 2" w:char="00A3"/>
      </w:r>
      <w:r>
        <w:rPr>
          <w:rFonts w:hint="eastAsia"/>
          <w:color w:val="auto"/>
        </w:rPr>
        <w:t>第一章</w:t>
      </w:r>
      <w:r>
        <w:rPr>
          <w:color w:val="auto"/>
        </w:rPr>
        <w:t xml:space="preserve"> </w:t>
      </w:r>
      <w:r>
        <w:rPr>
          <w:rFonts w:hint="eastAsia"/>
          <w:color w:val="auto"/>
        </w:rPr>
        <w:t>招标公告</w:t>
      </w:r>
      <w:bookmarkEnd w:id="5"/>
      <w:bookmarkEnd w:id="6"/>
      <w:bookmarkEnd w:id="7"/>
      <w:bookmarkEnd w:id="8"/>
    </w:p>
    <w:p>
      <w:pPr>
        <w:jc w:val="center"/>
        <w:rPr>
          <w:b/>
          <w:color w:val="auto"/>
          <w:sz w:val="28"/>
          <w:szCs w:val="28"/>
        </w:rPr>
      </w:pPr>
      <w:r>
        <w:rPr>
          <w:rFonts w:hint="eastAsia" w:hAnsi="宋体"/>
          <w:b/>
          <w:color w:val="auto"/>
          <w:sz w:val="28"/>
          <w:szCs w:val="28"/>
          <w:u w:val="single"/>
        </w:rPr>
        <w:t>（工程名称）</w:t>
      </w:r>
      <w:r>
        <w:rPr>
          <w:rFonts w:hint="eastAsia"/>
          <w:b/>
          <w:color w:val="auto"/>
          <w:sz w:val="28"/>
          <w:szCs w:val="28"/>
        </w:rPr>
        <w:t>招标公告</w:t>
      </w:r>
    </w:p>
    <w:p>
      <w:pPr>
        <w:spacing w:line="360" w:lineRule="auto"/>
        <w:rPr>
          <w:rFonts w:ascii="宋体" w:hAnsi="宋体" w:eastAsia="宋体"/>
          <w:b/>
          <w:color w:val="auto"/>
          <w:sz w:val="32"/>
          <w:szCs w:val="32"/>
        </w:rPr>
      </w:pPr>
      <w:bookmarkStart w:id="9" w:name="bookmark2"/>
      <w:bookmarkEnd w:id="9"/>
      <w:bookmarkStart w:id="10" w:name="_Toc22827968"/>
      <w:bookmarkStart w:id="11" w:name="_Toc45697220"/>
      <w:bookmarkStart w:id="12" w:name="_Toc26002049"/>
      <w:bookmarkStart w:id="13" w:name="_Toc29163"/>
      <w:bookmarkStart w:id="14" w:name="_Toc22828051"/>
      <w:bookmarkStart w:id="15" w:name="_Toc26001996"/>
      <w:bookmarkStart w:id="16" w:name="_Toc24050269"/>
      <w:r>
        <w:rPr>
          <w:rFonts w:ascii="宋体" w:hAnsi="宋体" w:eastAsia="宋体"/>
          <w:b/>
          <w:color w:val="auto"/>
          <w:sz w:val="32"/>
          <w:szCs w:val="32"/>
        </w:rPr>
        <w:t>1.招标条件</w:t>
      </w:r>
      <w:bookmarkEnd w:id="10"/>
      <w:bookmarkEnd w:id="11"/>
      <w:bookmarkEnd w:id="12"/>
      <w:bookmarkEnd w:id="13"/>
      <w:bookmarkEnd w:id="14"/>
      <w:bookmarkEnd w:id="15"/>
      <w:bookmarkEnd w:id="16"/>
    </w:p>
    <w:p>
      <w:pPr>
        <w:pStyle w:val="18"/>
        <w:tabs>
          <w:tab w:val="left" w:pos="1343"/>
          <w:tab w:val="left" w:pos="2697"/>
          <w:tab w:val="left" w:pos="3264"/>
          <w:tab w:val="left" w:pos="4896"/>
          <w:tab w:val="left" w:pos="6005"/>
          <w:tab w:val="left" w:pos="7085"/>
          <w:tab w:val="left" w:pos="7498"/>
        </w:tabs>
        <w:kinsoku w:val="0"/>
        <w:spacing w:line="360" w:lineRule="auto"/>
        <w:ind w:left="0"/>
        <w:jc w:val="both"/>
        <w:rPr>
          <w:color w:val="auto"/>
        </w:rPr>
      </w:pPr>
      <w:bookmarkStart w:id="17" w:name="_Hlk24014946"/>
      <w:bookmarkStart w:id="18" w:name="_Hlk24015002"/>
      <w:r>
        <w:rPr>
          <w:color w:val="auto"/>
          <w:spacing w:val="-1"/>
        </w:rPr>
        <w:t xml:space="preserve">      </w:t>
      </w:r>
      <w:r>
        <w:rPr>
          <w:color w:val="auto"/>
          <w:spacing w:val="-1"/>
          <w:u w:val="single"/>
        </w:rPr>
        <w:t xml:space="preserve">        </w:t>
      </w:r>
      <w:bookmarkEnd w:id="17"/>
      <w:r>
        <w:rPr>
          <w:rFonts w:hint="eastAsia"/>
          <w:color w:val="auto"/>
          <w:spacing w:val="-1"/>
          <w:u w:val="single"/>
        </w:rPr>
        <w:t>（项目名称）</w:t>
      </w:r>
      <w:r>
        <w:rPr>
          <w:rFonts w:hint="eastAsia"/>
          <w:color w:val="auto"/>
          <w:spacing w:val="-1"/>
        </w:rPr>
        <w:t>已</w:t>
      </w:r>
      <w:r>
        <w:rPr>
          <w:rFonts w:hint="eastAsia"/>
          <w:color w:val="auto"/>
          <w:spacing w:val="-1"/>
          <w:u w:val="single"/>
        </w:rPr>
        <w:t xml:space="preserve">  （项目审批、核准或备案机关</w:t>
      </w:r>
      <w:r>
        <w:rPr>
          <w:rFonts w:hint="eastAsia"/>
          <w:color w:val="auto"/>
          <w:spacing w:val="-5"/>
          <w:u w:val="single"/>
        </w:rPr>
        <w:t>名称）</w:t>
      </w:r>
      <w:r>
        <w:rPr>
          <w:rFonts w:hint="eastAsia"/>
          <w:color w:val="auto"/>
          <w:spacing w:val="-5"/>
        </w:rPr>
        <w:t>以</w:t>
      </w:r>
      <w:r>
        <w:rPr>
          <w:rFonts w:hint="eastAsia"/>
          <w:color w:val="auto"/>
          <w:spacing w:val="-4"/>
          <w:u w:val="single"/>
        </w:rPr>
        <w:t xml:space="preserve">    （批文名称及编号）</w:t>
      </w:r>
      <w:r>
        <w:rPr>
          <w:rFonts w:hint="eastAsia"/>
          <w:color w:val="auto"/>
          <w:spacing w:val="-4"/>
        </w:rPr>
        <w:t>批准建设，建设资金来</w:t>
      </w:r>
      <w:r>
        <w:rPr>
          <w:color w:val="auto"/>
          <w:spacing w:val="-97"/>
        </w:rPr>
        <w:t xml:space="preserve"> </w:t>
      </w:r>
      <w:r>
        <w:rPr>
          <w:rFonts w:hint="eastAsia"/>
          <w:color w:val="auto"/>
          <w:spacing w:val="-1"/>
        </w:rPr>
        <w:t>自</w:t>
      </w:r>
      <w:r>
        <w:rPr>
          <w:rFonts w:hint="eastAsia"/>
          <w:color w:val="auto"/>
          <w:spacing w:val="-12"/>
          <w:u w:val="single"/>
        </w:rPr>
        <w:t xml:space="preserve">     （资金来源）</w:t>
      </w:r>
      <w:r>
        <w:rPr>
          <w:rFonts w:hint="eastAsia"/>
          <w:color w:val="auto"/>
          <w:spacing w:val="-12"/>
        </w:rPr>
        <w:t>，出资比例为</w:t>
      </w:r>
      <w:r>
        <w:rPr>
          <w:rFonts w:hint="eastAsia"/>
          <w:color w:val="auto"/>
          <w:spacing w:val="-12"/>
          <w:u w:val="single"/>
        </w:rPr>
        <w:t xml:space="preserve">（国有资金或财政资金占比）            </w:t>
      </w:r>
      <w:r>
        <w:rPr>
          <w:rFonts w:hint="eastAsia"/>
          <w:color w:val="auto"/>
          <w:spacing w:val="-6"/>
        </w:rPr>
        <w:t>，项目业主为</w:t>
      </w:r>
      <w:r>
        <w:rPr>
          <w:color w:val="auto"/>
          <w:spacing w:val="-6"/>
          <w:u w:val="single"/>
        </w:rPr>
        <w:t xml:space="preserve">               </w:t>
      </w:r>
      <w:r>
        <w:rPr>
          <w:rFonts w:hint="eastAsia"/>
          <w:color w:val="auto"/>
          <w:spacing w:val="-6"/>
        </w:rPr>
        <w:t>，招标人为</w:t>
      </w:r>
      <w:r>
        <w:rPr>
          <w:color w:val="auto"/>
          <w:spacing w:val="-6"/>
          <w:u w:val="single"/>
        </w:rPr>
        <w:tab/>
      </w:r>
      <w:r>
        <w:rPr>
          <w:color w:val="auto"/>
          <w:spacing w:val="-6"/>
          <w:u w:val="single"/>
        </w:rPr>
        <w:t xml:space="preserve"> </w:t>
      </w:r>
      <w:r>
        <w:rPr>
          <w:rFonts w:hint="eastAsia"/>
          <w:color w:val="auto"/>
          <w:spacing w:val="-6"/>
        </w:rPr>
        <w:t>，委托代理机构为</w:t>
      </w:r>
      <w:r>
        <w:rPr>
          <w:color w:val="auto"/>
          <w:spacing w:val="-6"/>
          <w:u w:val="single"/>
        </w:rPr>
        <w:t xml:space="preserve">            </w:t>
      </w:r>
      <w:r>
        <w:rPr>
          <w:rFonts w:hint="eastAsia"/>
          <w:color w:val="auto"/>
          <w:spacing w:val="-4"/>
        </w:rPr>
        <w:t>。项目已具备招标</w:t>
      </w:r>
      <w:r>
        <w:rPr>
          <w:color w:val="auto"/>
          <w:spacing w:val="-95"/>
        </w:rPr>
        <w:t xml:space="preserve"> </w:t>
      </w:r>
      <w:r>
        <w:rPr>
          <w:rFonts w:hint="eastAsia"/>
          <w:color w:val="auto"/>
        </w:rPr>
        <w:t>条件</w:t>
      </w:r>
      <w:bookmarkEnd w:id="18"/>
      <w:r>
        <w:rPr>
          <w:rFonts w:hint="eastAsia"/>
          <w:color w:val="auto"/>
        </w:rPr>
        <w:t>，现对该项目的</w:t>
      </w:r>
      <w:r>
        <w:rPr>
          <w:color w:val="auto"/>
          <w:u w:val="single"/>
        </w:rPr>
        <w:t xml:space="preserve">  </w:t>
      </w:r>
      <w:r>
        <w:rPr>
          <w:rFonts w:hint="eastAsia"/>
          <w:color w:val="auto"/>
          <w:u w:val="single"/>
        </w:rPr>
        <w:t xml:space="preserve">   （标段名称）</w:t>
      </w:r>
      <w:r>
        <w:rPr>
          <w:rFonts w:hint="eastAsia"/>
          <w:color w:val="auto"/>
        </w:rPr>
        <w:t>的施工进行公开招标。</w:t>
      </w:r>
    </w:p>
    <w:p>
      <w:pPr>
        <w:spacing w:line="360" w:lineRule="auto"/>
        <w:rPr>
          <w:rFonts w:ascii="宋体" w:hAnsi="宋体" w:eastAsia="宋体"/>
          <w:b/>
          <w:color w:val="auto"/>
          <w:sz w:val="32"/>
          <w:szCs w:val="32"/>
        </w:rPr>
      </w:pPr>
      <w:bookmarkStart w:id="19" w:name="bookmark3"/>
      <w:bookmarkEnd w:id="19"/>
      <w:bookmarkStart w:id="20" w:name="_Toc22828052"/>
      <w:bookmarkStart w:id="21" w:name="_Toc24050270"/>
      <w:bookmarkStart w:id="22" w:name="_Toc22827969"/>
      <w:bookmarkStart w:id="23" w:name="_Toc45697221"/>
      <w:bookmarkStart w:id="24" w:name="_Toc26001997"/>
      <w:bookmarkStart w:id="25" w:name="_Toc20011"/>
      <w:bookmarkStart w:id="26" w:name="_Toc26002050"/>
      <w:r>
        <w:rPr>
          <w:rFonts w:ascii="宋体" w:hAnsi="宋体" w:eastAsia="宋体"/>
          <w:b/>
          <w:color w:val="auto"/>
          <w:sz w:val="32"/>
          <w:szCs w:val="32"/>
        </w:rPr>
        <w:t>2.项目概况与招标范围</w:t>
      </w:r>
      <w:bookmarkEnd w:id="20"/>
      <w:bookmarkEnd w:id="21"/>
      <w:bookmarkEnd w:id="22"/>
      <w:bookmarkEnd w:id="23"/>
      <w:bookmarkEnd w:id="24"/>
      <w:bookmarkEnd w:id="25"/>
      <w:bookmarkEnd w:id="26"/>
      <w:bookmarkStart w:id="27" w:name="_Hlk24015039"/>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2.1</w:t>
      </w:r>
      <w:r>
        <w:rPr>
          <w:rFonts w:hint="eastAsia" w:ascii="宋体" w:hAnsi="宋体" w:eastAsia="宋体"/>
          <w:color w:val="auto"/>
        </w:rPr>
        <w:t>项目概况：本项目投资估算</w:t>
      </w:r>
      <w:r>
        <w:rPr>
          <w:rFonts w:ascii="宋体" w:hAnsi="宋体" w:eastAsia="宋体"/>
          <w:color w:val="auto"/>
          <w:u w:val="single"/>
        </w:rPr>
        <w:t xml:space="preserve">            </w:t>
      </w:r>
      <w:r>
        <w:rPr>
          <w:rFonts w:hint="eastAsia" w:ascii="宋体" w:hAnsi="宋体" w:eastAsia="宋体"/>
          <w:color w:val="auto"/>
        </w:rPr>
        <w:t>万元，工程概算</w:t>
      </w:r>
      <w:r>
        <w:rPr>
          <w:rFonts w:ascii="宋体" w:hAnsi="宋体" w:eastAsia="宋体"/>
          <w:color w:val="auto"/>
          <w:u w:val="single"/>
        </w:rPr>
        <w:t xml:space="preserve">           </w:t>
      </w:r>
      <w:r>
        <w:rPr>
          <w:rFonts w:hint="eastAsia" w:ascii="宋体" w:hAnsi="宋体" w:eastAsia="宋体"/>
          <w:color w:val="auto"/>
        </w:rPr>
        <w:t>万元，其中建安工程造价</w:t>
      </w:r>
      <w:r>
        <w:rPr>
          <w:rFonts w:ascii="宋体" w:hAnsi="宋体" w:eastAsia="宋体"/>
          <w:color w:val="auto"/>
          <w:u w:val="single"/>
        </w:rPr>
        <w:t xml:space="preserve">     </w:t>
      </w:r>
      <w:r>
        <w:rPr>
          <w:rFonts w:hint="eastAsia" w:ascii="宋体" w:hAnsi="宋体" w:eastAsia="宋体"/>
          <w:color w:val="auto"/>
        </w:rPr>
        <w:t>万元，建设规模：</w:t>
      </w:r>
      <w:r>
        <w:rPr>
          <w:rFonts w:ascii="宋体" w:hAnsi="宋体" w:eastAsia="宋体"/>
          <w:color w:val="auto"/>
          <w:u w:val="single"/>
        </w:rPr>
        <w:t xml:space="preserve">          </w:t>
      </w:r>
      <w:r>
        <w:rPr>
          <w:rFonts w:hint="eastAsia" w:ascii="宋体" w:hAnsi="宋体" w:eastAsia="宋体"/>
          <w:color w:val="auto"/>
        </w:rPr>
        <w:t>，建设地点：</w:t>
      </w:r>
      <w:r>
        <w:rPr>
          <w:rFonts w:ascii="宋体" w:hAnsi="宋体" w:eastAsia="宋体"/>
          <w:color w:val="auto"/>
          <w:u w:val="single"/>
        </w:rPr>
        <w:t xml:space="preserve">         </w:t>
      </w:r>
      <w:r>
        <w:rPr>
          <w:rFonts w:hint="eastAsia" w:ascii="宋体" w:hAnsi="宋体" w:eastAsia="宋体"/>
          <w:color w:val="auto"/>
        </w:rPr>
        <w:t>。</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2.2</w:t>
      </w:r>
      <w:r>
        <w:rPr>
          <w:rFonts w:hint="eastAsia" w:ascii="宋体" w:hAnsi="宋体" w:eastAsia="宋体"/>
          <w:color w:val="auto"/>
        </w:rPr>
        <w:t>招标范围：</w:t>
      </w:r>
      <w:r>
        <w:rPr>
          <w:rFonts w:ascii="宋体" w:hAnsi="宋体" w:eastAsia="宋体"/>
          <w:color w:val="auto"/>
          <w:u w:val="single"/>
        </w:rPr>
        <w:t xml:space="preserve">                 </w:t>
      </w:r>
      <w:r>
        <w:rPr>
          <w:rFonts w:hint="eastAsia" w:ascii="宋体" w:hAnsi="宋体" w:eastAsia="宋体"/>
          <w:color w:val="auto"/>
        </w:rPr>
        <w:t>。本次招标建安工程造价</w:t>
      </w:r>
      <w:r>
        <w:rPr>
          <w:rFonts w:ascii="宋体" w:hAnsi="宋体" w:eastAsia="宋体"/>
          <w:color w:val="auto"/>
          <w:u w:val="single"/>
        </w:rPr>
        <w:t xml:space="preserve">             </w:t>
      </w:r>
      <w:r>
        <w:rPr>
          <w:rFonts w:hint="eastAsia" w:ascii="宋体" w:hAnsi="宋体" w:eastAsia="宋体"/>
          <w:color w:val="auto"/>
        </w:rPr>
        <w:t>。</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u w:val="single"/>
        </w:rPr>
      </w:pPr>
      <w:r>
        <w:rPr>
          <w:rFonts w:ascii="宋体" w:hAnsi="宋体" w:eastAsia="宋体"/>
          <w:color w:val="auto"/>
        </w:rPr>
        <w:t>2.3</w:t>
      </w:r>
      <w:r>
        <w:rPr>
          <w:rFonts w:hint="eastAsia" w:ascii="宋体" w:hAnsi="宋体" w:eastAsia="宋体"/>
          <w:color w:val="auto"/>
        </w:rPr>
        <w:t>施工总工期：</w:t>
      </w:r>
      <w:r>
        <w:rPr>
          <w:rFonts w:ascii="宋体" w:hAnsi="宋体" w:eastAsia="宋体"/>
          <w:color w:val="auto"/>
          <w:u w:val="single"/>
        </w:rPr>
        <w:t xml:space="preserve">               </w:t>
      </w:r>
      <w:r>
        <w:rPr>
          <w:rFonts w:hint="eastAsia" w:ascii="宋体" w:hAnsi="宋体" w:eastAsia="宋体"/>
          <w:color w:val="auto"/>
        </w:rPr>
        <w:t>。</w:t>
      </w:r>
    </w:p>
    <w:bookmarkEnd w:id="27"/>
    <w:p>
      <w:pPr>
        <w:spacing w:line="360" w:lineRule="auto"/>
        <w:rPr>
          <w:rFonts w:ascii="宋体" w:hAnsi="宋体" w:eastAsia="宋体"/>
          <w:b/>
          <w:color w:val="auto"/>
          <w:sz w:val="32"/>
          <w:szCs w:val="32"/>
        </w:rPr>
      </w:pPr>
      <w:bookmarkStart w:id="28" w:name="bookmark4"/>
      <w:bookmarkEnd w:id="28"/>
      <w:bookmarkStart w:id="29" w:name="_Toc26002051"/>
      <w:bookmarkStart w:id="30" w:name="_Toc22828053"/>
      <w:bookmarkStart w:id="31" w:name="_Toc22827970"/>
      <w:bookmarkStart w:id="32" w:name="_Toc24050271"/>
      <w:bookmarkStart w:id="33" w:name="_Toc26001998"/>
      <w:bookmarkStart w:id="34" w:name="_Toc45697222"/>
      <w:bookmarkStart w:id="35" w:name="_Toc6739"/>
      <w:r>
        <w:rPr>
          <w:rFonts w:ascii="宋体" w:hAnsi="宋体" w:eastAsia="宋体"/>
          <w:b/>
          <w:color w:val="auto"/>
          <w:sz w:val="32"/>
          <w:szCs w:val="32"/>
        </w:rPr>
        <w:t>3.投标人资格要求</w:t>
      </w:r>
      <w:bookmarkEnd w:id="29"/>
      <w:bookmarkEnd w:id="30"/>
      <w:bookmarkEnd w:id="31"/>
      <w:bookmarkEnd w:id="32"/>
      <w:bookmarkEnd w:id="33"/>
      <w:bookmarkEnd w:id="34"/>
      <w:bookmarkEnd w:id="35"/>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rPr>
          <w:rFonts w:ascii="宋体" w:hAnsi="宋体" w:eastAsia="宋体"/>
          <w:color w:val="auto"/>
        </w:rPr>
      </w:pPr>
      <w:bookmarkStart w:id="36" w:name="_Hlk54099124"/>
      <w:r>
        <w:rPr>
          <w:rFonts w:hint="eastAsia" w:ascii="宋体" w:hAnsi="宋体" w:eastAsia="宋体"/>
          <w:color w:val="auto"/>
          <w:shd w:val="clear" w:color="auto" w:fill="FFFFFF"/>
        </w:rPr>
        <w:t>（一）投标人</w:t>
      </w:r>
      <w:r>
        <w:rPr>
          <w:rFonts w:hint="eastAsia" w:ascii="宋体" w:hAnsi="宋体" w:eastAsia="宋体"/>
          <w:color w:val="auto"/>
        </w:rPr>
        <w:t>：</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3.1</w:t>
      </w:r>
      <w:r>
        <w:rPr>
          <w:rFonts w:hint="eastAsia" w:ascii="宋体" w:hAnsi="宋体" w:eastAsia="宋体"/>
          <w:color w:val="auto"/>
        </w:rPr>
        <w:t>具备</w:t>
      </w:r>
      <w:r>
        <w:rPr>
          <w:rFonts w:ascii="宋体" w:hAnsi="宋体" w:eastAsia="宋体"/>
          <w:color w:val="auto"/>
          <w:u w:val="single"/>
        </w:rPr>
        <w:tab/>
      </w:r>
      <w:r>
        <w:rPr>
          <w:rFonts w:ascii="宋体" w:hAnsi="宋体" w:eastAsia="宋体"/>
          <w:color w:val="auto"/>
          <w:u w:val="single"/>
        </w:rPr>
        <w:tab/>
      </w:r>
      <w:r>
        <w:rPr>
          <w:rFonts w:ascii="宋体" w:hAnsi="宋体" w:eastAsia="宋体"/>
          <w:color w:val="auto"/>
          <w:u w:val="single"/>
        </w:rPr>
        <w:t xml:space="preserve">         </w:t>
      </w:r>
      <w:r>
        <w:rPr>
          <w:rFonts w:hint="eastAsia" w:ascii="宋体" w:hAnsi="宋体" w:eastAsia="宋体"/>
          <w:color w:val="auto"/>
        </w:rPr>
        <w:t>资质；</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3.2</w:t>
      </w:r>
      <w:r>
        <w:rPr>
          <w:rFonts w:ascii="宋体" w:hAnsi="宋体" w:eastAsia="宋体"/>
          <w:color w:val="auto"/>
        </w:rPr>
        <w:sym w:font="Wingdings 2" w:char="00A3"/>
      </w:r>
      <w:r>
        <w:rPr>
          <w:rFonts w:hint="eastAsia" w:ascii="宋体" w:hAnsi="宋体" w:eastAsia="宋体"/>
          <w:color w:val="auto"/>
        </w:rPr>
        <w:t>具备有效的企业安全生产许可证</w:t>
      </w:r>
      <w:r>
        <w:rPr>
          <w:rFonts w:ascii="宋体" w:hAnsi="宋体" w:eastAsia="宋体"/>
          <w:color w:val="auto"/>
        </w:rPr>
        <w:t>，企业主要负责人（法定代表人、企业经理、企业分管安全生产的副经理、企业技术负责人）</w:t>
      </w:r>
      <w:r>
        <w:rPr>
          <w:rFonts w:hint="eastAsia" w:ascii="宋体" w:hAnsi="宋体" w:eastAsia="宋体"/>
          <w:color w:val="auto"/>
        </w:rPr>
        <w:t>具有</w:t>
      </w:r>
      <w:r>
        <w:rPr>
          <w:rFonts w:hint="eastAsia" w:ascii="宋体" w:hAnsi="宋体" w:eastAsia="宋体"/>
          <w:bCs/>
          <w:color w:val="auto"/>
        </w:rPr>
        <w:t>专职</w:t>
      </w:r>
      <w:r>
        <w:rPr>
          <w:rFonts w:hint="eastAsia" w:ascii="宋体" w:hAnsi="宋体" w:eastAsia="宋体"/>
          <w:color w:val="auto"/>
        </w:rPr>
        <w:t>安全生产管理人员</w:t>
      </w:r>
      <w:r>
        <w:rPr>
          <w:rFonts w:ascii="宋体" w:hAnsi="宋体" w:eastAsia="宋体"/>
          <w:color w:val="auto"/>
        </w:rPr>
        <w:t>A类证书</w:t>
      </w:r>
      <w:r>
        <w:rPr>
          <w:rFonts w:hint="eastAsia" w:ascii="宋体" w:hAnsi="宋体" w:eastAsia="宋体"/>
          <w:color w:val="auto"/>
        </w:rPr>
        <w:t>；</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3.3</w:t>
      </w:r>
      <w:r>
        <w:rPr>
          <w:rFonts w:ascii="宋体" w:hAnsi="宋体" w:eastAsia="宋体"/>
          <w:color w:val="auto"/>
        </w:rPr>
        <w:sym w:font="Wingdings 2" w:char="00A3"/>
      </w:r>
      <w:r>
        <w:rPr>
          <w:rFonts w:hint="eastAsia" w:ascii="宋体" w:hAnsi="宋体" w:eastAsia="宋体"/>
          <w:color w:val="auto"/>
        </w:rPr>
        <w:t>自</w:t>
      </w:r>
      <w:r>
        <w:rPr>
          <w:rFonts w:ascii="宋体" w:hAnsi="宋体" w:eastAsia="宋体"/>
          <w:color w:val="auto"/>
          <w:u w:val="single"/>
        </w:rPr>
        <w:t xml:space="preserve">   </w:t>
      </w:r>
      <w:r>
        <w:rPr>
          <w:rFonts w:hint="eastAsia" w:ascii="宋体" w:hAnsi="宋体" w:eastAsia="宋体"/>
          <w:color w:val="auto"/>
        </w:rPr>
        <w:t>年</w:t>
      </w:r>
      <w:r>
        <w:rPr>
          <w:rFonts w:ascii="宋体" w:hAnsi="宋体" w:eastAsia="宋体"/>
          <w:color w:val="auto"/>
          <w:u w:val="single"/>
        </w:rPr>
        <w:t xml:space="preserve">   </w:t>
      </w:r>
      <w:r>
        <w:rPr>
          <w:rFonts w:hint="eastAsia" w:ascii="宋体" w:hAnsi="宋体" w:eastAsia="宋体"/>
          <w:color w:val="auto"/>
        </w:rPr>
        <w:t>月</w:t>
      </w:r>
      <w:r>
        <w:rPr>
          <w:rFonts w:ascii="宋体" w:hAnsi="宋体" w:eastAsia="宋体"/>
          <w:color w:val="auto"/>
          <w:u w:val="single"/>
        </w:rPr>
        <w:t xml:space="preserve">   </w:t>
      </w:r>
      <w:r>
        <w:rPr>
          <w:rFonts w:hint="eastAsia" w:ascii="宋体" w:hAnsi="宋体" w:eastAsia="宋体"/>
          <w:color w:val="auto"/>
        </w:rPr>
        <w:t>日以来承接过</w:t>
      </w:r>
      <w:r>
        <w:rPr>
          <w:rFonts w:ascii="宋体" w:hAnsi="宋体" w:eastAsia="宋体"/>
          <w:color w:val="auto"/>
          <w:u w:val="single"/>
        </w:rPr>
        <w:tab/>
      </w:r>
      <w:r>
        <w:rPr>
          <w:rFonts w:ascii="宋体" w:hAnsi="宋体" w:eastAsia="宋体"/>
          <w:color w:val="auto"/>
          <w:u w:val="single"/>
        </w:rPr>
        <w:t xml:space="preserve">         </w:t>
      </w:r>
      <w:r>
        <w:rPr>
          <w:rFonts w:hint="eastAsia" w:ascii="宋体" w:hAnsi="宋体" w:eastAsia="宋体"/>
          <w:color w:val="auto"/>
        </w:rPr>
        <w:t>业绩；</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u w:val="single"/>
        </w:rPr>
      </w:pPr>
      <w:r>
        <w:rPr>
          <w:rFonts w:ascii="宋体" w:hAnsi="宋体" w:eastAsia="宋体"/>
          <w:color w:val="auto"/>
        </w:rPr>
        <w:t>3.4本次招标□接受/</w:t>
      </w:r>
      <w:r>
        <w:rPr>
          <w:rFonts w:hint="eastAsia" w:ascii="宋体" w:hAnsi="宋体" w:eastAsia="宋体"/>
          <w:color w:val="auto"/>
        </w:rPr>
        <w:t>□不接受联合体投标。联合体投标的应满足下列要求：</w:t>
      </w:r>
      <w:r>
        <w:rPr>
          <w:rFonts w:ascii="宋体" w:hAnsi="宋体" w:eastAsia="宋体"/>
          <w:color w:val="auto"/>
          <w:u w:val="single"/>
        </w:rPr>
        <w:t xml:space="preserve">  </w:t>
      </w:r>
      <w:r>
        <w:rPr>
          <w:rFonts w:hint="eastAsia" w:ascii="宋体" w:hAnsi="宋体"/>
          <w:color w:val="auto"/>
          <w:u w:val="single"/>
          <w:lang w:eastAsia="zh-CN"/>
        </w:rPr>
        <w:t>（</w:t>
      </w:r>
      <w:r>
        <w:rPr>
          <w:rFonts w:hint="eastAsia" w:ascii="宋体" w:hAnsi="宋体"/>
          <w:color w:val="auto"/>
          <w:u w:val="single"/>
          <w:lang w:val="en-US" w:eastAsia="zh-CN"/>
        </w:rPr>
        <w:t>应同时载明3.1、3.2、3.3等内容</w:t>
      </w:r>
      <w:r>
        <w:rPr>
          <w:rFonts w:hint="eastAsia" w:ascii="宋体" w:hAnsi="宋体"/>
          <w:color w:val="auto"/>
          <w:u w:val="single"/>
          <w:lang w:eastAsia="zh-CN"/>
        </w:rPr>
        <w:t>）</w:t>
      </w:r>
      <w:r>
        <w:rPr>
          <w:rFonts w:ascii="宋体" w:hAnsi="宋体" w:eastAsia="宋体"/>
          <w:color w:val="auto"/>
          <w:u w:val="single"/>
        </w:rPr>
        <w:t xml:space="preserve"> </w:t>
      </w:r>
      <w:r>
        <w:rPr>
          <w:rFonts w:hint="eastAsia" w:ascii="宋体" w:hAnsi="宋体"/>
          <w:color w:val="auto"/>
          <w:u w:val="single"/>
          <w:lang w:val="en-US" w:eastAsia="zh-CN"/>
        </w:rPr>
        <w:t xml:space="preserve">                                                 </w:t>
      </w:r>
      <w:r>
        <w:rPr>
          <w:rFonts w:ascii="宋体" w:hAnsi="宋体" w:eastAsia="宋体"/>
          <w:color w:val="auto"/>
          <w:u w:val="single"/>
        </w:rPr>
        <w:t xml:space="preserve">  </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w:t>
      </w:r>
      <w:r>
        <w:rPr>
          <w:rFonts w:hint="eastAsia" w:ascii="宋体" w:hAnsi="宋体" w:eastAsia="宋体"/>
          <w:color w:val="auto"/>
        </w:rPr>
        <w:t>5□</w:t>
      </w:r>
      <w:r>
        <w:rPr>
          <w:rFonts w:ascii="宋体" w:hAnsi="宋体" w:eastAsia="宋体"/>
          <w:color w:val="auto"/>
          <w:u w:val="single"/>
        </w:rPr>
        <w:t xml:space="preserve">           </w:t>
      </w:r>
      <w:r>
        <w:rPr>
          <w:rFonts w:hint="eastAsia" w:ascii="宋体" w:hAnsi="宋体" w:eastAsia="宋体"/>
          <w:color w:val="auto"/>
          <w:u w:val="single"/>
        </w:rPr>
        <w:t>（招标人需要增加的、符合法律法规的其他要求）</w:t>
      </w:r>
      <w:r>
        <w:rPr>
          <w:rFonts w:hint="eastAsia" w:ascii="宋体" w:hAnsi="宋体" w:eastAsia="宋体"/>
          <w:color w:val="auto"/>
        </w:rPr>
        <w:t>。</w:t>
      </w:r>
    </w:p>
    <w:p>
      <w:pPr>
        <w:pStyle w:val="156"/>
        <w:adjustRightInd w:val="0"/>
        <w:snapToGrid w:val="0"/>
        <w:spacing w:line="360" w:lineRule="auto"/>
        <w:ind w:firstLine="410" w:firstLineChars="171"/>
        <w:rPr>
          <w:rFonts w:ascii="宋体" w:hAnsi="宋体" w:eastAsia="宋体"/>
          <w:color w:val="auto"/>
          <w:sz w:val="24"/>
          <w:szCs w:val="24"/>
        </w:rPr>
      </w:pPr>
      <w:r>
        <w:rPr>
          <w:rFonts w:hint="eastAsia" w:ascii="宋体" w:hAnsi="宋体" w:eastAsia="宋体"/>
          <w:color w:val="auto"/>
          <w:sz w:val="24"/>
          <w:szCs w:val="24"/>
        </w:rPr>
        <w:t>（二）拟派项目负责人：</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w:t>
      </w:r>
      <w:bookmarkStart w:id="37" w:name="_Hlk24015190"/>
      <w:r>
        <w:rPr>
          <w:rFonts w:hint="eastAsia" w:ascii="宋体" w:hAnsi="宋体" w:eastAsia="宋体"/>
          <w:color w:val="auto"/>
        </w:rPr>
        <w:t>6拟派</w:t>
      </w:r>
      <w:r>
        <w:rPr>
          <w:rFonts w:hint="eastAsia" w:ascii="宋体" w:hAnsi="宋体"/>
          <w:color w:val="auto"/>
        </w:rPr>
        <w:t>项目负责人</w:t>
      </w:r>
      <w:r>
        <w:rPr>
          <w:rFonts w:hint="eastAsia" w:ascii="宋体" w:hAnsi="宋体" w:eastAsia="宋体"/>
          <w:color w:val="auto"/>
        </w:rPr>
        <w:t>具有注册在投标人单位的</w:t>
      </w:r>
      <w:r>
        <w:rPr>
          <w:rFonts w:ascii="宋体" w:hAnsi="宋体" w:eastAsia="宋体"/>
          <w:color w:val="auto"/>
          <w:u w:val="single"/>
        </w:rPr>
        <w:tab/>
      </w:r>
      <w:r>
        <w:rPr>
          <w:rFonts w:hint="eastAsia" w:ascii="宋体" w:hAnsi="宋体" w:eastAsia="宋体"/>
          <w:color w:val="auto"/>
          <w:u w:val="single"/>
        </w:rPr>
        <w:t>（工程专业）</w:t>
      </w:r>
      <w:r>
        <w:rPr>
          <w:rFonts w:ascii="宋体" w:hAnsi="宋体" w:eastAsia="宋体"/>
          <w:color w:val="auto"/>
          <w:u w:val="single"/>
        </w:rPr>
        <w:tab/>
      </w:r>
      <w:r>
        <w:rPr>
          <w:rFonts w:ascii="宋体" w:hAnsi="宋体" w:eastAsia="宋体"/>
          <w:color w:val="auto"/>
          <w:u w:val="single"/>
        </w:rPr>
        <w:t xml:space="preserve">  级</w:t>
      </w:r>
      <w:r>
        <w:rPr>
          <w:rFonts w:hint="eastAsia" w:ascii="宋体" w:hAnsi="宋体" w:eastAsia="宋体"/>
          <w:color w:val="auto"/>
        </w:rPr>
        <w:t>建造师执业资格，同时具有有效的</w:t>
      </w:r>
      <w:r>
        <w:rPr>
          <w:rFonts w:hint="eastAsia" w:ascii="宋体" w:hAnsi="宋体" w:eastAsia="宋体"/>
          <w:bCs/>
          <w:color w:val="auto"/>
        </w:rPr>
        <w:t>专职</w:t>
      </w:r>
      <w:r>
        <w:rPr>
          <w:rFonts w:hint="eastAsia" w:ascii="宋体" w:hAnsi="宋体" w:eastAsia="宋体"/>
          <w:color w:val="auto"/>
        </w:rPr>
        <w:t>安全生产管理人员</w:t>
      </w:r>
      <w:r>
        <w:rPr>
          <w:rFonts w:ascii="宋体" w:hAnsi="宋体" w:eastAsia="宋体"/>
          <w:color w:val="auto"/>
        </w:rPr>
        <w:t>B</w:t>
      </w:r>
      <w:r>
        <w:rPr>
          <w:rFonts w:hint="eastAsia" w:ascii="宋体" w:hAnsi="宋体" w:eastAsia="宋体"/>
          <w:color w:val="auto"/>
        </w:rPr>
        <w:t>类证书。如在投标截止日存在在其他任何在建合同工程（在建合同工程的开始时间为合同工程中标通知书发出日期，或者不通过招标方式的则以合同签订日期为开始时间，结束时间为该合同工程验收合格或合同解除日期）担任项目负责人（包括工程总承包项目中的施工负责人）的，不得以拟派项目负责人的身份参加本次投标</w:t>
      </w:r>
      <w:bookmarkEnd w:id="37"/>
      <w:r>
        <w:rPr>
          <w:rFonts w:hint="eastAsia" w:ascii="宋体" w:hAnsi="宋体" w:eastAsia="宋体"/>
          <w:color w:val="auto"/>
        </w:rPr>
        <w:t>；</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w:t>
      </w:r>
      <w:r>
        <w:rPr>
          <w:rFonts w:hint="eastAsia" w:ascii="宋体" w:hAnsi="宋体" w:eastAsia="宋体"/>
          <w:color w:val="auto"/>
        </w:rPr>
        <w:t>7</w:t>
      </w:r>
      <w:r>
        <w:rPr>
          <w:rFonts w:ascii="宋体" w:hAnsi="宋体" w:eastAsia="宋体"/>
          <w:color w:val="auto"/>
        </w:rPr>
        <w:sym w:font="Wingdings 2" w:char="00A3"/>
      </w:r>
      <w:r>
        <w:rPr>
          <w:rFonts w:ascii="宋体" w:hAnsi="宋体" w:eastAsia="宋体"/>
          <w:color w:val="auto"/>
          <w:u w:val="single"/>
        </w:rPr>
        <w:t xml:space="preserve">            </w:t>
      </w:r>
      <w:r>
        <w:rPr>
          <w:rFonts w:hint="eastAsia" w:ascii="宋体" w:hAnsi="宋体" w:eastAsia="宋体"/>
          <w:color w:val="auto"/>
          <w:u w:val="single"/>
        </w:rPr>
        <w:t>（招标人需要增加的、符合法律法规的其他要求）</w:t>
      </w:r>
      <w:r>
        <w:rPr>
          <w:rFonts w:hint="eastAsia" w:ascii="宋体" w:hAnsi="宋体" w:eastAsia="宋体"/>
          <w:color w:val="auto"/>
        </w:rPr>
        <w:t>。</w:t>
      </w:r>
    </w:p>
    <w:p>
      <w:pPr>
        <w:pStyle w:val="156"/>
        <w:adjustRightInd w:val="0"/>
        <w:snapToGrid w:val="0"/>
        <w:spacing w:line="360" w:lineRule="auto"/>
        <w:ind w:firstLine="560" w:firstLineChars="0"/>
        <w:rPr>
          <w:rFonts w:ascii="宋体" w:hAnsi="宋体" w:eastAsia="宋体"/>
          <w:color w:val="auto"/>
          <w:sz w:val="24"/>
          <w:szCs w:val="24"/>
        </w:rPr>
      </w:pPr>
      <w:r>
        <w:rPr>
          <w:rFonts w:ascii="宋体" w:hAnsi="宋体" w:eastAsia="宋体"/>
          <w:color w:val="auto"/>
          <w:sz w:val="24"/>
          <w:szCs w:val="24"/>
        </w:rPr>
        <w:t>（</w:t>
      </w:r>
      <w:r>
        <w:rPr>
          <w:rFonts w:hint="eastAsia" w:ascii="宋体" w:hAnsi="宋体" w:eastAsia="宋体"/>
          <w:color w:val="auto"/>
          <w:sz w:val="24"/>
          <w:szCs w:val="24"/>
        </w:rPr>
        <w:t>三</w:t>
      </w:r>
      <w:r>
        <w:rPr>
          <w:rFonts w:ascii="宋体" w:hAnsi="宋体" w:eastAsia="宋体"/>
          <w:color w:val="auto"/>
          <w:sz w:val="24"/>
          <w:szCs w:val="24"/>
        </w:rPr>
        <w:t>）其他：</w:t>
      </w:r>
    </w:p>
    <w:p>
      <w:pPr>
        <w:pStyle w:val="156"/>
        <w:adjustRightInd w:val="0"/>
        <w:snapToGrid w:val="0"/>
        <w:spacing w:line="360" w:lineRule="auto"/>
        <w:ind w:firstLine="480"/>
        <w:rPr>
          <w:rFonts w:hAnsi="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8□</w:t>
      </w:r>
      <w:r>
        <w:rPr>
          <w:rFonts w:ascii="宋体" w:hAnsi="宋体" w:eastAsia="宋体"/>
          <w:color w:val="auto"/>
          <w:sz w:val="24"/>
          <w:szCs w:val="24"/>
        </w:rPr>
        <w:t>拟派施工现场专职安全生产管理人员</w:t>
      </w:r>
      <w:r>
        <w:rPr>
          <w:rFonts w:hint="eastAsia" w:ascii="宋体" w:hAnsi="宋体" w:eastAsia="宋体"/>
          <w:color w:val="auto"/>
          <w:sz w:val="24"/>
          <w:szCs w:val="24"/>
        </w:rPr>
        <w:t>，</w:t>
      </w:r>
      <w:r>
        <w:rPr>
          <w:rFonts w:ascii="宋体" w:hAnsi="宋体" w:eastAsia="宋体"/>
          <w:color w:val="auto"/>
          <w:sz w:val="24"/>
          <w:szCs w:val="24"/>
        </w:rPr>
        <w:t>具有</w:t>
      </w:r>
      <w:r>
        <w:rPr>
          <w:rFonts w:hint="eastAsia" w:ascii="宋体" w:hAnsi="宋体" w:eastAsia="宋体"/>
          <w:color w:val="auto"/>
          <w:sz w:val="24"/>
          <w:szCs w:val="24"/>
        </w:rPr>
        <w:t>专职安全生产管理人员</w:t>
      </w:r>
      <w:r>
        <w:rPr>
          <w:rFonts w:ascii="宋体" w:hAnsi="宋体" w:eastAsia="宋体"/>
          <w:color w:val="auto"/>
          <w:sz w:val="24"/>
          <w:szCs w:val="24"/>
        </w:rPr>
        <w:t>C类证书,人数符合住房和城乡建设部《建筑施工企业安全生产管理机构设置及专职安全生产管理人员配备办法》</w:t>
      </w:r>
      <w:r>
        <w:rPr>
          <w:rFonts w:hint="eastAsia" w:ascii="宋体" w:hAnsi="宋体" w:eastAsia="宋体"/>
          <w:color w:val="auto"/>
          <w:sz w:val="24"/>
          <w:szCs w:val="24"/>
        </w:rPr>
        <w:t>（</w:t>
      </w:r>
      <w:r>
        <w:rPr>
          <w:rFonts w:ascii="宋体" w:hAnsi="宋体" w:eastAsia="宋体"/>
          <w:color w:val="auto"/>
          <w:sz w:val="24"/>
          <w:szCs w:val="24"/>
        </w:rPr>
        <w:t>建质</w:t>
      </w:r>
      <w:r>
        <w:rPr>
          <w:rFonts w:hint="eastAsia" w:ascii="宋体" w:hAnsi="宋体" w:eastAsia="宋体"/>
          <w:color w:val="auto"/>
          <w:sz w:val="24"/>
          <w:szCs w:val="24"/>
        </w:rPr>
        <w:t>﹝</w:t>
      </w:r>
      <w:r>
        <w:rPr>
          <w:rFonts w:ascii="宋体" w:hAnsi="宋体" w:eastAsia="宋体"/>
          <w:color w:val="auto"/>
          <w:sz w:val="24"/>
          <w:szCs w:val="24"/>
        </w:rPr>
        <w:t>2008</w:t>
      </w:r>
      <w:r>
        <w:rPr>
          <w:rFonts w:hint="eastAsia" w:ascii="宋体" w:hAnsi="宋体" w:eastAsia="宋体"/>
          <w:color w:val="auto"/>
          <w:sz w:val="24"/>
          <w:szCs w:val="24"/>
        </w:rPr>
        <w:t>﹞</w:t>
      </w:r>
      <w:r>
        <w:rPr>
          <w:rFonts w:ascii="宋体" w:hAnsi="宋体" w:eastAsia="宋体"/>
          <w:color w:val="auto"/>
          <w:sz w:val="24"/>
          <w:szCs w:val="24"/>
        </w:rPr>
        <w:t>91号</w:t>
      </w:r>
      <w:r>
        <w:rPr>
          <w:rFonts w:hint="eastAsia" w:ascii="宋体" w:hAnsi="宋体" w:eastAsia="宋体"/>
          <w:color w:val="auto"/>
          <w:sz w:val="24"/>
          <w:szCs w:val="24"/>
        </w:rPr>
        <w:t>）</w:t>
      </w:r>
      <w:r>
        <w:rPr>
          <w:rFonts w:ascii="宋体" w:hAnsi="宋体" w:eastAsia="宋体"/>
          <w:color w:val="auto"/>
          <w:sz w:val="24"/>
          <w:szCs w:val="24"/>
        </w:rPr>
        <w:t>的规定；</w:t>
      </w:r>
    </w:p>
    <w:p>
      <w:pPr>
        <w:pStyle w:val="156"/>
        <w:adjustRightInd w:val="0"/>
        <w:snapToGrid w:val="0"/>
        <w:spacing w:line="360" w:lineRule="auto"/>
        <w:ind w:firstLine="480"/>
        <w:rPr>
          <w:rFonts w:ascii="宋体" w:hAnsi="宋体" w:eastAsia="宋体"/>
          <w:color w:val="auto"/>
          <w:sz w:val="24"/>
        </w:rPr>
      </w:pPr>
      <w:r>
        <w:rPr>
          <w:rFonts w:ascii="宋体" w:hAnsi="宋体" w:eastAsia="宋体"/>
          <w:color w:val="auto"/>
          <w:sz w:val="24"/>
        </w:rPr>
        <w:t>3.</w:t>
      </w:r>
      <w:r>
        <w:rPr>
          <w:rFonts w:hint="eastAsia" w:ascii="宋体" w:hAnsi="宋体" w:eastAsia="宋体"/>
          <w:color w:val="auto"/>
          <w:sz w:val="24"/>
        </w:rPr>
        <w:t>9</w:t>
      </w:r>
      <w:r>
        <w:rPr>
          <w:rFonts w:ascii="宋体" w:hAnsi="宋体" w:eastAsia="宋体"/>
          <w:color w:val="auto"/>
          <w:sz w:val="24"/>
        </w:rPr>
        <w:t>投标人及其拟派</w:t>
      </w:r>
      <w:r>
        <w:rPr>
          <w:rFonts w:hint="eastAsia" w:ascii="宋体" w:hAnsi="宋体" w:eastAsia="宋体"/>
          <w:color w:val="auto"/>
          <w:sz w:val="24"/>
        </w:rPr>
        <w:t>项目负责人未被列入建筑市场</w:t>
      </w:r>
      <w:r>
        <w:rPr>
          <w:rFonts w:ascii="宋体" w:hAnsi="宋体" w:eastAsia="宋体"/>
          <w:color w:val="auto"/>
          <w:sz w:val="24"/>
        </w:rPr>
        <w:t>严重失信名单</w:t>
      </w:r>
      <w:r>
        <w:rPr>
          <w:rFonts w:hint="eastAsia" w:ascii="宋体" w:hAnsi="宋体" w:eastAsia="宋体"/>
          <w:color w:val="auto"/>
          <w:sz w:val="24"/>
        </w:rPr>
        <w:t>（以全国和浙江省建筑市场监管与诚信信息发布平台为准）；</w:t>
      </w:r>
    </w:p>
    <w:p>
      <w:pPr>
        <w:pStyle w:val="156"/>
        <w:adjustRightInd w:val="0"/>
        <w:snapToGrid w:val="0"/>
        <w:spacing w:line="360" w:lineRule="auto"/>
        <w:ind w:firstLine="480"/>
        <w:rPr>
          <w:rFonts w:ascii="宋体" w:hAnsi="宋体" w:eastAsia="宋体"/>
          <w:color w:val="auto"/>
          <w:sz w:val="24"/>
        </w:rPr>
      </w:pPr>
      <w:r>
        <w:rPr>
          <w:rFonts w:ascii="宋体" w:hAnsi="宋体" w:eastAsia="宋体"/>
          <w:color w:val="auto"/>
          <w:sz w:val="24"/>
        </w:rPr>
        <w:t>3.1</w:t>
      </w:r>
      <w:r>
        <w:rPr>
          <w:rFonts w:hint="eastAsia" w:ascii="宋体" w:hAnsi="宋体" w:eastAsia="宋体"/>
          <w:color w:val="auto"/>
          <w:sz w:val="24"/>
        </w:rPr>
        <w:t>0</w:t>
      </w:r>
      <w:r>
        <w:rPr>
          <w:rFonts w:hint="eastAsia" w:ascii="宋体" w:hAnsi="宋体" w:eastAsia="宋体"/>
          <w:color w:val="auto"/>
          <w:sz w:val="24"/>
          <w:szCs w:val="24"/>
        </w:rPr>
        <w:t>□</w:t>
      </w:r>
      <w:r>
        <w:rPr>
          <w:rFonts w:hint="eastAsia" w:ascii="宋体" w:hAnsi="宋体" w:eastAsia="宋体"/>
          <w:color w:val="auto"/>
          <w:sz w:val="24"/>
        </w:rPr>
        <w:t>投标人及其拟派项目负责人未被列入招标投标失信黑名单（以浙江省发展和改革委员会公布的披露期内的失信黑名单为准）；</w:t>
      </w:r>
    </w:p>
    <w:p>
      <w:pPr>
        <w:pStyle w:val="156"/>
        <w:adjustRightInd w:val="0"/>
        <w:snapToGrid w:val="0"/>
        <w:spacing w:line="360" w:lineRule="auto"/>
        <w:ind w:firstLine="480"/>
        <w:rPr>
          <w:rFonts w:ascii="宋体" w:hAnsi="宋体" w:eastAsia="宋体"/>
          <w:color w:val="auto"/>
          <w:sz w:val="24"/>
        </w:rPr>
      </w:pPr>
      <w:r>
        <w:rPr>
          <w:rFonts w:ascii="宋体" w:hAnsi="宋体" w:eastAsia="宋体"/>
          <w:color w:val="auto"/>
          <w:sz w:val="24"/>
        </w:rPr>
        <w:t>3.1</w:t>
      </w:r>
      <w:r>
        <w:rPr>
          <w:rFonts w:hint="eastAsia" w:ascii="宋体" w:hAnsi="宋体" w:eastAsia="宋体"/>
          <w:color w:val="auto"/>
          <w:sz w:val="24"/>
        </w:rPr>
        <w:t>1</w:t>
      </w:r>
      <w:r>
        <w:rPr>
          <w:rFonts w:ascii="宋体" w:hAnsi="宋体" w:eastAsia="宋体"/>
          <w:color w:val="auto"/>
          <w:sz w:val="24"/>
        </w:rPr>
        <w:t>投标人及</w:t>
      </w:r>
      <w:r>
        <w:rPr>
          <w:rFonts w:hint="eastAsia" w:ascii="宋体" w:hAnsi="宋体" w:eastAsia="宋体"/>
          <w:color w:val="auto"/>
          <w:sz w:val="24"/>
        </w:rPr>
        <w:t>其</w:t>
      </w:r>
      <w:r>
        <w:rPr>
          <w:rFonts w:ascii="宋体" w:hAnsi="宋体" w:eastAsia="宋体"/>
          <w:color w:val="auto"/>
          <w:sz w:val="24"/>
        </w:rPr>
        <w:t>拟派项目</w:t>
      </w:r>
      <w:r>
        <w:rPr>
          <w:rFonts w:hint="eastAsia" w:ascii="宋体" w:hAnsi="宋体" w:eastAsia="宋体"/>
          <w:color w:val="auto"/>
          <w:sz w:val="24"/>
        </w:rPr>
        <w:t>负责人</w:t>
      </w:r>
      <w:r>
        <w:rPr>
          <w:rFonts w:ascii="宋体" w:hAnsi="宋体" w:eastAsia="宋体"/>
          <w:color w:val="auto"/>
          <w:sz w:val="24"/>
        </w:rPr>
        <w:t>自</w:t>
      </w:r>
      <w:r>
        <w:rPr>
          <w:rFonts w:ascii="宋体" w:hAnsi="宋体" w:eastAsia="宋体"/>
          <w:color w:val="auto"/>
          <w:sz w:val="24"/>
          <w:u w:val="single"/>
        </w:rPr>
        <w:t xml:space="preserve">   </w:t>
      </w:r>
      <w:r>
        <w:rPr>
          <w:rFonts w:ascii="宋体" w:hAnsi="宋体" w:eastAsia="宋体"/>
          <w:color w:val="auto"/>
          <w:sz w:val="24"/>
        </w:rPr>
        <w:t>年</w:t>
      </w:r>
      <w:r>
        <w:rPr>
          <w:rFonts w:ascii="宋体" w:hAnsi="宋体" w:eastAsia="宋体"/>
          <w:color w:val="auto"/>
          <w:sz w:val="24"/>
          <w:u w:val="single"/>
        </w:rPr>
        <w:t xml:space="preserve">   </w:t>
      </w:r>
      <w:r>
        <w:rPr>
          <w:rFonts w:ascii="宋体" w:hAnsi="宋体" w:eastAsia="宋体"/>
          <w:color w:val="auto"/>
          <w:sz w:val="24"/>
        </w:rPr>
        <w:t>月</w:t>
      </w:r>
      <w:r>
        <w:rPr>
          <w:rFonts w:ascii="宋体" w:hAnsi="宋体" w:eastAsia="宋体"/>
          <w:color w:val="auto"/>
          <w:sz w:val="24"/>
          <w:u w:val="single"/>
        </w:rPr>
        <w:t xml:space="preserve">   </w:t>
      </w:r>
      <w:r>
        <w:rPr>
          <w:rFonts w:ascii="宋体" w:hAnsi="宋体" w:eastAsia="宋体"/>
          <w:color w:val="auto"/>
          <w:sz w:val="24"/>
        </w:rPr>
        <w:t>日起</w:t>
      </w:r>
      <w:r>
        <w:rPr>
          <w:rFonts w:hint="eastAsia" w:ascii="宋体" w:hAnsi="宋体" w:eastAsia="宋体"/>
          <w:color w:val="auto"/>
          <w:sz w:val="24"/>
        </w:rPr>
        <w:t>至投标截止</w:t>
      </w:r>
      <w:r>
        <w:rPr>
          <w:rFonts w:ascii="宋体" w:hAnsi="宋体" w:eastAsia="宋体"/>
          <w:color w:val="auto"/>
          <w:sz w:val="24"/>
        </w:rPr>
        <w:t>日</w:t>
      </w:r>
      <w:r>
        <w:rPr>
          <w:rFonts w:hint="eastAsia" w:ascii="宋体" w:hAnsi="宋体" w:eastAsia="宋体"/>
          <w:color w:val="auto"/>
          <w:sz w:val="24"/>
        </w:rPr>
        <w:t>止</w:t>
      </w:r>
      <w:r>
        <w:rPr>
          <w:rFonts w:ascii="宋体" w:hAnsi="宋体" w:eastAsia="宋体"/>
          <w:color w:val="auto"/>
          <w:sz w:val="24"/>
        </w:rPr>
        <w:t>无行贿犯罪记录</w:t>
      </w:r>
      <w:r>
        <w:rPr>
          <w:rFonts w:hint="eastAsia" w:ascii="宋体" w:hAnsi="宋体" w:eastAsia="宋体"/>
          <w:color w:val="auto"/>
          <w:sz w:val="24"/>
        </w:rPr>
        <w:t>，并未被列入失信被执行人名单；</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3.1</w:t>
      </w:r>
      <w:r>
        <w:rPr>
          <w:rFonts w:hint="eastAsia" w:ascii="宋体" w:hAnsi="宋体" w:eastAsia="宋体"/>
          <w:color w:val="auto"/>
        </w:rPr>
        <w:t>2□</w:t>
      </w:r>
      <w:r>
        <w:rPr>
          <w:rFonts w:ascii="宋体" w:hAnsi="宋体" w:eastAsia="宋体"/>
          <w:color w:val="auto"/>
          <w:u w:val="single"/>
        </w:rPr>
        <w:t xml:space="preserve">              </w:t>
      </w:r>
      <w:r>
        <w:rPr>
          <w:rFonts w:hint="eastAsia" w:ascii="宋体" w:hAnsi="宋体" w:eastAsia="宋体"/>
          <w:color w:val="auto"/>
          <w:u w:val="single"/>
        </w:rPr>
        <w:t>（招标人需要增加的、符合法律法规的其他要求）</w:t>
      </w:r>
      <w:r>
        <w:rPr>
          <w:rFonts w:hint="eastAsia" w:ascii="宋体" w:hAnsi="宋体" w:eastAsia="宋体"/>
          <w:color w:val="auto"/>
        </w:rPr>
        <w:t>。</w:t>
      </w:r>
    </w:p>
    <w:bookmarkEnd w:id="36"/>
    <w:p>
      <w:pPr>
        <w:spacing w:line="360" w:lineRule="auto"/>
        <w:rPr>
          <w:rFonts w:ascii="宋体" w:hAnsi="宋体" w:eastAsia="宋体"/>
          <w:b/>
          <w:color w:val="auto"/>
          <w:sz w:val="32"/>
          <w:szCs w:val="32"/>
        </w:rPr>
      </w:pPr>
      <w:bookmarkStart w:id="38" w:name="_Toc45697223"/>
      <w:bookmarkStart w:id="39" w:name="_Toc26001999"/>
      <w:bookmarkStart w:id="40" w:name="_Toc24050272"/>
      <w:bookmarkStart w:id="41" w:name="_Toc26002052"/>
      <w:bookmarkStart w:id="42" w:name="_Toc22827971"/>
      <w:bookmarkStart w:id="43" w:name="_Toc30484"/>
      <w:bookmarkStart w:id="44" w:name="_Toc22828054"/>
      <w:bookmarkStart w:id="45" w:name="_Hlk24015219"/>
      <w:r>
        <w:rPr>
          <w:rFonts w:ascii="宋体" w:hAnsi="宋体" w:eastAsia="宋体"/>
          <w:b/>
          <w:color w:val="auto"/>
          <w:sz w:val="32"/>
          <w:szCs w:val="32"/>
        </w:rPr>
        <w:t>4.招投标方式</w:t>
      </w:r>
      <w:bookmarkEnd w:id="38"/>
      <w:bookmarkEnd w:id="39"/>
      <w:bookmarkEnd w:id="40"/>
      <w:bookmarkEnd w:id="41"/>
    </w:p>
    <w:p>
      <w:pPr>
        <w:spacing w:line="360" w:lineRule="auto"/>
        <w:ind w:firstLine="480" w:firstLineChars="200"/>
        <w:rPr>
          <w:rFonts w:ascii="宋体" w:hAnsi="宋体" w:eastAsia="宋体"/>
          <w:color w:val="auto"/>
        </w:rPr>
      </w:pPr>
      <w:bookmarkStart w:id="46" w:name="_Toc26002000"/>
      <w:bookmarkStart w:id="47" w:name="_Toc26002053"/>
      <w:r>
        <w:rPr>
          <w:rFonts w:ascii="宋体" w:hAnsi="宋体" w:eastAsia="宋体"/>
          <w:color w:val="auto"/>
        </w:rPr>
        <w:t>4.1公开招标</w:t>
      </w:r>
      <w:bookmarkEnd w:id="42"/>
      <w:bookmarkEnd w:id="43"/>
      <w:bookmarkEnd w:id="44"/>
      <w:bookmarkEnd w:id="45"/>
      <w:bookmarkEnd w:id="46"/>
      <w:bookmarkEnd w:id="47"/>
      <w:bookmarkStart w:id="48" w:name="bookmark5"/>
      <w:bookmarkEnd w:id="48"/>
      <w:r>
        <w:rPr>
          <w:rFonts w:hint="eastAsia" w:ascii="宋体" w:hAnsi="宋体" w:eastAsia="宋体"/>
          <w:color w:val="auto"/>
        </w:rPr>
        <w:t>。</w:t>
      </w:r>
    </w:p>
    <w:p>
      <w:pPr>
        <w:spacing w:line="360" w:lineRule="auto"/>
        <w:rPr>
          <w:rFonts w:ascii="宋体" w:hAnsi="宋体" w:eastAsia="宋体"/>
          <w:b/>
          <w:color w:val="auto"/>
          <w:sz w:val="32"/>
          <w:szCs w:val="32"/>
        </w:rPr>
      </w:pPr>
      <w:bookmarkStart w:id="49" w:name="bookmark6"/>
      <w:bookmarkEnd w:id="49"/>
      <w:bookmarkStart w:id="50" w:name="_Toc26002001"/>
      <w:bookmarkStart w:id="51" w:name="_Toc24050273"/>
      <w:bookmarkStart w:id="52" w:name="_Toc22828055"/>
      <w:bookmarkStart w:id="53" w:name="_Toc12635"/>
      <w:bookmarkStart w:id="54" w:name="_Toc26002054"/>
      <w:bookmarkStart w:id="55" w:name="_Toc22827972"/>
      <w:bookmarkStart w:id="56" w:name="_Toc45697224"/>
      <w:r>
        <w:rPr>
          <w:rFonts w:ascii="宋体" w:hAnsi="宋体" w:eastAsia="宋体"/>
          <w:b/>
          <w:color w:val="auto"/>
          <w:sz w:val="32"/>
          <w:szCs w:val="32"/>
        </w:rPr>
        <w:t>5.招标文件的获取</w:t>
      </w:r>
      <w:bookmarkEnd w:id="50"/>
      <w:bookmarkEnd w:id="51"/>
      <w:bookmarkEnd w:id="52"/>
      <w:bookmarkEnd w:id="53"/>
      <w:bookmarkEnd w:id="54"/>
      <w:bookmarkEnd w:id="55"/>
      <w:bookmarkEnd w:id="56"/>
    </w:p>
    <w:p>
      <w:pPr>
        <w:snapToGrid w:val="0"/>
        <w:spacing w:line="360" w:lineRule="auto"/>
        <w:ind w:firstLine="480" w:firstLineChars="200"/>
        <w:rPr>
          <w:rFonts w:ascii="宋体" w:hAnsi="宋体" w:eastAsia="宋体"/>
          <w:color w:val="auto"/>
        </w:rPr>
      </w:pPr>
      <w:r>
        <w:rPr>
          <w:rFonts w:ascii="宋体" w:hAnsi="宋体" w:eastAsia="宋体"/>
          <w:color w:val="auto"/>
        </w:rPr>
        <w:t>5.1</w:t>
      </w:r>
      <w:r>
        <w:rPr>
          <w:rFonts w:hint="eastAsia" w:ascii="宋体" w:hAnsi="宋体" w:eastAsia="宋体"/>
          <w:color w:val="auto"/>
        </w:rPr>
        <w:t>本项目招标文件（含图纸）和补充（答疑、澄清）、修改文件以网上下载方式发放</w:t>
      </w:r>
      <w:r>
        <w:rPr>
          <w:rFonts w:ascii="宋体" w:hAnsi="宋体" w:eastAsia="宋体"/>
          <w:color w:val="auto"/>
          <w:u w:val="single"/>
        </w:rPr>
        <w:t xml:space="preserve">                            </w:t>
      </w:r>
      <w:r>
        <w:rPr>
          <w:rFonts w:hint="eastAsia" w:ascii="宋体" w:hAnsi="宋体" w:eastAsia="宋体"/>
          <w:color w:val="auto"/>
          <w:u w:val="single"/>
        </w:rPr>
        <w:t>（当地招投标交易平台）</w:t>
      </w:r>
      <w:r>
        <w:rPr>
          <w:rFonts w:hint="eastAsia" w:ascii="宋体" w:hAnsi="宋体" w:eastAsia="宋体"/>
          <w:color w:val="auto"/>
        </w:rPr>
        <w:t>。</w:t>
      </w:r>
    </w:p>
    <w:p>
      <w:pPr>
        <w:snapToGrid w:val="0"/>
        <w:spacing w:line="360" w:lineRule="auto"/>
        <w:ind w:firstLine="480" w:firstLineChars="200"/>
        <w:rPr>
          <w:rFonts w:ascii="宋体" w:hAnsi="宋体" w:eastAsia="宋体"/>
          <w:color w:val="auto"/>
        </w:rPr>
      </w:pPr>
      <w:r>
        <w:rPr>
          <w:rFonts w:ascii="宋体" w:hAnsi="宋体" w:eastAsia="宋体"/>
          <w:color w:val="auto"/>
        </w:rPr>
        <w:t>5.2</w:t>
      </w:r>
      <w:r>
        <w:rPr>
          <w:rFonts w:hint="eastAsia" w:ascii="宋体" w:hAnsi="宋体" w:eastAsia="宋体"/>
          <w:color w:val="auto"/>
        </w:rPr>
        <w:t>招标文件下载网址：</w:t>
      </w:r>
      <w:bookmarkStart w:id="57" w:name="_Hlk24015357"/>
      <w:r>
        <w:rPr>
          <w:rFonts w:hint="eastAsia" w:ascii="宋体" w:hAnsi="宋体" w:eastAsia="宋体"/>
          <w:color w:val="auto"/>
        </w:rPr>
        <w:t>潜在投标人登录</w:t>
      </w:r>
      <w:r>
        <w:rPr>
          <w:rFonts w:ascii="宋体" w:hAnsi="宋体" w:eastAsia="宋体"/>
          <w:color w:val="auto"/>
          <w:u w:val="single"/>
        </w:rPr>
        <w:t xml:space="preserve">                            </w:t>
      </w:r>
      <w:r>
        <w:rPr>
          <w:rFonts w:hint="eastAsia" w:ascii="宋体" w:hAnsi="宋体" w:eastAsia="宋体"/>
          <w:color w:val="auto"/>
          <w:u w:val="single"/>
        </w:rPr>
        <w:t>（当地招投标交易平台）</w:t>
      </w:r>
      <w:r>
        <w:rPr>
          <w:rFonts w:hint="eastAsia" w:ascii="宋体" w:hAnsi="宋体" w:eastAsia="宋体"/>
          <w:color w:val="auto"/>
        </w:rPr>
        <w:t>自行下载招标文件。</w:t>
      </w:r>
      <w:bookmarkEnd w:id="57"/>
    </w:p>
    <w:p>
      <w:pPr>
        <w:snapToGrid w:val="0"/>
        <w:spacing w:line="360" w:lineRule="auto"/>
        <w:ind w:firstLine="480" w:firstLineChars="200"/>
        <w:rPr>
          <w:rFonts w:ascii="宋体" w:hAnsi="宋体" w:eastAsia="宋体" w:cs="宋体"/>
          <w:color w:val="auto"/>
        </w:rPr>
      </w:pPr>
      <w:r>
        <w:rPr>
          <w:rFonts w:ascii="宋体" w:hAnsi="宋体" w:eastAsia="宋体"/>
          <w:color w:val="auto"/>
        </w:rPr>
        <w:t>5.3</w:t>
      </w:r>
      <w:r>
        <w:rPr>
          <w:rFonts w:hint="eastAsia" w:ascii="宋体" w:hAnsi="宋体" w:eastAsia="宋体"/>
          <w:color w:val="auto"/>
        </w:rPr>
        <w:t>招标文件网上下载时间：</w:t>
      </w:r>
      <w:bookmarkStart w:id="58" w:name="EB711a71a1d4074416afbde3071813b61c"/>
      <w:r>
        <w:rPr>
          <w:rFonts w:hint="eastAsia" w:ascii="宋体" w:hAnsi="宋体"/>
          <w:color w:val="auto"/>
          <w:u w:val="single"/>
          <w:lang w:val="en-US" w:eastAsia="zh-CN"/>
        </w:rPr>
        <w:t xml:space="preserve">                         </w:t>
      </w:r>
      <w:r>
        <w:rPr>
          <w:rFonts w:hint="eastAsia" w:ascii="宋体" w:hAnsi="宋体" w:eastAsia="宋体"/>
          <w:color w:val="auto"/>
        </w:rPr>
        <w:t>（</w:t>
      </w:r>
      <w:r>
        <w:rPr>
          <w:rFonts w:hint="eastAsia" w:ascii="宋体" w:hAnsi="宋体" w:eastAsia="宋体"/>
          <w:color w:val="auto"/>
          <w:u w:val="single"/>
        </w:rPr>
        <w:t>公告发布之日起至投标文件递交截止时间</w:t>
      </w:r>
      <w:bookmarkEnd w:id="58"/>
      <w:r>
        <w:rPr>
          <w:rFonts w:hint="eastAsia" w:ascii="宋体" w:hAnsi="宋体" w:eastAsia="宋体"/>
          <w:color w:val="auto"/>
        </w:rPr>
        <w:t>）。</w:t>
      </w:r>
    </w:p>
    <w:p>
      <w:pPr>
        <w:spacing w:line="360" w:lineRule="auto"/>
        <w:rPr>
          <w:rFonts w:ascii="宋体" w:hAnsi="宋体" w:eastAsia="宋体"/>
          <w:b/>
          <w:color w:val="auto"/>
          <w:sz w:val="32"/>
          <w:szCs w:val="32"/>
        </w:rPr>
      </w:pPr>
      <w:bookmarkStart w:id="59" w:name="_Toc26002055"/>
      <w:bookmarkStart w:id="60" w:name="_Toc22827973"/>
      <w:bookmarkStart w:id="61" w:name="_Toc22828056"/>
      <w:bookmarkStart w:id="62" w:name="_Toc24050274"/>
      <w:bookmarkStart w:id="63" w:name="_Toc5207"/>
      <w:bookmarkStart w:id="64" w:name="_Toc45697225"/>
      <w:bookmarkStart w:id="65" w:name="_Toc26002002"/>
      <w:r>
        <w:rPr>
          <w:rFonts w:ascii="宋体" w:hAnsi="宋体" w:eastAsia="宋体"/>
          <w:b/>
          <w:color w:val="auto"/>
          <w:sz w:val="32"/>
          <w:szCs w:val="32"/>
        </w:rPr>
        <w:t>6.投标文件的递交</w:t>
      </w:r>
      <w:bookmarkEnd w:id="59"/>
      <w:bookmarkEnd w:id="60"/>
      <w:bookmarkEnd w:id="61"/>
      <w:bookmarkEnd w:id="62"/>
      <w:bookmarkEnd w:id="63"/>
      <w:bookmarkEnd w:id="64"/>
      <w:bookmarkEnd w:id="65"/>
    </w:p>
    <w:p>
      <w:pPr>
        <w:pStyle w:val="18"/>
        <w:tabs>
          <w:tab w:val="left" w:pos="8381"/>
        </w:tabs>
        <w:kinsoku w:val="0"/>
        <w:snapToGrid w:val="0"/>
        <w:spacing w:before="126" w:line="360" w:lineRule="auto"/>
        <w:ind w:left="0" w:firstLine="480" w:firstLineChars="200"/>
        <w:rPr>
          <w:rFonts w:ascii="宋体" w:hAnsi="宋体"/>
          <w:color w:val="auto"/>
        </w:rPr>
      </w:pPr>
      <w:r>
        <w:rPr>
          <w:rFonts w:ascii="宋体" w:hAnsi="宋体"/>
          <w:color w:val="auto"/>
        </w:rPr>
        <w:t>6.1</w:t>
      </w:r>
      <w:r>
        <w:rPr>
          <w:rFonts w:hint="eastAsia" w:ascii="宋体" w:hAnsi="宋体"/>
          <w:color w:val="auto"/>
        </w:rPr>
        <w:t>投标文件递交的截止时间（投标截止时间，下同）为</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w:t>
      </w:r>
      <w:r>
        <w:rPr>
          <w:rFonts w:ascii="宋体" w:hAnsi="宋体"/>
          <w:color w:val="auto"/>
          <w:u w:val="single"/>
        </w:rPr>
        <w:t xml:space="preserve">   </w:t>
      </w:r>
      <w:r>
        <w:rPr>
          <w:rFonts w:hint="eastAsia" w:ascii="宋体" w:hAnsi="宋体"/>
          <w:color w:val="auto"/>
        </w:rPr>
        <w:t>时</w:t>
      </w:r>
      <w:r>
        <w:rPr>
          <w:rFonts w:ascii="宋体" w:hAnsi="宋体"/>
          <w:color w:val="auto"/>
          <w:u w:val="single"/>
        </w:rPr>
        <w:t xml:space="preserve">   </w:t>
      </w:r>
      <w:r>
        <w:rPr>
          <w:rFonts w:hint="eastAsia" w:ascii="宋体" w:hAnsi="宋体"/>
          <w:color w:val="auto"/>
        </w:rPr>
        <w:t>分</w:t>
      </w:r>
      <w:r>
        <w:rPr>
          <w:rFonts w:hint="eastAsia" w:ascii="宋体" w:hAnsi="宋体"/>
          <w:color w:val="auto"/>
          <w:spacing w:val="-1"/>
        </w:rPr>
        <w:t>，</w:t>
      </w:r>
      <w:r>
        <w:rPr>
          <w:rFonts w:hint="eastAsia" w:ascii="宋体" w:hAnsi="宋体"/>
          <w:color w:val="auto"/>
        </w:rPr>
        <w:t>电子招标投标交易平台</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rPr>
        <w:t>。</w:t>
      </w:r>
    </w:p>
    <w:p>
      <w:pPr>
        <w:spacing w:line="360" w:lineRule="auto"/>
        <w:rPr>
          <w:rFonts w:ascii="宋体" w:hAnsi="宋体" w:eastAsia="宋体"/>
          <w:b/>
          <w:color w:val="auto"/>
          <w:sz w:val="32"/>
          <w:szCs w:val="32"/>
        </w:rPr>
      </w:pPr>
      <w:bookmarkStart w:id="66" w:name="bookmark8"/>
      <w:bookmarkEnd w:id="66"/>
      <w:bookmarkStart w:id="67" w:name="_Toc27549"/>
      <w:bookmarkStart w:id="68" w:name="_Toc22828057"/>
      <w:bookmarkStart w:id="69" w:name="_Toc45697226"/>
      <w:bookmarkStart w:id="70" w:name="_Toc26002003"/>
      <w:bookmarkStart w:id="71" w:name="_Toc24050275"/>
      <w:bookmarkStart w:id="72" w:name="_Toc26002056"/>
      <w:bookmarkStart w:id="73" w:name="_Toc22827974"/>
      <w:r>
        <w:rPr>
          <w:rFonts w:ascii="宋体" w:hAnsi="宋体" w:eastAsia="宋体"/>
          <w:b/>
          <w:color w:val="auto"/>
          <w:sz w:val="32"/>
          <w:szCs w:val="32"/>
        </w:rPr>
        <w:t>7.联系方式</w:t>
      </w:r>
      <w:bookmarkEnd w:id="67"/>
      <w:bookmarkEnd w:id="68"/>
      <w:bookmarkEnd w:id="69"/>
      <w:bookmarkEnd w:id="70"/>
      <w:bookmarkEnd w:id="71"/>
      <w:bookmarkEnd w:id="72"/>
      <w:bookmarkEnd w:id="73"/>
    </w:p>
    <w:p>
      <w:pPr>
        <w:pStyle w:val="18"/>
        <w:tabs>
          <w:tab w:val="left" w:pos="4228"/>
          <w:tab w:val="left" w:pos="7975"/>
        </w:tabs>
        <w:kinsoku w:val="0"/>
        <w:spacing w:line="360" w:lineRule="auto"/>
        <w:ind w:left="0" w:firstLine="480" w:firstLineChars="200"/>
        <w:jc w:val="both"/>
        <w:rPr>
          <w:color w:val="auto"/>
        </w:rPr>
      </w:pPr>
      <w:bookmarkStart w:id="74" w:name="bookmark10"/>
      <w:bookmarkEnd w:id="74"/>
      <w:r>
        <w:rPr>
          <w:rFonts w:hint="eastAsia"/>
          <w:color w:val="auto"/>
        </w:rPr>
        <w:t>招</w:t>
      </w:r>
      <w:r>
        <w:rPr>
          <w:color w:val="auto"/>
        </w:rPr>
        <w:t xml:space="preserve"> </w:t>
      </w:r>
      <w:r>
        <w:rPr>
          <w:rFonts w:hint="eastAsia"/>
          <w:color w:val="auto"/>
        </w:rPr>
        <w:t>标</w:t>
      </w:r>
      <w:r>
        <w:rPr>
          <w:color w:val="auto"/>
          <w:spacing w:val="2"/>
        </w:rPr>
        <w:t xml:space="preserve"> </w:t>
      </w:r>
      <w:r>
        <w:rPr>
          <w:rFonts w:hint="eastAsia"/>
          <w:color w:val="auto"/>
        </w:rPr>
        <w:t>人：</w:t>
      </w:r>
      <w:r>
        <w:rPr>
          <w:color w:val="auto"/>
          <w:u w:val="single"/>
        </w:rPr>
        <w:tab/>
      </w:r>
      <w:r>
        <w:rPr>
          <w:rFonts w:hint="eastAsia"/>
          <w:color w:val="auto"/>
        </w:rPr>
        <w:t>招标代理机构：</w:t>
      </w:r>
      <w:r>
        <w:rPr>
          <w:color w:val="auto"/>
          <w:u w:val="single"/>
        </w:rPr>
        <w:tab/>
      </w:r>
    </w:p>
    <w:p>
      <w:pPr>
        <w:pStyle w:val="18"/>
        <w:tabs>
          <w:tab w:val="left" w:pos="4228"/>
          <w:tab w:val="left" w:pos="7975"/>
        </w:tabs>
        <w:kinsoku w:val="0"/>
        <w:spacing w:line="360" w:lineRule="auto"/>
        <w:ind w:left="0" w:firstLine="480" w:firstLineChars="200"/>
        <w:jc w:val="both"/>
        <w:rPr>
          <w:color w:val="auto"/>
          <w:w w:val="28"/>
          <w:u w:val="single"/>
        </w:rPr>
      </w:pPr>
      <w:r>
        <w:rPr>
          <w:rFonts w:hint="eastAsia"/>
          <w:color w:val="auto"/>
        </w:rPr>
        <w:t>地</w:t>
      </w:r>
      <w:r>
        <w:rPr>
          <w:color w:val="auto"/>
        </w:rPr>
        <w:t xml:space="preserve">     </w:t>
      </w:r>
      <w:r>
        <w:rPr>
          <w:color w:val="auto"/>
          <w:spacing w:val="3"/>
        </w:rPr>
        <w:t xml:space="preserve"> </w:t>
      </w:r>
      <w:r>
        <w:rPr>
          <w:rFonts w:hint="eastAsia"/>
          <w:color w:val="auto"/>
        </w:rPr>
        <w:t>址：</w:t>
      </w:r>
      <w:r>
        <w:rPr>
          <w:color w:val="auto"/>
          <w:u w:val="single"/>
        </w:rPr>
        <w:tab/>
      </w:r>
      <w:r>
        <w:rPr>
          <w:rFonts w:hint="eastAsia"/>
          <w:color w:val="auto"/>
        </w:rPr>
        <w:t>地</w:t>
      </w:r>
      <w:r>
        <w:rPr>
          <w:color w:val="auto"/>
        </w:rPr>
        <w:t xml:space="preserve">     </w:t>
      </w:r>
      <w:r>
        <w:rPr>
          <w:color w:val="auto"/>
          <w:spacing w:val="5"/>
        </w:rPr>
        <w:t xml:space="preserve"> </w:t>
      </w:r>
      <w:r>
        <w:rPr>
          <w:rFonts w:hint="eastAsia"/>
          <w:color w:val="auto"/>
        </w:rPr>
        <w:t>址：</w:t>
      </w:r>
      <w:r>
        <w:rPr>
          <w:color w:val="auto"/>
          <w:u w:val="single"/>
        </w:rPr>
        <w:t xml:space="preserve"> </w:t>
      </w:r>
      <w:r>
        <w:rPr>
          <w:color w:val="auto"/>
          <w:u w:val="single"/>
        </w:rPr>
        <w:tab/>
      </w:r>
      <w:r>
        <w:rPr>
          <w:color w:val="auto"/>
          <w:w w:val="28"/>
          <w:u w:val="single"/>
        </w:rPr>
        <w:t xml:space="preserve"> </w:t>
      </w:r>
    </w:p>
    <w:p>
      <w:pPr>
        <w:pStyle w:val="18"/>
        <w:tabs>
          <w:tab w:val="left" w:pos="4228"/>
          <w:tab w:val="left" w:pos="7975"/>
        </w:tabs>
        <w:kinsoku w:val="0"/>
        <w:spacing w:line="360" w:lineRule="auto"/>
        <w:ind w:left="0" w:firstLine="480" w:firstLineChars="200"/>
        <w:jc w:val="both"/>
        <w:rPr>
          <w:color w:val="auto"/>
          <w:w w:val="28"/>
          <w:u w:val="single"/>
        </w:rPr>
      </w:pPr>
      <w:r>
        <w:rPr>
          <w:rFonts w:hint="eastAsia"/>
          <w:color w:val="auto"/>
        </w:rPr>
        <w:t>联</w:t>
      </w:r>
      <w:r>
        <w:rPr>
          <w:color w:val="auto"/>
        </w:rPr>
        <w:t xml:space="preserve"> </w:t>
      </w:r>
      <w:r>
        <w:rPr>
          <w:rFonts w:hint="eastAsia"/>
          <w:color w:val="auto"/>
        </w:rPr>
        <w:t>系</w:t>
      </w:r>
      <w:r>
        <w:rPr>
          <w:color w:val="auto"/>
          <w:spacing w:val="2"/>
        </w:rPr>
        <w:t xml:space="preserve"> </w:t>
      </w:r>
      <w:r>
        <w:rPr>
          <w:rFonts w:hint="eastAsia"/>
          <w:color w:val="auto"/>
        </w:rPr>
        <w:t>人：</w:t>
      </w:r>
      <w:r>
        <w:rPr>
          <w:color w:val="auto"/>
          <w:u w:val="single"/>
        </w:rPr>
        <w:tab/>
      </w:r>
      <w:r>
        <w:rPr>
          <w:rFonts w:hint="eastAsia"/>
          <w:color w:val="auto"/>
        </w:rPr>
        <w:t>联</w:t>
      </w:r>
      <w:r>
        <w:rPr>
          <w:color w:val="auto"/>
        </w:rPr>
        <w:t xml:space="preserve"> </w:t>
      </w:r>
      <w:r>
        <w:rPr>
          <w:rFonts w:hint="eastAsia"/>
          <w:color w:val="auto"/>
        </w:rPr>
        <w:t>系</w:t>
      </w:r>
      <w:r>
        <w:rPr>
          <w:color w:val="auto"/>
          <w:spacing w:val="4"/>
        </w:rPr>
        <w:t xml:space="preserve"> </w:t>
      </w:r>
      <w:r>
        <w:rPr>
          <w:rFonts w:hint="eastAsia"/>
          <w:color w:val="auto"/>
        </w:rPr>
        <w:t>人：</w:t>
      </w:r>
      <w:r>
        <w:rPr>
          <w:color w:val="auto"/>
          <w:u w:val="single"/>
        </w:rPr>
        <w:t xml:space="preserve"> </w:t>
      </w:r>
      <w:r>
        <w:rPr>
          <w:color w:val="auto"/>
          <w:u w:val="single"/>
        </w:rPr>
        <w:tab/>
      </w:r>
    </w:p>
    <w:p>
      <w:pPr>
        <w:pStyle w:val="18"/>
        <w:tabs>
          <w:tab w:val="left" w:pos="4228"/>
          <w:tab w:val="left" w:pos="7975"/>
        </w:tabs>
        <w:kinsoku w:val="0"/>
        <w:spacing w:line="360" w:lineRule="auto"/>
        <w:ind w:left="0" w:firstLine="480" w:firstLineChars="200"/>
        <w:jc w:val="both"/>
        <w:rPr>
          <w:color w:val="auto"/>
          <w:w w:val="28"/>
          <w:u w:val="single"/>
        </w:rPr>
      </w:pPr>
      <w:r>
        <w:rPr>
          <w:rFonts w:hint="eastAsia"/>
          <w:color w:val="auto"/>
        </w:rPr>
        <w:t>电</w:t>
      </w:r>
      <w:r>
        <w:rPr>
          <w:color w:val="auto"/>
        </w:rPr>
        <w:t xml:space="preserve">     </w:t>
      </w:r>
      <w:r>
        <w:rPr>
          <w:color w:val="auto"/>
          <w:spacing w:val="3"/>
        </w:rPr>
        <w:t xml:space="preserve"> </w:t>
      </w:r>
      <w:r>
        <w:rPr>
          <w:rFonts w:hint="eastAsia"/>
          <w:color w:val="auto"/>
        </w:rPr>
        <w:t>话：</w:t>
      </w:r>
      <w:r>
        <w:rPr>
          <w:color w:val="auto"/>
          <w:u w:val="single"/>
        </w:rPr>
        <w:tab/>
      </w:r>
      <w:r>
        <w:rPr>
          <w:rFonts w:hint="eastAsia"/>
          <w:color w:val="auto"/>
        </w:rPr>
        <w:t>电</w:t>
      </w:r>
      <w:r>
        <w:rPr>
          <w:color w:val="auto"/>
        </w:rPr>
        <w:t xml:space="preserve">     </w:t>
      </w:r>
      <w:r>
        <w:rPr>
          <w:color w:val="auto"/>
          <w:spacing w:val="5"/>
        </w:rPr>
        <w:t xml:space="preserve"> </w:t>
      </w:r>
      <w:r>
        <w:rPr>
          <w:rFonts w:hint="eastAsia"/>
          <w:color w:val="auto"/>
        </w:rPr>
        <w:t>话：</w:t>
      </w:r>
      <w:r>
        <w:rPr>
          <w:color w:val="auto"/>
          <w:u w:val="single"/>
        </w:rPr>
        <w:t xml:space="preserve"> </w:t>
      </w:r>
      <w:r>
        <w:rPr>
          <w:color w:val="auto"/>
          <w:u w:val="single"/>
        </w:rPr>
        <w:tab/>
      </w:r>
    </w:p>
    <w:p>
      <w:pPr>
        <w:pStyle w:val="18"/>
        <w:tabs>
          <w:tab w:val="left" w:pos="4228"/>
          <w:tab w:val="left" w:pos="7975"/>
        </w:tabs>
        <w:kinsoku w:val="0"/>
        <w:spacing w:line="360" w:lineRule="auto"/>
        <w:ind w:left="0" w:firstLine="480" w:firstLineChars="200"/>
        <w:jc w:val="both"/>
        <w:rPr>
          <w:color w:val="auto"/>
        </w:rPr>
      </w:pPr>
      <w:r>
        <w:rPr>
          <w:rFonts w:hint="eastAsia"/>
          <w:color w:val="auto"/>
        </w:rPr>
        <w:t>邮</w:t>
      </w:r>
      <w:r>
        <w:rPr>
          <w:color w:val="auto"/>
        </w:rPr>
        <w:t xml:space="preserve">      </w:t>
      </w:r>
      <w:r>
        <w:rPr>
          <w:rFonts w:hint="eastAsia"/>
          <w:color w:val="auto"/>
        </w:rPr>
        <w:t>箱：</w:t>
      </w:r>
      <w:r>
        <w:rPr>
          <w:color w:val="auto"/>
          <w:u w:val="single"/>
        </w:rPr>
        <w:tab/>
      </w:r>
      <w:r>
        <w:rPr>
          <w:rFonts w:hint="eastAsia"/>
          <w:color w:val="auto"/>
        </w:rPr>
        <w:t>邮</w:t>
      </w:r>
      <w:r>
        <w:rPr>
          <w:color w:val="auto"/>
        </w:rPr>
        <w:t xml:space="preserve">      </w:t>
      </w:r>
      <w:r>
        <w:rPr>
          <w:rFonts w:hint="eastAsia"/>
          <w:color w:val="auto"/>
        </w:rPr>
        <w:t>箱：</w:t>
      </w:r>
      <w:r>
        <w:rPr>
          <w:color w:val="auto"/>
          <w:u w:val="single"/>
        </w:rPr>
        <w:t xml:space="preserve"> </w:t>
      </w:r>
      <w:r>
        <w:rPr>
          <w:color w:val="auto"/>
          <w:u w:val="single"/>
        </w:rPr>
        <w:tab/>
      </w:r>
    </w:p>
    <w:p>
      <w:pPr>
        <w:pStyle w:val="18"/>
        <w:tabs>
          <w:tab w:val="left" w:pos="4228"/>
          <w:tab w:val="left" w:pos="7975"/>
        </w:tabs>
        <w:kinsoku w:val="0"/>
        <w:spacing w:line="360" w:lineRule="auto"/>
        <w:ind w:left="0" w:right="905" w:firstLine="5520" w:firstLineChars="2300"/>
        <w:jc w:val="both"/>
        <w:rPr>
          <w:color w:val="auto"/>
        </w:rPr>
      </w:pPr>
      <w:r>
        <w:rPr>
          <w:rFonts w:hint="eastAsia"/>
          <w:color w:val="auto"/>
        </w:rPr>
        <w:t>年</w:t>
      </w:r>
      <w:r>
        <w:rPr>
          <w:color w:val="auto"/>
        </w:rPr>
        <w:t xml:space="preserve">     </w:t>
      </w:r>
      <w:r>
        <w:rPr>
          <w:rFonts w:hint="eastAsia"/>
          <w:color w:val="auto"/>
          <w:spacing w:val="-3"/>
        </w:rPr>
        <w:t>月</w:t>
      </w:r>
      <w:r>
        <w:rPr>
          <w:color w:val="auto"/>
          <w:spacing w:val="-3"/>
        </w:rPr>
        <w:t xml:space="preserve">     </w:t>
      </w:r>
      <w:r>
        <w:rPr>
          <w:rFonts w:hint="eastAsia"/>
          <w:color w:val="auto"/>
        </w:rPr>
        <w:t>日</w:t>
      </w:r>
      <w:r>
        <w:rPr>
          <w:color w:val="auto"/>
        </w:rPr>
        <w:t xml:space="preserve">  </w:t>
      </w:r>
    </w:p>
    <w:p>
      <w:pPr>
        <w:widowControl/>
        <w:autoSpaceDE/>
        <w:autoSpaceDN/>
        <w:adjustRightInd/>
        <w:rPr>
          <w:rFonts w:ascii="Times New Roman" w:hAnsi="Times New Roman" w:eastAsia="黑体"/>
          <w:bCs/>
          <w:color w:val="auto"/>
          <w:kern w:val="44"/>
          <w:sz w:val="44"/>
          <w:szCs w:val="44"/>
        </w:rPr>
      </w:pPr>
      <w:bookmarkStart w:id="75" w:name="_Toc45697228"/>
      <w:r>
        <w:rPr>
          <w:rFonts w:ascii="Times New Roman" w:hAnsi="Times New Roman" w:eastAsia="黑体"/>
          <w:bCs/>
          <w:color w:val="auto"/>
          <w:kern w:val="44"/>
          <w:sz w:val="44"/>
          <w:szCs w:val="44"/>
        </w:rPr>
        <w:br w:type="page"/>
      </w:r>
    </w:p>
    <w:p>
      <w:pPr>
        <w:widowControl/>
        <w:autoSpaceDE/>
        <w:autoSpaceDN/>
        <w:adjustRightInd/>
        <w:jc w:val="center"/>
        <w:rPr>
          <w:rFonts w:ascii="Times New Roman" w:hAnsi="Times New Roman" w:eastAsia="黑体"/>
          <w:bCs/>
          <w:color w:val="auto"/>
          <w:kern w:val="44"/>
          <w:sz w:val="44"/>
          <w:szCs w:val="44"/>
        </w:rPr>
      </w:pPr>
      <w:r>
        <w:rPr>
          <w:rFonts w:ascii="Times New Roman" w:hAnsi="Times New Roman" w:eastAsia="黑体"/>
          <w:bCs/>
          <w:color w:val="auto"/>
          <w:kern w:val="44"/>
          <w:sz w:val="44"/>
          <w:szCs w:val="44"/>
        </w:rPr>
        <w:sym w:font="Wingdings 2" w:char="00A3"/>
      </w:r>
      <w:r>
        <w:rPr>
          <w:rFonts w:hint="eastAsia" w:ascii="Times New Roman" w:hAnsi="Times New Roman" w:eastAsia="黑体"/>
          <w:bCs/>
          <w:color w:val="auto"/>
          <w:kern w:val="44"/>
          <w:sz w:val="44"/>
          <w:szCs w:val="44"/>
        </w:rPr>
        <w:t>第一章</w:t>
      </w:r>
      <w:r>
        <w:rPr>
          <w:rFonts w:ascii="Times New Roman" w:hAnsi="Times New Roman" w:eastAsia="黑体"/>
          <w:bCs/>
          <w:color w:val="auto"/>
          <w:kern w:val="44"/>
          <w:sz w:val="44"/>
          <w:szCs w:val="44"/>
        </w:rPr>
        <w:t xml:space="preserve"> </w:t>
      </w:r>
      <w:r>
        <w:rPr>
          <w:rFonts w:hint="eastAsia" w:ascii="Times New Roman" w:hAnsi="Times New Roman" w:eastAsia="黑体"/>
          <w:bCs/>
          <w:color w:val="auto"/>
          <w:kern w:val="44"/>
          <w:sz w:val="44"/>
          <w:szCs w:val="44"/>
        </w:rPr>
        <w:t>投标邀请书</w:t>
      </w:r>
      <w:bookmarkEnd w:id="75"/>
    </w:p>
    <w:p>
      <w:pPr>
        <w:pStyle w:val="18"/>
        <w:spacing w:line="288" w:lineRule="auto"/>
        <w:ind w:left="0" w:firstLine="480" w:firstLineChars="200"/>
        <w:jc w:val="center"/>
        <w:rPr>
          <w:color w:val="auto"/>
        </w:rPr>
      </w:pPr>
    </w:p>
    <w:p>
      <w:pPr>
        <w:pStyle w:val="18"/>
        <w:spacing w:line="288" w:lineRule="auto"/>
        <w:ind w:left="0" w:firstLine="640" w:firstLineChars="200"/>
        <w:jc w:val="center"/>
        <w:rPr>
          <w:color w:val="auto"/>
          <w:sz w:val="32"/>
        </w:rPr>
      </w:pPr>
      <w:r>
        <w:rPr>
          <w:rFonts w:hint="eastAsia"/>
          <w:color w:val="auto"/>
          <w:sz w:val="32"/>
          <w:u w:val="single"/>
        </w:rPr>
        <w:t>（工程名称）</w:t>
      </w:r>
      <w:r>
        <w:rPr>
          <w:color w:val="auto"/>
          <w:sz w:val="32"/>
          <w:u w:val="single"/>
        </w:rPr>
        <w:t xml:space="preserve"> </w:t>
      </w:r>
      <w:r>
        <w:rPr>
          <w:rFonts w:hint="eastAsia"/>
          <w:color w:val="auto"/>
          <w:sz w:val="32"/>
        </w:rPr>
        <w:t>邀请招标</w:t>
      </w:r>
    </w:p>
    <w:p>
      <w:pPr>
        <w:pStyle w:val="18"/>
        <w:spacing w:line="288" w:lineRule="auto"/>
        <w:ind w:left="0" w:firstLine="640" w:firstLineChars="200"/>
        <w:jc w:val="center"/>
        <w:rPr>
          <w:color w:val="auto"/>
          <w:sz w:val="32"/>
        </w:rPr>
      </w:pPr>
      <w:r>
        <w:rPr>
          <w:rFonts w:hint="eastAsia"/>
          <w:color w:val="auto"/>
          <w:sz w:val="32"/>
        </w:rPr>
        <w:t>投标邀请书</w:t>
      </w:r>
    </w:p>
    <w:p>
      <w:pPr>
        <w:pStyle w:val="18"/>
        <w:spacing w:line="360" w:lineRule="auto"/>
        <w:ind w:left="0"/>
        <w:rPr>
          <w:color w:val="auto"/>
        </w:rPr>
      </w:pPr>
      <w:r>
        <w:rPr>
          <w:color w:val="auto"/>
          <w:u w:val="single"/>
        </w:rPr>
        <w:t xml:space="preserve">  </w:t>
      </w:r>
      <w:r>
        <w:rPr>
          <w:rFonts w:hint="eastAsia"/>
          <w:color w:val="auto"/>
          <w:u w:val="single"/>
        </w:rPr>
        <w:t>（邀请单位名称）</w:t>
      </w:r>
      <w:r>
        <w:rPr>
          <w:color w:val="auto"/>
          <w:u w:val="single"/>
        </w:rPr>
        <w:t xml:space="preserve">   </w:t>
      </w:r>
      <w:r>
        <w:rPr>
          <w:rFonts w:hint="eastAsia"/>
          <w:color w:val="auto"/>
        </w:rPr>
        <w:t>：</w:t>
      </w:r>
    </w:p>
    <w:p>
      <w:pPr>
        <w:pStyle w:val="18"/>
        <w:numPr>
          <w:ilvl w:val="0"/>
          <w:numId w:val="0"/>
        </w:numPr>
        <w:spacing w:line="360" w:lineRule="auto"/>
        <w:ind w:firstLine="643" w:firstLineChars="200"/>
        <w:rPr>
          <w:b/>
          <w:bCs/>
          <w:color w:val="auto"/>
          <w:sz w:val="32"/>
          <w:szCs w:val="32"/>
        </w:rPr>
      </w:pPr>
      <w:r>
        <w:rPr>
          <w:rFonts w:hint="eastAsia"/>
          <w:b/>
          <w:bCs/>
          <w:color w:val="auto"/>
          <w:sz w:val="32"/>
          <w:szCs w:val="32"/>
        </w:rPr>
        <w:t>1.招标条件</w:t>
      </w:r>
    </w:p>
    <w:p>
      <w:pPr>
        <w:pStyle w:val="18"/>
        <w:tabs>
          <w:tab w:val="left" w:pos="1343"/>
          <w:tab w:val="left" w:pos="2697"/>
          <w:tab w:val="left" w:pos="3264"/>
          <w:tab w:val="left" w:pos="4896"/>
          <w:tab w:val="left" w:pos="6005"/>
          <w:tab w:val="left" w:pos="7319"/>
          <w:tab w:val="left" w:pos="7498"/>
        </w:tabs>
        <w:kinsoku w:val="0"/>
        <w:spacing w:line="360" w:lineRule="auto"/>
        <w:ind w:left="0" w:firstLine="476" w:firstLineChars="200"/>
        <w:jc w:val="both"/>
        <w:rPr>
          <w:color w:val="auto"/>
        </w:rPr>
      </w:pPr>
      <w:r>
        <w:rPr>
          <w:rFonts w:hint="eastAsia"/>
          <w:color w:val="auto"/>
          <w:spacing w:val="-1"/>
          <w:u w:val="single"/>
        </w:rPr>
        <w:t>（项目名称）</w:t>
      </w:r>
      <w:r>
        <w:rPr>
          <w:rFonts w:hint="eastAsia"/>
          <w:color w:val="auto"/>
          <w:spacing w:val="-1"/>
        </w:rPr>
        <w:t>已由</w:t>
      </w:r>
      <w:r>
        <w:rPr>
          <w:rFonts w:hint="eastAsia"/>
          <w:color w:val="auto"/>
          <w:spacing w:val="-1"/>
          <w:u w:val="single"/>
        </w:rPr>
        <w:t>（项目审批、核准或备案机关</w:t>
      </w:r>
      <w:r>
        <w:rPr>
          <w:rFonts w:hint="eastAsia"/>
          <w:color w:val="auto"/>
          <w:spacing w:val="-5"/>
          <w:u w:val="single"/>
        </w:rPr>
        <w:t>名称）</w:t>
      </w:r>
      <w:r>
        <w:rPr>
          <w:rFonts w:hint="eastAsia"/>
          <w:color w:val="auto"/>
          <w:spacing w:val="-5"/>
        </w:rPr>
        <w:t>以</w:t>
      </w:r>
      <w:r>
        <w:rPr>
          <w:rFonts w:hint="eastAsia"/>
          <w:color w:val="auto"/>
          <w:spacing w:val="-4"/>
          <w:u w:val="single"/>
        </w:rPr>
        <w:t>（批文名称及编号）</w:t>
      </w:r>
      <w:r>
        <w:rPr>
          <w:rFonts w:hint="eastAsia"/>
          <w:color w:val="auto"/>
          <w:spacing w:val="-4"/>
        </w:rPr>
        <w:t>批准建设，建设资金来</w:t>
      </w:r>
      <w:r>
        <w:rPr>
          <w:color w:val="auto"/>
          <w:spacing w:val="-97"/>
        </w:rPr>
        <w:t xml:space="preserve"> </w:t>
      </w:r>
      <w:r>
        <w:rPr>
          <w:rFonts w:hint="eastAsia"/>
          <w:color w:val="auto"/>
          <w:spacing w:val="-1"/>
        </w:rPr>
        <w:t>自</w:t>
      </w:r>
      <w:r>
        <w:rPr>
          <w:rFonts w:hint="eastAsia"/>
          <w:color w:val="auto"/>
          <w:spacing w:val="-12"/>
          <w:u w:val="single"/>
        </w:rPr>
        <w:t>（资金来源）</w:t>
      </w:r>
      <w:r>
        <w:rPr>
          <w:rFonts w:hint="eastAsia"/>
          <w:color w:val="auto"/>
          <w:spacing w:val="-12"/>
        </w:rPr>
        <w:t>，出资比例为</w:t>
      </w:r>
      <w:r>
        <w:rPr>
          <w:color w:val="auto"/>
          <w:spacing w:val="-12"/>
          <w:u w:val="single"/>
        </w:rPr>
        <w:tab/>
      </w:r>
      <w:r>
        <w:rPr>
          <w:color w:val="auto"/>
          <w:spacing w:val="-12"/>
          <w:u w:val="single"/>
        </w:rPr>
        <w:t xml:space="preserve">        </w:t>
      </w:r>
      <w:r>
        <w:rPr>
          <w:rFonts w:hint="eastAsia"/>
          <w:color w:val="auto"/>
          <w:spacing w:val="-6"/>
        </w:rPr>
        <w:t>，项目业主为</w:t>
      </w:r>
      <w:r>
        <w:rPr>
          <w:color w:val="auto"/>
          <w:spacing w:val="-6"/>
          <w:u w:val="single"/>
        </w:rPr>
        <w:t xml:space="preserve">                   </w:t>
      </w:r>
      <w:r>
        <w:rPr>
          <w:rFonts w:hint="eastAsia"/>
          <w:color w:val="auto"/>
          <w:spacing w:val="-6"/>
        </w:rPr>
        <w:t>，招标人为</w:t>
      </w:r>
      <w:r>
        <w:rPr>
          <w:color w:val="auto"/>
          <w:spacing w:val="-6"/>
          <w:u w:val="single"/>
        </w:rPr>
        <w:tab/>
      </w:r>
      <w:r>
        <w:rPr>
          <w:rFonts w:hint="eastAsia"/>
          <w:color w:val="auto"/>
          <w:spacing w:val="-6"/>
        </w:rPr>
        <w:t>，委托代理机构为</w:t>
      </w:r>
      <w:r>
        <w:rPr>
          <w:color w:val="auto"/>
          <w:spacing w:val="-6"/>
          <w:u w:val="single"/>
        </w:rPr>
        <w:t xml:space="preserve">               </w:t>
      </w:r>
      <w:r>
        <w:rPr>
          <w:rFonts w:hint="eastAsia"/>
          <w:color w:val="auto"/>
          <w:spacing w:val="-4"/>
        </w:rPr>
        <w:t>。项目已具备招标</w:t>
      </w:r>
      <w:r>
        <w:rPr>
          <w:color w:val="auto"/>
          <w:spacing w:val="-95"/>
        </w:rPr>
        <w:t xml:space="preserve"> </w:t>
      </w:r>
      <w:r>
        <w:rPr>
          <w:rFonts w:hint="eastAsia"/>
          <w:color w:val="auto"/>
        </w:rPr>
        <w:t>条件，现邀请你单位参加该项目的</w:t>
      </w:r>
      <w:r>
        <w:rPr>
          <w:color w:val="auto"/>
          <w:u w:val="single"/>
        </w:rPr>
        <w:t xml:space="preserve">  </w:t>
      </w:r>
      <w:r>
        <w:rPr>
          <w:rFonts w:hint="eastAsia"/>
          <w:color w:val="auto"/>
          <w:u w:val="single"/>
        </w:rPr>
        <w:t>（标段名称）</w:t>
      </w:r>
      <w:r>
        <w:rPr>
          <w:color w:val="auto"/>
          <w:u w:val="single"/>
        </w:rPr>
        <w:t xml:space="preserve"> </w:t>
      </w:r>
      <w:r>
        <w:rPr>
          <w:rFonts w:hint="eastAsia"/>
          <w:color w:val="auto"/>
        </w:rPr>
        <w:t>施工的投标。</w:t>
      </w:r>
    </w:p>
    <w:p>
      <w:pPr>
        <w:pStyle w:val="18"/>
        <w:numPr>
          <w:ilvl w:val="0"/>
          <w:numId w:val="0"/>
        </w:numPr>
        <w:spacing w:line="360" w:lineRule="auto"/>
        <w:ind w:firstLine="643" w:firstLineChars="200"/>
        <w:rPr>
          <w:b/>
          <w:bCs/>
          <w:color w:val="auto"/>
          <w:sz w:val="32"/>
          <w:szCs w:val="32"/>
        </w:rPr>
      </w:pPr>
      <w:bookmarkStart w:id="76" w:name="_Toc26002006"/>
      <w:bookmarkStart w:id="77" w:name="_Toc24050277"/>
      <w:bookmarkStart w:id="78" w:name="_Toc26002059"/>
      <w:r>
        <w:rPr>
          <w:rFonts w:hint="eastAsia"/>
          <w:b/>
          <w:bCs/>
          <w:color w:val="auto"/>
          <w:sz w:val="32"/>
          <w:szCs w:val="32"/>
        </w:rPr>
        <w:t>2.项目概况与招标范围</w:t>
      </w:r>
      <w:bookmarkEnd w:id="76"/>
      <w:bookmarkEnd w:id="77"/>
      <w:bookmarkEnd w:id="78"/>
    </w:p>
    <w:p>
      <w:pPr>
        <w:pStyle w:val="18"/>
        <w:tabs>
          <w:tab w:val="left" w:pos="1343"/>
          <w:tab w:val="left" w:pos="2697"/>
          <w:tab w:val="left" w:pos="3264"/>
          <w:tab w:val="left" w:pos="4896"/>
          <w:tab w:val="left" w:pos="6005"/>
          <w:tab w:val="left" w:pos="7085"/>
          <w:tab w:val="left" w:pos="7498"/>
        </w:tabs>
        <w:kinsoku w:val="0"/>
        <w:spacing w:line="360" w:lineRule="auto"/>
        <w:ind w:left="0" w:firstLine="480" w:firstLineChars="200"/>
        <w:jc w:val="both"/>
        <w:rPr>
          <w:color w:val="auto"/>
          <w:u w:val="single"/>
        </w:rPr>
      </w:pPr>
      <w:r>
        <w:rPr>
          <w:color w:val="auto"/>
        </w:rPr>
        <w:t>2.1</w:t>
      </w:r>
      <w:r>
        <w:rPr>
          <w:rFonts w:hint="eastAsia"/>
          <w:color w:val="auto"/>
        </w:rPr>
        <w:t>本项目投资估算</w:t>
      </w:r>
      <w:r>
        <w:rPr>
          <w:color w:val="auto"/>
          <w:u w:val="single"/>
        </w:rPr>
        <w:t xml:space="preserve">             </w:t>
      </w:r>
      <w:r>
        <w:rPr>
          <w:rFonts w:hint="eastAsia"/>
          <w:color w:val="auto"/>
        </w:rPr>
        <w:t>万元，工程概算</w:t>
      </w:r>
      <w:r>
        <w:rPr>
          <w:color w:val="auto"/>
          <w:u w:val="single"/>
        </w:rPr>
        <w:t xml:space="preserve">           </w:t>
      </w:r>
      <w:r>
        <w:rPr>
          <w:rFonts w:hint="eastAsia"/>
          <w:color w:val="auto"/>
        </w:rPr>
        <w:t>万元，其中建安工程造价</w:t>
      </w:r>
      <w:r>
        <w:rPr>
          <w:color w:val="auto"/>
          <w:u w:val="single"/>
        </w:rPr>
        <w:t xml:space="preserve">       </w:t>
      </w:r>
      <w:r>
        <w:rPr>
          <w:rFonts w:hint="eastAsia"/>
          <w:color w:val="auto"/>
        </w:rPr>
        <w:t>万元，建设规模：</w:t>
      </w:r>
      <w:r>
        <w:rPr>
          <w:color w:val="auto"/>
          <w:u w:val="single"/>
        </w:rPr>
        <w:t xml:space="preserve">                </w:t>
      </w:r>
      <w:r>
        <w:rPr>
          <w:rFonts w:hint="eastAsia"/>
          <w:color w:val="auto"/>
        </w:rPr>
        <w:t>。建设地点：</w:t>
      </w:r>
      <w:r>
        <w:rPr>
          <w:color w:val="auto"/>
          <w:u w:val="single"/>
        </w:rPr>
        <w:t xml:space="preserve">             </w:t>
      </w:r>
      <w:r>
        <w:rPr>
          <w:rFonts w:hint="eastAsia"/>
          <w:color w:val="auto"/>
        </w:rPr>
        <w:t>。</w:t>
      </w:r>
    </w:p>
    <w:p>
      <w:pPr>
        <w:pStyle w:val="18"/>
        <w:tabs>
          <w:tab w:val="left" w:pos="1343"/>
          <w:tab w:val="left" w:pos="2697"/>
          <w:tab w:val="left" w:pos="3264"/>
          <w:tab w:val="left" w:pos="4896"/>
          <w:tab w:val="left" w:pos="6005"/>
          <w:tab w:val="left" w:pos="7085"/>
          <w:tab w:val="left" w:pos="7498"/>
        </w:tabs>
        <w:kinsoku w:val="0"/>
        <w:spacing w:line="360" w:lineRule="auto"/>
        <w:ind w:left="0" w:firstLine="480" w:firstLineChars="200"/>
        <w:jc w:val="both"/>
        <w:rPr>
          <w:color w:val="auto"/>
        </w:rPr>
      </w:pPr>
      <w:r>
        <w:rPr>
          <w:color w:val="auto"/>
        </w:rPr>
        <w:t>2.2</w:t>
      </w:r>
      <w:r>
        <w:rPr>
          <w:rFonts w:hint="eastAsia"/>
          <w:color w:val="auto"/>
        </w:rPr>
        <w:t>招标范围：</w:t>
      </w:r>
      <w:r>
        <w:rPr>
          <w:color w:val="auto"/>
          <w:u w:val="single"/>
        </w:rPr>
        <w:t xml:space="preserve">                             </w:t>
      </w:r>
      <w:r>
        <w:rPr>
          <w:rFonts w:hint="eastAsia"/>
          <w:color w:val="auto"/>
        </w:rPr>
        <w:t>。</w:t>
      </w:r>
      <w:r>
        <w:rPr>
          <w:rFonts w:hint="eastAsia" w:ascii="宋体" w:hAnsi="宋体" w:eastAsia="宋体"/>
          <w:color w:val="auto"/>
        </w:rPr>
        <w:t>本次招标建安工程造价</w:t>
      </w:r>
      <w:r>
        <w:rPr>
          <w:rFonts w:ascii="宋体" w:hAnsi="宋体" w:eastAsia="宋体"/>
          <w:color w:val="auto"/>
          <w:u w:val="single"/>
        </w:rPr>
        <w:t xml:space="preserve">             </w:t>
      </w:r>
      <w:r>
        <w:rPr>
          <w:rFonts w:hint="eastAsia" w:ascii="宋体" w:hAnsi="宋体" w:eastAsia="宋体"/>
          <w:color w:val="auto"/>
        </w:rPr>
        <w:t>。</w:t>
      </w:r>
    </w:p>
    <w:p>
      <w:pPr>
        <w:pStyle w:val="18"/>
        <w:tabs>
          <w:tab w:val="left" w:pos="1343"/>
          <w:tab w:val="left" w:pos="2697"/>
          <w:tab w:val="left" w:pos="3264"/>
          <w:tab w:val="left" w:pos="4896"/>
          <w:tab w:val="left" w:pos="6005"/>
          <w:tab w:val="left" w:pos="7085"/>
          <w:tab w:val="left" w:pos="7498"/>
        </w:tabs>
        <w:kinsoku w:val="0"/>
        <w:spacing w:line="360" w:lineRule="auto"/>
        <w:ind w:left="0" w:firstLine="480" w:firstLineChars="200"/>
        <w:jc w:val="both"/>
        <w:rPr>
          <w:color w:val="auto"/>
        </w:rPr>
      </w:pPr>
      <w:r>
        <w:rPr>
          <w:color w:val="auto"/>
        </w:rPr>
        <w:t>2.3</w:t>
      </w:r>
      <w:r>
        <w:rPr>
          <w:rFonts w:hint="eastAsia"/>
          <w:color w:val="auto"/>
        </w:rPr>
        <w:t>施工总工期：</w:t>
      </w:r>
      <w:r>
        <w:rPr>
          <w:color w:val="auto"/>
          <w:u w:val="single"/>
        </w:rPr>
        <w:t xml:space="preserve">                         </w:t>
      </w:r>
      <w:r>
        <w:rPr>
          <w:color w:val="auto"/>
        </w:rPr>
        <w:t xml:space="preserve"> </w:t>
      </w:r>
      <w:r>
        <w:rPr>
          <w:rFonts w:hint="eastAsia"/>
          <w:color w:val="auto"/>
        </w:rPr>
        <w:t>。</w:t>
      </w:r>
    </w:p>
    <w:p>
      <w:pPr>
        <w:pStyle w:val="18"/>
        <w:numPr>
          <w:ilvl w:val="0"/>
          <w:numId w:val="0"/>
        </w:numPr>
        <w:spacing w:line="360" w:lineRule="auto"/>
        <w:ind w:firstLine="643" w:firstLineChars="200"/>
        <w:rPr>
          <w:b/>
          <w:bCs/>
          <w:color w:val="auto"/>
          <w:sz w:val="32"/>
          <w:szCs w:val="32"/>
        </w:rPr>
      </w:pPr>
      <w:bookmarkStart w:id="79" w:name="_Toc24050278"/>
      <w:bookmarkStart w:id="80" w:name="_Toc26002060"/>
      <w:bookmarkStart w:id="81" w:name="_Toc26002007"/>
      <w:r>
        <w:rPr>
          <w:rFonts w:hint="eastAsia"/>
          <w:b/>
          <w:bCs/>
          <w:color w:val="auto"/>
          <w:sz w:val="32"/>
          <w:szCs w:val="32"/>
        </w:rPr>
        <w:t>3.投标人资格要求</w:t>
      </w:r>
      <w:bookmarkEnd w:id="79"/>
      <w:bookmarkEnd w:id="80"/>
      <w:bookmarkEnd w:id="81"/>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rPr>
          <w:rFonts w:ascii="宋体" w:hAnsi="宋体" w:eastAsia="宋体"/>
          <w:color w:val="auto"/>
        </w:rPr>
      </w:pPr>
      <w:r>
        <w:rPr>
          <w:rFonts w:hint="eastAsia" w:ascii="宋体" w:hAnsi="宋体" w:eastAsia="宋体"/>
          <w:color w:val="auto"/>
          <w:shd w:val="clear" w:color="auto" w:fill="FFFFFF"/>
        </w:rPr>
        <w:t>（一）投标人</w:t>
      </w:r>
      <w:r>
        <w:rPr>
          <w:rFonts w:hint="eastAsia" w:ascii="宋体" w:hAnsi="宋体" w:eastAsia="宋体"/>
          <w:color w:val="auto"/>
        </w:rPr>
        <w:t>：</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3.1</w:t>
      </w:r>
      <w:r>
        <w:rPr>
          <w:rFonts w:hint="eastAsia" w:ascii="宋体" w:hAnsi="宋体" w:eastAsia="宋体"/>
          <w:color w:val="auto"/>
        </w:rPr>
        <w:t>具备</w:t>
      </w:r>
      <w:r>
        <w:rPr>
          <w:rFonts w:ascii="宋体" w:hAnsi="宋体" w:eastAsia="宋体"/>
          <w:color w:val="auto"/>
          <w:u w:val="single"/>
        </w:rPr>
        <w:tab/>
      </w:r>
      <w:r>
        <w:rPr>
          <w:rFonts w:hint="eastAsia" w:ascii="宋体" w:hAnsi="宋体" w:eastAsia="宋体"/>
          <w:color w:val="auto"/>
        </w:rPr>
        <w:t>资质；</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3.2</w:t>
      </w:r>
      <w:r>
        <w:rPr>
          <w:rFonts w:ascii="宋体" w:hAnsi="宋体" w:eastAsia="宋体"/>
          <w:color w:val="auto"/>
        </w:rPr>
        <w:sym w:font="Wingdings 2" w:char="00A3"/>
      </w:r>
      <w:r>
        <w:rPr>
          <w:rFonts w:hint="eastAsia" w:ascii="宋体" w:hAnsi="宋体" w:eastAsia="宋体"/>
          <w:color w:val="auto"/>
        </w:rPr>
        <w:t>具备有效的企业安全生产许可证，企业主要负责人（法定代表人、企业经理、企业分管安全生产的副经理、企业技术负责人）具有</w:t>
      </w:r>
      <w:r>
        <w:rPr>
          <w:rFonts w:hint="eastAsia" w:ascii="宋体" w:hAnsi="宋体" w:eastAsia="宋体"/>
          <w:bCs/>
          <w:color w:val="auto"/>
        </w:rPr>
        <w:t>专职</w:t>
      </w:r>
      <w:r>
        <w:rPr>
          <w:rFonts w:hint="eastAsia" w:ascii="宋体" w:hAnsi="宋体" w:eastAsia="宋体"/>
          <w:color w:val="auto"/>
        </w:rPr>
        <w:t>安全生产管理人员</w:t>
      </w:r>
      <w:r>
        <w:rPr>
          <w:rFonts w:ascii="宋体" w:hAnsi="宋体" w:eastAsia="宋体"/>
          <w:color w:val="auto"/>
        </w:rPr>
        <w:t>A类证书；</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3.3</w:t>
      </w:r>
      <w:r>
        <w:rPr>
          <w:rFonts w:ascii="宋体" w:hAnsi="宋体" w:eastAsia="宋体"/>
          <w:color w:val="auto"/>
        </w:rPr>
        <w:sym w:font="Wingdings 2" w:char="00A3"/>
      </w:r>
      <w:r>
        <w:rPr>
          <w:rFonts w:hint="eastAsia" w:ascii="宋体" w:hAnsi="宋体" w:eastAsia="宋体"/>
          <w:color w:val="auto"/>
        </w:rPr>
        <w:t>自</w:t>
      </w:r>
      <w:r>
        <w:rPr>
          <w:rFonts w:ascii="宋体" w:hAnsi="宋体" w:eastAsia="宋体"/>
          <w:color w:val="auto"/>
          <w:u w:val="single"/>
        </w:rPr>
        <w:t xml:space="preserve">   </w:t>
      </w:r>
      <w:r>
        <w:rPr>
          <w:rFonts w:hint="eastAsia" w:ascii="宋体" w:hAnsi="宋体" w:eastAsia="宋体"/>
          <w:color w:val="auto"/>
        </w:rPr>
        <w:t>年</w:t>
      </w:r>
      <w:r>
        <w:rPr>
          <w:rFonts w:ascii="宋体" w:hAnsi="宋体" w:eastAsia="宋体"/>
          <w:color w:val="auto"/>
          <w:u w:val="single"/>
        </w:rPr>
        <w:t xml:space="preserve">   </w:t>
      </w:r>
      <w:r>
        <w:rPr>
          <w:rFonts w:hint="eastAsia" w:ascii="宋体" w:hAnsi="宋体" w:eastAsia="宋体"/>
          <w:color w:val="auto"/>
        </w:rPr>
        <w:t>月</w:t>
      </w:r>
      <w:r>
        <w:rPr>
          <w:rFonts w:ascii="宋体" w:hAnsi="宋体" w:eastAsia="宋体"/>
          <w:color w:val="auto"/>
          <w:u w:val="single"/>
        </w:rPr>
        <w:t xml:space="preserve">   </w:t>
      </w:r>
      <w:r>
        <w:rPr>
          <w:rFonts w:hint="eastAsia" w:ascii="宋体" w:hAnsi="宋体" w:eastAsia="宋体"/>
          <w:color w:val="auto"/>
        </w:rPr>
        <w:t>日以来承接过</w:t>
      </w:r>
      <w:r>
        <w:rPr>
          <w:rFonts w:ascii="宋体" w:hAnsi="宋体" w:eastAsia="宋体"/>
          <w:color w:val="auto"/>
          <w:u w:val="single"/>
        </w:rPr>
        <w:tab/>
      </w:r>
      <w:r>
        <w:rPr>
          <w:rFonts w:ascii="宋体" w:hAnsi="宋体" w:eastAsia="宋体"/>
          <w:color w:val="auto"/>
          <w:u w:val="single"/>
        </w:rPr>
        <w:t xml:space="preserve">         </w:t>
      </w:r>
      <w:r>
        <w:rPr>
          <w:rFonts w:hint="eastAsia" w:ascii="宋体" w:hAnsi="宋体" w:eastAsia="宋体"/>
          <w:color w:val="auto"/>
        </w:rPr>
        <w:t>业绩；</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u w:val="single"/>
        </w:rPr>
      </w:pPr>
      <w:r>
        <w:rPr>
          <w:rFonts w:ascii="宋体" w:hAnsi="宋体" w:eastAsia="宋体"/>
          <w:color w:val="auto"/>
        </w:rPr>
        <w:t>3.4本次招标□接受/</w:t>
      </w:r>
      <w:r>
        <w:rPr>
          <w:rFonts w:hint="eastAsia" w:ascii="宋体" w:hAnsi="宋体" w:eastAsia="宋体"/>
          <w:color w:val="auto"/>
        </w:rPr>
        <w:t>□不接受联合体投标。联合体投标的应满足下列要求：</w:t>
      </w:r>
      <w:r>
        <w:rPr>
          <w:rFonts w:ascii="宋体" w:hAnsi="宋体" w:eastAsia="宋体"/>
          <w:color w:val="auto"/>
          <w:u w:val="single"/>
        </w:rPr>
        <w:t xml:space="preserve">   </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hint="eastAsia" w:ascii="宋体" w:hAnsi="宋体"/>
          <w:color w:val="auto"/>
          <w:u w:val="single"/>
          <w:lang w:val="en-US" w:eastAsia="zh-CN"/>
        </w:rPr>
        <w:t xml:space="preserve">                             </w:t>
      </w:r>
      <w:r>
        <w:rPr>
          <w:rFonts w:ascii="宋体" w:hAnsi="宋体" w:eastAsia="宋体"/>
          <w:color w:val="auto"/>
          <w:u w:val="single"/>
        </w:rPr>
        <w:t xml:space="preserve">  </w:t>
      </w:r>
      <w:r>
        <w:rPr>
          <w:rFonts w:hint="eastAsia" w:ascii="宋体" w:hAnsi="宋体"/>
          <w:color w:val="auto"/>
          <w:u w:val="single"/>
          <w:lang w:eastAsia="zh-CN"/>
        </w:rPr>
        <w:t>（</w:t>
      </w:r>
      <w:r>
        <w:rPr>
          <w:rFonts w:hint="eastAsia" w:ascii="宋体" w:hAnsi="宋体"/>
          <w:color w:val="auto"/>
          <w:u w:val="single"/>
          <w:lang w:val="en-US" w:eastAsia="zh-CN"/>
        </w:rPr>
        <w:t>应同时载明3.1、3.2、3.3等内容</w:t>
      </w:r>
      <w:r>
        <w:rPr>
          <w:rFonts w:hint="eastAsia" w:ascii="宋体" w:hAnsi="宋体"/>
          <w:color w:val="auto"/>
          <w:u w:val="single"/>
          <w:lang w:eastAsia="zh-CN"/>
        </w:rPr>
        <w:t>）</w:t>
      </w:r>
      <w:r>
        <w:rPr>
          <w:rFonts w:hint="eastAsia" w:ascii="宋体" w:hAnsi="宋体"/>
          <w:color w:val="auto"/>
          <w:u w:val="single"/>
          <w:lang w:val="en-US" w:eastAsia="zh-CN"/>
        </w:rPr>
        <w:t xml:space="preserve">                                     </w:t>
      </w:r>
      <w:r>
        <w:rPr>
          <w:rFonts w:ascii="宋体" w:hAnsi="宋体" w:eastAsia="宋体"/>
          <w:color w:val="auto"/>
          <w:u w:val="single"/>
        </w:rPr>
        <w:t xml:space="preserve">      </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w:t>
      </w:r>
      <w:r>
        <w:rPr>
          <w:rFonts w:hint="eastAsia" w:ascii="宋体" w:hAnsi="宋体" w:eastAsia="宋体"/>
          <w:color w:val="auto"/>
        </w:rPr>
        <w:t>5□</w:t>
      </w:r>
      <w:r>
        <w:rPr>
          <w:rFonts w:ascii="宋体" w:hAnsi="宋体" w:eastAsia="宋体"/>
          <w:color w:val="auto"/>
          <w:u w:val="single"/>
        </w:rPr>
        <w:t xml:space="preserve">           </w:t>
      </w:r>
      <w:r>
        <w:rPr>
          <w:rFonts w:hint="eastAsia" w:ascii="宋体" w:hAnsi="宋体" w:eastAsia="宋体"/>
          <w:color w:val="auto"/>
          <w:u w:val="single"/>
        </w:rPr>
        <w:t>（招标人需要增加的，符合法律法规的其他要求）</w:t>
      </w:r>
      <w:r>
        <w:rPr>
          <w:rFonts w:hint="eastAsia" w:ascii="宋体" w:hAnsi="宋体" w:eastAsia="宋体"/>
          <w:color w:val="auto"/>
        </w:rPr>
        <w:t>。</w:t>
      </w:r>
    </w:p>
    <w:p>
      <w:pPr>
        <w:pStyle w:val="156"/>
        <w:adjustRightInd w:val="0"/>
        <w:snapToGrid w:val="0"/>
        <w:spacing w:line="360" w:lineRule="auto"/>
        <w:ind w:firstLine="410" w:firstLineChars="171"/>
        <w:rPr>
          <w:rFonts w:ascii="宋体" w:hAnsi="宋体" w:eastAsia="宋体"/>
          <w:color w:val="auto"/>
          <w:sz w:val="24"/>
          <w:szCs w:val="24"/>
        </w:rPr>
      </w:pPr>
      <w:r>
        <w:rPr>
          <w:rFonts w:hint="eastAsia" w:ascii="宋体" w:hAnsi="宋体" w:eastAsia="宋体"/>
          <w:color w:val="auto"/>
          <w:sz w:val="24"/>
          <w:szCs w:val="24"/>
        </w:rPr>
        <w:t>（二）拟派项目负责人：</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w:t>
      </w:r>
      <w:r>
        <w:rPr>
          <w:rFonts w:hint="eastAsia" w:ascii="宋体" w:hAnsi="宋体" w:eastAsia="宋体"/>
          <w:color w:val="auto"/>
        </w:rPr>
        <w:t>6拟派</w:t>
      </w:r>
      <w:r>
        <w:rPr>
          <w:rFonts w:hint="eastAsia" w:ascii="宋体" w:hAnsi="宋体"/>
          <w:color w:val="auto"/>
        </w:rPr>
        <w:t>项目负责人</w:t>
      </w:r>
      <w:r>
        <w:rPr>
          <w:rFonts w:hint="eastAsia" w:ascii="宋体" w:hAnsi="宋体" w:eastAsia="宋体"/>
          <w:color w:val="auto"/>
        </w:rPr>
        <w:t>具有注册在投标人单位的</w:t>
      </w:r>
      <w:r>
        <w:rPr>
          <w:rFonts w:ascii="宋体" w:hAnsi="宋体" w:eastAsia="宋体"/>
          <w:color w:val="auto"/>
          <w:u w:val="single"/>
        </w:rPr>
        <w:tab/>
      </w:r>
      <w:r>
        <w:rPr>
          <w:rFonts w:hint="eastAsia" w:ascii="宋体" w:hAnsi="宋体" w:eastAsia="宋体"/>
          <w:color w:val="auto"/>
          <w:u w:val="single"/>
        </w:rPr>
        <w:t>（工程专业）</w:t>
      </w:r>
      <w:r>
        <w:rPr>
          <w:rFonts w:ascii="宋体" w:hAnsi="宋体" w:eastAsia="宋体"/>
          <w:color w:val="auto"/>
          <w:u w:val="single"/>
        </w:rPr>
        <w:tab/>
      </w:r>
      <w:r>
        <w:rPr>
          <w:rFonts w:ascii="宋体" w:hAnsi="宋体" w:eastAsia="宋体"/>
          <w:color w:val="auto"/>
          <w:u w:val="single"/>
        </w:rPr>
        <w:t xml:space="preserve">  级</w:t>
      </w:r>
      <w:r>
        <w:rPr>
          <w:rFonts w:hint="eastAsia" w:ascii="宋体" w:hAnsi="宋体" w:eastAsia="宋体"/>
          <w:color w:val="auto"/>
        </w:rPr>
        <w:t>建造师执业资格，同时具有有效的</w:t>
      </w:r>
      <w:r>
        <w:rPr>
          <w:rFonts w:hint="eastAsia" w:ascii="宋体" w:hAnsi="宋体" w:eastAsia="宋体"/>
          <w:bCs/>
          <w:color w:val="auto"/>
        </w:rPr>
        <w:t>专职</w:t>
      </w:r>
      <w:r>
        <w:rPr>
          <w:rFonts w:hint="eastAsia" w:ascii="宋体" w:hAnsi="宋体" w:eastAsia="宋体"/>
          <w:color w:val="auto"/>
        </w:rPr>
        <w:t>安全生产管理人员</w:t>
      </w:r>
      <w:r>
        <w:rPr>
          <w:rFonts w:ascii="宋体" w:hAnsi="宋体" w:eastAsia="宋体"/>
          <w:color w:val="auto"/>
        </w:rPr>
        <w:t>B</w:t>
      </w:r>
      <w:r>
        <w:rPr>
          <w:rFonts w:hint="eastAsia" w:ascii="宋体" w:hAnsi="宋体" w:eastAsia="宋体"/>
          <w:color w:val="auto"/>
        </w:rPr>
        <w:t>类证书。如在投标截止日存在在其他任何在建合同工程（在建合同工程的开始时间为合同工程中标通知书发出日期，或者不通过招标方式的则以合同签订日期为开始时间，结束时间为该合同工程验收合格或合同解除日期）担任项目负责人（包括工程总承包项目中的施工负责人）的，不得以拟派项目负责人的身份参加本次投标。</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w:t>
      </w:r>
      <w:r>
        <w:rPr>
          <w:rFonts w:hint="eastAsia" w:ascii="宋体" w:hAnsi="宋体" w:eastAsia="宋体"/>
          <w:color w:val="auto"/>
        </w:rPr>
        <w:t>7</w:t>
      </w:r>
      <w:r>
        <w:rPr>
          <w:rFonts w:ascii="宋体" w:hAnsi="宋体" w:eastAsia="宋体"/>
          <w:color w:val="auto"/>
        </w:rPr>
        <w:sym w:font="Wingdings 2" w:char="00A3"/>
      </w:r>
      <w:r>
        <w:rPr>
          <w:rFonts w:ascii="宋体" w:hAnsi="宋体" w:eastAsia="宋体"/>
          <w:color w:val="auto"/>
          <w:u w:val="single"/>
        </w:rPr>
        <w:t xml:space="preserve">            </w:t>
      </w:r>
      <w:r>
        <w:rPr>
          <w:rFonts w:hint="eastAsia" w:ascii="宋体" w:hAnsi="宋体" w:eastAsia="宋体"/>
          <w:color w:val="auto"/>
          <w:u w:val="single"/>
        </w:rPr>
        <w:t>（招标人认为需要增加的，符法律法规的其他要求）</w:t>
      </w:r>
      <w:r>
        <w:rPr>
          <w:rFonts w:hint="eastAsia" w:ascii="宋体" w:hAnsi="宋体" w:eastAsia="宋体"/>
          <w:color w:val="auto"/>
        </w:rPr>
        <w:t>。</w:t>
      </w:r>
    </w:p>
    <w:p>
      <w:pPr>
        <w:pStyle w:val="156"/>
        <w:adjustRightInd w:val="0"/>
        <w:snapToGrid w:val="0"/>
        <w:spacing w:line="360" w:lineRule="auto"/>
        <w:ind w:firstLine="560" w:firstLineChars="0"/>
        <w:rPr>
          <w:rFonts w:ascii="宋体" w:hAnsi="宋体" w:eastAsia="宋体"/>
          <w:color w:val="auto"/>
          <w:sz w:val="24"/>
          <w:szCs w:val="24"/>
        </w:rPr>
      </w:pPr>
      <w:r>
        <w:rPr>
          <w:rFonts w:ascii="宋体" w:hAnsi="宋体" w:eastAsia="宋体"/>
          <w:color w:val="auto"/>
          <w:sz w:val="24"/>
          <w:szCs w:val="24"/>
        </w:rPr>
        <w:t>（</w:t>
      </w:r>
      <w:r>
        <w:rPr>
          <w:rFonts w:hint="eastAsia" w:ascii="宋体" w:hAnsi="宋体" w:eastAsia="宋体"/>
          <w:color w:val="auto"/>
          <w:sz w:val="24"/>
          <w:szCs w:val="24"/>
        </w:rPr>
        <w:t>三</w:t>
      </w:r>
      <w:r>
        <w:rPr>
          <w:rFonts w:ascii="宋体" w:hAnsi="宋体" w:eastAsia="宋体"/>
          <w:color w:val="auto"/>
          <w:sz w:val="24"/>
          <w:szCs w:val="24"/>
        </w:rPr>
        <w:t>）其他：</w:t>
      </w:r>
    </w:p>
    <w:p>
      <w:pPr>
        <w:pStyle w:val="156"/>
        <w:adjustRightInd w:val="0"/>
        <w:snapToGrid w:val="0"/>
        <w:spacing w:line="360" w:lineRule="auto"/>
        <w:ind w:firstLine="480"/>
        <w:rPr>
          <w:rFonts w:hAnsi="宋体"/>
          <w:color w:val="auto"/>
          <w:sz w:val="24"/>
          <w:szCs w:val="24"/>
        </w:rPr>
      </w:pPr>
      <w:r>
        <w:rPr>
          <w:rFonts w:ascii="宋体" w:hAnsi="宋体" w:eastAsia="宋体"/>
          <w:color w:val="auto"/>
          <w:sz w:val="24"/>
          <w:szCs w:val="24"/>
        </w:rPr>
        <w:t>3.</w:t>
      </w:r>
      <w:r>
        <w:rPr>
          <w:rFonts w:hint="eastAsia" w:ascii="宋体" w:hAnsi="宋体" w:eastAsia="宋体"/>
          <w:color w:val="auto"/>
          <w:sz w:val="24"/>
          <w:szCs w:val="24"/>
        </w:rPr>
        <w:t>8□</w:t>
      </w:r>
      <w:r>
        <w:rPr>
          <w:rFonts w:ascii="宋体" w:hAnsi="宋体" w:eastAsia="宋体"/>
          <w:color w:val="auto"/>
          <w:sz w:val="24"/>
          <w:szCs w:val="24"/>
        </w:rPr>
        <w:t>拟派施工现场专职安全生产管理人员</w:t>
      </w:r>
      <w:r>
        <w:rPr>
          <w:rFonts w:hint="eastAsia" w:ascii="宋体" w:hAnsi="宋体" w:eastAsia="宋体"/>
          <w:color w:val="auto"/>
          <w:sz w:val="24"/>
          <w:szCs w:val="24"/>
        </w:rPr>
        <w:t>，</w:t>
      </w:r>
      <w:r>
        <w:rPr>
          <w:rFonts w:ascii="宋体" w:hAnsi="宋体" w:eastAsia="宋体"/>
          <w:color w:val="auto"/>
          <w:sz w:val="24"/>
          <w:szCs w:val="24"/>
        </w:rPr>
        <w:t>具有专职安全生产管理人员C类证书,人数符合住房和城乡建设部《建筑施工企业安全生产管理机构设置及专职安全生产管理人员配备办法》</w:t>
      </w:r>
      <w:r>
        <w:rPr>
          <w:rFonts w:hint="eastAsia" w:ascii="宋体" w:hAnsi="宋体" w:eastAsia="宋体"/>
          <w:color w:val="auto"/>
          <w:sz w:val="24"/>
          <w:szCs w:val="24"/>
        </w:rPr>
        <w:t>（</w:t>
      </w:r>
      <w:r>
        <w:rPr>
          <w:rFonts w:ascii="宋体" w:hAnsi="宋体" w:eastAsia="宋体"/>
          <w:color w:val="auto"/>
          <w:sz w:val="24"/>
          <w:szCs w:val="24"/>
        </w:rPr>
        <w:t>建质</w:t>
      </w:r>
      <w:r>
        <w:rPr>
          <w:rFonts w:hint="eastAsia" w:ascii="宋体" w:hAnsi="宋体" w:eastAsia="宋体"/>
          <w:color w:val="auto"/>
          <w:sz w:val="24"/>
          <w:szCs w:val="24"/>
        </w:rPr>
        <w:t>﹝</w:t>
      </w:r>
      <w:r>
        <w:rPr>
          <w:rFonts w:ascii="宋体" w:hAnsi="宋体" w:eastAsia="宋体"/>
          <w:color w:val="auto"/>
          <w:sz w:val="24"/>
          <w:szCs w:val="24"/>
        </w:rPr>
        <w:t>2008</w:t>
      </w:r>
      <w:r>
        <w:rPr>
          <w:rFonts w:hint="eastAsia" w:ascii="宋体" w:hAnsi="宋体" w:eastAsia="宋体"/>
          <w:color w:val="auto"/>
          <w:sz w:val="24"/>
          <w:szCs w:val="24"/>
        </w:rPr>
        <w:t>﹞</w:t>
      </w:r>
      <w:r>
        <w:rPr>
          <w:rFonts w:ascii="宋体" w:hAnsi="宋体" w:eastAsia="宋体"/>
          <w:color w:val="auto"/>
          <w:sz w:val="24"/>
          <w:szCs w:val="24"/>
        </w:rPr>
        <w:t>91号</w:t>
      </w:r>
      <w:r>
        <w:rPr>
          <w:rFonts w:hint="eastAsia" w:ascii="宋体" w:hAnsi="宋体" w:eastAsia="宋体"/>
          <w:color w:val="auto"/>
          <w:sz w:val="24"/>
          <w:szCs w:val="24"/>
        </w:rPr>
        <w:t>）</w:t>
      </w:r>
      <w:r>
        <w:rPr>
          <w:rFonts w:ascii="宋体" w:hAnsi="宋体" w:eastAsia="宋体"/>
          <w:color w:val="auto"/>
          <w:sz w:val="24"/>
          <w:szCs w:val="24"/>
        </w:rPr>
        <w:t>的规定；</w:t>
      </w:r>
    </w:p>
    <w:p>
      <w:pPr>
        <w:pStyle w:val="156"/>
        <w:adjustRightInd w:val="0"/>
        <w:snapToGrid w:val="0"/>
        <w:spacing w:line="360" w:lineRule="auto"/>
        <w:ind w:firstLine="480"/>
        <w:rPr>
          <w:rFonts w:ascii="宋体" w:hAnsi="宋体" w:eastAsia="宋体"/>
          <w:color w:val="auto"/>
          <w:sz w:val="24"/>
        </w:rPr>
      </w:pPr>
      <w:r>
        <w:rPr>
          <w:rFonts w:ascii="宋体" w:hAnsi="宋体" w:eastAsia="宋体"/>
          <w:color w:val="auto"/>
          <w:sz w:val="24"/>
        </w:rPr>
        <w:t>3.</w:t>
      </w:r>
      <w:r>
        <w:rPr>
          <w:rFonts w:hint="eastAsia" w:ascii="宋体" w:hAnsi="宋体" w:eastAsia="宋体"/>
          <w:color w:val="auto"/>
          <w:sz w:val="24"/>
        </w:rPr>
        <w:t>9投标人及其拟派项目负责人未被列入建筑市场严重失信名单（以全国和浙江省建筑市场监管与诚信信息发布平台为准），</w:t>
      </w:r>
    </w:p>
    <w:p>
      <w:pPr>
        <w:pStyle w:val="156"/>
        <w:adjustRightInd w:val="0"/>
        <w:snapToGrid w:val="0"/>
        <w:spacing w:line="360" w:lineRule="auto"/>
        <w:ind w:firstLine="480"/>
        <w:rPr>
          <w:rFonts w:ascii="宋体" w:hAnsi="宋体" w:eastAsia="宋体"/>
          <w:color w:val="auto"/>
          <w:sz w:val="24"/>
        </w:rPr>
      </w:pPr>
      <w:r>
        <w:rPr>
          <w:rFonts w:ascii="宋体" w:hAnsi="宋体" w:eastAsia="宋体"/>
          <w:color w:val="auto"/>
          <w:sz w:val="24"/>
        </w:rPr>
        <w:t>3.1</w:t>
      </w:r>
      <w:r>
        <w:rPr>
          <w:rFonts w:hint="eastAsia" w:ascii="宋体" w:hAnsi="宋体" w:eastAsia="宋体"/>
          <w:color w:val="auto"/>
          <w:sz w:val="24"/>
        </w:rPr>
        <w:t>0</w:t>
      </w:r>
      <w:r>
        <w:rPr>
          <w:rFonts w:hint="eastAsia" w:ascii="宋体" w:hAnsi="宋体" w:eastAsia="宋体"/>
          <w:color w:val="auto"/>
          <w:sz w:val="24"/>
          <w:szCs w:val="24"/>
        </w:rPr>
        <w:t>□</w:t>
      </w:r>
      <w:r>
        <w:rPr>
          <w:rFonts w:hint="eastAsia" w:ascii="宋体" w:hAnsi="宋体" w:eastAsia="宋体"/>
          <w:color w:val="auto"/>
          <w:sz w:val="24"/>
        </w:rPr>
        <w:t>投标人及其拟派项目负责人未被列入招标投标失信黑名单（以浙江省发展和改革委员会公布的披露期内的失信黑名单为准）；</w:t>
      </w:r>
    </w:p>
    <w:p>
      <w:pPr>
        <w:pStyle w:val="156"/>
        <w:adjustRightInd w:val="0"/>
        <w:snapToGrid w:val="0"/>
        <w:spacing w:line="360" w:lineRule="auto"/>
        <w:ind w:firstLine="480"/>
        <w:rPr>
          <w:rFonts w:ascii="宋体" w:hAnsi="宋体" w:eastAsia="宋体"/>
          <w:color w:val="auto"/>
          <w:sz w:val="24"/>
        </w:rPr>
      </w:pPr>
      <w:r>
        <w:rPr>
          <w:rFonts w:ascii="宋体" w:hAnsi="宋体" w:eastAsia="宋体"/>
          <w:color w:val="auto"/>
          <w:sz w:val="24"/>
        </w:rPr>
        <w:t>3.1</w:t>
      </w:r>
      <w:r>
        <w:rPr>
          <w:rFonts w:hint="eastAsia" w:ascii="宋体" w:hAnsi="宋体" w:eastAsia="宋体"/>
          <w:color w:val="auto"/>
          <w:sz w:val="24"/>
        </w:rPr>
        <w:t>1投标人及其拟派项目负责人自</w:t>
      </w:r>
      <w:r>
        <w:rPr>
          <w:rFonts w:ascii="宋体" w:hAnsi="宋体" w:eastAsia="宋体"/>
          <w:color w:val="auto"/>
          <w:sz w:val="24"/>
          <w:u w:val="single"/>
        </w:rPr>
        <w:t xml:space="preserve">   </w:t>
      </w:r>
      <w:r>
        <w:rPr>
          <w:rFonts w:hint="eastAsia" w:ascii="宋体" w:hAnsi="宋体" w:eastAsia="宋体"/>
          <w:color w:val="auto"/>
          <w:sz w:val="24"/>
        </w:rPr>
        <w:t>年</w:t>
      </w:r>
      <w:r>
        <w:rPr>
          <w:rFonts w:ascii="宋体" w:hAnsi="宋体" w:eastAsia="宋体"/>
          <w:color w:val="auto"/>
          <w:sz w:val="24"/>
          <w:u w:val="single"/>
        </w:rPr>
        <w:t xml:space="preserve">   </w:t>
      </w:r>
      <w:r>
        <w:rPr>
          <w:rFonts w:hint="eastAsia" w:ascii="宋体" w:hAnsi="宋体" w:eastAsia="宋体"/>
          <w:color w:val="auto"/>
          <w:sz w:val="24"/>
        </w:rPr>
        <w:t>月</w:t>
      </w:r>
      <w:r>
        <w:rPr>
          <w:rFonts w:ascii="宋体" w:hAnsi="宋体" w:eastAsia="宋体"/>
          <w:color w:val="auto"/>
          <w:sz w:val="24"/>
          <w:u w:val="single"/>
        </w:rPr>
        <w:t xml:space="preserve">   </w:t>
      </w:r>
      <w:r>
        <w:rPr>
          <w:rFonts w:hint="eastAsia" w:ascii="宋体" w:hAnsi="宋体" w:eastAsia="宋体"/>
          <w:color w:val="auto"/>
          <w:sz w:val="24"/>
        </w:rPr>
        <w:t>日（至投标截止时间三年内）起至投标截止日止无行贿犯罪记录，并未被列入失信被执行人名单。</w:t>
      </w:r>
    </w:p>
    <w:p>
      <w:pPr>
        <w:pStyle w:val="18"/>
        <w:tabs>
          <w:tab w:val="left" w:pos="1343"/>
          <w:tab w:val="left" w:pos="2697"/>
          <w:tab w:val="left" w:pos="3264"/>
          <w:tab w:val="left" w:pos="4896"/>
          <w:tab w:val="left" w:pos="6005"/>
          <w:tab w:val="left" w:pos="7085"/>
          <w:tab w:val="left" w:pos="7498"/>
        </w:tabs>
        <w:kinsoku w:val="0"/>
        <w:snapToGrid w:val="0"/>
        <w:spacing w:line="360" w:lineRule="auto"/>
        <w:ind w:left="0" w:firstLine="480" w:firstLineChars="200"/>
        <w:jc w:val="both"/>
        <w:rPr>
          <w:rFonts w:ascii="宋体" w:hAnsi="宋体" w:eastAsia="宋体"/>
          <w:color w:val="auto"/>
        </w:rPr>
      </w:pPr>
      <w:r>
        <w:rPr>
          <w:rFonts w:ascii="宋体" w:hAnsi="宋体" w:eastAsia="宋体"/>
          <w:color w:val="auto"/>
        </w:rPr>
        <w:t>3.1</w:t>
      </w:r>
      <w:r>
        <w:rPr>
          <w:rFonts w:hint="eastAsia" w:ascii="宋体" w:hAnsi="宋体" w:eastAsia="宋体"/>
          <w:color w:val="auto"/>
        </w:rPr>
        <w:t>2□</w:t>
      </w:r>
      <w:r>
        <w:rPr>
          <w:rFonts w:ascii="宋体" w:hAnsi="宋体" w:eastAsia="宋体"/>
          <w:color w:val="auto"/>
          <w:u w:val="single"/>
        </w:rPr>
        <w:t xml:space="preserve">              </w:t>
      </w:r>
      <w:r>
        <w:rPr>
          <w:rFonts w:hint="eastAsia" w:ascii="宋体" w:hAnsi="宋体" w:eastAsia="宋体"/>
          <w:color w:val="auto"/>
          <w:u w:val="single"/>
        </w:rPr>
        <w:t>（招标人需要增加的，符合法律法规的其他要求）</w:t>
      </w:r>
      <w:r>
        <w:rPr>
          <w:rFonts w:hint="eastAsia" w:ascii="宋体" w:hAnsi="宋体" w:eastAsia="宋体"/>
          <w:color w:val="auto"/>
        </w:rPr>
        <w:t>。</w:t>
      </w:r>
    </w:p>
    <w:p>
      <w:pPr>
        <w:pStyle w:val="18"/>
        <w:numPr>
          <w:ilvl w:val="0"/>
          <w:numId w:val="0"/>
        </w:numPr>
        <w:spacing w:line="360" w:lineRule="auto"/>
        <w:ind w:firstLine="643" w:firstLineChars="200"/>
        <w:rPr>
          <w:b/>
          <w:bCs/>
          <w:color w:val="auto"/>
          <w:sz w:val="32"/>
          <w:szCs w:val="32"/>
        </w:rPr>
      </w:pPr>
      <w:bookmarkStart w:id="82" w:name="_Toc26002061"/>
      <w:bookmarkStart w:id="83" w:name="_Toc26002008"/>
      <w:bookmarkStart w:id="84" w:name="_Toc24050279"/>
      <w:r>
        <w:rPr>
          <w:rFonts w:hint="eastAsia"/>
          <w:b/>
          <w:bCs/>
          <w:color w:val="auto"/>
          <w:sz w:val="32"/>
          <w:szCs w:val="32"/>
        </w:rPr>
        <w:t>4.招投标方式</w:t>
      </w:r>
      <w:bookmarkEnd w:id="82"/>
      <w:bookmarkEnd w:id="83"/>
      <w:bookmarkEnd w:id="84"/>
    </w:p>
    <w:p>
      <w:pPr>
        <w:spacing w:line="360" w:lineRule="auto"/>
        <w:ind w:firstLine="472" w:firstLineChars="200"/>
        <w:rPr>
          <w:rFonts w:ascii="宋体" w:hAnsi="宋体" w:eastAsia="宋体"/>
          <w:color w:val="auto"/>
          <w:spacing w:val="-2"/>
        </w:rPr>
      </w:pPr>
      <w:r>
        <w:rPr>
          <w:rFonts w:ascii="宋体" w:hAnsi="宋体" w:eastAsia="宋体"/>
          <w:color w:val="auto"/>
          <w:spacing w:val="-2"/>
        </w:rPr>
        <w:t>4.1邀请招标。</w:t>
      </w:r>
    </w:p>
    <w:p>
      <w:pPr>
        <w:pStyle w:val="18"/>
        <w:numPr>
          <w:ilvl w:val="0"/>
          <w:numId w:val="0"/>
        </w:numPr>
        <w:spacing w:line="360" w:lineRule="auto"/>
        <w:ind w:firstLine="643" w:firstLineChars="200"/>
        <w:rPr>
          <w:b/>
          <w:bCs/>
          <w:color w:val="auto"/>
          <w:sz w:val="32"/>
          <w:szCs w:val="32"/>
        </w:rPr>
      </w:pPr>
      <w:bookmarkStart w:id="85" w:name="_Toc26002009"/>
      <w:bookmarkStart w:id="86" w:name="_Toc24050280"/>
      <w:bookmarkStart w:id="87" w:name="_Toc26002062"/>
      <w:r>
        <w:rPr>
          <w:rFonts w:hint="eastAsia"/>
          <w:b/>
          <w:bCs/>
          <w:color w:val="auto"/>
          <w:sz w:val="32"/>
          <w:szCs w:val="32"/>
        </w:rPr>
        <w:t>5.招标文件的获取</w:t>
      </w:r>
      <w:bookmarkEnd w:id="85"/>
      <w:bookmarkEnd w:id="86"/>
      <w:bookmarkEnd w:id="87"/>
    </w:p>
    <w:p>
      <w:pPr>
        <w:spacing w:line="360" w:lineRule="auto"/>
        <w:ind w:firstLine="480" w:firstLineChars="200"/>
        <w:rPr>
          <w:rFonts w:ascii="宋体" w:hAnsi="宋体" w:eastAsia="宋体" w:cs="宋体"/>
          <w:color w:val="auto"/>
        </w:rPr>
      </w:pPr>
      <w:r>
        <w:rPr>
          <w:rFonts w:ascii="宋体" w:hAnsi="宋体" w:eastAsia="宋体"/>
          <w:color w:val="auto"/>
        </w:rPr>
        <w:t>5.1</w:t>
      </w:r>
      <w:r>
        <w:rPr>
          <w:rFonts w:hint="eastAsia" w:ascii="宋体" w:hAnsi="宋体" w:eastAsia="宋体" w:cs="宋体"/>
          <w:color w:val="auto"/>
        </w:rPr>
        <w:t>本项目招标文件（含图纸）和补充（答疑、澄清）、修改文件以网上</w:t>
      </w:r>
      <w:r>
        <w:rPr>
          <w:rFonts w:ascii="宋体" w:hAnsi="宋体" w:eastAsia="宋体"/>
          <w:color w:val="auto"/>
          <w:u w:val="single"/>
        </w:rPr>
        <w:t xml:space="preserve">         </w:t>
      </w:r>
      <w:r>
        <w:rPr>
          <w:rFonts w:hint="eastAsia" w:ascii="宋体" w:hAnsi="宋体" w:eastAsia="宋体" w:cs="宋体"/>
          <w:color w:val="auto"/>
        </w:rPr>
        <w:t>下载方式发放。</w:t>
      </w:r>
    </w:p>
    <w:p>
      <w:pPr>
        <w:pStyle w:val="125"/>
        <w:spacing w:line="360" w:lineRule="auto"/>
        <w:ind w:firstLine="480" w:firstLineChars="200"/>
        <w:rPr>
          <w:rFonts w:ascii="宋体" w:hAnsi="宋体" w:eastAsia="宋体"/>
          <w:color w:val="auto"/>
        </w:rPr>
      </w:pPr>
      <w:r>
        <w:rPr>
          <w:rFonts w:ascii="宋体" w:hAnsi="宋体" w:eastAsia="宋体" w:cs="Times New Roman"/>
          <w:color w:val="auto"/>
        </w:rPr>
        <w:t>5.2</w:t>
      </w:r>
      <w:r>
        <w:rPr>
          <w:rFonts w:hint="eastAsia" w:ascii="宋体" w:hAnsi="宋体" w:eastAsia="宋体"/>
          <w:color w:val="auto"/>
        </w:rPr>
        <w:t>招标文件网上下载网址：</w:t>
      </w:r>
      <w:r>
        <w:rPr>
          <w:rFonts w:hint="eastAsia" w:ascii="宋体" w:hAnsi="宋体" w:eastAsia="宋体" w:cs="Times New Roman"/>
          <w:color w:val="auto"/>
        </w:rPr>
        <w:t>潜在投标人登录</w:t>
      </w:r>
      <w:r>
        <w:rPr>
          <w:rFonts w:ascii="宋体" w:hAnsi="宋体" w:eastAsia="宋体"/>
          <w:color w:val="auto"/>
          <w:u w:val="single"/>
        </w:rPr>
        <w:t xml:space="preserve">               </w:t>
      </w:r>
      <w:r>
        <w:rPr>
          <w:rFonts w:hint="eastAsia" w:ascii="宋体" w:hAnsi="宋体" w:eastAsia="宋体" w:cs="Times New Roman"/>
          <w:color w:val="auto"/>
        </w:rPr>
        <w:t>自行下载招标文件。</w:t>
      </w:r>
    </w:p>
    <w:p>
      <w:pPr>
        <w:spacing w:line="360" w:lineRule="auto"/>
        <w:ind w:firstLine="480" w:firstLineChars="200"/>
        <w:rPr>
          <w:rFonts w:ascii="宋体" w:hAnsi="宋体" w:eastAsia="宋体" w:cs="宋体"/>
          <w:color w:val="auto"/>
          <w:spacing w:val="-2"/>
        </w:rPr>
      </w:pPr>
      <w:r>
        <w:rPr>
          <w:rFonts w:ascii="宋体" w:hAnsi="宋体" w:eastAsia="宋体"/>
          <w:color w:val="auto"/>
        </w:rPr>
        <w:t>5.3</w:t>
      </w:r>
      <w:r>
        <w:rPr>
          <w:rFonts w:hint="eastAsia" w:ascii="宋体" w:hAnsi="宋体" w:eastAsia="宋体"/>
          <w:color w:val="auto"/>
        </w:rPr>
        <w:t>招标文件网上下载时间：邀请书发出之日至投标文件递交截止时间</w:t>
      </w:r>
      <w:r>
        <w:rPr>
          <w:rFonts w:hint="eastAsia" w:ascii="宋体" w:hAnsi="宋体" w:eastAsia="宋体" w:cs="宋体"/>
          <w:color w:val="auto"/>
        </w:rPr>
        <w:t>。</w:t>
      </w:r>
    </w:p>
    <w:p>
      <w:pPr>
        <w:pStyle w:val="18"/>
        <w:numPr>
          <w:ilvl w:val="0"/>
          <w:numId w:val="0"/>
        </w:numPr>
        <w:spacing w:line="360" w:lineRule="auto"/>
        <w:ind w:firstLine="643" w:firstLineChars="200"/>
        <w:rPr>
          <w:b/>
          <w:bCs/>
          <w:color w:val="auto"/>
          <w:sz w:val="32"/>
          <w:szCs w:val="32"/>
        </w:rPr>
      </w:pPr>
      <w:bookmarkStart w:id="88" w:name="_Toc26002010"/>
      <w:bookmarkStart w:id="89" w:name="_Toc24050281"/>
      <w:bookmarkStart w:id="90" w:name="_Toc26002063"/>
      <w:r>
        <w:rPr>
          <w:rFonts w:hint="eastAsia"/>
          <w:b/>
          <w:bCs/>
          <w:color w:val="auto"/>
          <w:sz w:val="32"/>
          <w:szCs w:val="32"/>
        </w:rPr>
        <w:t>6.投标文件的递交</w:t>
      </w:r>
      <w:bookmarkEnd w:id="88"/>
      <w:bookmarkEnd w:id="89"/>
      <w:bookmarkEnd w:id="90"/>
    </w:p>
    <w:p>
      <w:pPr>
        <w:pStyle w:val="18"/>
        <w:tabs>
          <w:tab w:val="left" w:pos="7226"/>
          <w:tab w:val="left" w:pos="7770"/>
        </w:tabs>
        <w:kinsoku w:val="0"/>
        <w:spacing w:line="360" w:lineRule="auto"/>
        <w:ind w:left="199" w:leftChars="83" w:firstLine="240" w:firstLineChars="100"/>
        <w:rPr>
          <w:color w:val="auto"/>
        </w:rPr>
      </w:pPr>
      <w:r>
        <w:rPr>
          <w:rFonts w:ascii="宋体" w:hAnsi="宋体"/>
          <w:color w:val="auto"/>
        </w:rPr>
        <w:t>6.1</w:t>
      </w:r>
      <w:r>
        <w:rPr>
          <w:rFonts w:hint="eastAsia" w:ascii="宋体" w:hAnsi="宋体"/>
          <w:color w:val="auto"/>
        </w:rPr>
        <w:t>投标文件递交的截止时间（投标截止时间，下同）为</w:t>
      </w:r>
      <w:r>
        <w:rPr>
          <w:rFonts w:ascii="宋体" w:hAnsi="宋体"/>
          <w:color w:val="auto"/>
          <w:u w:val="single"/>
        </w:rPr>
        <w:t xml:space="preserve">  </w:t>
      </w:r>
      <w:r>
        <w:rPr>
          <w:rFonts w:hint="eastAsia" w:ascii="宋体" w:hAnsi="宋体"/>
          <w:color w:val="auto"/>
        </w:rPr>
        <w:t>年</w:t>
      </w:r>
      <w:r>
        <w:rPr>
          <w:rFonts w:ascii="宋体" w:hAnsi="宋体"/>
          <w:color w:val="auto"/>
          <w:u w:val="single"/>
        </w:rPr>
        <w:t xml:space="preserve">  </w:t>
      </w:r>
      <w:r>
        <w:rPr>
          <w:rFonts w:hint="eastAsia" w:ascii="宋体" w:hAnsi="宋体"/>
          <w:color w:val="auto"/>
        </w:rPr>
        <w:t>月</w:t>
      </w:r>
      <w:r>
        <w:rPr>
          <w:rFonts w:ascii="宋体" w:hAnsi="宋体"/>
          <w:color w:val="auto"/>
          <w:u w:val="single"/>
        </w:rPr>
        <w:t xml:space="preserve">  </w:t>
      </w:r>
      <w:r>
        <w:rPr>
          <w:rFonts w:hint="eastAsia" w:ascii="宋体" w:hAnsi="宋体"/>
          <w:color w:val="auto"/>
        </w:rPr>
        <w:t>日</w:t>
      </w:r>
      <w:r>
        <w:rPr>
          <w:rFonts w:ascii="宋体" w:hAnsi="宋体"/>
          <w:color w:val="auto"/>
          <w:u w:val="single"/>
        </w:rPr>
        <w:t xml:space="preserve">  </w:t>
      </w:r>
      <w:r>
        <w:rPr>
          <w:rFonts w:hint="eastAsia" w:ascii="宋体" w:hAnsi="宋体"/>
          <w:color w:val="auto"/>
        </w:rPr>
        <w:t>时</w:t>
      </w:r>
      <w:r>
        <w:rPr>
          <w:rFonts w:ascii="宋体" w:hAnsi="宋体"/>
          <w:color w:val="auto"/>
          <w:u w:val="single"/>
        </w:rPr>
        <w:t xml:space="preserve">  </w:t>
      </w:r>
      <w:r>
        <w:rPr>
          <w:rFonts w:hint="eastAsia" w:ascii="宋体" w:hAnsi="宋体"/>
          <w:color w:val="auto"/>
          <w:spacing w:val="-1"/>
        </w:rPr>
        <w:t>分，传输提交</w:t>
      </w:r>
      <w:r>
        <w:rPr>
          <w:rFonts w:hint="eastAsia" w:ascii="宋体" w:hAnsi="宋体"/>
          <w:color w:val="auto"/>
        </w:rPr>
        <w:t>电子招标投标交易平台</w:t>
      </w:r>
      <w:r>
        <w:rPr>
          <w:rFonts w:hint="eastAsia" w:ascii="宋体" w:hAnsi="宋体"/>
          <w:color w:val="auto"/>
          <w:u w:val="single"/>
        </w:rPr>
        <w:t>：</w:t>
      </w:r>
      <w:r>
        <w:rPr>
          <w:rFonts w:ascii="宋体" w:hAnsi="宋体"/>
          <w:color w:val="auto"/>
          <w:u w:val="single"/>
        </w:rPr>
        <w:t xml:space="preserve">       </w:t>
      </w:r>
      <w:r>
        <w:rPr>
          <w:rFonts w:hint="eastAsia" w:ascii="宋体" w:hAnsi="宋体"/>
          <w:color w:val="auto"/>
          <w:spacing w:val="-2"/>
        </w:rPr>
        <w:t>。</w:t>
      </w:r>
      <w:bookmarkStart w:id="91" w:name="_Toc24050282"/>
      <w:bookmarkStart w:id="92" w:name="_Toc26002064"/>
      <w:bookmarkStart w:id="93" w:name="_Toc26002011"/>
    </w:p>
    <w:p>
      <w:pPr>
        <w:pStyle w:val="18"/>
        <w:numPr>
          <w:ilvl w:val="0"/>
          <w:numId w:val="0"/>
        </w:numPr>
        <w:spacing w:line="360" w:lineRule="auto"/>
        <w:ind w:firstLine="643" w:firstLineChars="200"/>
        <w:rPr>
          <w:b/>
          <w:bCs/>
          <w:color w:val="auto"/>
          <w:sz w:val="32"/>
          <w:szCs w:val="32"/>
        </w:rPr>
      </w:pPr>
      <w:r>
        <w:rPr>
          <w:rFonts w:hint="eastAsia"/>
          <w:b/>
          <w:bCs/>
          <w:color w:val="auto"/>
          <w:sz w:val="32"/>
          <w:szCs w:val="32"/>
        </w:rPr>
        <w:t>7.联系方式</w:t>
      </w:r>
      <w:bookmarkEnd w:id="91"/>
      <w:bookmarkEnd w:id="92"/>
      <w:bookmarkEnd w:id="93"/>
    </w:p>
    <w:p>
      <w:pPr>
        <w:pStyle w:val="18"/>
        <w:tabs>
          <w:tab w:val="left" w:pos="4228"/>
          <w:tab w:val="left" w:pos="7975"/>
        </w:tabs>
        <w:kinsoku w:val="0"/>
        <w:spacing w:line="350" w:lineRule="auto"/>
        <w:ind w:right="905"/>
        <w:jc w:val="both"/>
        <w:rPr>
          <w:color w:val="auto"/>
          <w:u w:val="single"/>
        </w:rPr>
      </w:pPr>
      <w:r>
        <w:rPr>
          <w:rFonts w:hint="eastAsia"/>
          <w:color w:val="auto"/>
        </w:rPr>
        <w:t>招</w:t>
      </w:r>
      <w:r>
        <w:rPr>
          <w:color w:val="auto"/>
        </w:rPr>
        <w:t xml:space="preserve"> </w:t>
      </w:r>
      <w:r>
        <w:rPr>
          <w:rFonts w:hint="eastAsia"/>
          <w:color w:val="auto"/>
        </w:rPr>
        <w:t>标</w:t>
      </w:r>
      <w:r>
        <w:rPr>
          <w:color w:val="auto"/>
          <w:spacing w:val="2"/>
        </w:rPr>
        <w:t xml:space="preserve"> </w:t>
      </w:r>
      <w:r>
        <w:rPr>
          <w:rFonts w:hint="eastAsia"/>
          <w:color w:val="auto"/>
        </w:rPr>
        <w:t>人：</w:t>
      </w:r>
      <w:r>
        <w:rPr>
          <w:color w:val="auto"/>
          <w:u w:val="single"/>
        </w:rPr>
        <w:tab/>
      </w:r>
      <w:r>
        <w:rPr>
          <w:rFonts w:hint="eastAsia"/>
          <w:color w:val="auto"/>
        </w:rPr>
        <w:t>招标代理机构：</w:t>
      </w:r>
      <w:r>
        <w:rPr>
          <w:color w:val="auto"/>
          <w:u w:val="single"/>
        </w:rPr>
        <w:tab/>
      </w:r>
    </w:p>
    <w:p>
      <w:pPr>
        <w:pStyle w:val="18"/>
        <w:tabs>
          <w:tab w:val="left" w:pos="4228"/>
          <w:tab w:val="left" w:pos="7975"/>
        </w:tabs>
        <w:kinsoku w:val="0"/>
        <w:spacing w:line="350" w:lineRule="auto"/>
        <w:ind w:right="905"/>
        <w:jc w:val="both"/>
        <w:rPr>
          <w:color w:val="auto"/>
          <w:w w:val="28"/>
          <w:u w:val="single"/>
        </w:rPr>
      </w:pPr>
      <w:r>
        <w:rPr>
          <w:rFonts w:hint="eastAsia"/>
          <w:color w:val="auto"/>
        </w:rPr>
        <w:t>地</w:t>
      </w:r>
      <w:r>
        <w:rPr>
          <w:color w:val="auto"/>
        </w:rPr>
        <w:t xml:space="preserve">     </w:t>
      </w:r>
      <w:r>
        <w:rPr>
          <w:color w:val="auto"/>
          <w:spacing w:val="3"/>
        </w:rPr>
        <w:t xml:space="preserve"> </w:t>
      </w:r>
      <w:r>
        <w:rPr>
          <w:rFonts w:hint="eastAsia"/>
          <w:color w:val="auto"/>
        </w:rPr>
        <w:t>址：</w:t>
      </w:r>
      <w:r>
        <w:rPr>
          <w:color w:val="auto"/>
          <w:u w:val="single"/>
        </w:rPr>
        <w:tab/>
      </w:r>
      <w:r>
        <w:rPr>
          <w:rFonts w:hint="eastAsia"/>
          <w:color w:val="auto"/>
        </w:rPr>
        <w:t>地</w:t>
      </w:r>
      <w:r>
        <w:rPr>
          <w:color w:val="auto"/>
        </w:rPr>
        <w:t xml:space="preserve">     </w:t>
      </w:r>
      <w:r>
        <w:rPr>
          <w:color w:val="auto"/>
          <w:spacing w:val="5"/>
        </w:rPr>
        <w:t xml:space="preserve"> </w:t>
      </w:r>
      <w:r>
        <w:rPr>
          <w:rFonts w:hint="eastAsia"/>
          <w:color w:val="auto"/>
        </w:rPr>
        <w:t>址：</w:t>
      </w:r>
      <w:r>
        <w:rPr>
          <w:color w:val="auto"/>
          <w:u w:val="single"/>
        </w:rPr>
        <w:t xml:space="preserve"> </w:t>
      </w:r>
      <w:r>
        <w:rPr>
          <w:color w:val="auto"/>
          <w:u w:val="single"/>
        </w:rPr>
        <w:tab/>
      </w:r>
    </w:p>
    <w:p>
      <w:pPr>
        <w:pStyle w:val="18"/>
        <w:tabs>
          <w:tab w:val="left" w:pos="4228"/>
          <w:tab w:val="left" w:pos="7975"/>
        </w:tabs>
        <w:kinsoku w:val="0"/>
        <w:spacing w:line="350" w:lineRule="auto"/>
        <w:ind w:right="905"/>
        <w:jc w:val="both"/>
        <w:rPr>
          <w:color w:val="auto"/>
          <w:w w:val="28"/>
          <w:u w:val="single"/>
        </w:rPr>
      </w:pPr>
      <w:r>
        <w:rPr>
          <w:rFonts w:hint="eastAsia"/>
          <w:color w:val="auto"/>
        </w:rPr>
        <w:t>联</w:t>
      </w:r>
      <w:r>
        <w:rPr>
          <w:color w:val="auto"/>
        </w:rPr>
        <w:t xml:space="preserve"> </w:t>
      </w:r>
      <w:r>
        <w:rPr>
          <w:rFonts w:hint="eastAsia"/>
          <w:color w:val="auto"/>
        </w:rPr>
        <w:t>系</w:t>
      </w:r>
      <w:r>
        <w:rPr>
          <w:color w:val="auto"/>
          <w:spacing w:val="2"/>
        </w:rPr>
        <w:t xml:space="preserve"> </w:t>
      </w:r>
      <w:r>
        <w:rPr>
          <w:rFonts w:hint="eastAsia"/>
          <w:color w:val="auto"/>
        </w:rPr>
        <w:t>人：</w:t>
      </w:r>
      <w:r>
        <w:rPr>
          <w:color w:val="auto"/>
          <w:u w:val="single"/>
        </w:rPr>
        <w:tab/>
      </w:r>
      <w:r>
        <w:rPr>
          <w:rFonts w:hint="eastAsia"/>
          <w:color w:val="auto"/>
        </w:rPr>
        <w:t>联</w:t>
      </w:r>
      <w:r>
        <w:rPr>
          <w:color w:val="auto"/>
        </w:rPr>
        <w:t xml:space="preserve"> </w:t>
      </w:r>
      <w:r>
        <w:rPr>
          <w:rFonts w:hint="eastAsia"/>
          <w:color w:val="auto"/>
        </w:rPr>
        <w:t>系</w:t>
      </w:r>
      <w:r>
        <w:rPr>
          <w:color w:val="auto"/>
          <w:spacing w:val="4"/>
        </w:rPr>
        <w:t xml:space="preserve"> </w:t>
      </w:r>
      <w:r>
        <w:rPr>
          <w:rFonts w:hint="eastAsia"/>
          <w:color w:val="auto"/>
        </w:rPr>
        <w:t>人：</w:t>
      </w:r>
      <w:r>
        <w:rPr>
          <w:color w:val="auto"/>
          <w:u w:val="single"/>
        </w:rPr>
        <w:t xml:space="preserve"> </w:t>
      </w:r>
      <w:r>
        <w:rPr>
          <w:color w:val="auto"/>
          <w:u w:val="single"/>
        </w:rPr>
        <w:tab/>
      </w:r>
    </w:p>
    <w:p>
      <w:pPr>
        <w:pStyle w:val="18"/>
        <w:tabs>
          <w:tab w:val="left" w:pos="4228"/>
          <w:tab w:val="left" w:pos="7975"/>
        </w:tabs>
        <w:kinsoku w:val="0"/>
        <w:spacing w:line="350" w:lineRule="auto"/>
        <w:ind w:right="905"/>
        <w:jc w:val="both"/>
        <w:rPr>
          <w:color w:val="auto"/>
          <w:w w:val="28"/>
          <w:u w:val="single"/>
        </w:rPr>
      </w:pPr>
      <w:r>
        <w:rPr>
          <w:rFonts w:hint="eastAsia"/>
          <w:color w:val="auto"/>
        </w:rPr>
        <w:t>电</w:t>
      </w:r>
      <w:r>
        <w:rPr>
          <w:color w:val="auto"/>
        </w:rPr>
        <w:t xml:space="preserve">     </w:t>
      </w:r>
      <w:r>
        <w:rPr>
          <w:color w:val="auto"/>
          <w:spacing w:val="3"/>
        </w:rPr>
        <w:t xml:space="preserve"> </w:t>
      </w:r>
      <w:r>
        <w:rPr>
          <w:rFonts w:hint="eastAsia"/>
          <w:color w:val="auto"/>
        </w:rPr>
        <w:t>话：</w:t>
      </w:r>
      <w:r>
        <w:rPr>
          <w:color w:val="auto"/>
          <w:u w:val="single"/>
        </w:rPr>
        <w:tab/>
      </w:r>
      <w:r>
        <w:rPr>
          <w:rFonts w:hint="eastAsia"/>
          <w:color w:val="auto"/>
        </w:rPr>
        <w:t>电</w:t>
      </w:r>
      <w:r>
        <w:rPr>
          <w:color w:val="auto"/>
        </w:rPr>
        <w:t xml:space="preserve">     </w:t>
      </w:r>
      <w:r>
        <w:rPr>
          <w:color w:val="auto"/>
          <w:spacing w:val="5"/>
        </w:rPr>
        <w:t xml:space="preserve"> </w:t>
      </w:r>
      <w:r>
        <w:rPr>
          <w:rFonts w:hint="eastAsia"/>
          <w:color w:val="auto"/>
        </w:rPr>
        <w:t>话：</w:t>
      </w:r>
      <w:r>
        <w:rPr>
          <w:color w:val="auto"/>
          <w:u w:val="single"/>
        </w:rPr>
        <w:t xml:space="preserve"> </w:t>
      </w:r>
      <w:r>
        <w:rPr>
          <w:color w:val="auto"/>
          <w:u w:val="single"/>
        </w:rPr>
        <w:tab/>
      </w:r>
    </w:p>
    <w:p>
      <w:pPr>
        <w:pStyle w:val="18"/>
        <w:tabs>
          <w:tab w:val="left" w:pos="4228"/>
          <w:tab w:val="left" w:pos="7975"/>
        </w:tabs>
        <w:kinsoku w:val="0"/>
        <w:spacing w:line="350" w:lineRule="auto"/>
        <w:ind w:right="905"/>
        <w:jc w:val="both"/>
        <w:rPr>
          <w:color w:val="auto"/>
          <w:u w:val="single"/>
        </w:rPr>
      </w:pPr>
      <w:r>
        <w:rPr>
          <w:rFonts w:hint="eastAsia"/>
          <w:color w:val="auto"/>
        </w:rPr>
        <w:t>邮</w:t>
      </w:r>
      <w:r>
        <w:rPr>
          <w:color w:val="auto"/>
        </w:rPr>
        <w:t xml:space="preserve">      </w:t>
      </w:r>
      <w:r>
        <w:rPr>
          <w:rFonts w:hint="eastAsia"/>
          <w:color w:val="auto"/>
        </w:rPr>
        <w:t>箱：</w:t>
      </w:r>
      <w:r>
        <w:rPr>
          <w:color w:val="auto"/>
          <w:u w:val="single"/>
        </w:rPr>
        <w:tab/>
      </w:r>
      <w:r>
        <w:rPr>
          <w:rFonts w:hint="eastAsia"/>
          <w:color w:val="auto"/>
        </w:rPr>
        <w:t>邮</w:t>
      </w:r>
      <w:r>
        <w:rPr>
          <w:color w:val="auto"/>
        </w:rPr>
        <w:t xml:space="preserve">      </w:t>
      </w:r>
      <w:r>
        <w:rPr>
          <w:rFonts w:hint="eastAsia"/>
          <w:color w:val="auto"/>
        </w:rPr>
        <w:t>箱：</w:t>
      </w:r>
      <w:r>
        <w:rPr>
          <w:color w:val="auto"/>
          <w:u w:val="single"/>
        </w:rPr>
        <w:t xml:space="preserve"> </w:t>
      </w:r>
      <w:r>
        <w:rPr>
          <w:color w:val="auto"/>
          <w:u w:val="single"/>
        </w:rPr>
        <w:tab/>
      </w:r>
    </w:p>
    <w:p>
      <w:pPr>
        <w:pStyle w:val="18"/>
        <w:tabs>
          <w:tab w:val="left" w:pos="4228"/>
          <w:tab w:val="left" w:pos="7975"/>
        </w:tabs>
        <w:kinsoku w:val="0"/>
        <w:spacing w:line="350" w:lineRule="auto"/>
        <w:ind w:left="0" w:right="905" w:firstLine="6480" w:firstLineChars="2700"/>
        <w:jc w:val="both"/>
        <w:rPr>
          <w:color w:val="auto"/>
        </w:rPr>
      </w:pPr>
      <w:r>
        <w:rPr>
          <w:rFonts w:hint="eastAsia"/>
          <w:color w:val="auto"/>
        </w:rPr>
        <w:t>年</w:t>
      </w:r>
      <w:r>
        <w:rPr>
          <w:color w:val="auto"/>
        </w:rPr>
        <w:t xml:space="preserve">   </w:t>
      </w:r>
      <w:r>
        <w:rPr>
          <w:rFonts w:hint="eastAsia"/>
          <w:color w:val="auto"/>
          <w:spacing w:val="-3"/>
        </w:rPr>
        <w:t>月</w:t>
      </w:r>
      <w:r>
        <w:rPr>
          <w:color w:val="auto"/>
          <w:spacing w:val="-3"/>
        </w:rPr>
        <w:t xml:space="preserve">    </w:t>
      </w:r>
      <w:r>
        <w:rPr>
          <w:rFonts w:hint="eastAsia"/>
          <w:color w:val="auto"/>
        </w:rPr>
        <w:t>日</w:t>
      </w:r>
      <w:r>
        <w:rPr>
          <w:color w:val="auto"/>
        </w:rPr>
        <w:t xml:space="preserve">  </w:t>
      </w:r>
    </w:p>
    <w:p>
      <w:pPr>
        <w:pStyle w:val="18"/>
        <w:kinsoku w:val="0"/>
        <w:spacing w:before="15" w:line="360" w:lineRule="auto"/>
        <w:ind w:left="0"/>
        <w:rPr>
          <w:b/>
          <w:color w:val="auto"/>
        </w:rPr>
      </w:pPr>
    </w:p>
    <w:p>
      <w:pPr>
        <w:pStyle w:val="18"/>
        <w:kinsoku w:val="0"/>
        <w:spacing w:before="15" w:line="360" w:lineRule="auto"/>
        <w:ind w:left="0"/>
        <w:rPr>
          <w:color w:val="auto"/>
        </w:rPr>
      </w:pPr>
      <w:r>
        <w:rPr>
          <w:rFonts w:hint="eastAsia"/>
          <w:b/>
          <w:color w:val="auto"/>
        </w:rPr>
        <w:t>备注：</w:t>
      </w:r>
      <w:r>
        <w:rPr>
          <w:rFonts w:hint="eastAsia"/>
          <w:color w:val="auto"/>
          <w:spacing w:val="-1"/>
        </w:rPr>
        <w:t>你单位收到本邀请书后，请于</w:t>
      </w:r>
      <w:r>
        <w:rPr>
          <w:color w:val="auto"/>
          <w:spacing w:val="-1"/>
          <w:u w:val="single"/>
        </w:rPr>
        <w:tab/>
      </w:r>
      <w:r>
        <w:rPr>
          <w:rFonts w:hint="eastAsia"/>
          <w:color w:val="auto"/>
        </w:rPr>
        <w:t>年</w:t>
      </w:r>
      <w:r>
        <w:rPr>
          <w:color w:val="auto"/>
          <w:u w:val="single"/>
        </w:rPr>
        <w:tab/>
      </w:r>
      <w:r>
        <w:rPr>
          <w:rFonts w:hint="eastAsia"/>
          <w:color w:val="auto"/>
        </w:rPr>
        <w:t>月</w:t>
      </w:r>
      <w:r>
        <w:rPr>
          <w:color w:val="auto"/>
          <w:u w:val="single"/>
        </w:rPr>
        <w:tab/>
      </w:r>
      <w:r>
        <w:rPr>
          <w:rFonts w:hint="eastAsia"/>
          <w:color w:val="auto"/>
        </w:rPr>
        <w:t>日</w:t>
      </w:r>
      <w:r>
        <w:rPr>
          <w:color w:val="auto"/>
          <w:u w:val="single"/>
        </w:rPr>
        <w:tab/>
      </w:r>
      <w:r>
        <w:rPr>
          <w:rFonts w:hint="eastAsia"/>
          <w:color w:val="auto"/>
          <w:spacing w:val="-1"/>
        </w:rPr>
        <w:t>时前，以书面或电子信件形式确认是否收到本邀请书</w:t>
      </w:r>
      <w:r>
        <w:rPr>
          <w:rFonts w:hint="eastAsia"/>
          <w:color w:val="auto"/>
        </w:rPr>
        <w:t>。</w:t>
      </w:r>
    </w:p>
    <w:p>
      <w:pPr>
        <w:rPr>
          <w:color w:val="auto"/>
        </w:rPr>
      </w:pPr>
    </w:p>
    <w:p>
      <w:pPr>
        <w:widowControl/>
        <w:autoSpaceDE/>
        <w:autoSpaceDN/>
        <w:adjustRightInd/>
        <w:rPr>
          <w:color w:val="auto"/>
        </w:rPr>
      </w:pPr>
      <w:r>
        <w:rPr>
          <w:color w:val="auto"/>
        </w:rPr>
        <w:br w:type="page"/>
      </w:r>
    </w:p>
    <w:p>
      <w:pPr>
        <w:rPr>
          <w:color w:val="auto"/>
        </w:rPr>
      </w:pPr>
      <w:r>
        <w:rPr>
          <w:rFonts w:hint="eastAsia"/>
          <w:color w:val="auto"/>
        </w:rPr>
        <w:t>附件：确认通知</w:t>
      </w:r>
    </w:p>
    <w:p>
      <w:pPr>
        <w:pStyle w:val="18"/>
        <w:kinsoku w:val="0"/>
        <w:ind w:firstLine="400"/>
        <w:rPr>
          <w:color w:val="auto"/>
          <w:sz w:val="20"/>
        </w:rPr>
      </w:pPr>
    </w:p>
    <w:p>
      <w:pPr>
        <w:pStyle w:val="18"/>
        <w:kinsoku w:val="0"/>
        <w:ind w:firstLine="400"/>
        <w:rPr>
          <w:color w:val="auto"/>
          <w:sz w:val="20"/>
        </w:rPr>
      </w:pPr>
    </w:p>
    <w:p>
      <w:pPr>
        <w:pStyle w:val="18"/>
        <w:kinsoku w:val="0"/>
        <w:ind w:firstLine="400"/>
        <w:rPr>
          <w:color w:val="auto"/>
          <w:sz w:val="20"/>
        </w:rPr>
      </w:pPr>
    </w:p>
    <w:p>
      <w:pPr>
        <w:pStyle w:val="18"/>
        <w:kinsoku w:val="0"/>
        <w:spacing w:before="168"/>
        <w:ind w:right="111"/>
        <w:jc w:val="center"/>
        <w:rPr>
          <w:rFonts w:ascii="宋体" w:hAnsi="宋体" w:eastAsia="宋体"/>
          <w:b/>
          <w:bCs/>
          <w:color w:val="auto"/>
          <w:kern w:val="44"/>
          <w:sz w:val="44"/>
          <w:szCs w:val="44"/>
        </w:rPr>
      </w:pPr>
      <w:r>
        <w:rPr>
          <w:rFonts w:hint="eastAsia" w:ascii="宋体" w:hAnsi="宋体" w:eastAsia="宋体"/>
          <w:b/>
          <w:bCs/>
          <w:color w:val="auto"/>
          <w:kern w:val="44"/>
          <w:sz w:val="44"/>
          <w:szCs w:val="44"/>
        </w:rPr>
        <w:t>确认通知</w:t>
      </w:r>
    </w:p>
    <w:p>
      <w:pPr>
        <w:pStyle w:val="18"/>
        <w:tabs>
          <w:tab w:val="left" w:pos="1991"/>
        </w:tabs>
        <w:kinsoku w:val="0"/>
        <w:spacing w:before="36" w:line="360" w:lineRule="auto"/>
        <w:ind w:left="522"/>
        <w:rPr>
          <w:color w:val="auto"/>
          <w:spacing w:val="-15"/>
        </w:rPr>
      </w:pPr>
      <w:r>
        <w:rPr>
          <w:color w:val="auto"/>
          <w:u w:val="single"/>
        </w:rPr>
        <w:t xml:space="preserve"> </w:t>
      </w:r>
      <w:r>
        <w:rPr>
          <w:rFonts w:hint="eastAsia"/>
          <w:color w:val="auto"/>
          <w:spacing w:val="-15"/>
          <w:u w:val="single"/>
        </w:rPr>
        <w:t>（招标人名称）</w:t>
      </w:r>
      <w:r>
        <w:rPr>
          <w:rFonts w:hint="eastAsia"/>
          <w:color w:val="auto"/>
          <w:spacing w:val="-15"/>
        </w:rPr>
        <w:t>：</w:t>
      </w:r>
    </w:p>
    <w:p>
      <w:pPr>
        <w:pStyle w:val="18"/>
        <w:kinsoku w:val="0"/>
        <w:spacing w:line="360" w:lineRule="auto"/>
        <w:ind w:left="522" w:firstLine="400"/>
        <w:rPr>
          <w:color w:val="auto"/>
          <w:sz w:val="20"/>
        </w:rPr>
      </w:pPr>
    </w:p>
    <w:p>
      <w:pPr>
        <w:pStyle w:val="18"/>
        <w:tabs>
          <w:tab w:val="left" w:pos="2305"/>
          <w:tab w:val="left" w:pos="3460"/>
          <w:tab w:val="left" w:pos="4617"/>
          <w:tab w:val="left" w:pos="6612"/>
          <w:tab w:val="left" w:pos="7766"/>
          <w:tab w:val="left" w:pos="8789"/>
        </w:tabs>
        <w:kinsoku w:val="0"/>
        <w:spacing w:line="360" w:lineRule="auto"/>
        <w:ind w:left="522" w:firstLine="418"/>
        <w:rPr>
          <w:color w:val="auto"/>
          <w:spacing w:val="-2"/>
        </w:rPr>
      </w:pPr>
      <w:r>
        <w:rPr>
          <w:rFonts w:hint="eastAsia"/>
          <w:color w:val="auto"/>
          <w:spacing w:val="-1"/>
        </w:rPr>
        <w:t>我方已于</w:t>
      </w:r>
      <w:r>
        <w:rPr>
          <w:color w:val="auto"/>
          <w:spacing w:val="-2"/>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spacing w:val="-1"/>
        </w:rPr>
        <w:t>日</w:t>
      </w:r>
      <w:r>
        <w:rPr>
          <w:rFonts w:hint="eastAsia"/>
          <w:color w:val="auto"/>
          <w:spacing w:val="-2"/>
        </w:rPr>
        <w:t>收到你方于</w:t>
      </w:r>
      <w:r>
        <w:rPr>
          <w:color w:val="auto"/>
          <w:spacing w:val="-2"/>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spacing w:val="-1"/>
        </w:rPr>
        <w:t>日发出的</w:t>
      </w:r>
      <w:r>
        <w:rPr>
          <w:color w:val="auto"/>
          <w:spacing w:val="-1"/>
          <w:u w:val="single"/>
        </w:rPr>
        <w:t xml:space="preserve">       </w:t>
      </w:r>
      <w:r>
        <w:rPr>
          <w:rFonts w:hint="eastAsia"/>
          <w:color w:val="auto"/>
          <w:spacing w:val="-2"/>
        </w:rPr>
        <w:t>（工程名称）招标的投标邀请书，并确认</w:t>
      </w:r>
      <w:r>
        <w:rPr>
          <w:color w:val="auto"/>
          <w:spacing w:val="-2"/>
          <w:u w:val="single"/>
        </w:rPr>
        <w:t xml:space="preserve">           </w:t>
      </w:r>
      <w:r>
        <w:rPr>
          <w:rFonts w:hint="eastAsia"/>
          <w:color w:val="auto"/>
          <w:spacing w:val="-1"/>
        </w:rPr>
        <w:t>（参加</w:t>
      </w:r>
      <w:r>
        <w:rPr>
          <w:color w:val="auto"/>
          <w:spacing w:val="-1"/>
        </w:rPr>
        <w:t>/</w:t>
      </w:r>
      <w:r>
        <w:rPr>
          <w:rFonts w:hint="eastAsia"/>
          <w:color w:val="auto"/>
          <w:spacing w:val="-1"/>
        </w:rPr>
        <w:t>不参加）投标。</w:t>
      </w:r>
      <w:r>
        <w:rPr>
          <w:color w:val="auto"/>
          <w:spacing w:val="-96"/>
        </w:rPr>
        <w:t xml:space="preserve"> </w:t>
      </w:r>
      <w:r>
        <w:rPr>
          <w:rFonts w:hint="eastAsia"/>
          <w:color w:val="auto"/>
          <w:spacing w:val="-2"/>
        </w:rPr>
        <w:t>特此确认。</w:t>
      </w:r>
    </w:p>
    <w:p>
      <w:pPr>
        <w:pStyle w:val="18"/>
        <w:kinsoku w:val="0"/>
        <w:spacing w:line="360" w:lineRule="auto"/>
        <w:ind w:left="522" w:firstLine="400"/>
        <w:rPr>
          <w:color w:val="auto"/>
          <w:sz w:val="20"/>
        </w:rPr>
      </w:pPr>
    </w:p>
    <w:p>
      <w:pPr>
        <w:pStyle w:val="18"/>
        <w:kinsoku w:val="0"/>
        <w:spacing w:before="12"/>
        <w:ind w:firstLine="260"/>
        <w:rPr>
          <w:color w:val="auto"/>
          <w:sz w:val="13"/>
        </w:rPr>
      </w:pPr>
    </w:p>
    <w:p>
      <w:pPr>
        <w:pStyle w:val="18"/>
        <w:tabs>
          <w:tab w:val="left" w:pos="7238"/>
        </w:tabs>
        <w:kinsoku w:val="0"/>
        <w:spacing w:before="36" w:line="360" w:lineRule="auto"/>
        <w:ind w:left="3041" w:firstLine="416"/>
        <w:rPr>
          <w:color w:val="auto"/>
        </w:rPr>
      </w:pPr>
      <w:r>
        <w:rPr>
          <w:rFonts w:hint="eastAsia"/>
          <w:color w:val="auto"/>
          <w:spacing w:val="-2"/>
        </w:rPr>
        <w:t>被邀请单位名称：</w:t>
      </w:r>
      <w:r>
        <w:rPr>
          <w:rFonts w:eastAsia="Times New Roman"/>
          <w:color w:val="auto"/>
          <w:spacing w:val="-2"/>
          <w:u w:val="single"/>
        </w:rPr>
        <w:tab/>
      </w:r>
      <w:r>
        <w:rPr>
          <w:rFonts w:hint="eastAsia"/>
          <w:color w:val="auto"/>
        </w:rPr>
        <w:t>（单位盖章）</w:t>
      </w:r>
    </w:p>
    <w:p>
      <w:pPr>
        <w:pStyle w:val="18"/>
        <w:tabs>
          <w:tab w:val="left" w:pos="7246"/>
        </w:tabs>
        <w:kinsoku w:val="0"/>
        <w:spacing w:before="36" w:line="360" w:lineRule="auto"/>
        <w:ind w:left="3041" w:firstLine="416"/>
        <w:rPr>
          <w:color w:val="auto"/>
        </w:rPr>
      </w:pPr>
      <w:r>
        <w:rPr>
          <w:rFonts w:hint="eastAsia"/>
          <w:color w:val="auto"/>
          <w:spacing w:val="-2"/>
        </w:rPr>
        <w:t>法</w:t>
      </w:r>
      <w:r>
        <w:rPr>
          <w:color w:val="auto"/>
          <w:spacing w:val="-2"/>
        </w:rPr>
        <w:t xml:space="preserve">  </w:t>
      </w:r>
      <w:r>
        <w:rPr>
          <w:rFonts w:hint="eastAsia"/>
          <w:color w:val="auto"/>
          <w:spacing w:val="-2"/>
        </w:rPr>
        <w:t>定</w:t>
      </w:r>
      <w:r>
        <w:rPr>
          <w:color w:val="auto"/>
          <w:spacing w:val="-2"/>
        </w:rPr>
        <w:t xml:space="preserve">  </w:t>
      </w:r>
      <w:r>
        <w:rPr>
          <w:rFonts w:hint="eastAsia"/>
          <w:color w:val="auto"/>
          <w:spacing w:val="-2"/>
        </w:rPr>
        <w:t>代</w:t>
      </w:r>
      <w:r>
        <w:rPr>
          <w:color w:val="auto"/>
          <w:spacing w:val="-2"/>
        </w:rPr>
        <w:t xml:space="preserve">  </w:t>
      </w:r>
      <w:r>
        <w:rPr>
          <w:rFonts w:hint="eastAsia"/>
          <w:color w:val="auto"/>
          <w:spacing w:val="-2"/>
        </w:rPr>
        <w:t>表</w:t>
      </w:r>
      <w:r>
        <w:rPr>
          <w:color w:val="auto"/>
          <w:spacing w:val="-2"/>
        </w:rPr>
        <w:t xml:space="preserve">  </w:t>
      </w:r>
      <w:r>
        <w:rPr>
          <w:rFonts w:hint="eastAsia"/>
          <w:color w:val="auto"/>
          <w:spacing w:val="-2"/>
        </w:rPr>
        <w:t>人：</w:t>
      </w:r>
      <w:r>
        <w:rPr>
          <w:rFonts w:eastAsia="Times New Roman"/>
          <w:color w:val="auto"/>
          <w:spacing w:val="-2"/>
          <w:u w:val="single"/>
        </w:rPr>
        <w:tab/>
      </w:r>
      <w:r>
        <w:rPr>
          <w:rFonts w:hint="eastAsia"/>
          <w:color w:val="auto"/>
        </w:rPr>
        <w:t>（签字或盖章）</w:t>
      </w:r>
    </w:p>
    <w:p>
      <w:pPr>
        <w:pStyle w:val="18"/>
        <w:tabs>
          <w:tab w:val="left" w:pos="5381"/>
          <w:tab w:val="left" w:pos="6180"/>
          <w:tab w:val="left" w:pos="7692"/>
        </w:tabs>
        <w:kinsoku w:val="0"/>
        <w:spacing w:before="36" w:line="360" w:lineRule="auto"/>
        <w:ind w:left="4435" w:firstLine="420"/>
        <w:jc w:val="right"/>
        <w:rPr>
          <w:color w:val="auto"/>
        </w:rPr>
      </w:pPr>
      <w:r>
        <w:rPr>
          <w:color w:val="auto"/>
          <w:u w:val="single"/>
        </w:rPr>
        <w:tab/>
      </w:r>
      <w:r>
        <w:rPr>
          <w:rFonts w:hint="eastAsia"/>
          <w:color w:val="auto"/>
        </w:rPr>
        <w:t>年</w:t>
      </w:r>
      <w:r>
        <w:rPr>
          <w:rFonts w:eastAsia="Times New Roman"/>
          <w:color w:val="auto"/>
          <w:u w:val="single"/>
        </w:rPr>
        <w:tab/>
      </w:r>
      <w:r>
        <w:rPr>
          <w:rFonts w:hint="eastAsia"/>
          <w:color w:val="auto"/>
          <w:spacing w:val="-3"/>
        </w:rPr>
        <w:t>月</w:t>
      </w:r>
      <w:r>
        <w:rPr>
          <w:rFonts w:eastAsia="Times New Roman"/>
          <w:color w:val="auto"/>
          <w:spacing w:val="-3"/>
          <w:u w:val="single"/>
        </w:rPr>
        <w:t xml:space="preserve">           </w:t>
      </w:r>
      <w:r>
        <w:rPr>
          <w:rFonts w:hint="eastAsia"/>
          <w:color w:val="auto"/>
        </w:rPr>
        <w:t>日</w:t>
      </w:r>
    </w:p>
    <w:p>
      <w:pPr>
        <w:pStyle w:val="3"/>
        <w:kinsoku w:val="0"/>
        <w:spacing w:line="572" w:lineRule="exact"/>
        <w:ind w:left="0" w:right="117"/>
        <w:jc w:val="right"/>
        <w:rPr>
          <w:color w:val="auto"/>
        </w:rPr>
        <w:sectPr>
          <w:footerReference r:id="rId7" w:type="default"/>
          <w:pgSz w:w="12240" w:h="15840"/>
          <w:pgMar w:top="1191" w:right="1588" w:bottom="1191" w:left="1588" w:header="0" w:footer="919" w:gutter="0"/>
          <w:cols w:space="720" w:num="1"/>
        </w:sectPr>
      </w:pPr>
    </w:p>
    <w:p>
      <w:pPr>
        <w:pStyle w:val="3"/>
        <w:rPr>
          <w:color w:val="auto"/>
        </w:rPr>
      </w:pPr>
      <w:bookmarkStart w:id="94" w:name="bookmark20"/>
      <w:bookmarkEnd w:id="94"/>
      <w:bookmarkStart w:id="95" w:name="_Toc1035"/>
      <w:bookmarkStart w:id="96" w:name="_Toc67589033"/>
      <w:bookmarkStart w:id="97" w:name="_Toc22828066"/>
      <w:bookmarkStart w:id="98" w:name="_Toc45697229"/>
      <w:r>
        <w:rPr>
          <w:rFonts w:hint="eastAsia"/>
          <w:color w:val="auto"/>
        </w:rPr>
        <w:t>第二章</w:t>
      </w:r>
      <w:r>
        <w:rPr>
          <w:color w:val="auto"/>
        </w:rPr>
        <w:t xml:space="preserve"> </w:t>
      </w:r>
      <w:r>
        <w:rPr>
          <w:rFonts w:hint="eastAsia"/>
          <w:color w:val="auto"/>
        </w:rPr>
        <w:t>投标人须知</w:t>
      </w:r>
      <w:bookmarkEnd w:id="95"/>
      <w:bookmarkEnd w:id="96"/>
      <w:bookmarkEnd w:id="97"/>
      <w:bookmarkEnd w:id="98"/>
    </w:p>
    <w:p>
      <w:pPr>
        <w:jc w:val="center"/>
        <w:rPr>
          <w:b/>
          <w:color w:val="auto"/>
          <w:sz w:val="32"/>
          <w:szCs w:val="32"/>
        </w:rPr>
      </w:pPr>
      <w:bookmarkStart w:id="99" w:name="bookmark21"/>
      <w:bookmarkEnd w:id="99"/>
      <w:bookmarkStart w:id="100" w:name="_Toc45697230"/>
      <w:bookmarkStart w:id="101" w:name="_Toc22828067"/>
      <w:bookmarkStart w:id="102" w:name="_Toc17203"/>
      <w:r>
        <w:rPr>
          <w:rFonts w:hint="eastAsia"/>
          <w:b/>
          <w:color w:val="auto"/>
          <w:sz w:val="32"/>
          <w:szCs w:val="32"/>
        </w:rPr>
        <w:t>投标人须知前附表</w:t>
      </w:r>
      <w:bookmarkEnd w:id="100"/>
      <w:bookmarkEnd w:id="101"/>
      <w:bookmarkEnd w:id="102"/>
    </w:p>
    <w:p>
      <w:pPr>
        <w:pStyle w:val="18"/>
        <w:kinsoku w:val="0"/>
        <w:spacing w:before="12"/>
        <w:ind w:left="0"/>
        <w:rPr>
          <w:rFonts w:ascii="Microsoft JhengHei" w:eastAsia="Microsoft JhengHei" w:cs="Microsoft JhengHei"/>
          <w:b/>
          <w:bCs/>
          <w:color w:val="auto"/>
          <w:sz w:val="12"/>
          <w:szCs w:val="12"/>
        </w:rPr>
      </w:pPr>
    </w:p>
    <w:tbl>
      <w:tblPr>
        <w:tblStyle w:val="40"/>
        <w:tblW w:w="9838" w:type="dxa"/>
        <w:tblInd w:w="-268" w:type="dxa"/>
        <w:tblLayout w:type="fixed"/>
        <w:tblCellMar>
          <w:top w:w="0" w:type="dxa"/>
          <w:left w:w="57" w:type="dxa"/>
          <w:bottom w:w="0" w:type="dxa"/>
          <w:right w:w="57" w:type="dxa"/>
        </w:tblCellMar>
      </w:tblPr>
      <w:tblGrid>
        <w:gridCol w:w="110"/>
        <w:gridCol w:w="1173"/>
        <w:gridCol w:w="1697"/>
        <w:gridCol w:w="6858"/>
      </w:tblGrid>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pacing w:before="41"/>
              <w:ind w:left="259"/>
              <w:rPr>
                <w:rFonts w:ascii="宋体" w:hAnsi="宋体"/>
                <w:color w:val="auto"/>
                <w:sz w:val="21"/>
                <w:szCs w:val="21"/>
              </w:rPr>
            </w:pPr>
            <w:r>
              <w:rPr>
                <w:rFonts w:hint="eastAsia" w:ascii="宋体" w:hAnsi="宋体" w:cs="Microsoft JhengHei"/>
                <w:b/>
                <w:bCs/>
                <w:color w:val="auto"/>
                <w:sz w:val="21"/>
                <w:szCs w:val="21"/>
              </w:rPr>
              <w:t>条款号</w:t>
            </w:r>
          </w:p>
        </w:tc>
        <w:tc>
          <w:tcPr>
            <w:tcW w:w="1697"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pacing w:before="41"/>
              <w:jc w:val="center"/>
              <w:rPr>
                <w:rFonts w:ascii="宋体" w:hAnsi="宋体"/>
                <w:color w:val="auto"/>
                <w:sz w:val="21"/>
                <w:szCs w:val="21"/>
              </w:rPr>
            </w:pPr>
            <w:r>
              <w:rPr>
                <w:rFonts w:hint="eastAsia" w:ascii="宋体" w:hAnsi="宋体" w:cs="Microsoft JhengHei"/>
                <w:b/>
                <w:bCs/>
                <w:color w:val="auto"/>
                <w:sz w:val="21"/>
                <w:szCs w:val="21"/>
              </w:rPr>
              <w:t>条款名称</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pacing w:before="41"/>
              <w:ind w:left="2"/>
              <w:jc w:val="center"/>
              <w:rPr>
                <w:rFonts w:ascii="宋体" w:hAnsi="宋体"/>
                <w:color w:val="auto"/>
                <w:sz w:val="21"/>
                <w:szCs w:val="21"/>
              </w:rPr>
            </w:pPr>
            <w:r>
              <w:rPr>
                <w:rFonts w:hint="eastAsia" w:ascii="宋体" w:hAnsi="宋体" w:cs="Microsoft JhengHei"/>
                <w:b/>
                <w:bCs/>
                <w:color w:val="auto"/>
                <w:sz w:val="21"/>
                <w:szCs w:val="21"/>
              </w:rPr>
              <w:t>编列内容</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olor w:val="auto"/>
              </w:rPr>
            </w:pPr>
            <w:r>
              <w:rPr>
                <w:rFonts w:ascii="宋体" w:hAnsi="宋体"/>
                <w:color w:val="auto"/>
              </w:rPr>
              <w:t>1.1.2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color w:val="auto"/>
              </w:rPr>
            </w:pPr>
            <w:r>
              <w:rPr>
                <w:rFonts w:hint="eastAsia" w:ascii="宋体" w:cs="宋体"/>
                <w:color w:val="auto"/>
              </w:rPr>
              <w:t>招标人</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pacing w:before="110"/>
              <w:ind w:right="3293"/>
              <w:rPr>
                <w:rFonts w:ascii="宋体" w:cs="宋体"/>
                <w:color w:val="auto"/>
              </w:rPr>
            </w:pPr>
            <w:r>
              <w:rPr>
                <w:rFonts w:hint="eastAsia" w:ascii="宋体" w:cs="宋体"/>
                <w:color w:val="auto"/>
              </w:rPr>
              <w:t>名称：</w:t>
            </w:r>
          </w:p>
          <w:p>
            <w:pPr>
              <w:pStyle w:val="136"/>
              <w:kinsoku w:val="0"/>
              <w:spacing w:before="110"/>
              <w:ind w:right="3293"/>
              <w:rPr>
                <w:rFonts w:ascii="宋体" w:cs="宋体"/>
                <w:color w:val="auto"/>
              </w:rPr>
            </w:pPr>
            <w:r>
              <w:rPr>
                <w:rFonts w:hint="eastAsia" w:ascii="宋体" w:cs="宋体"/>
                <w:color w:val="auto"/>
              </w:rPr>
              <w:t>地址：</w:t>
            </w:r>
          </w:p>
          <w:p>
            <w:pPr>
              <w:pStyle w:val="136"/>
              <w:kinsoku w:val="0"/>
              <w:spacing w:before="110"/>
              <w:ind w:right="3293"/>
              <w:rPr>
                <w:rFonts w:ascii="宋体" w:cs="宋体"/>
                <w:color w:val="auto"/>
              </w:rPr>
            </w:pPr>
            <w:r>
              <w:rPr>
                <w:rFonts w:hint="eastAsia" w:ascii="宋体" w:cs="宋体"/>
                <w:color w:val="auto"/>
              </w:rPr>
              <w:t>联系人：</w:t>
            </w:r>
          </w:p>
          <w:p>
            <w:pPr>
              <w:pStyle w:val="136"/>
              <w:kinsoku w:val="0"/>
              <w:spacing w:before="40"/>
              <w:rPr>
                <w:rFonts w:ascii="宋体" w:cs="宋体"/>
                <w:color w:val="auto"/>
              </w:rPr>
            </w:pPr>
            <w:r>
              <w:rPr>
                <w:rFonts w:hint="eastAsia" w:ascii="宋体" w:cs="宋体"/>
                <w:color w:val="auto"/>
              </w:rPr>
              <w:t>电话：</w:t>
            </w:r>
          </w:p>
          <w:p>
            <w:pPr>
              <w:pStyle w:val="136"/>
              <w:kinsoku w:val="0"/>
              <w:spacing w:before="40"/>
              <w:rPr>
                <w:color w:val="auto"/>
              </w:rPr>
            </w:pPr>
            <w:r>
              <w:rPr>
                <w:rFonts w:hint="eastAsia"/>
                <w:color w:val="auto"/>
              </w:rPr>
              <w:t>邮箱：</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olor w:val="auto"/>
              </w:rPr>
            </w:pPr>
            <w:r>
              <w:rPr>
                <w:rFonts w:ascii="宋体" w:hAnsi="宋体"/>
                <w:color w:val="auto"/>
              </w:rPr>
              <w:t>1.1.3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招标代理机构</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pacing w:before="107"/>
              <w:ind w:right="3293"/>
              <w:rPr>
                <w:rFonts w:ascii="宋体" w:cs="宋体"/>
                <w:color w:val="auto"/>
                <w:spacing w:val="-102"/>
              </w:rPr>
            </w:pPr>
            <w:r>
              <w:rPr>
                <w:rFonts w:hint="eastAsia" w:ascii="宋体" w:cs="宋体"/>
                <w:color w:val="auto"/>
              </w:rPr>
              <w:t>名称：</w:t>
            </w:r>
            <w:r>
              <w:rPr>
                <w:rFonts w:ascii="宋体" w:cs="宋体"/>
                <w:color w:val="auto"/>
                <w:spacing w:val="-102"/>
              </w:rPr>
              <w:t xml:space="preserve"> </w:t>
            </w:r>
          </w:p>
          <w:p>
            <w:pPr>
              <w:pStyle w:val="136"/>
              <w:kinsoku w:val="0"/>
              <w:spacing w:before="107"/>
              <w:ind w:right="3293"/>
              <w:rPr>
                <w:rFonts w:ascii="宋体" w:cs="宋体"/>
                <w:color w:val="auto"/>
              </w:rPr>
            </w:pPr>
            <w:r>
              <w:rPr>
                <w:rFonts w:hint="eastAsia" w:ascii="宋体" w:cs="宋体"/>
                <w:color w:val="auto"/>
              </w:rPr>
              <w:t>地址：</w:t>
            </w:r>
          </w:p>
          <w:p>
            <w:pPr>
              <w:pStyle w:val="136"/>
              <w:kinsoku w:val="0"/>
              <w:spacing w:before="107"/>
              <w:ind w:right="3293"/>
              <w:rPr>
                <w:rFonts w:ascii="宋体" w:cs="宋体"/>
                <w:color w:val="auto"/>
              </w:rPr>
            </w:pPr>
            <w:r>
              <w:rPr>
                <w:rFonts w:hint="eastAsia" w:ascii="宋体" w:cs="宋体"/>
                <w:color w:val="auto"/>
              </w:rPr>
              <w:t>联系人：</w:t>
            </w:r>
          </w:p>
          <w:p>
            <w:pPr>
              <w:pStyle w:val="136"/>
              <w:kinsoku w:val="0"/>
              <w:spacing w:before="38"/>
              <w:rPr>
                <w:rFonts w:ascii="宋体" w:cs="宋体"/>
                <w:color w:val="auto"/>
              </w:rPr>
            </w:pPr>
            <w:r>
              <w:rPr>
                <w:rFonts w:hint="eastAsia" w:ascii="宋体" w:cs="宋体"/>
                <w:color w:val="auto"/>
              </w:rPr>
              <w:t>电话：</w:t>
            </w:r>
          </w:p>
          <w:p>
            <w:pPr>
              <w:pStyle w:val="136"/>
              <w:kinsoku w:val="0"/>
              <w:spacing w:before="38"/>
              <w:rPr>
                <w:color w:val="auto"/>
              </w:rPr>
            </w:pPr>
            <w:r>
              <w:rPr>
                <w:rFonts w:hint="eastAsia" w:ascii="宋体" w:cs="宋体"/>
                <w:color w:val="auto"/>
              </w:rPr>
              <w:t>邮箱：</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9"/>
              <w:jc w:val="center"/>
              <w:rPr>
                <w:rFonts w:ascii="宋体" w:hAnsi="宋体"/>
                <w:color w:val="auto"/>
              </w:rPr>
            </w:pPr>
            <w:r>
              <w:rPr>
                <w:rFonts w:ascii="宋体" w:hAnsi="宋体"/>
                <w:color w:val="auto"/>
              </w:rPr>
              <w:t>1.1.4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工程名称</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6"/>
              <w:jc w:val="center"/>
              <w:rPr>
                <w:rFonts w:ascii="宋体" w:hAnsi="宋体"/>
                <w:color w:val="auto"/>
              </w:rPr>
            </w:pPr>
            <w:r>
              <w:rPr>
                <w:rFonts w:ascii="宋体" w:hAnsi="宋体"/>
                <w:color w:val="auto"/>
              </w:rPr>
              <w:t>1.1.5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建设地点</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6"/>
              <w:jc w:val="center"/>
              <w:rPr>
                <w:rFonts w:ascii="宋体" w:hAnsi="宋体"/>
                <w:color w:val="auto"/>
              </w:rPr>
            </w:pPr>
            <w:r>
              <w:rPr>
                <w:rFonts w:ascii="宋体" w:hAnsi="宋体"/>
                <w:color w:val="auto"/>
              </w:rPr>
              <w:t>1.1.6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工程承包方式</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9"/>
              <w:jc w:val="center"/>
              <w:rPr>
                <w:rFonts w:ascii="宋体" w:hAnsi="宋体"/>
                <w:color w:val="auto"/>
              </w:rPr>
            </w:pPr>
            <w:r>
              <w:rPr>
                <w:rFonts w:ascii="宋体" w:hAnsi="宋体"/>
                <w:color w:val="auto"/>
              </w:rPr>
              <w:t>1.2.1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资金来源及比例</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6"/>
              <w:jc w:val="center"/>
              <w:rPr>
                <w:rFonts w:ascii="宋体" w:hAnsi="宋体"/>
                <w:color w:val="auto"/>
              </w:rPr>
            </w:pPr>
            <w:r>
              <w:rPr>
                <w:rFonts w:ascii="宋体" w:hAnsi="宋体"/>
                <w:color w:val="auto"/>
              </w:rPr>
              <w:t>1.2.2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资金落实情况</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9"/>
              <w:jc w:val="center"/>
              <w:rPr>
                <w:rFonts w:ascii="宋体" w:hAnsi="宋体"/>
                <w:color w:val="auto"/>
              </w:rPr>
            </w:pPr>
            <w:r>
              <w:rPr>
                <w:rFonts w:ascii="宋体" w:hAnsi="宋体"/>
                <w:color w:val="auto"/>
              </w:rPr>
              <w:t>1.3.1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招标范围</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rPr>
                <w:color w:val="auto"/>
              </w:rPr>
            </w:pP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6"/>
              <w:jc w:val="center"/>
              <w:rPr>
                <w:rFonts w:ascii="宋体" w:hAnsi="宋体"/>
                <w:color w:val="auto"/>
              </w:rPr>
            </w:pPr>
            <w:r>
              <w:rPr>
                <w:rFonts w:ascii="宋体" w:hAnsi="宋体"/>
                <w:color w:val="auto"/>
              </w:rPr>
              <w:t>1.3.2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计划工期要求</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jc w:val="both"/>
              <w:rPr>
                <w:rFonts w:ascii="宋体"/>
                <w:color w:val="auto"/>
                <w:u w:val="single"/>
              </w:rPr>
            </w:pPr>
            <w:r>
              <w:rPr>
                <w:rFonts w:hint="eastAsia" w:ascii="宋体" w:hAnsi="宋体"/>
                <w:color w:val="auto"/>
              </w:rPr>
              <w:t>计划工期：</w:t>
            </w:r>
            <w:bookmarkStart w:id="103" w:name="EBd5e045ff72cb4e3488139d06b9fb7602"/>
            <w:r>
              <w:rPr>
                <w:rFonts w:ascii="宋体" w:hAnsi="宋体"/>
                <w:b/>
                <w:color w:val="auto"/>
                <w:u w:val="single"/>
              </w:rPr>
              <w:t xml:space="preserve">  </w:t>
            </w:r>
            <w:bookmarkEnd w:id="103"/>
            <w:r>
              <w:rPr>
                <w:rFonts w:hint="eastAsia" w:ascii="宋体" w:hAnsi="宋体"/>
                <w:color w:val="auto"/>
              </w:rPr>
              <w:t>个日历天。投标承诺工期不得超过该计划工期。</w:t>
            </w:r>
          </w:p>
          <w:p>
            <w:pPr>
              <w:snapToGrid w:val="0"/>
              <w:jc w:val="both"/>
              <w:rPr>
                <w:rFonts w:ascii="宋体"/>
                <w:color w:val="auto"/>
              </w:rPr>
            </w:pPr>
            <w:r>
              <w:rPr>
                <w:rFonts w:hint="eastAsia" w:ascii="宋体" w:hAnsi="宋体"/>
                <w:color w:val="auto"/>
              </w:rPr>
              <w:t>计划开工日期：</w:t>
            </w:r>
            <w:r>
              <w:rPr>
                <w:color w:val="auto"/>
                <w:u w:val="single"/>
              </w:rPr>
              <w:t xml:space="preserve">    </w:t>
            </w:r>
            <w:r>
              <w:rPr>
                <w:rFonts w:hint="eastAsia"/>
                <w:color w:val="auto"/>
              </w:rPr>
              <w:t>年</w:t>
            </w:r>
            <w:r>
              <w:rPr>
                <w:color w:val="auto"/>
              </w:rPr>
              <w:t xml:space="preserve"> </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jc w:val="both"/>
              <w:rPr>
                <w:rFonts w:ascii="宋体"/>
                <w:color w:val="auto"/>
                <w:u w:val="single"/>
              </w:rPr>
            </w:pPr>
            <w:r>
              <w:rPr>
                <w:rFonts w:hint="eastAsia" w:ascii="宋体" w:hAnsi="宋体"/>
                <w:color w:val="auto"/>
              </w:rPr>
              <w:t>计划竣工日期：</w:t>
            </w:r>
            <w:r>
              <w:rPr>
                <w:color w:val="auto"/>
                <w:u w:val="single"/>
              </w:rPr>
              <w:t xml:space="preserve">    </w:t>
            </w:r>
            <w:r>
              <w:rPr>
                <w:rFonts w:hint="eastAsia"/>
                <w:color w:val="auto"/>
              </w:rPr>
              <w:t>年</w:t>
            </w:r>
            <w:r>
              <w:rPr>
                <w:color w:val="auto"/>
              </w:rPr>
              <w:t xml:space="preserve"> </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jc w:val="both"/>
              <w:rPr>
                <w:color w:val="auto"/>
              </w:rPr>
            </w:pPr>
            <w:r>
              <w:rPr>
                <w:rFonts w:hint="eastAsia" w:ascii="宋体" w:hAnsi="宋体" w:cs="宋体"/>
                <w:color w:val="auto"/>
              </w:rPr>
              <w:t>□</w:t>
            </w:r>
            <w:r>
              <w:rPr>
                <w:rFonts w:hint="eastAsia"/>
                <w:color w:val="auto"/>
              </w:rPr>
              <w:t>本工程定额施工工期：</w:t>
            </w:r>
            <w:r>
              <w:rPr>
                <w:rFonts w:ascii="宋体" w:hAnsi="宋体"/>
                <w:b/>
                <w:color w:val="auto"/>
                <w:u w:val="single"/>
              </w:rPr>
              <w:t xml:space="preserve">   </w:t>
            </w:r>
            <w:r>
              <w:rPr>
                <w:rFonts w:hint="eastAsia" w:ascii="宋体" w:hAnsi="宋体"/>
                <w:color w:val="auto"/>
              </w:rPr>
              <w:t>日历天</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auto" w:sz="4" w:space="0"/>
              <w:right w:val="single" w:color="000000" w:sz="4" w:space="0"/>
            </w:tcBorders>
            <w:noWrap w:val="0"/>
            <w:vAlign w:val="center"/>
          </w:tcPr>
          <w:p>
            <w:pPr>
              <w:pStyle w:val="136"/>
              <w:kinsoku w:val="0"/>
              <w:spacing w:before="159"/>
              <w:jc w:val="center"/>
              <w:rPr>
                <w:rFonts w:ascii="宋体" w:hAnsi="宋体"/>
                <w:color w:val="auto"/>
              </w:rPr>
            </w:pPr>
            <w:r>
              <w:rPr>
                <w:rFonts w:ascii="宋体" w:hAnsi="宋体"/>
                <w:color w:val="auto"/>
              </w:rPr>
              <w:t>1.3.3</w:t>
            </w:r>
          </w:p>
        </w:tc>
        <w:tc>
          <w:tcPr>
            <w:tcW w:w="1697" w:type="dxa"/>
            <w:tcBorders>
              <w:top w:val="single" w:color="000000" w:sz="4" w:space="0"/>
              <w:left w:val="single" w:color="000000" w:sz="4" w:space="0"/>
              <w:bottom w:val="single" w:color="auto"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质量要求</w:t>
            </w:r>
          </w:p>
        </w:tc>
        <w:tc>
          <w:tcPr>
            <w:tcW w:w="6858" w:type="dxa"/>
            <w:tcBorders>
              <w:top w:val="single" w:color="000000" w:sz="4" w:space="0"/>
              <w:left w:val="single" w:color="000000" w:sz="4" w:space="0"/>
              <w:bottom w:val="single" w:color="auto" w:sz="4" w:space="0"/>
              <w:right w:val="single" w:color="000000" w:sz="4" w:space="0"/>
            </w:tcBorders>
            <w:noWrap w:val="0"/>
            <w:vAlign w:val="center"/>
          </w:tcPr>
          <w:p>
            <w:pPr>
              <w:jc w:val="both"/>
              <w:rPr>
                <w:rFonts w:eastAsia="新宋体"/>
                <w:color w:val="auto"/>
              </w:rPr>
            </w:pPr>
            <w:r>
              <w:rPr>
                <w:rFonts w:ascii="新宋体" w:hAnsi="新宋体" w:eastAsia="新宋体"/>
                <w:color w:val="auto"/>
              </w:rPr>
              <w:t>符合现行国家有关工程施工验收规范和标准的</w:t>
            </w:r>
            <w:r>
              <w:rPr>
                <w:rFonts w:ascii="新宋体" w:hAnsi="新宋体" w:eastAsia="新宋体"/>
                <w:color w:val="auto"/>
                <w:u w:val="single"/>
              </w:rPr>
              <w:t xml:space="preserve">  </w:t>
            </w:r>
            <w:r>
              <w:rPr>
                <w:rFonts w:hint="eastAsia" w:ascii="新宋体" w:hAnsi="新宋体" w:eastAsia="新宋体"/>
                <w:color w:val="auto"/>
                <w:u w:val="single"/>
              </w:rPr>
              <w:t xml:space="preserve"> </w:t>
            </w:r>
            <w:r>
              <w:rPr>
                <w:rFonts w:ascii="新宋体" w:hAnsi="新宋体" w:eastAsia="新宋体"/>
                <w:color w:val="auto"/>
                <w:u w:val="single"/>
              </w:rPr>
              <w:t xml:space="preserve">  </w:t>
            </w:r>
            <w:r>
              <w:rPr>
                <w:rFonts w:ascii="新宋体" w:hAnsi="新宋体" w:eastAsia="新宋体"/>
                <w:color w:val="auto"/>
              </w:rPr>
              <w:t>要求</w:t>
            </w:r>
          </w:p>
        </w:tc>
      </w:tr>
      <w:tr>
        <w:tblPrEx>
          <w:tblCellMar>
            <w:top w:w="0" w:type="dxa"/>
            <w:left w:w="57" w:type="dxa"/>
            <w:bottom w:w="0" w:type="dxa"/>
            <w:right w:w="57" w:type="dxa"/>
          </w:tblCellMar>
        </w:tblPrEx>
        <w:trPr>
          <w:gridBefore w:val="1"/>
          <w:wBefore w:w="110" w:type="dxa"/>
        </w:trPr>
        <w:tc>
          <w:tcPr>
            <w:tcW w:w="1173" w:type="dxa"/>
            <w:tcBorders>
              <w:top w:val="single" w:color="auto" w:sz="4" w:space="0"/>
              <w:left w:val="single" w:color="000000" w:sz="4" w:space="0"/>
              <w:bottom w:val="single" w:color="auto" w:sz="4" w:space="0"/>
              <w:right w:val="single" w:color="000000" w:sz="4" w:space="0"/>
            </w:tcBorders>
            <w:noWrap w:val="0"/>
            <w:vAlign w:val="center"/>
          </w:tcPr>
          <w:p>
            <w:pPr>
              <w:pStyle w:val="136"/>
              <w:kinsoku w:val="0"/>
              <w:jc w:val="center"/>
              <w:rPr>
                <w:rFonts w:ascii="宋体" w:hAnsi="宋体"/>
                <w:color w:val="auto"/>
              </w:rPr>
            </w:pPr>
            <w:r>
              <w:rPr>
                <w:rFonts w:ascii="宋体" w:hAnsi="宋体"/>
                <w:color w:val="auto"/>
              </w:rPr>
              <w:t>1.4.1</w:t>
            </w:r>
          </w:p>
        </w:tc>
        <w:tc>
          <w:tcPr>
            <w:tcW w:w="1697" w:type="dxa"/>
            <w:tcBorders>
              <w:top w:val="single" w:color="auto" w:sz="4" w:space="0"/>
              <w:left w:val="single" w:color="000000" w:sz="4" w:space="0"/>
              <w:bottom w:val="single" w:color="auto" w:sz="4" w:space="0"/>
              <w:right w:val="single" w:color="000000" w:sz="4" w:space="0"/>
            </w:tcBorders>
            <w:noWrap w:val="0"/>
            <w:vAlign w:val="center"/>
          </w:tcPr>
          <w:p>
            <w:pPr>
              <w:pStyle w:val="136"/>
              <w:kinsoku w:val="0"/>
              <w:jc w:val="center"/>
              <w:rPr>
                <w:color w:val="auto"/>
              </w:rPr>
            </w:pPr>
            <w:r>
              <w:rPr>
                <w:rFonts w:hint="eastAsia" w:ascii="宋体" w:cs="宋体"/>
                <w:color w:val="auto"/>
              </w:rPr>
              <w:t>投标人资格及要求</w:t>
            </w:r>
          </w:p>
        </w:tc>
        <w:tc>
          <w:tcPr>
            <w:tcW w:w="6858" w:type="dxa"/>
            <w:tcBorders>
              <w:top w:val="single" w:color="auto" w:sz="4" w:space="0"/>
              <w:left w:val="single" w:color="000000" w:sz="4" w:space="0"/>
              <w:bottom w:val="single" w:color="auto" w:sz="4" w:space="0"/>
              <w:right w:val="single" w:color="000000" w:sz="4" w:space="0"/>
            </w:tcBorders>
            <w:noWrap w:val="0"/>
            <w:vAlign w:val="center"/>
          </w:tcPr>
          <w:p>
            <w:pPr>
              <w:pStyle w:val="136"/>
              <w:kinsoku w:val="0"/>
              <w:spacing w:line="300" w:lineRule="auto"/>
              <w:jc w:val="both"/>
              <w:rPr>
                <w:rFonts w:ascii="宋体" w:hAnsi="宋体" w:cs="宋体"/>
                <w:color w:val="auto"/>
              </w:rPr>
            </w:pPr>
            <w:r>
              <w:rPr>
                <w:rFonts w:hint="eastAsia" w:ascii="宋体" w:hAnsi="宋体" w:cs="宋体"/>
                <w:color w:val="auto"/>
              </w:rPr>
              <w:t>□</w:t>
            </w:r>
            <w:r>
              <w:rPr>
                <w:rFonts w:hint="eastAsia" w:ascii="宋体" w:cs="宋体"/>
                <w:color w:val="auto"/>
              </w:rPr>
              <w:t>见招标公告</w:t>
            </w:r>
          </w:p>
          <w:p>
            <w:pPr>
              <w:pStyle w:val="136"/>
              <w:kinsoku w:val="0"/>
              <w:spacing w:line="300" w:lineRule="auto"/>
              <w:jc w:val="both"/>
              <w:rPr>
                <w:rFonts w:ascii="宋体" w:hAnsi="宋体" w:cs="宋体"/>
                <w:color w:val="auto"/>
              </w:rPr>
            </w:pPr>
            <w:r>
              <w:rPr>
                <w:rFonts w:hint="eastAsia" w:ascii="宋体" w:hAnsi="宋体" w:cs="宋体"/>
                <w:color w:val="auto"/>
              </w:rPr>
              <w:t>□见</w:t>
            </w:r>
            <w:r>
              <w:rPr>
                <w:rFonts w:hint="eastAsia" w:ascii="宋体" w:cs="宋体"/>
                <w:color w:val="auto"/>
              </w:rPr>
              <w:t>投标邀请书</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47"/>
              <w:jc w:val="center"/>
              <w:rPr>
                <w:rFonts w:ascii="宋体" w:hAnsi="宋体"/>
                <w:color w:val="auto"/>
              </w:rPr>
            </w:pPr>
            <w:r>
              <w:rPr>
                <w:rFonts w:ascii="宋体" w:hAnsi="宋体"/>
                <w:color w:val="auto"/>
              </w:rPr>
              <w:t>1.4.2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color w:val="auto"/>
              </w:rPr>
            </w:pPr>
            <w:r>
              <w:rPr>
                <w:rFonts w:hint="eastAsia" w:ascii="宋体" w:cs="宋体"/>
                <w:color w:val="auto"/>
              </w:rPr>
              <w:t>是否接受联合体投标</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7"/>
              <w:topLinePunct/>
              <w:snapToGrid w:val="0"/>
              <w:spacing w:after="0" w:line="300" w:lineRule="auto"/>
              <w:rPr>
                <w:rFonts w:ascii="Calibri" w:hAnsi="宋体"/>
                <w:color w:val="auto"/>
                <w:kern w:val="2"/>
                <w:sz w:val="24"/>
                <w:szCs w:val="24"/>
              </w:rPr>
            </w:pPr>
            <w:r>
              <w:rPr>
                <w:rFonts w:ascii="Calibri" w:hAnsi="宋体"/>
                <w:color w:val="auto"/>
                <w:kern w:val="2"/>
                <w:sz w:val="24"/>
                <w:szCs w:val="24"/>
              </w:rPr>
              <w:t>□不接受</w:t>
            </w:r>
            <w:r>
              <w:rPr>
                <w:rFonts w:hint="eastAsia" w:ascii="Calibri" w:hAnsi="宋体"/>
                <w:color w:val="auto"/>
                <w:kern w:val="2"/>
                <w:sz w:val="24"/>
                <w:szCs w:val="24"/>
              </w:rPr>
              <w:t>。</w:t>
            </w:r>
          </w:p>
          <w:p>
            <w:pPr>
              <w:pStyle w:val="136"/>
              <w:kinsoku w:val="0"/>
              <w:snapToGrid w:val="0"/>
              <w:spacing w:line="300" w:lineRule="auto"/>
              <w:jc w:val="both"/>
              <w:rPr>
                <w:color w:val="auto"/>
                <w:u w:val="single"/>
              </w:rPr>
            </w:pPr>
            <w:r>
              <w:rPr>
                <w:rFonts w:ascii="宋体" w:hAnsi="宋体"/>
                <w:color w:val="auto"/>
              </w:rPr>
              <w:t>□接受</w:t>
            </w:r>
            <w:r>
              <w:rPr>
                <w:rFonts w:hint="eastAsia" w:ascii="宋体" w:hAnsi="宋体"/>
                <w:color w:val="auto"/>
              </w:rPr>
              <w:t>。</w:t>
            </w:r>
            <w:r>
              <w:rPr>
                <w:rFonts w:ascii="宋体" w:hAnsi="宋体"/>
                <w:color w:val="auto"/>
              </w:rPr>
              <w:t>应满足下列要求：</w:t>
            </w:r>
            <w:r>
              <w:rPr>
                <w:rFonts w:hint="eastAsia" w:ascii="宋体" w:cs="宋体"/>
                <w:color w:val="auto"/>
              </w:rPr>
              <w:t>见</w:t>
            </w:r>
            <w:r>
              <w:rPr>
                <w:rFonts w:ascii="宋体" w:hAnsi="宋体"/>
                <w:color w:val="auto"/>
              </w:rPr>
              <w:t>□</w:t>
            </w:r>
            <w:r>
              <w:rPr>
                <w:rFonts w:hint="eastAsia" w:ascii="宋体" w:cs="宋体"/>
                <w:color w:val="auto"/>
              </w:rPr>
              <w:t>招标公告</w:t>
            </w:r>
            <w:r>
              <w:rPr>
                <w:rFonts w:ascii="宋体" w:hAnsi="宋体"/>
                <w:color w:val="auto"/>
              </w:rPr>
              <w:t>□</w:t>
            </w:r>
            <w:r>
              <w:rPr>
                <w:rFonts w:hint="eastAsia" w:ascii="宋体" w:cs="宋体"/>
                <w:color w:val="auto"/>
              </w:rPr>
              <w:t>投标邀请书及投标人须知相应条款内容要求。</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47"/>
              <w:jc w:val="center"/>
              <w:rPr>
                <w:rFonts w:ascii="宋体" w:hAnsi="宋体"/>
                <w:color w:val="auto"/>
              </w:rPr>
            </w:pPr>
            <w:r>
              <w:rPr>
                <w:rFonts w:ascii="宋体" w:hAnsi="宋体"/>
                <w:color w:val="auto"/>
              </w:rPr>
              <w:t>1.4.3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资格审查方式</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line="300" w:lineRule="auto"/>
              <w:jc w:val="both"/>
              <w:rPr>
                <w:rFonts w:ascii="宋体" w:cs="宋体"/>
                <w:color w:val="auto"/>
              </w:rPr>
            </w:pPr>
            <w:r>
              <w:rPr>
                <w:rFonts w:hint="eastAsia" w:ascii="宋体" w:cs="宋体"/>
                <w:color w:val="auto"/>
              </w:rPr>
              <w:t>采用资格后审</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olor w:val="auto"/>
              </w:rPr>
            </w:pPr>
            <w:r>
              <w:rPr>
                <w:rFonts w:ascii="宋体" w:hAnsi="宋体"/>
                <w:color w:val="auto"/>
              </w:rPr>
              <w:t>1.9.1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color w:val="auto"/>
              </w:rPr>
            </w:pPr>
            <w:r>
              <w:rPr>
                <w:rFonts w:hint="eastAsia" w:ascii="宋体" w:cs="宋体"/>
                <w:color w:val="auto"/>
              </w:rPr>
              <w:t>踏勘现场</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line="300" w:lineRule="auto"/>
              <w:jc w:val="both"/>
              <w:rPr>
                <w:rFonts w:ascii="宋体"/>
                <w:color w:val="auto"/>
              </w:rPr>
            </w:pPr>
            <w:r>
              <w:rPr>
                <w:rFonts w:hint="eastAsia" w:ascii="宋体" w:cs="宋体"/>
                <w:color w:val="auto"/>
              </w:rPr>
              <w:t>□</w:t>
            </w:r>
            <w:r>
              <w:rPr>
                <w:rFonts w:hint="eastAsia" w:ascii="宋体"/>
                <w:color w:val="auto"/>
              </w:rPr>
              <w:t>投标人自行踏勘。</w:t>
            </w:r>
          </w:p>
          <w:p>
            <w:pPr>
              <w:pStyle w:val="136"/>
              <w:kinsoku w:val="0"/>
              <w:spacing w:line="300" w:lineRule="auto"/>
              <w:jc w:val="both"/>
              <w:rPr>
                <w:rFonts w:ascii="宋体" w:cs="宋体"/>
                <w:color w:val="auto"/>
              </w:rPr>
            </w:pPr>
            <w:r>
              <w:rPr>
                <w:rFonts w:hint="eastAsia" w:ascii="宋体" w:cs="宋体"/>
                <w:color w:val="auto"/>
              </w:rPr>
              <w:t>□由招标人组织，时间和地点：</w:t>
            </w:r>
            <w:r>
              <w:rPr>
                <w:rFonts w:ascii="宋体" w:cs="宋体"/>
                <w:color w:val="auto"/>
                <w:u w:val="single"/>
              </w:rPr>
              <w:t xml:space="preserve">       </w:t>
            </w:r>
            <w:r>
              <w:rPr>
                <w:rFonts w:hint="eastAsia" w:ascii="宋体" w:cs="宋体"/>
                <w:color w:val="auto"/>
              </w:rPr>
              <w:t>，联系人和联系电话：</w:t>
            </w:r>
            <w:r>
              <w:rPr>
                <w:rFonts w:ascii="宋体" w:cs="宋体"/>
                <w:color w:val="auto"/>
                <w:u w:val="single"/>
              </w:rPr>
              <w:t xml:space="preserve">        </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olor w:val="auto"/>
              </w:rPr>
            </w:pPr>
            <w:r>
              <w:rPr>
                <w:rFonts w:ascii="宋体" w:hAnsi="宋体"/>
                <w:color w:val="auto"/>
              </w:rPr>
              <w:t>1.10.1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ind w:right="1"/>
              <w:jc w:val="center"/>
              <w:rPr>
                <w:rFonts w:ascii="宋体" w:cs="宋体"/>
                <w:color w:val="auto"/>
              </w:rPr>
            </w:pPr>
            <w:r>
              <w:rPr>
                <w:rFonts w:hint="eastAsia" w:ascii="宋体" w:cs="宋体"/>
                <w:color w:val="auto"/>
              </w:rPr>
              <w:t>投标预备会</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line="300" w:lineRule="auto"/>
              <w:jc w:val="both"/>
              <w:rPr>
                <w:rFonts w:ascii="宋体" w:cs="宋体"/>
                <w:color w:val="auto"/>
              </w:rPr>
            </w:pPr>
            <w:r>
              <w:rPr>
                <w:rFonts w:hint="eastAsia" w:ascii="宋体" w:cs="宋体"/>
                <w:color w:val="auto"/>
              </w:rPr>
              <w:t>□不召开</w:t>
            </w:r>
          </w:p>
          <w:p>
            <w:pPr>
              <w:pStyle w:val="136"/>
              <w:kinsoku w:val="0"/>
              <w:spacing w:line="300" w:lineRule="auto"/>
              <w:jc w:val="both"/>
              <w:rPr>
                <w:rFonts w:ascii="宋体" w:cs="宋体"/>
                <w:color w:val="auto"/>
              </w:rPr>
            </w:pPr>
            <w:r>
              <w:rPr>
                <w:rFonts w:hint="eastAsia" w:ascii="宋体" w:cs="宋体"/>
                <w:color w:val="auto"/>
              </w:rPr>
              <w:t>□召开，召开时间：</w:t>
            </w:r>
            <w:r>
              <w:rPr>
                <w:rFonts w:ascii="宋体" w:cs="宋体"/>
                <w:color w:val="auto"/>
                <w:u w:val="single"/>
              </w:rPr>
              <w:t xml:space="preserve">               </w:t>
            </w:r>
            <w:r>
              <w:rPr>
                <w:rFonts w:hint="eastAsia" w:ascii="宋体" w:cs="宋体"/>
                <w:color w:val="auto"/>
              </w:rPr>
              <w:t>。</w:t>
            </w:r>
          </w:p>
          <w:p>
            <w:pPr>
              <w:pStyle w:val="136"/>
              <w:kinsoku w:val="0"/>
              <w:spacing w:line="300" w:lineRule="auto"/>
              <w:jc w:val="both"/>
              <w:rPr>
                <w:color w:val="auto"/>
                <w:kern w:val="2"/>
              </w:rPr>
            </w:pPr>
            <w:r>
              <w:rPr>
                <w:rFonts w:hint="eastAsia" w:ascii="宋体" w:cs="宋体"/>
                <w:color w:val="auto"/>
              </w:rPr>
              <w:t>召开地点：</w:t>
            </w:r>
            <w:r>
              <w:rPr>
                <w:rFonts w:ascii="宋体" w:cs="宋体"/>
                <w:color w:val="auto"/>
                <w:u w:val="single"/>
              </w:rPr>
              <w:t xml:space="preserve">                       </w:t>
            </w:r>
            <w:r>
              <w:rPr>
                <w:rFonts w:hint="eastAsia" w:ascii="宋体" w:cs="宋体"/>
                <w:color w:val="auto"/>
              </w:rPr>
              <w:t>。</w:t>
            </w:r>
          </w:p>
        </w:tc>
      </w:tr>
      <w:tr>
        <w:tblPrEx>
          <w:tblCellMar>
            <w:top w:w="0" w:type="dxa"/>
            <w:left w:w="57" w:type="dxa"/>
            <w:bottom w:w="0" w:type="dxa"/>
            <w:right w:w="57" w:type="dxa"/>
          </w:tblCellMar>
        </w:tblPrEx>
        <w:trPr>
          <w:gridBefore w:val="1"/>
          <w:wBefore w:w="110" w:type="dxa"/>
          <w:trHeight w:val="1569"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line="300" w:lineRule="auto"/>
              <w:jc w:val="center"/>
              <w:rPr>
                <w:rFonts w:ascii="宋体" w:cs="宋体"/>
                <w:color w:val="auto"/>
              </w:rPr>
            </w:pPr>
            <w:r>
              <w:rPr>
                <w:rFonts w:ascii="宋体" w:cs="宋体"/>
                <w:color w:val="auto"/>
              </w:rPr>
              <w:t>1.11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招标工程是否允许分包</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line="300" w:lineRule="auto"/>
              <w:rPr>
                <w:rFonts w:ascii="宋体" w:cs="宋体"/>
                <w:color w:val="auto"/>
              </w:rPr>
            </w:pPr>
            <w:r>
              <w:rPr>
                <w:rFonts w:hint="eastAsia" w:ascii="宋体" w:cs="宋体"/>
                <w:color w:val="auto"/>
              </w:rPr>
              <w:t>□不允许</w:t>
            </w:r>
          </w:p>
          <w:p>
            <w:pPr>
              <w:pStyle w:val="136"/>
              <w:kinsoku w:val="0"/>
              <w:spacing w:line="300" w:lineRule="auto"/>
              <w:rPr>
                <w:rFonts w:ascii="宋体" w:cs="宋体"/>
                <w:color w:val="auto"/>
              </w:rPr>
            </w:pPr>
            <w:r>
              <w:rPr>
                <w:rFonts w:hint="eastAsia" w:ascii="宋体" w:cs="宋体"/>
                <w:color w:val="auto"/>
              </w:rPr>
              <w:t>□允许。分包的工程内容：</w:t>
            </w:r>
            <w:r>
              <w:rPr>
                <w:rFonts w:ascii="宋体" w:cs="宋体"/>
                <w:color w:val="auto"/>
                <w:u w:val="single"/>
              </w:rPr>
              <w:t xml:space="preserve">             </w:t>
            </w:r>
          </w:p>
          <w:p>
            <w:pPr>
              <w:pStyle w:val="136"/>
              <w:kinsoku w:val="0"/>
              <w:spacing w:line="300" w:lineRule="auto"/>
              <w:ind w:firstLine="960" w:firstLineChars="400"/>
              <w:rPr>
                <w:rFonts w:ascii="宋体" w:cs="宋体"/>
                <w:color w:val="auto"/>
              </w:rPr>
            </w:pPr>
            <w:r>
              <w:rPr>
                <w:rFonts w:hint="eastAsia" w:ascii="宋体" w:cs="宋体"/>
                <w:color w:val="auto"/>
              </w:rPr>
              <w:t>分包金额要求：</w:t>
            </w:r>
            <w:r>
              <w:rPr>
                <w:rFonts w:ascii="宋体" w:cs="宋体"/>
                <w:color w:val="auto"/>
                <w:u w:val="single"/>
              </w:rPr>
              <w:t xml:space="preserve">               </w:t>
            </w:r>
          </w:p>
          <w:p>
            <w:pPr>
              <w:pStyle w:val="136"/>
              <w:kinsoku w:val="0"/>
              <w:spacing w:line="300" w:lineRule="auto"/>
              <w:ind w:firstLine="960" w:firstLineChars="400"/>
              <w:rPr>
                <w:rFonts w:ascii="宋体" w:cs="宋体"/>
                <w:color w:val="auto"/>
              </w:rPr>
            </w:pPr>
            <w:r>
              <w:rPr>
                <w:rFonts w:hint="eastAsia" w:ascii="宋体" w:cs="宋体"/>
                <w:color w:val="auto"/>
              </w:rPr>
              <w:t>分包企业应符合规定的资格要求。</w:t>
            </w:r>
          </w:p>
        </w:tc>
      </w:tr>
      <w:tr>
        <w:tblPrEx>
          <w:tblCellMar>
            <w:top w:w="0" w:type="dxa"/>
            <w:left w:w="57" w:type="dxa"/>
            <w:bottom w:w="0" w:type="dxa"/>
            <w:right w:w="57" w:type="dxa"/>
          </w:tblCellMar>
        </w:tblPrEx>
        <w:trPr>
          <w:gridBefore w:val="1"/>
          <w:wBefore w:w="110" w:type="dxa"/>
          <w:trHeight w:val="851"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6"/>
              <w:jc w:val="center"/>
              <w:rPr>
                <w:rFonts w:ascii="宋体" w:hAnsi="宋体"/>
                <w:color w:val="auto"/>
              </w:rPr>
            </w:pPr>
            <w:r>
              <w:rPr>
                <w:rFonts w:ascii="宋体" w:hAnsi="宋体"/>
                <w:color w:val="auto"/>
              </w:rPr>
              <w:t>1.12.1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jc w:val="center"/>
              <w:rPr>
                <w:rFonts w:eastAsia="Times New Roman"/>
                <w:color w:val="auto"/>
              </w:rPr>
            </w:pPr>
            <w:r>
              <w:rPr>
                <w:rFonts w:hint="eastAsia" w:ascii="宋体"/>
                <w:color w:val="auto"/>
              </w:rPr>
              <w:t>实质性要求和条件</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pacing w:line="300" w:lineRule="auto"/>
              <w:rPr>
                <w:rFonts w:ascii="宋体" w:cs="宋体"/>
                <w:color w:val="auto"/>
              </w:rPr>
            </w:pPr>
            <w:r>
              <w:rPr>
                <w:rFonts w:hint="eastAsia" w:ascii="宋体" w:cs="宋体"/>
                <w:color w:val="auto"/>
              </w:rPr>
              <w:t>详见招标公告或者投标邀请书</w:t>
            </w:r>
          </w:p>
          <w:p>
            <w:pPr>
              <w:pStyle w:val="136"/>
              <w:kinsoku w:val="0"/>
              <w:spacing w:line="300" w:lineRule="auto"/>
              <w:rPr>
                <w:rFonts w:ascii="宋体" w:cs="宋体"/>
                <w:color w:val="auto"/>
                <w:spacing w:val="-103"/>
                <w:u w:val="single"/>
              </w:rPr>
            </w:pPr>
            <w:r>
              <w:rPr>
                <w:rFonts w:hint="eastAsia" w:ascii="宋体" w:cs="宋体"/>
                <w:color w:val="auto"/>
              </w:rPr>
              <w:t>其他要求：</w:t>
            </w:r>
            <w:r>
              <w:rPr>
                <w:rFonts w:ascii="宋体" w:cs="宋体"/>
                <w:color w:val="auto"/>
                <w:u w:val="single"/>
              </w:rPr>
              <w:t xml:space="preserve">            </w:t>
            </w:r>
            <w:r>
              <w:rPr>
                <w:rFonts w:hint="eastAsia" w:ascii="宋体" w:cs="宋体"/>
                <w:color w:val="auto"/>
              </w:rPr>
              <w:t>。</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olor w:val="auto"/>
              </w:rPr>
            </w:pPr>
            <w:r>
              <w:rPr>
                <w:rFonts w:ascii="宋体" w:hAnsi="宋体"/>
                <w:color w:val="auto"/>
              </w:rPr>
              <w:t>1.12.2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color w:val="auto"/>
              </w:rPr>
            </w:pPr>
            <w:r>
              <w:rPr>
                <w:rFonts w:hint="eastAsia" w:ascii="宋体" w:cs="宋体"/>
                <w:color w:val="auto"/>
              </w:rPr>
              <w:t>偏差</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napToGrid w:val="0"/>
              <w:spacing w:line="300" w:lineRule="auto"/>
              <w:jc w:val="both"/>
              <w:rPr>
                <w:rFonts w:ascii="宋体" w:cs="宋体"/>
                <w:color w:val="auto"/>
              </w:rPr>
            </w:pPr>
            <w:r>
              <w:rPr>
                <w:rFonts w:hint="eastAsia" w:ascii="宋体" w:cs="宋体"/>
                <w:color w:val="auto"/>
              </w:rPr>
              <w:t>□不</w:t>
            </w:r>
            <w:r>
              <w:rPr>
                <w:rFonts w:hint="eastAsia" w:ascii="宋体" w:hAnsi="宋体" w:eastAsia="宋体" w:cs="宋体"/>
                <w:color w:val="auto"/>
              </w:rPr>
              <w:t>允许</w:t>
            </w:r>
          </w:p>
          <w:p>
            <w:pPr>
              <w:pStyle w:val="136"/>
              <w:kinsoku w:val="0"/>
              <w:snapToGrid w:val="0"/>
              <w:spacing w:line="300" w:lineRule="auto"/>
              <w:jc w:val="both"/>
              <w:rPr>
                <w:rFonts w:ascii="宋体" w:hAnsi="宋体" w:eastAsia="宋体"/>
                <w:color w:val="auto"/>
              </w:rPr>
            </w:pPr>
            <w:r>
              <w:rPr>
                <w:rFonts w:hint="eastAsia" w:ascii="宋体" w:cs="宋体"/>
                <w:color w:val="auto"/>
              </w:rPr>
              <w:t>□</w:t>
            </w:r>
            <w:r>
              <w:rPr>
                <w:rFonts w:hint="eastAsia" w:ascii="宋体" w:hAnsi="宋体" w:eastAsia="宋体" w:cs="宋体"/>
                <w:color w:val="auto"/>
              </w:rPr>
              <w:t>允许偏差的内容、范围和幅度：</w:t>
            </w:r>
            <w:r>
              <w:rPr>
                <w:rFonts w:ascii="宋体" w:hAnsi="宋体" w:eastAsia="宋体" w:cs="宋体"/>
                <w:color w:val="auto"/>
                <w:u w:val="single"/>
              </w:rPr>
              <w:t xml:space="preserve">                              </w:t>
            </w:r>
          </w:p>
        </w:tc>
      </w:tr>
      <w:tr>
        <w:tblPrEx>
          <w:tblCellMar>
            <w:top w:w="0" w:type="dxa"/>
            <w:left w:w="57" w:type="dxa"/>
            <w:bottom w:w="0" w:type="dxa"/>
            <w:right w:w="57" w:type="dxa"/>
          </w:tblCellMar>
        </w:tblPrEx>
        <w:trPr>
          <w:gridBefore w:val="1"/>
          <w:wBefore w:w="110" w:type="dxa"/>
          <w:trHeight w:val="90"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6"/>
              <w:ind w:left="2"/>
              <w:jc w:val="center"/>
              <w:rPr>
                <w:rFonts w:ascii="宋体" w:hAnsi="宋体"/>
                <w:color w:val="auto"/>
              </w:rPr>
            </w:pPr>
            <w:r>
              <w:rPr>
                <w:rFonts w:ascii="宋体" w:hAnsi="宋体"/>
                <w:color w:val="auto"/>
              </w:rPr>
              <w:t>2.1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jc w:val="center"/>
              <w:rPr>
                <w:color w:val="auto"/>
              </w:rPr>
            </w:pPr>
            <w:r>
              <w:rPr>
                <w:rFonts w:hint="eastAsia" w:ascii="宋体" w:cs="宋体"/>
                <w:color w:val="auto"/>
              </w:rPr>
              <w:t>构成招标文件的其他资料</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rPr>
                <w:rFonts w:hint="eastAsia"/>
                <w:color w:val="auto"/>
              </w:rPr>
            </w:pPr>
            <w:r>
              <w:rPr>
                <w:rFonts w:hint="eastAsia"/>
                <w:color w:val="auto"/>
              </w:rPr>
              <w:t>招标控制价及明细</w:t>
            </w:r>
          </w:p>
          <w:p>
            <w:pPr>
              <w:pStyle w:val="2"/>
              <w:rPr>
                <w:rFonts w:hint="default" w:eastAsia="宋体"/>
                <w:color w:val="auto"/>
                <w:lang w:val="en-US" w:eastAsia="zh-CN"/>
              </w:rPr>
            </w:pPr>
            <w:r>
              <w:rPr>
                <w:rFonts w:hint="eastAsia" w:ascii="宋体" w:cs="宋体"/>
                <w:color w:val="auto"/>
              </w:rPr>
              <w:sym w:font="Wingdings 2" w:char="00A3"/>
            </w:r>
            <w:r>
              <w:rPr>
                <w:rFonts w:hint="eastAsia" w:ascii="宋体" w:hAnsi="宋体" w:eastAsia="宋体"/>
                <w:color w:val="auto"/>
                <w:lang w:val="en-US" w:eastAsia="zh-CN"/>
              </w:rPr>
              <w:t xml:space="preserve"> </w:t>
            </w:r>
            <w:r>
              <w:rPr>
                <w:rFonts w:hint="eastAsia" w:ascii="宋体" w:hAnsi="宋体" w:eastAsia="宋体"/>
                <w:color w:val="auto"/>
                <w:u w:val="single"/>
                <w:lang w:val="en-US" w:eastAsia="zh-CN"/>
              </w:rPr>
              <w:t xml:space="preserve">              </w:t>
            </w:r>
            <w:r>
              <w:rPr>
                <w:rFonts w:hint="eastAsia" w:ascii="宋体" w:hAnsi="宋体" w:eastAsia="宋体"/>
                <w:color w:val="auto"/>
                <w:lang w:val="en-US" w:eastAsia="zh-CN"/>
              </w:rPr>
              <w:t xml:space="preserve">  </w:t>
            </w:r>
          </w:p>
        </w:tc>
      </w:tr>
      <w:tr>
        <w:tblPrEx>
          <w:tblCellMar>
            <w:top w:w="0" w:type="dxa"/>
            <w:left w:w="57" w:type="dxa"/>
            <w:bottom w:w="0" w:type="dxa"/>
            <w:right w:w="57" w:type="dxa"/>
          </w:tblCellMar>
        </w:tblPrEx>
        <w:trPr>
          <w:gridBefore w:val="1"/>
          <w:wBefore w:w="110" w:type="dxa"/>
          <w:trHeight w:val="1362" w:hRule="atLeast"/>
        </w:trPr>
        <w:tc>
          <w:tcPr>
            <w:tcW w:w="1173" w:type="dxa"/>
            <w:vMerge w:val="restart"/>
            <w:tcBorders>
              <w:top w:val="single" w:color="000000" w:sz="4" w:space="0"/>
              <w:left w:val="single" w:color="000000" w:sz="4" w:space="0"/>
              <w:right w:val="single" w:color="000000" w:sz="4" w:space="0"/>
            </w:tcBorders>
            <w:noWrap w:val="0"/>
            <w:vAlign w:val="center"/>
          </w:tcPr>
          <w:p>
            <w:pPr>
              <w:pStyle w:val="136"/>
              <w:kinsoku w:val="0"/>
              <w:spacing w:before="150"/>
              <w:jc w:val="center"/>
              <w:rPr>
                <w:rFonts w:ascii="宋体" w:hAnsi="宋体"/>
                <w:color w:val="auto"/>
              </w:rPr>
            </w:pPr>
            <w:r>
              <w:rPr>
                <w:rFonts w:ascii="宋体" w:hAnsi="宋体"/>
                <w:color w:val="auto"/>
              </w:rPr>
              <w:t>2.2.1</w:t>
            </w:r>
          </w:p>
          <w:p>
            <w:pPr>
              <w:pStyle w:val="136"/>
              <w:kinsoku w:val="0"/>
              <w:spacing w:before="156"/>
              <w:jc w:val="center"/>
              <w:rPr>
                <w:rFonts w:ascii="宋体" w:hAnsi="宋体"/>
                <w:color w:val="auto"/>
              </w:rPr>
            </w:pP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olor w:val="auto"/>
              </w:rPr>
              <w:t>投标人要求澄清招标文件</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rPr>
                <w:rFonts w:ascii="宋体" w:hAnsi="宋体" w:eastAsia="宋体"/>
                <w:color w:val="auto"/>
              </w:rPr>
            </w:pPr>
            <w:r>
              <w:rPr>
                <w:rFonts w:hint="eastAsia" w:ascii="宋体" w:hAnsi="宋体" w:eastAsia="宋体"/>
                <w:color w:val="auto"/>
              </w:rPr>
              <w:t>截止时间：</w:t>
            </w:r>
            <w:r>
              <w:rPr>
                <w:rFonts w:ascii="宋体" w:hAnsi="宋体" w:eastAsia="宋体"/>
                <w:color w:val="auto"/>
                <w:u w:val="single"/>
              </w:rPr>
              <w:t xml:space="preserve">  </w:t>
            </w:r>
            <w:r>
              <w:rPr>
                <w:rFonts w:hint="eastAsia" w:ascii="宋体" w:hAnsi="宋体" w:eastAsia="宋体"/>
                <w:color w:val="auto"/>
              </w:rPr>
              <w:t>年</w:t>
            </w:r>
            <w:r>
              <w:rPr>
                <w:rFonts w:ascii="宋体" w:hAnsi="宋体" w:eastAsia="宋体"/>
                <w:color w:val="auto"/>
                <w:u w:val="single"/>
              </w:rPr>
              <w:t xml:space="preserve">  </w:t>
            </w:r>
            <w:r>
              <w:rPr>
                <w:rFonts w:hint="eastAsia" w:ascii="宋体" w:hAnsi="宋体" w:eastAsia="宋体"/>
                <w:color w:val="auto"/>
              </w:rPr>
              <w:t>月</w:t>
            </w:r>
            <w:r>
              <w:rPr>
                <w:rFonts w:ascii="宋体" w:hAnsi="宋体" w:eastAsia="宋体"/>
                <w:color w:val="auto"/>
                <w:u w:val="single"/>
              </w:rPr>
              <w:t xml:space="preserve">  </w:t>
            </w:r>
            <w:r>
              <w:rPr>
                <w:rFonts w:hint="eastAsia" w:ascii="宋体" w:hAnsi="宋体" w:eastAsia="宋体"/>
                <w:color w:val="auto"/>
              </w:rPr>
              <w:t>日</w:t>
            </w:r>
            <w:r>
              <w:rPr>
                <w:rFonts w:ascii="宋体" w:hAnsi="宋体" w:eastAsia="宋体"/>
                <w:color w:val="auto"/>
                <w:u w:val="single"/>
              </w:rPr>
              <w:t xml:space="preserve">  </w:t>
            </w:r>
            <w:r>
              <w:rPr>
                <w:rFonts w:hint="eastAsia" w:ascii="宋体" w:hAnsi="宋体" w:eastAsia="宋体"/>
                <w:color w:val="auto"/>
              </w:rPr>
              <w:t>时（投标人在截止时间以后提出的澄清招标文件的要求</w:t>
            </w:r>
            <w:r>
              <w:rPr>
                <w:rFonts w:ascii="宋体" w:hAnsi="宋体" w:eastAsia="宋体"/>
                <w:color w:val="auto"/>
              </w:rPr>
              <w:t xml:space="preserve"> </w:t>
            </w:r>
            <w:r>
              <w:rPr>
                <w:rFonts w:hint="eastAsia" w:ascii="宋体" w:hAnsi="宋体" w:eastAsia="宋体"/>
                <w:color w:val="auto"/>
              </w:rPr>
              <w:t>，招标人可以拒绝受理）</w:t>
            </w:r>
          </w:p>
          <w:p>
            <w:pPr>
              <w:snapToGrid w:val="0"/>
              <w:spacing w:line="300" w:lineRule="auto"/>
              <w:rPr>
                <w:rFonts w:ascii="宋体" w:hAnsi="宋体" w:eastAsia="宋体"/>
                <w:color w:val="auto"/>
                <w:u w:val="single"/>
              </w:rPr>
            </w:pPr>
            <w:r>
              <w:rPr>
                <w:rFonts w:hint="eastAsia" w:ascii="宋体" w:hAnsi="宋体" w:eastAsia="宋体"/>
                <w:color w:val="auto"/>
              </w:rPr>
              <w:t>提交方式</w:t>
            </w:r>
            <w:r>
              <w:rPr>
                <w:rFonts w:ascii="宋体" w:hAnsi="宋体" w:eastAsia="宋体"/>
                <w:color w:val="auto"/>
              </w:rPr>
              <w:t>:</w:t>
            </w:r>
            <w:r>
              <w:rPr>
                <w:rFonts w:ascii="仿宋" w:hAnsi="仿宋" w:eastAsia="仿宋" w:cs="仿宋"/>
                <w:color w:val="auto"/>
                <w:u w:val="single"/>
              </w:rPr>
              <w:t xml:space="preserve">                             </w:t>
            </w:r>
            <w:r>
              <w:rPr>
                <w:rFonts w:ascii="宋体" w:hAnsi="宋体" w:eastAsia="宋体"/>
                <w:color w:val="auto"/>
                <w:u w:val="single"/>
              </w:rPr>
              <w:t>(由招标人填写)</w:t>
            </w:r>
          </w:p>
          <w:p>
            <w:pPr>
              <w:snapToGrid w:val="0"/>
              <w:spacing w:line="300" w:lineRule="auto"/>
              <w:rPr>
                <w:rFonts w:ascii="宋体" w:hAnsi="宋体" w:eastAsia="宋体"/>
                <w:color w:val="auto"/>
                <w:u w:val="single"/>
              </w:rPr>
            </w:pPr>
            <w:r>
              <w:rPr>
                <w:rFonts w:ascii="宋体" w:hAnsi="宋体" w:eastAsia="宋体"/>
                <w:color w:val="auto"/>
              </w:rPr>
              <w:t>联系方式：</w:t>
            </w:r>
            <w:r>
              <w:rPr>
                <w:rFonts w:ascii="宋体" w:hAnsi="宋体" w:eastAsia="宋体"/>
                <w:color w:val="auto"/>
                <w:u w:val="single"/>
              </w:rPr>
              <w:t xml:space="preserve">                </w:t>
            </w:r>
            <w:r>
              <w:rPr>
                <w:rFonts w:ascii="宋体" w:hAnsi="宋体" w:eastAsia="宋体"/>
                <w:color w:val="auto"/>
              </w:rPr>
              <w:t>联系人：</w:t>
            </w:r>
            <w:r>
              <w:rPr>
                <w:rFonts w:ascii="宋体" w:hAnsi="宋体" w:eastAsia="宋体"/>
                <w:color w:val="auto"/>
                <w:u w:val="single"/>
              </w:rPr>
              <w:t xml:space="preserve">                    </w:t>
            </w:r>
          </w:p>
        </w:tc>
      </w:tr>
      <w:tr>
        <w:tblPrEx>
          <w:tblCellMar>
            <w:top w:w="0" w:type="dxa"/>
            <w:left w:w="57" w:type="dxa"/>
            <w:bottom w:w="0" w:type="dxa"/>
            <w:right w:w="57" w:type="dxa"/>
          </w:tblCellMar>
        </w:tblPrEx>
        <w:trPr>
          <w:gridBefore w:val="1"/>
          <w:wBefore w:w="110" w:type="dxa"/>
          <w:trHeight w:val="90" w:hRule="atLeast"/>
        </w:trPr>
        <w:tc>
          <w:tcPr>
            <w:tcW w:w="1173" w:type="dxa"/>
            <w:vMerge w:val="continue"/>
            <w:tcBorders>
              <w:left w:val="single" w:color="000000" w:sz="4" w:space="0"/>
              <w:bottom w:val="single" w:color="000000" w:sz="4" w:space="0"/>
              <w:right w:val="single" w:color="000000" w:sz="4" w:space="0"/>
            </w:tcBorders>
            <w:noWrap w:val="0"/>
            <w:vAlign w:val="center"/>
          </w:tcPr>
          <w:p>
            <w:pPr>
              <w:pStyle w:val="136"/>
              <w:kinsoku w:val="0"/>
              <w:spacing w:before="156"/>
              <w:jc w:val="center"/>
              <w:rPr>
                <w:rFonts w:ascii="宋体" w:hAnsi="宋体"/>
                <w:color w:val="auto"/>
              </w:rPr>
            </w:pP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jc w:val="center"/>
              <w:rPr>
                <w:rFonts w:ascii="宋体"/>
                <w:color w:val="auto"/>
              </w:rPr>
            </w:pPr>
            <w:r>
              <w:rPr>
                <w:rFonts w:hint="eastAsia" w:ascii="宋体"/>
                <w:color w:val="auto"/>
              </w:rPr>
              <w:t>招标文件澄清</w:t>
            </w:r>
          </w:p>
          <w:p>
            <w:pPr>
              <w:pStyle w:val="136"/>
              <w:kinsoku w:val="0"/>
              <w:spacing w:before="107"/>
              <w:jc w:val="center"/>
              <w:rPr>
                <w:rFonts w:eastAsia="Times New Roman"/>
                <w:color w:val="auto"/>
              </w:rPr>
            </w:pPr>
            <w:r>
              <w:rPr>
                <w:rFonts w:hint="eastAsia" w:ascii="宋体"/>
                <w:color w:val="auto"/>
              </w:rPr>
              <w:t>发出的形式</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rPr>
                <w:rFonts w:ascii="宋体" w:hAnsi="宋体" w:eastAsia="宋体"/>
                <w:color w:val="auto"/>
              </w:rPr>
            </w:pPr>
            <w:r>
              <w:rPr>
                <w:rFonts w:hint="eastAsia" w:ascii="宋体" w:hAnsi="宋体" w:eastAsia="宋体"/>
                <w:color w:val="auto"/>
              </w:rPr>
              <w:t>招标人对投标人疑问作出统一的解答，并以招标补充文件的形式发出。</w:t>
            </w:r>
          </w:p>
          <w:p>
            <w:pPr>
              <w:snapToGrid w:val="0"/>
              <w:spacing w:line="300" w:lineRule="auto"/>
              <w:rPr>
                <w:rFonts w:ascii="宋体" w:hAnsi="宋体" w:eastAsia="宋体"/>
                <w:color w:val="auto"/>
              </w:rPr>
            </w:pPr>
            <w:r>
              <w:rPr>
                <w:rFonts w:hint="eastAsia" w:ascii="宋体" w:hAnsi="宋体" w:eastAsia="宋体"/>
                <w:color w:val="auto"/>
              </w:rPr>
              <w:t>在当地招投标交易平台上公开发布。在开标前，投标人须随时关注网站的最新答疑信息，自行下载。</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0"/>
              <w:jc w:val="center"/>
              <w:rPr>
                <w:rFonts w:ascii="宋体" w:hAnsi="宋体"/>
                <w:color w:val="auto"/>
              </w:rPr>
            </w:pPr>
            <w:r>
              <w:rPr>
                <w:rFonts w:ascii="宋体" w:hAnsi="宋体"/>
                <w:color w:val="auto"/>
              </w:rPr>
              <w:t>2.2.3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olor w:val="auto"/>
              </w:rPr>
            </w:pPr>
            <w:r>
              <w:rPr>
                <w:rFonts w:hint="eastAsia" w:ascii="宋体"/>
                <w:color w:val="auto"/>
              </w:rPr>
              <w:t>投标人确认</w:t>
            </w:r>
          </w:p>
          <w:p>
            <w:pPr>
              <w:pStyle w:val="136"/>
              <w:kinsoku w:val="0"/>
              <w:jc w:val="center"/>
              <w:rPr>
                <w:rFonts w:ascii="宋体" w:cs="宋体"/>
                <w:color w:val="auto"/>
              </w:rPr>
            </w:pPr>
            <w:r>
              <w:rPr>
                <w:rFonts w:hint="eastAsia" w:ascii="宋体"/>
                <w:color w:val="auto"/>
              </w:rPr>
              <w:t>收到招标文件澄清</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rPr>
                <w:rFonts w:ascii="宋体" w:hAnsi="宋体" w:eastAsia="宋体"/>
                <w:color w:val="auto"/>
              </w:rPr>
            </w:pPr>
            <w:r>
              <w:rPr>
                <w:rFonts w:hint="eastAsia" w:ascii="宋体" w:hAnsi="宋体" w:eastAsia="宋体"/>
                <w:color w:val="auto"/>
              </w:rPr>
              <w:t>潜在投标人应自行关注当地招投标交易平台发布的补充文件信息，招标人不再逐一通知。投标人因自身贻误行为导致投标失败的，责任自负。</w:t>
            </w:r>
          </w:p>
        </w:tc>
      </w:tr>
      <w:tr>
        <w:tblPrEx>
          <w:tblCellMar>
            <w:top w:w="0" w:type="dxa"/>
            <w:left w:w="57" w:type="dxa"/>
            <w:bottom w:w="0" w:type="dxa"/>
            <w:right w:w="57" w:type="dxa"/>
          </w:tblCellMar>
        </w:tblPrEx>
        <w:trPr>
          <w:gridBefore w:val="1"/>
          <w:wBefore w:w="110" w:type="dxa"/>
          <w:trHeight w:val="701"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olor w:val="auto"/>
              </w:rPr>
            </w:pPr>
            <w:r>
              <w:rPr>
                <w:rFonts w:ascii="宋体" w:hAnsi="宋体"/>
                <w:color w:val="auto"/>
              </w:rPr>
              <w:t>2.3.1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9"/>
              <w:jc w:val="center"/>
              <w:rPr>
                <w:rFonts w:eastAsia="Times New Roman"/>
                <w:color w:val="auto"/>
              </w:rPr>
            </w:pPr>
            <w:r>
              <w:rPr>
                <w:rFonts w:hint="eastAsia" w:ascii="宋体"/>
                <w:color w:val="auto"/>
              </w:rPr>
              <w:t>招标人修改文件发出的形式</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rPr>
                <w:rFonts w:ascii="宋体" w:hAnsi="宋体" w:eastAsia="宋体" w:cs="宋体"/>
                <w:color w:val="auto"/>
              </w:rPr>
            </w:pPr>
            <w:r>
              <w:rPr>
                <w:rFonts w:hint="eastAsia" w:ascii="宋体" w:hAnsi="宋体" w:eastAsia="宋体" w:cs="宋体"/>
                <w:color w:val="auto"/>
              </w:rPr>
              <w:t>同</w:t>
            </w:r>
            <w:r>
              <w:rPr>
                <w:rFonts w:ascii="宋体" w:hAnsi="宋体" w:eastAsia="宋体" w:cs="宋体"/>
                <w:color w:val="auto"/>
              </w:rPr>
              <w:t>2.2.1</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napToGrid w:val="0"/>
              <w:spacing w:line="300" w:lineRule="auto"/>
              <w:jc w:val="center"/>
              <w:rPr>
                <w:rFonts w:ascii="宋体" w:hAnsi="宋体"/>
                <w:color w:val="auto"/>
              </w:rPr>
            </w:pPr>
            <w:r>
              <w:rPr>
                <w:rFonts w:ascii="宋体" w:hAnsi="宋体"/>
                <w:color w:val="auto"/>
              </w:rPr>
              <w:t>3.1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8"/>
              <w:jc w:val="center"/>
              <w:rPr>
                <w:rFonts w:ascii="宋体" w:cs="宋体"/>
                <w:color w:val="auto"/>
              </w:rPr>
            </w:pPr>
            <w:r>
              <w:rPr>
                <w:rFonts w:hint="eastAsia" w:ascii="宋体" w:cs="宋体"/>
                <w:color w:val="auto"/>
              </w:rPr>
              <w:t>投标文件的组成</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jc w:val="both"/>
              <w:rPr>
                <w:rFonts w:ascii="宋体" w:hAnsi="宋体" w:eastAsia="宋体"/>
                <w:bCs/>
                <w:color w:val="auto"/>
              </w:rPr>
            </w:pPr>
            <w:r>
              <w:rPr>
                <w:rFonts w:hint="eastAsia" w:ascii="宋体" w:hAnsi="宋体" w:eastAsia="宋体"/>
                <w:bCs/>
                <w:color w:val="auto"/>
              </w:rPr>
              <w:t>商务标；</w:t>
            </w:r>
            <w:r>
              <w:rPr>
                <w:rFonts w:hint="eastAsia" w:ascii="宋体" w:hAnsi="宋体" w:eastAsia="宋体" w:cs="宋体"/>
                <w:bCs/>
                <w:color w:val="auto"/>
              </w:rPr>
              <w:t>□</w:t>
            </w:r>
            <w:r>
              <w:rPr>
                <w:rFonts w:hint="eastAsia" w:ascii="宋体" w:hAnsi="宋体" w:eastAsia="宋体"/>
                <w:bCs/>
                <w:color w:val="auto"/>
              </w:rPr>
              <w:t>其他投标资料：</w:t>
            </w:r>
            <w:r>
              <w:rPr>
                <w:rFonts w:ascii="宋体" w:hAnsi="宋体" w:eastAsia="宋体"/>
                <w:bCs/>
                <w:color w:val="auto"/>
                <w:u w:val="single"/>
              </w:rPr>
              <w:t xml:space="preserve">          </w:t>
            </w:r>
            <w:r>
              <w:rPr>
                <w:rFonts w:hint="eastAsia" w:ascii="宋体" w:hAnsi="宋体" w:eastAsia="宋体"/>
                <w:bCs/>
                <w:color w:val="auto"/>
              </w:rPr>
              <w:t>；</w:t>
            </w:r>
          </w:p>
          <w:p>
            <w:pPr>
              <w:snapToGrid w:val="0"/>
              <w:spacing w:line="300" w:lineRule="auto"/>
              <w:jc w:val="both"/>
              <w:rPr>
                <w:rFonts w:ascii="宋体" w:hAnsi="宋体" w:eastAsia="宋体"/>
                <w:bCs/>
                <w:color w:val="auto"/>
                <w:u w:val="single"/>
              </w:rPr>
            </w:pPr>
            <w:r>
              <w:rPr>
                <w:rFonts w:hint="eastAsia" w:ascii="宋体" w:hAnsi="宋体" w:eastAsia="宋体" w:cs="宋体"/>
                <w:bCs/>
                <w:color w:val="auto"/>
              </w:rPr>
              <w:t>□</w:t>
            </w:r>
            <w:r>
              <w:rPr>
                <w:rFonts w:ascii="宋体" w:hAnsi="宋体" w:eastAsia="宋体" w:cs="宋体"/>
                <w:bCs/>
                <w:color w:val="auto"/>
              </w:rPr>
              <w:t>技术</w:t>
            </w:r>
            <w:r>
              <w:rPr>
                <w:rFonts w:hint="eastAsia" w:ascii="宋体" w:hAnsi="宋体" w:eastAsia="宋体"/>
                <w:bCs/>
                <w:color w:val="auto"/>
              </w:rPr>
              <w:t>标；</w:t>
            </w:r>
            <w:r>
              <w:rPr>
                <w:rFonts w:hint="eastAsia" w:ascii="宋体" w:hAnsi="宋体" w:eastAsia="宋体" w:cs="宋体"/>
                <w:bCs/>
                <w:color w:val="auto"/>
              </w:rPr>
              <w:t>□</w:t>
            </w:r>
            <w:r>
              <w:rPr>
                <w:rFonts w:hint="eastAsia" w:ascii="宋体" w:hAnsi="宋体" w:eastAsia="宋体"/>
                <w:bCs/>
                <w:color w:val="auto"/>
              </w:rPr>
              <w:t>其他投标资料：</w:t>
            </w:r>
            <w:r>
              <w:rPr>
                <w:rFonts w:ascii="宋体" w:hAnsi="宋体" w:eastAsia="宋体"/>
                <w:bCs/>
                <w:color w:val="auto"/>
                <w:u w:val="single"/>
              </w:rPr>
              <w:t xml:space="preserve">        </w:t>
            </w:r>
            <w:r>
              <w:rPr>
                <w:rFonts w:hint="eastAsia" w:ascii="宋体" w:hAnsi="宋体" w:eastAsia="宋体"/>
                <w:bCs/>
                <w:color w:val="auto"/>
              </w:rPr>
              <w:t>；</w:t>
            </w:r>
          </w:p>
          <w:p>
            <w:pPr>
              <w:snapToGrid w:val="0"/>
              <w:spacing w:line="300" w:lineRule="auto"/>
              <w:jc w:val="both"/>
              <w:rPr>
                <w:rFonts w:ascii="宋体" w:hAnsi="宋体" w:eastAsia="宋体"/>
                <w:bCs/>
                <w:color w:val="auto"/>
              </w:rPr>
            </w:pPr>
            <w:r>
              <w:rPr>
                <w:rFonts w:hint="eastAsia" w:ascii="宋体" w:hAnsi="宋体" w:eastAsia="宋体" w:cs="宋体"/>
                <w:bCs/>
                <w:color w:val="auto"/>
              </w:rPr>
              <w:t>□</w:t>
            </w:r>
            <w:r>
              <w:rPr>
                <w:rFonts w:ascii="宋体" w:hAnsi="宋体" w:eastAsia="宋体" w:cs="宋体"/>
                <w:bCs/>
                <w:color w:val="auto"/>
              </w:rPr>
              <w:t>资信</w:t>
            </w:r>
            <w:r>
              <w:rPr>
                <w:rFonts w:hint="eastAsia" w:ascii="宋体" w:hAnsi="宋体" w:eastAsia="宋体"/>
                <w:bCs/>
                <w:color w:val="auto"/>
              </w:rPr>
              <w:t>标；</w:t>
            </w:r>
            <w:r>
              <w:rPr>
                <w:rFonts w:hint="eastAsia" w:ascii="宋体" w:hAnsi="宋体" w:eastAsia="宋体" w:cs="宋体"/>
                <w:bCs/>
                <w:color w:val="auto"/>
              </w:rPr>
              <w:t>□</w:t>
            </w:r>
            <w:r>
              <w:rPr>
                <w:rFonts w:hint="eastAsia" w:ascii="宋体" w:hAnsi="宋体" w:eastAsia="宋体"/>
                <w:bCs/>
                <w:color w:val="auto"/>
              </w:rPr>
              <w:t>其他投标资料：</w:t>
            </w:r>
            <w:r>
              <w:rPr>
                <w:rFonts w:ascii="宋体" w:hAnsi="宋体" w:eastAsia="宋体"/>
                <w:bCs/>
                <w:color w:val="auto"/>
                <w:u w:val="single"/>
              </w:rPr>
              <w:t xml:space="preserve">        </w:t>
            </w:r>
            <w:r>
              <w:rPr>
                <w:rFonts w:hint="eastAsia" w:ascii="宋体" w:hAnsi="宋体" w:eastAsia="宋体"/>
                <w:bCs/>
                <w:color w:val="auto"/>
              </w:rPr>
              <w:t>；</w:t>
            </w:r>
          </w:p>
          <w:p>
            <w:pPr>
              <w:snapToGrid w:val="0"/>
              <w:spacing w:line="300" w:lineRule="auto"/>
              <w:jc w:val="both"/>
              <w:rPr>
                <w:rFonts w:ascii="宋体" w:hAnsi="宋体" w:eastAsia="宋体"/>
                <w:color w:val="auto"/>
              </w:rPr>
            </w:pPr>
            <w:r>
              <w:rPr>
                <w:rFonts w:hint="eastAsia" w:ascii="宋体" w:hAnsi="宋体" w:eastAsia="宋体"/>
                <w:bCs/>
                <w:color w:val="auto"/>
              </w:rPr>
              <w:t>资格审查资料；</w:t>
            </w:r>
            <w:r>
              <w:rPr>
                <w:rFonts w:hint="eastAsia" w:ascii="宋体" w:hAnsi="宋体" w:eastAsia="宋体" w:cs="宋体"/>
                <w:bCs/>
                <w:color w:val="auto"/>
              </w:rPr>
              <w:t>□</w:t>
            </w:r>
            <w:r>
              <w:rPr>
                <w:rFonts w:hint="eastAsia" w:ascii="宋体" w:hAnsi="宋体" w:eastAsia="宋体"/>
                <w:bCs/>
                <w:color w:val="auto"/>
              </w:rPr>
              <w:t>其他投标资料：</w:t>
            </w:r>
            <w:r>
              <w:rPr>
                <w:rFonts w:ascii="宋体" w:hAnsi="宋体" w:eastAsia="宋体"/>
                <w:bCs/>
                <w:color w:val="auto"/>
                <w:u w:val="single"/>
              </w:rPr>
              <w:t xml:space="preserve">        </w:t>
            </w:r>
            <w:r>
              <w:rPr>
                <w:rFonts w:hint="eastAsia" w:ascii="宋体" w:hAnsi="宋体" w:eastAsia="宋体"/>
                <w:bCs/>
                <w:color w:val="auto"/>
              </w:rPr>
              <w:t>。</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6"/>
              <w:jc w:val="center"/>
              <w:rPr>
                <w:rFonts w:ascii="宋体" w:hAnsi="宋体"/>
                <w:color w:val="auto"/>
              </w:rPr>
            </w:pPr>
            <w:r>
              <w:rPr>
                <w:rFonts w:ascii="宋体" w:hAnsi="宋体"/>
                <w:color w:val="auto"/>
              </w:rPr>
              <w:t>3.2.1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jc w:val="center"/>
              <w:rPr>
                <w:color w:val="auto"/>
              </w:rPr>
            </w:pPr>
            <w:r>
              <w:rPr>
                <w:rFonts w:hint="eastAsia" w:ascii="宋体" w:cs="宋体"/>
                <w:color w:val="auto"/>
              </w:rPr>
              <w:t>增值税税金的计算方法</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jc w:val="both"/>
              <w:rPr>
                <w:rFonts w:ascii="宋体" w:hAnsi="宋体" w:eastAsia="宋体"/>
                <w:color w:val="auto"/>
              </w:rPr>
            </w:pPr>
            <w:r>
              <w:rPr>
                <w:rFonts w:hint="eastAsia" w:ascii="宋体" w:hAnsi="宋体" w:eastAsia="宋体" w:cs="宋体"/>
                <w:color w:val="auto"/>
              </w:rPr>
              <w:t>□</w:t>
            </w:r>
            <w:r>
              <w:rPr>
                <w:rFonts w:hint="eastAsia" w:ascii="宋体" w:hAnsi="宋体" w:eastAsia="宋体"/>
                <w:color w:val="auto"/>
              </w:rPr>
              <w:t>一般计税法</w:t>
            </w:r>
          </w:p>
          <w:p>
            <w:pPr>
              <w:snapToGrid w:val="0"/>
              <w:spacing w:line="300" w:lineRule="auto"/>
              <w:jc w:val="both"/>
              <w:rPr>
                <w:rFonts w:ascii="宋体" w:hAnsi="宋体" w:eastAsia="宋体"/>
                <w:color w:val="auto"/>
              </w:rPr>
            </w:pPr>
            <w:r>
              <w:rPr>
                <w:rFonts w:ascii="宋体" w:hAnsi="宋体" w:eastAsia="宋体" w:cs="宋体"/>
                <w:color w:val="auto"/>
              </w:rPr>
              <w:sym w:font="Wingdings 2" w:char="00A3"/>
            </w:r>
            <w:r>
              <w:rPr>
                <w:rFonts w:hint="eastAsia" w:ascii="宋体" w:hAnsi="宋体" w:eastAsia="宋体"/>
                <w:color w:val="auto"/>
              </w:rPr>
              <w:t>简易计税法</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6"/>
              <w:jc w:val="center"/>
              <w:rPr>
                <w:rFonts w:ascii="宋体" w:hAnsi="宋体"/>
                <w:color w:val="auto"/>
              </w:rPr>
            </w:pPr>
            <w:r>
              <w:rPr>
                <w:rFonts w:ascii="宋体" w:hAnsi="宋体"/>
                <w:color w:val="auto"/>
              </w:rPr>
              <w:t>3.2.3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ind w:right="1"/>
              <w:jc w:val="center"/>
              <w:rPr>
                <w:color w:val="auto"/>
              </w:rPr>
            </w:pPr>
            <w:r>
              <w:rPr>
                <w:rFonts w:hint="eastAsia" w:ascii="宋体" w:cs="宋体"/>
                <w:color w:val="auto"/>
              </w:rPr>
              <w:t>工程量清单计价方式</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jc w:val="both"/>
              <w:rPr>
                <w:rFonts w:ascii="宋体" w:hAnsi="宋体" w:eastAsia="宋体"/>
                <w:color w:val="auto"/>
              </w:rPr>
            </w:pPr>
            <w:r>
              <w:rPr>
                <w:rFonts w:hint="eastAsia" w:ascii="宋体" w:hAnsi="宋体" w:eastAsia="宋体"/>
                <w:color w:val="auto"/>
              </w:rPr>
              <w:t>综合单价法</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6"/>
              <w:jc w:val="center"/>
              <w:rPr>
                <w:rFonts w:ascii="宋体" w:hAnsi="宋体"/>
                <w:color w:val="auto"/>
              </w:rPr>
            </w:pP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ind w:right="1"/>
              <w:jc w:val="center"/>
              <w:rPr>
                <w:rFonts w:hint="eastAsia" w:ascii="宋体" w:cs="宋体"/>
                <w:color w:val="auto"/>
              </w:rPr>
            </w:pP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jc w:val="both"/>
              <w:rPr>
                <w:rFonts w:hint="eastAsia" w:ascii="宋体" w:hAnsi="宋体" w:eastAsia="宋体"/>
                <w:color w:val="auto"/>
              </w:rPr>
            </w:pP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45"/>
              <w:jc w:val="both"/>
              <w:rPr>
                <w:rFonts w:ascii="宋体" w:hAnsi="宋体"/>
                <w:color w:val="auto"/>
              </w:rPr>
            </w:pPr>
            <w:r>
              <w:rPr>
                <w:rFonts w:ascii="宋体" w:hAnsi="宋体"/>
                <w:color w:val="auto"/>
              </w:rPr>
              <w:t>3.2.4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color w:val="auto"/>
              </w:rPr>
            </w:pPr>
            <w:r>
              <w:rPr>
                <w:rFonts w:hint="eastAsia" w:ascii="宋体" w:cs="宋体"/>
                <w:color w:val="auto"/>
              </w:rPr>
              <w:t>最高投标限价</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napToGrid w:val="0"/>
              <w:spacing w:line="300" w:lineRule="auto"/>
              <w:jc w:val="both"/>
              <w:rPr>
                <w:rFonts w:ascii="宋体" w:hAnsi="宋体" w:eastAsia="宋体"/>
                <w:color w:val="auto"/>
              </w:rPr>
            </w:pPr>
            <w:r>
              <w:rPr>
                <w:rFonts w:ascii="宋体" w:hAnsi="宋体" w:eastAsia="宋体"/>
                <w:color w:val="auto"/>
              </w:rPr>
              <w:t>1.</w:t>
            </w:r>
            <w:r>
              <w:rPr>
                <w:rFonts w:hint="eastAsia" w:ascii="宋体" w:hAnsi="宋体" w:eastAsia="宋体"/>
                <w:color w:val="auto"/>
              </w:rPr>
              <w:t>最高投标限价</w:t>
            </w:r>
            <w:r>
              <w:rPr>
                <w:rFonts w:ascii="宋体" w:hAnsi="宋体" w:eastAsia="宋体"/>
                <w:color w:val="auto"/>
                <w:u w:val="single"/>
              </w:rPr>
              <w:t xml:space="preserve">       </w:t>
            </w:r>
            <w:r>
              <w:rPr>
                <w:rFonts w:hint="eastAsia" w:ascii="宋体" w:hAnsi="宋体" w:eastAsia="宋体"/>
                <w:color w:val="auto"/>
              </w:rPr>
              <w:t>万元；</w:t>
            </w:r>
          </w:p>
          <w:p>
            <w:pPr>
              <w:pStyle w:val="136"/>
              <w:kinsoku w:val="0"/>
              <w:snapToGrid w:val="0"/>
              <w:spacing w:line="300" w:lineRule="auto"/>
              <w:jc w:val="both"/>
              <w:rPr>
                <w:rFonts w:ascii="宋体" w:hAnsi="宋体" w:eastAsia="宋体"/>
                <w:color w:val="auto"/>
              </w:rPr>
            </w:pPr>
            <w:r>
              <w:rPr>
                <w:rFonts w:ascii="宋体" w:hAnsi="宋体" w:eastAsia="宋体"/>
                <w:color w:val="auto"/>
              </w:rPr>
              <w:t>2.</w:t>
            </w:r>
            <w:r>
              <w:rPr>
                <w:rFonts w:hint="eastAsia" w:ascii="宋体" w:hAnsi="宋体" w:eastAsia="宋体"/>
                <w:color w:val="auto"/>
              </w:rPr>
              <w:t>□最高投标限价在招标文件澄清或修改文件中发布；</w:t>
            </w:r>
          </w:p>
          <w:p>
            <w:pPr>
              <w:snapToGrid w:val="0"/>
              <w:spacing w:line="300" w:lineRule="auto"/>
              <w:rPr>
                <w:rFonts w:ascii="宋体" w:hAnsi="宋体" w:eastAsia="宋体"/>
                <w:color w:val="auto"/>
              </w:rPr>
            </w:pPr>
            <w:r>
              <w:rPr>
                <w:rFonts w:ascii="宋体" w:hAnsi="宋体" w:eastAsia="宋体"/>
                <w:color w:val="auto"/>
              </w:rPr>
              <w:t>3.</w:t>
            </w:r>
            <w:r>
              <w:rPr>
                <w:rFonts w:ascii="宋体" w:hAnsi="宋体" w:eastAsia="宋体"/>
                <w:color w:val="auto"/>
              </w:rPr>
              <w:sym w:font="Wingdings 2" w:char="00A3"/>
            </w:r>
            <w:r>
              <w:rPr>
                <w:rFonts w:hint="eastAsia" w:ascii="宋体" w:hAnsi="宋体" w:eastAsia="宋体"/>
                <w:color w:val="auto"/>
              </w:rPr>
              <w:t>风险控制价；为防止投标人恶意低价竞标，最高投标限价的</w:t>
            </w:r>
            <w:r>
              <w:rPr>
                <w:rFonts w:ascii="宋体" w:hAnsi="宋体" w:eastAsia="宋体"/>
                <w:color w:val="auto"/>
              </w:rPr>
              <w:t xml:space="preserve"> </w:t>
            </w:r>
            <w:r>
              <w:rPr>
                <w:rFonts w:ascii="宋体" w:hAnsi="宋体" w:eastAsia="宋体"/>
                <w:color w:val="auto"/>
                <w:u w:val="single"/>
              </w:rPr>
              <w:t xml:space="preserve">      </w:t>
            </w:r>
            <w:r>
              <w:rPr>
                <w:rFonts w:ascii="宋体" w:hAnsi="宋体" w:eastAsia="宋体"/>
                <w:color w:val="auto"/>
              </w:rPr>
              <w:t xml:space="preserve"> </w:t>
            </w:r>
            <w:r>
              <w:rPr>
                <w:rFonts w:hint="eastAsia" w:ascii="宋体" w:hAnsi="宋体" w:eastAsia="宋体"/>
                <w:color w:val="auto"/>
              </w:rPr>
              <w:t>％作为风险控制价（</w:t>
            </w:r>
            <w:r>
              <w:rPr>
                <w:rFonts w:ascii="宋体" w:hAnsi="宋体" w:eastAsia="宋体"/>
                <w:color w:val="auto"/>
                <w:u w:val="single"/>
              </w:rPr>
              <w:t xml:space="preserve">        </w:t>
            </w:r>
            <w:r>
              <w:rPr>
                <w:rFonts w:hint="eastAsia" w:ascii="宋体" w:hAnsi="宋体" w:eastAsia="宋体"/>
                <w:color w:val="auto"/>
              </w:rPr>
              <w:t>万元）。</w:t>
            </w:r>
          </w:p>
        </w:tc>
      </w:tr>
      <w:tr>
        <w:tblPrEx>
          <w:tblCellMar>
            <w:top w:w="0" w:type="dxa"/>
            <w:left w:w="57" w:type="dxa"/>
            <w:bottom w:w="0" w:type="dxa"/>
            <w:right w:w="57" w:type="dxa"/>
          </w:tblCellMar>
        </w:tblPrEx>
        <w:trPr>
          <w:gridBefore w:val="1"/>
          <w:wBefore w:w="110" w:type="dxa"/>
          <w:trHeight w:val="651"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9"/>
              <w:jc w:val="center"/>
              <w:rPr>
                <w:rFonts w:ascii="宋体" w:hAnsi="宋体"/>
                <w:color w:val="auto"/>
              </w:rPr>
            </w:pPr>
            <w:r>
              <w:rPr>
                <w:rFonts w:ascii="宋体" w:hAnsi="宋体"/>
                <w:color w:val="auto"/>
              </w:rPr>
              <w:t>3.2.5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10"/>
              <w:jc w:val="both"/>
              <w:rPr>
                <w:rFonts w:ascii="宋体" w:cs="宋体"/>
                <w:color w:val="auto"/>
              </w:rPr>
            </w:pPr>
            <w:r>
              <w:rPr>
                <w:rFonts w:hint="eastAsia" w:ascii="宋体" w:cs="宋体"/>
                <w:color w:val="auto"/>
              </w:rPr>
              <w:t>投标报价的</w:t>
            </w:r>
          </w:p>
          <w:p>
            <w:pPr>
              <w:pStyle w:val="136"/>
              <w:kinsoku w:val="0"/>
              <w:spacing w:before="110"/>
              <w:jc w:val="both"/>
              <w:rPr>
                <w:color w:val="auto"/>
              </w:rPr>
            </w:pPr>
            <w:r>
              <w:rPr>
                <w:rFonts w:hint="eastAsia" w:ascii="宋体" w:cs="宋体"/>
                <w:color w:val="auto"/>
              </w:rPr>
              <w:t>其他要求</w:t>
            </w:r>
          </w:p>
        </w:tc>
        <w:tc>
          <w:tcPr>
            <w:tcW w:w="6858" w:type="dxa"/>
            <w:tcBorders>
              <w:top w:val="single" w:color="000000" w:sz="4" w:space="0"/>
              <w:left w:val="single" w:color="000000" w:sz="4" w:space="0"/>
              <w:bottom w:val="single" w:color="000000" w:sz="4" w:space="0"/>
              <w:right w:val="single" w:color="000000" w:sz="4" w:space="0"/>
            </w:tcBorders>
            <w:noWrap w:val="0"/>
            <w:vAlign w:val="bottom"/>
          </w:tcPr>
          <w:p>
            <w:pPr>
              <w:snapToGrid w:val="0"/>
              <w:spacing w:line="300" w:lineRule="auto"/>
              <w:jc w:val="both"/>
              <w:rPr>
                <w:rFonts w:ascii="宋体" w:hAnsi="宋体" w:eastAsia="宋体"/>
                <w:color w:val="auto"/>
                <w:u w:val="single"/>
              </w:rPr>
            </w:pPr>
            <w:r>
              <w:rPr>
                <w:rFonts w:ascii="宋体" w:hAnsi="宋体" w:eastAsia="宋体"/>
                <w:color w:val="auto"/>
                <w:u w:val="single"/>
              </w:rPr>
              <w:t xml:space="preserve">                  </w:t>
            </w:r>
            <w:r>
              <w:rPr>
                <w:rFonts w:hint="eastAsia" w:ascii="宋体" w:hAnsi="宋体" w:eastAsia="宋体"/>
                <w:color w:val="auto"/>
              </w:rPr>
              <w:t>。</w:t>
            </w:r>
          </w:p>
        </w:tc>
      </w:tr>
      <w:tr>
        <w:tblPrEx>
          <w:tblCellMar>
            <w:top w:w="0" w:type="dxa"/>
            <w:left w:w="57" w:type="dxa"/>
            <w:bottom w:w="0" w:type="dxa"/>
            <w:right w:w="57" w:type="dxa"/>
          </w:tblCellMar>
        </w:tblPrEx>
        <w:trPr>
          <w:gridBefore w:val="1"/>
          <w:wBefore w:w="110" w:type="dxa"/>
          <w:trHeight w:val="375" w:hRule="atLeast"/>
        </w:trPr>
        <w:tc>
          <w:tcPr>
            <w:tcW w:w="1173"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pacing w:before="156"/>
              <w:jc w:val="center"/>
              <w:rPr>
                <w:rFonts w:ascii="宋体" w:hAnsi="宋体"/>
                <w:color w:val="auto"/>
              </w:rPr>
            </w:pPr>
            <w:r>
              <w:rPr>
                <w:rFonts w:ascii="宋体" w:hAnsi="宋体"/>
                <w:color w:val="auto"/>
              </w:rPr>
              <w:t>3.3.1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ind w:right="1"/>
              <w:jc w:val="center"/>
              <w:rPr>
                <w:color w:val="auto"/>
              </w:rPr>
            </w:pPr>
            <w:r>
              <w:rPr>
                <w:rFonts w:hint="eastAsia" w:ascii="宋体" w:cs="宋体"/>
                <w:color w:val="auto"/>
              </w:rPr>
              <w:t>投标有效期</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jc w:val="both"/>
              <w:rPr>
                <w:rFonts w:ascii="宋体" w:hAnsi="宋体" w:eastAsia="宋体"/>
                <w:color w:val="auto"/>
              </w:rPr>
            </w:pPr>
            <w:r>
              <w:rPr>
                <w:rFonts w:ascii="宋体" w:hAnsi="宋体" w:eastAsia="宋体"/>
                <w:color w:val="auto"/>
                <w:u w:val="single"/>
              </w:rPr>
              <w:t xml:space="preserve">      </w:t>
            </w:r>
            <w:r>
              <w:rPr>
                <w:rFonts w:hint="eastAsia" w:ascii="宋体" w:hAnsi="宋体" w:eastAsia="宋体"/>
                <w:color w:val="auto"/>
              </w:rPr>
              <w:t>个日历天</w:t>
            </w:r>
            <w:r>
              <w:rPr>
                <w:rFonts w:ascii="宋体" w:hAnsi="宋体" w:eastAsia="宋体"/>
                <w:color w:val="auto"/>
              </w:rPr>
              <w:t>（从投标截止之日</w:t>
            </w:r>
            <w:r>
              <w:rPr>
                <w:rFonts w:hint="eastAsia" w:ascii="宋体" w:hAnsi="宋体" w:eastAsia="宋体"/>
                <w:color w:val="auto"/>
              </w:rPr>
              <w:t>起</w:t>
            </w:r>
            <w:r>
              <w:rPr>
                <w:rFonts w:ascii="宋体" w:hAnsi="宋体" w:eastAsia="宋体"/>
                <w:color w:val="auto"/>
              </w:rPr>
              <w:t>算）</w:t>
            </w:r>
            <w:r>
              <w:rPr>
                <w:rFonts w:hint="eastAsia" w:ascii="宋体" w:hAnsi="宋体" w:eastAsia="宋体"/>
                <w:color w:val="auto"/>
              </w:rPr>
              <w:t>。</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olor w:val="auto"/>
              </w:rPr>
            </w:pPr>
            <w:r>
              <w:rPr>
                <w:rFonts w:ascii="宋体" w:hAnsi="宋体"/>
                <w:color w:val="auto"/>
              </w:rPr>
              <w:t>3.4.1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ind w:right="1"/>
              <w:jc w:val="center"/>
              <w:rPr>
                <w:color w:val="auto"/>
              </w:rPr>
            </w:pPr>
            <w:r>
              <w:rPr>
                <w:rFonts w:hint="eastAsia" w:ascii="宋体" w:cs="宋体"/>
                <w:color w:val="auto"/>
              </w:rPr>
              <w:t>投标保证金</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napToGrid w:val="0"/>
              <w:spacing w:line="300" w:lineRule="auto"/>
              <w:rPr>
                <w:rFonts w:ascii="宋体" w:hAnsi="宋体" w:eastAsia="宋体"/>
                <w:color w:val="auto"/>
              </w:rPr>
            </w:pPr>
            <w:r>
              <w:rPr>
                <w:rFonts w:ascii="宋体" w:hAnsi="宋体" w:eastAsia="宋体"/>
                <w:color w:val="auto"/>
              </w:rPr>
              <w:t>1.</w:t>
            </w:r>
            <w:r>
              <w:rPr>
                <w:rFonts w:hint="eastAsia" w:ascii="宋体" w:hAnsi="宋体" w:eastAsia="宋体"/>
                <w:color w:val="auto"/>
              </w:rPr>
              <w:t>金额：人民币</w:t>
            </w:r>
            <w:r>
              <w:rPr>
                <w:rFonts w:ascii="宋体" w:hAnsi="宋体" w:eastAsia="宋体"/>
                <w:color w:val="auto"/>
                <w:u w:val="single"/>
              </w:rPr>
              <w:t xml:space="preserve">      </w:t>
            </w:r>
            <w:r>
              <w:rPr>
                <w:rFonts w:hint="eastAsia" w:ascii="宋体" w:hAnsi="宋体" w:eastAsia="宋体"/>
                <w:color w:val="auto"/>
              </w:rPr>
              <w:t>万元（不得超过项目估算价的</w:t>
            </w:r>
            <w:r>
              <w:rPr>
                <w:rFonts w:ascii="宋体" w:hAnsi="宋体" w:eastAsia="宋体"/>
                <w:color w:val="auto"/>
              </w:rPr>
              <w:t>2%，</w:t>
            </w:r>
            <w:r>
              <w:rPr>
                <w:rFonts w:hint="eastAsia" w:ascii="宋体" w:hAnsi="宋体" w:eastAsia="宋体"/>
                <w:color w:val="auto"/>
              </w:rPr>
              <w:t>且最高不得超过</w:t>
            </w:r>
            <w:r>
              <w:rPr>
                <w:rFonts w:ascii="宋体" w:hAnsi="宋体" w:eastAsia="宋体"/>
                <w:color w:val="auto"/>
              </w:rPr>
              <w:t>50万元。）</w:t>
            </w:r>
          </w:p>
          <w:p>
            <w:pPr>
              <w:pStyle w:val="136"/>
              <w:kinsoku w:val="0"/>
              <w:snapToGrid w:val="0"/>
              <w:spacing w:line="300" w:lineRule="auto"/>
              <w:rPr>
                <w:rStyle w:val="48"/>
                <w:rFonts w:ascii="宋体" w:hAnsi="宋体" w:eastAsia="宋体"/>
                <w:color w:val="auto"/>
                <w:sz w:val="24"/>
                <w:szCs w:val="24"/>
              </w:rPr>
            </w:pPr>
            <w:r>
              <w:rPr>
                <w:rFonts w:ascii="宋体" w:hAnsi="宋体" w:eastAsia="宋体"/>
                <w:color w:val="auto"/>
              </w:rPr>
              <w:t>2.</w:t>
            </w:r>
            <w:r>
              <w:rPr>
                <w:rFonts w:hint="eastAsia" w:ascii="宋体" w:hAnsi="宋体" w:eastAsia="宋体"/>
                <w:color w:val="auto"/>
              </w:rPr>
              <w:t>交纳方式：</w:t>
            </w:r>
            <w:r>
              <w:rPr>
                <w:rFonts w:hint="eastAsia" w:ascii="宋体" w:hAnsi="宋体"/>
                <w:color w:val="auto"/>
                <w:u w:val="single"/>
                <w:lang w:val="en-US" w:eastAsia="zh-CN"/>
              </w:rPr>
              <w:t xml:space="preserve">                        </w:t>
            </w:r>
            <w:r>
              <w:rPr>
                <w:rFonts w:hint="eastAsia" w:ascii="宋体" w:hAnsi="宋体"/>
                <w:color w:val="auto"/>
                <w:lang w:eastAsia="zh-CN"/>
              </w:rPr>
              <w:t>年度（联保）保证金</w:t>
            </w:r>
            <w:r>
              <w:rPr>
                <w:rFonts w:hint="eastAsia" w:ascii="宋体" w:hAnsi="宋体"/>
                <w:color w:val="auto"/>
                <w:lang w:val="en-US" w:eastAsia="zh-CN"/>
              </w:rPr>
              <w:t>/</w:t>
            </w:r>
            <w:r>
              <w:rPr>
                <w:rFonts w:hint="eastAsia" w:ascii="宋体" w:hAnsi="宋体" w:eastAsia="宋体"/>
                <w:color w:val="auto"/>
              </w:rPr>
              <w:t>银行保函</w:t>
            </w:r>
            <w:r>
              <w:rPr>
                <w:rFonts w:ascii="宋体" w:hAnsi="宋体" w:eastAsia="宋体"/>
                <w:color w:val="auto"/>
              </w:rPr>
              <w:t>/</w:t>
            </w:r>
            <w:r>
              <w:rPr>
                <w:rFonts w:hint="eastAsia" w:ascii="宋体" w:hAnsi="宋体" w:eastAsia="宋体"/>
                <w:color w:val="auto"/>
              </w:rPr>
              <w:t>保证保险</w:t>
            </w:r>
            <w:r>
              <w:rPr>
                <w:rFonts w:ascii="宋体" w:hAnsi="宋体" w:eastAsia="宋体"/>
                <w:color w:val="auto"/>
              </w:rPr>
              <w:t>/</w:t>
            </w:r>
            <w:r>
              <w:rPr>
                <w:rFonts w:hint="eastAsia" w:ascii="宋体" w:hAnsi="宋体" w:eastAsia="宋体"/>
                <w:color w:val="auto"/>
              </w:rPr>
              <w:t>担保公司担保</w:t>
            </w:r>
            <w:r>
              <w:rPr>
                <w:rFonts w:ascii="宋体" w:hAnsi="宋体" w:eastAsia="宋体"/>
                <w:color w:val="auto"/>
              </w:rPr>
              <w:t>/</w:t>
            </w:r>
            <w:r>
              <w:rPr>
                <w:rFonts w:hint="eastAsia" w:ascii="宋体" w:hAnsi="宋体" w:eastAsia="宋体"/>
                <w:color w:val="auto"/>
              </w:rPr>
              <w:t>转账（从基本账户转出）</w:t>
            </w:r>
          </w:p>
          <w:p>
            <w:pPr>
              <w:pStyle w:val="136"/>
              <w:kinsoku w:val="0"/>
              <w:snapToGrid w:val="0"/>
              <w:spacing w:line="300" w:lineRule="auto"/>
              <w:rPr>
                <w:rFonts w:ascii="宋体" w:hAnsi="宋体" w:eastAsia="宋体"/>
                <w:color w:val="auto"/>
              </w:rPr>
            </w:pPr>
            <w:r>
              <w:rPr>
                <w:rFonts w:ascii="宋体" w:hAnsi="宋体" w:eastAsia="宋体"/>
                <w:color w:val="auto"/>
              </w:rPr>
              <w:sym w:font="Wingdings 2" w:char="00A3"/>
            </w:r>
            <w:r>
              <w:rPr>
                <w:rStyle w:val="48"/>
                <w:rFonts w:hint="eastAsia" w:ascii="宋体" w:hAnsi="宋体" w:eastAsia="宋体"/>
                <w:color w:val="auto"/>
                <w:sz w:val="24"/>
                <w:szCs w:val="24"/>
              </w:rPr>
              <w:t>（</w:t>
            </w:r>
            <w:r>
              <w:rPr>
                <w:rStyle w:val="48"/>
                <w:rFonts w:ascii="宋体" w:hAnsi="宋体" w:eastAsia="宋体"/>
                <w:color w:val="auto"/>
                <w:sz w:val="24"/>
                <w:szCs w:val="24"/>
              </w:rPr>
              <w:t>1）交纳要求（转账）：</w:t>
            </w:r>
            <w:r>
              <w:rPr>
                <w:rFonts w:ascii="宋体" w:hAnsi="宋体" w:eastAsia="宋体"/>
                <w:color w:val="auto"/>
              </w:rPr>
              <w:t xml:space="preserve"> </w:t>
            </w:r>
          </w:p>
          <w:p>
            <w:pPr>
              <w:pStyle w:val="136"/>
              <w:kinsoku w:val="0"/>
              <w:snapToGrid w:val="0"/>
              <w:spacing w:line="300" w:lineRule="auto"/>
              <w:rPr>
                <w:rFonts w:ascii="宋体" w:hAnsi="宋体" w:eastAsia="宋体"/>
                <w:color w:val="auto"/>
              </w:rPr>
            </w:pPr>
            <w:r>
              <w:rPr>
                <w:rFonts w:hint="eastAsia" w:ascii="宋体" w:hAnsi="宋体" w:eastAsia="宋体"/>
                <w:color w:val="auto"/>
              </w:rPr>
              <w:t>户名：</w:t>
            </w:r>
            <w:r>
              <w:rPr>
                <w:rFonts w:ascii="宋体" w:hAnsi="宋体" w:eastAsia="宋体"/>
                <w:color w:val="auto"/>
                <w:u w:val="single"/>
              </w:rPr>
              <w:t xml:space="preserve">                          </w:t>
            </w:r>
            <w:r>
              <w:rPr>
                <w:rFonts w:hint="eastAsia" w:ascii="宋体" w:hAnsi="宋体" w:eastAsia="宋体"/>
                <w:color w:val="auto"/>
              </w:rPr>
              <w:t>。</w:t>
            </w:r>
          </w:p>
          <w:p>
            <w:pPr>
              <w:pStyle w:val="136"/>
              <w:kinsoku w:val="0"/>
              <w:snapToGrid w:val="0"/>
              <w:spacing w:line="300" w:lineRule="auto"/>
              <w:rPr>
                <w:rFonts w:ascii="宋体" w:hAnsi="宋体" w:eastAsia="宋体"/>
                <w:color w:val="auto"/>
              </w:rPr>
            </w:pPr>
            <w:r>
              <w:rPr>
                <w:rFonts w:hint="eastAsia" w:ascii="宋体" w:hAnsi="宋体" w:eastAsia="宋体"/>
                <w:color w:val="auto"/>
              </w:rPr>
              <w:t>帐户：</w:t>
            </w:r>
            <w:r>
              <w:rPr>
                <w:rFonts w:ascii="宋体" w:hAnsi="宋体" w:eastAsia="宋体"/>
                <w:color w:val="auto"/>
                <w:u w:val="single"/>
              </w:rPr>
              <w:t xml:space="preserve">                          </w:t>
            </w:r>
            <w:r>
              <w:rPr>
                <w:rFonts w:hint="eastAsia" w:ascii="宋体" w:hAnsi="宋体" w:eastAsia="宋体"/>
                <w:color w:val="auto"/>
              </w:rPr>
              <w:t>。</w:t>
            </w:r>
            <w:r>
              <w:rPr>
                <w:rFonts w:ascii="宋体" w:hAnsi="宋体" w:eastAsia="宋体"/>
                <w:color w:val="auto"/>
              </w:rPr>
              <w:t xml:space="preserve">      </w:t>
            </w:r>
          </w:p>
          <w:p>
            <w:pPr>
              <w:pStyle w:val="136"/>
              <w:kinsoku w:val="0"/>
              <w:snapToGrid w:val="0"/>
              <w:spacing w:line="300" w:lineRule="auto"/>
              <w:rPr>
                <w:rFonts w:ascii="宋体" w:hAnsi="宋体" w:eastAsia="宋体"/>
                <w:color w:val="auto"/>
                <w:u w:val="single"/>
              </w:rPr>
            </w:pPr>
            <w:r>
              <w:rPr>
                <w:rFonts w:hint="eastAsia" w:ascii="宋体" w:hAnsi="宋体" w:eastAsia="宋体"/>
                <w:color w:val="auto"/>
              </w:rPr>
              <w:t>开户银行：</w:t>
            </w:r>
            <w:r>
              <w:rPr>
                <w:rFonts w:ascii="宋体" w:hAnsi="宋体" w:eastAsia="宋体"/>
                <w:color w:val="auto"/>
                <w:u w:val="single"/>
              </w:rPr>
              <w:t xml:space="preserve">                      </w:t>
            </w:r>
            <w:r>
              <w:rPr>
                <w:rFonts w:hint="eastAsia" w:ascii="宋体" w:hAnsi="宋体" w:eastAsia="宋体"/>
                <w:color w:val="auto"/>
              </w:rPr>
              <w:t>。</w:t>
            </w:r>
          </w:p>
          <w:p>
            <w:pPr>
              <w:pStyle w:val="136"/>
              <w:kinsoku w:val="0"/>
              <w:snapToGrid w:val="0"/>
              <w:spacing w:line="300" w:lineRule="auto"/>
              <w:rPr>
                <w:rFonts w:ascii="宋体" w:hAnsi="宋体" w:eastAsia="宋体"/>
                <w:color w:val="auto"/>
              </w:rPr>
            </w:pPr>
            <w:r>
              <w:rPr>
                <w:rStyle w:val="48"/>
                <w:rFonts w:hint="eastAsia" w:ascii="宋体" w:hAnsi="宋体" w:eastAsia="宋体"/>
                <w:color w:val="auto"/>
                <w:sz w:val="24"/>
                <w:szCs w:val="24"/>
              </w:rPr>
              <w:t>（</w:t>
            </w:r>
            <w:r>
              <w:rPr>
                <w:rStyle w:val="48"/>
                <w:rFonts w:ascii="宋体" w:hAnsi="宋体" w:eastAsia="宋体"/>
                <w:color w:val="auto"/>
                <w:sz w:val="24"/>
                <w:szCs w:val="24"/>
              </w:rPr>
              <w:t>2）交纳要求（</w:t>
            </w:r>
            <w:r>
              <w:rPr>
                <w:rFonts w:hint="eastAsia" w:ascii="宋体" w:hAnsi="宋体" w:eastAsia="宋体"/>
                <w:color w:val="auto"/>
              </w:rPr>
              <w:t>银行保函</w:t>
            </w:r>
            <w:r>
              <w:rPr>
                <w:rFonts w:ascii="宋体" w:hAnsi="宋体" w:eastAsia="宋体"/>
                <w:color w:val="auto"/>
              </w:rPr>
              <w:t>/</w:t>
            </w:r>
            <w:r>
              <w:rPr>
                <w:rFonts w:hint="eastAsia" w:ascii="宋体" w:hAnsi="宋体" w:eastAsia="宋体"/>
                <w:color w:val="auto"/>
              </w:rPr>
              <w:t>保证保险</w:t>
            </w:r>
            <w:r>
              <w:rPr>
                <w:rFonts w:ascii="宋体" w:hAnsi="宋体" w:eastAsia="宋体"/>
                <w:color w:val="auto"/>
              </w:rPr>
              <w:t>/</w:t>
            </w:r>
            <w:r>
              <w:rPr>
                <w:rFonts w:hint="eastAsia" w:ascii="宋体" w:hAnsi="宋体" w:eastAsia="宋体"/>
                <w:color w:val="auto"/>
              </w:rPr>
              <w:t>担保公司担保</w:t>
            </w:r>
            <w:r>
              <w:rPr>
                <w:rStyle w:val="48"/>
                <w:rFonts w:hint="eastAsia" w:ascii="宋体" w:hAnsi="宋体" w:eastAsia="宋体"/>
                <w:color w:val="auto"/>
                <w:sz w:val="24"/>
                <w:szCs w:val="24"/>
              </w:rPr>
              <w:t>）：</w:t>
            </w:r>
          </w:p>
          <w:p>
            <w:pPr>
              <w:pStyle w:val="136"/>
              <w:kinsoku w:val="0"/>
              <w:snapToGrid w:val="0"/>
              <w:spacing w:line="300" w:lineRule="auto"/>
              <w:rPr>
                <w:rFonts w:ascii="宋体" w:hAnsi="宋体" w:eastAsia="宋体"/>
                <w:color w:val="auto"/>
              </w:rPr>
            </w:pPr>
            <w:r>
              <w:rPr>
                <w:rFonts w:hint="eastAsia" w:ascii="宋体" w:hAnsi="宋体" w:eastAsia="宋体"/>
                <w:color w:val="auto"/>
              </w:rPr>
              <w:t>备注：重新招标项目，参与投标的投标人仍需按上述规定要求重新递交投标保证金。</w:t>
            </w:r>
          </w:p>
        </w:tc>
      </w:tr>
      <w:tr>
        <w:tblPrEx>
          <w:tblCellMar>
            <w:top w:w="0" w:type="dxa"/>
            <w:left w:w="57" w:type="dxa"/>
            <w:bottom w:w="0" w:type="dxa"/>
            <w:right w:w="57" w:type="dxa"/>
          </w:tblCellMar>
        </w:tblPrEx>
        <w:trPr>
          <w:gridBefore w:val="1"/>
          <w:wBefore w:w="110" w:type="dxa"/>
          <w:trHeight w:val="5397"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9"/>
              <w:ind w:left="367"/>
              <w:rPr>
                <w:rFonts w:ascii="宋体" w:hAnsi="宋体"/>
                <w:color w:val="auto"/>
              </w:rPr>
            </w:pPr>
            <w:r>
              <w:rPr>
                <w:rFonts w:ascii="宋体" w:hAnsi="宋体"/>
                <w:color w:val="auto"/>
              </w:rPr>
              <w:t>3.4.4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color w:val="auto"/>
              </w:rPr>
            </w:pPr>
            <w:r>
              <w:rPr>
                <w:rFonts w:hint="eastAsia" w:ascii="宋体" w:cs="宋体"/>
                <w:color w:val="auto"/>
              </w:rPr>
              <w:t>其他可以不予退还投标保证金的情形</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napToGrid w:val="0"/>
              <w:spacing w:line="300" w:lineRule="auto"/>
              <w:jc w:val="both"/>
              <w:rPr>
                <w:rFonts w:ascii="宋体" w:hAnsi="宋体" w:eastAsia="宋体"/>
                <w:color w:val="auto"/>
              </w:rPr>
            </w:pPr>
            <w:r>
              <w:rPr>
                <w:rFonts w:ascii="宋体" w:hAnsi="宋体" w:eastAsia="宋体"/>
                <w:color w:val="auto"/>
              </w:rPr>
              <w:t>1.</w:t>
            </w:r>
            <w:r>
              <w:rPr>
                <w:rFonts w:ascii="宋体" w:hAnsi="宋体" w:eastAsia="宋体"/>
                <w:color w:val="auto"/>
              </w:rPr>
              <w:sym w:font="Wingdings 2" w:char="00A3"/>
            </w:r>
            <w:r>
              <w:rPr>
                <w:rFonts w:hint="eastAsia" w:ascii="宋体" w:hAnsi="宋体" w:eastAsia="宋体"/>
                <w:color w:val="auto"/>
              </w:rPr>
              <w:t>经查实，投标人在投标过程中存在串通投标或弄虚作假的。</w:t>
            </w:r>
          </w:p>
          <w:p>
            <w:pPr>
              <w:pStyle w:val="136"/>
              <w:kinsoku w:val="0"/>
              <w:snapToGrid w:val="0"/>
              <w:spacing w:line="300" w:lineRule="auto"/>
              <w:jc w:val="both"/>
              <w:rPr>
                <w:rFonts w:ascii="宋体" w:hAnsi="宋体" w:eastAsia="宋体"/>
                <w:color w:val="auto"/>
              </w:rPr>
            </w:pPr>
            <w:r>
              <w:rPr>
                <w:rFonts w:ascii="宋体" w:hAnsi="宋体" w:eastAsia="宋体"/>
                <w:color w:val="auto"/>
              </w:rPr>
              <w:t>2.</w:t>
            </w:r>
            <w:r>
              <w:rPr>
                <w:rFonts w:ascii="宋体" w:hAnsi="宋体" w:eastAsia="宋体"/>
                <w:color w:val="auto"/>
              </w:rPr>
              <w:sym w:font="Wingdings 2" w:char="00A3"/>
            </w:r>
            <w:r>
              <w:rPr>
                <w:rFonts w:hint="eastAsia" w:ascii="宋体" w:hAnsi="宋体" w:eastAsia="宋体"/>
                <w:color w:val="auto"/>
              </w:rPr>
              <w:t>拟派</w:t>
            </w:r>
            <w:r>
              <w:rPr>
                <w:rFonts w:hint="eastAsia" w:ascii="宋体" w:hAnsi="宋体"/>
                <w:color w:val="auto"/>
              </w:rPr>
              <w:t>项目负责人</w:t>
            </w:r>
            <w:r>
              <w:rPr>
                <w:rFonts w:hint="eastAsia" w:ascii="宋体" w:hAnsi="宋体" w:eastAsia="宋体"/>
                <w:color w:val="auto"/>
              </w:rPr>
              <w:t>在投标截止日有在其他在建合同工程上担任</w:t>
            </w:r>
            <w:r>
              <w:rPr>
                <w:rFonts w:hint="eastAsia" w:ascii="宋体" w:hAnsi="宋体"/>
                <w:color w:val="auto"/>
              </w:rPr>
              <w:t>项目负责人</w:t>
            </w:r>
            <w:r>
              <w:rPr>
                <w:rFonts w:hint="eastAsia" w:ascii="宋体" w:hAnsi="宋体" w:eastAsia="宋体"/>
                <w:color w:val="auto"/>
              </w:rPr>
              <w:t>的情形。</w:t>
            </w:r>
          </w:p>
          <w:p>
            <w:pPr>
              <w:pStyle w:val="136"/>
              <w:kinsoku w:val="0"/>
              <w:snapToGrid w:val="0"/>
              <w:spacing w:line="300" w:lineRule="auto"/>
              <w:jc w:val="both"/>
              <w:rPr>
                <w:rFonts w:ascii="宋体" w:hAnsi="宋体" w:eastAsia="宋体"/>
                <w:color w:val="auto"/>
              </w:rPr>
            </w:pPr>
            <w:r>
              <w:rPr>
                <w:rFonts w:ascii="宋体" w:hAnsi="宋体" w:eastAsia="宋体"/>
                <w:color w:val="auto"/>
              </w:rPr>
              <w:t>3.</w:t>
            </w:r>
            <w:r>
              <w:rPr>
                <w:rFonts w:hint="eastAsia" w:ascii="宋体" w:hAnsi="宋体" w:eastAsia="宋体"/>
                <w:color w:val="auto"/>
              </w:rPr>
              <w:t>其他：</w:t>
            </w:r>
            <w:r>
              <w:rPr>
                <w:rFonts w:ascii="宋体" w:hAnsi="宋体" w:eastAsia="宋体"/>
                <w:color w:val="auto"/>
                <w:u w:val="single"/>
              </w:rPr>
              <w:t xml:space="preserve">           </w:t>
            </w:r>
            <w:r>
              <w:rPr>
                <w:rFonts w:hint="eastAsia" w:ascii="宋体" w:hAnsi="宋体" w:eastAsia="宋体"/>
                <w:color w:val="auto"/>
              </w:rPr>
              <w:t>。</w:t>
            </w:r>
          </w:p>
          <w:p>
            <w:pPr>
              <w:pStyle w:val="136"/>
              <w:kinsoku w:val="0"/>
              <w:snapToGrid w:val="0"/>
              <w:spacing w:line="300" w:lineRule="auto"/>
              <w:jc w:val="both"/>
              <w:rPr>
                <w:rFonts w:ascii="宋体" w:cs="宋体"/>
                <w:color w:val="auto"/>
              </w:rPr>
            </w:pPr>
            <w:r>
              <w:rPr>
                <w:rFonts w:hint="eastAsia" w:ascii="宋体" w:hAnsi="宋体" w:eastAsia="宋体"/>
                <w:color w:val="auto"/>
              </w:rPr>
              <w:t>注：本招标文件的“</w:t>
            </w:r>
            <w:r>
              <w:rPr>
                <w:rFonts w:hint="eastAsia" w:ascii="宋体" w:cs="宋体"/>
                <w:color w:val="auto"/>
              </w:rPr>
              <w:t>投标保证金不予退还”是指</w:t>
            </w:r>
            <w:r>
              <w:rPr>
                <w:rFonts w:ascii="宋体" w:cs="宋体"/>
                <w:color w:val="auto"/>
              </w:rPr>
              <w:t>:</w:t>
            </w:r>
          </w:p>
          <w:p>
            <w:pPr>
              <w:pStyle w:val="136"/>
              <w:kinsoku w:val="0"/>
              <w:snapToGrid w:val="0"/>
              <w:spacing w:line="300" w:lineRule="auto"/>
              <w:jc w:val="both"/>
              <w:rPr>
                <w:rFonts w:ascii="宋体" w:hAnsi="宋体" w:eastAsia="宋体"/>
                <w:color w:val="auto"/>
              </w:rPr>
            </w:pPr>
            <w:r>
              <w:rPr>
                <w:rFonts w:hint="eastAsia" w:ascii="宋体" w:cs="宋体"/>
                <w:color w:val="auto"/>
              </w:rPr>
              <w:t>（</w:t>
            </w:r>
            <w:r>
              <w:rPr>
                <w:rFonts w:ascii="宋体" w:cs="宋体"/>
                <w:color w:val="auto"/>
              </w:rPr>
              <w:t>1</w:t>
            </w:r>
            <w:r>
              <w:rPr>
                <w:rFonts w:hint="eastAsia" w:ascii="宋体" w:cs="宋体"/>
                <w:color w:val="auto"/>
              </w:rPr>
              <w:t>）以现金</w:t>
            </w:r>
            <w:r>
              <w:rPr>
                <w:rFonts w:hint="eastAsia" w:ascii="宋体" w:hAnsi="宋体" w:eastAsia="宋体"/>
                <w:color w:val="auto"/>
              </w:rPr>
              <w:t>转账形式，转账</w:t>
            </w:r>
            <w:r>
              <w:rPr>
                <w:rFonts w:hint="eastAsia" w:ascii="宋体" w:cs="宋体"/>
                <w:color w:val="auto"/>
              </w:rPr>
              <w:t>现金</w:t>
            </w:r>
            <w:r>
              <w:rPr>
                <w:rFonts w:hint="eastAsia" w:ascii="宋体" w:hAnsi="宋体" w:eastAsia="宋体"/>
                <w:color w:val="auto"/>
              </w:rPr>
              <w:t>不予退还。</w:t>
            </w:r>
          </w:p>
          <w:p>
            <w:pPr>
              <w:pStyle w:val="136"/>
              <w:kinsoku w:val="0"/>
              <w:snapToGrid w:val="0"/>
              <w:spacing w:line="300" w:lineRule="auto"/>
              <w:jc w:val="both"/>
              <w:rPr>
                <w:rFonts w:ascii="宋体" w:hAnsi="宋体" w:eastAsia="宋体"/>
                <w:color w:val="auto"/>
              </w:rPr>
            </w:pPr>
            <w:r>
              <w:rPr>
                <w:rFonts w:hint="eastAsia" w:ascii="宋体" w:hAnsi="宋体" w:eastAsia="宋体"/>
                <w:color w:val="auto"/>
              </w:rPr>
              <w:t>（</w:t>
            </w:r>
            <w:r>
              <w:rPr>
                <w:rFonts w:ascii="宋体" w:hAnsi="宋体" w:eastAsia="宋体"/>
                <w:color w:val="auto"/>
              </w:rPr>
              <w:t>2</w:t>
            </w:r>
            <w:r>
              <w:rPr>
                <w:rFonts w:hint="eastAsia" w:ascii="宋体" w:hAnsi="宋体" w:eastAsia="宋体"/>
                <w:color w:val="auto"/>
              </w:rPr>
              <w:t>）</w:t>
            </w:r>
            <w:r>
              <w:rPr>
                <w:rFonts w:hint="eastAsia" w:ascii="宋体" w:cs="宋体"/>
                <w:color w:val="auto"/>
              </w:rPr>
              <w:t>以</w:t>
            </w:r>
            <w:r>
              <w:rPr>
                <w:rFonts w:hint="eastAsia" w:ascii="宋体" w:hAnsi="宋体" w:eastAsia="宋体"/>
                <w:color w:val="auto"/>
              </w:rPr>
              <w:t>银行保函形式，招标人作为受益人向银行提起索赔。</w:t>
            </w:r>
          </w:p>
          <w:p>
            <w:pPr>
              <w:pStyle w:val="136"/>
              <w:kinsoku w:val="0"/>
              <w:snapToGrid w:val="0"/>
              <w:spacing w:line="300" w:lineRule="auto"/>
              <w:jc w:val="both"/>
              <w:rPr>
                <w:rFonts w:ascii="宋体" w:hAnsi="宋体" w:eastAsia="宋体"/>
                <w:color w:val="auto"/>
              </w:rPr>
            </w:pPr>
            <w:r>
              <w:rPr>
                <w:rFonts w:hint="eastAsia" w:ascii="宋体" w:hAnsi="宋体" w:eastAsia="宋体"/>
                <w:color w:val="auto"/>
              </w:rPr>
              <w:t>（</w:t>
            </w:r>
            <w:r>
              <w:rPr>
                <w:rFonts w:ascii="宋体" w:hAnsi="宋体" w:eastAsia="宋体"/>
                <w:color w:val="auto"/>
              </w:rPr>
              <w:t>3</w:t>
            </w:r>
            <w:r>
              <w:rPr>
                <w:rFonts w:hint="eastAsia" w:ascii="宋体" w:hAnsi="宋体" w:eastAsia="宋体"/>
                <w:color w:val="auto"/>
              </w:rPr>
              <w:t>）以保证保险形式，招标人作为被保险人（受益人）向保险人提起索赔。</w:t>
            </w:r>
          </w:p>
          <w:p>
            <w:pPr>
              <w:pStyle w:val="136"/>
              <w:kinsoku w:val="0"/>
              <w:snapToGrid w:val="0"/>
              <w:spacing w:line="300" w:lineRule="auto"/>
              <w:jc w:val="both"/>
              <w:rPr>
                <w:rFonts w:ascii="宋体" w:hAnsi="宋体" w:eastAsia="宋体"/>
                <w:color w:val="auto"/>
              </w:rPr>
            </w:pPr>
            <w:r>
              <w:rPr>
                <w:rFonts w:hint="eastAsia" w:ascii="宋体" w:hAnsi="宋体" w:eastAsia="宋体"/>
                <w:color w:val="auto"/>
              </w:rPr>
              <w:t>（</w:t>
            </w:r>
            <w:r>
              <w:rPr>
                <w:rFonts w:ascii="宋体" w:hAnsi="宋体" w:eastAsia="宋体"/>
                <w:color w:val="auto"/>
              </w:rPr>
              <w:t>4</w:t>
            </w:r>
            <w:r>
              <w:rPr>
                <w:rFonts w:hint="eastAsia" w:ascii="宋体" w:hAnsi="宋体" w:eastAsia="宋体"/>
                <w:color w:val="auto"/>
              </w:rPr>
              <w:t>）以担保公司担保形式</w:t>
            </w:r>
            <w:r>
              <w:rPr>
                <w:rFonts w:ascii="宋体" w:hAnsi="宋体" w:eastAsia="宋体"/>
                <w:color w:val="auto"/>
              </w:rPr>
              <w:t>,</w:t>
            </w:r>
            <w:r>
              <w:rPr>
                <w:rFonts w:hint="eastAsia" w:ascii="宋体" w:hAnsi="宋体" w:eastAsia="宋体"/>
                <w:color w:val="auto"/>
              </w:rPr>
              <w:t>招标人作为受益人向担保人提起索赔。</w:t>
            </w:r>
          </w:p>
        </w:tc>
      </w:tr>
      <w:tr>
        <w:tblPrEx>
          <w:tblCellMar>
            <w:top w:w="0" w:type="dxa"/>
            <w:left w:w="57" w:type="dxa"/>
            <w:bottom w:w="0" w:type="dxa"/>
            <w:right w:w="57" w:type="dxa"/>
          </w:tblCellMar>
        </w:tblPrEx>
        <w:trPr>
          <w:gridBefore w:val="1"/>
          <w:wBefore w:w="110" w:type="dxa"/>
          <w:trHeight w:val="61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9"/>
              <w:jc w:val="center"/>
              <w:rPr>
                <w:rFonts w:ascii="宋体" w:hAnsi="宋体"/>
                <w:color w:val="auto"/>
              </w:rPr>
            </w:pPr>
            <w:r>
              <w:rPr>
                <w:rFonts w:ascii="宋体" w:hAnsi="宋体"/>
                <w:color w:val="auto"/>
              </w:rPr>
              <w:t>3.5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eastAsia="宋体"/>
                <w:color w:val="auto"/>
              </w:rPr>
            </w:pPr>
            <w:r>
              <w:rPr>
                <w:rFonts w:hint="eastAsia" w:ascii="宋体" w:hAnsi="宋体" w:eastAsia="宋体"/>
                <w:color w:val="auto"/>
              </w:rPr>
              <w:t>资格审查资料</w:t>
            </w:r>
          </w:p>
          <w:p>
            <w:pPr>
              <w:pStyle w:val="136"/>
              <w:kinsoku w:val="0"/>
              <w:jc w:val="center"/>
              <w:rPr>
                <w:color w:val="auto"/>
              </w:rPr>
            </w:pP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65"/>
              <w:snapToGrid w:val="0"/>
              <w:spacing w:line="360" w:lineRule="auto"/>
              <w:ind w:firstLine="0" w:firstLineChars="0"/>
              <w:rPr>
                <w:rFonts w:ascii="宋体" w:hAnsi="宋体" w:eastAsia="宋体"/>
                <w:color w:val="auto"/>
                <w:szCs w:val="24"/>
              </w:rPr>
            </w:pPr>
            <w:r>
              <w:rPr>
                <w:rFonts w:ascii="宋体" w:hAnsi="宋体" w:eastAsia="宋体"/>
                <w:color w:val="auto"/>
                <w:szCs w:val="24"/>
              </w:rPr>
              <w:t>1.</w:t>
            </w:r>
            <w:r>
              <w:rPr>
                <w:rFonts w:ascii="宋体" w:hAnsi="宋体" w:eastAsia="宋体"/>
                <w:color w:val="auto"/>
                <w:spacing w:val="-4"/>
              </w:rPr>
              <w:t>“</w:t>
            </w:r>
            <w:r>
              <w:rPr>
                <w:rFonts w:hint="eastAsia" w:ascii="宋体" w:hAnsi="宋体" w:eastAsia="宋体"/>
                <w:color w:val="auto"/>
                <w:spacing w:val="-4"/>
              </w:rPr>
              <w:t>投标人基本情况表</w:t>
            </w:r>
            <w:r>
              <w:rPr>
                <w:rFonts w:ascii="宋体" w:hAnsi="宋体" w:eastAsia="宋体"/>
                <w:color w:val="auto"/>
                <w:spacing w:val="-4"/>
              </w:rPr>
              <w:t>”</w:t>
            </w:r>
            <w:r>
              <w:rPr>
                <w:rFonts w:hint="eastAsia" w:ascii="宋体" w:hAnsi="宋体" w:eastAsia="宋体"/>
                <w:color w:val="auto"/>
                <w:spacing w:val="-4"/>
              </w:rPr>
              <w:t>应附投标人营业执照和组织机构代码证的复制件（按照</w:t>
            </w:r>
            <w:r>
              <w:rPr>
                <w:rFonts w:ascii="宋体" w:hAnsi="宋体" w:eastAsia="宋体"/>
                <w:color w:val="auto"/>
                <w:spacing w:val="-4"/>
              </w:rPr>
              <w:t>“</w:t>
            </w:r>
            <w:r>
              <w:rPr>
                <w:rFonts w:hint="eastAsia" w:ascii="宋体" w:hAnsi="宋体" w:eastAsia="宋体"/>
                <w:color w:val="auto"/>
                <w:spacing w:val="-4"/>
              </w:rPr>
              <w:t>三证合一</w:t>
            </w:r>
            <w:r>
              <w:rPr>
                <w:rFonts w:ascii="宋体" w:hAnsi="宋体" w:eastAsia="宋体"/>
                <w:color w:val="auto"/>
                <w:spacing w:val="-4"/>
              </w:rPr>
              <w:t>”</w:t>
            </w:r>
            <w:r>
              <w:rPr>
                <w:rFonts w:hint="eastAsia" w:ascii="宋体" w:hAnsi="宋体" w:eastAsia="宋体"/>
                <w:color w:val="auto"/>
                <w:spacing w:val="-6"/>
              </w:rPr>
              <w:t>或</w:t>
            </w:r>
            <w:r>
              <w:rPr>
                <w:rFonts w:ascii="宋体" w:hAnsi="宋体" w:eastAsia="宋体"/>
                <w:color w:val="auto"/>
                <w:spacing w:val="-6"/>
              </w:rPr>
              <w:t>“</w:t>
            </w:r>
            <w:r>
              <w:rPr>
                <w:rFonts w:hint="eastAsia" w:ascii="宋体" w:hAnsi="宋体" w:eastAsia="宋体"/>
                <w:color w:val="auto"/>
                <w:spacing w:val="-6"/>
              </w:rPr>
              <w:t>五证合一</w:t>
            </w:r>
            <w:r>
              <w:rPr>
                <w:rFonts w:ascii="宋体" w:hAnsi="宋体" w:eastAsia="宋体"/>
                <w:color w:val="auto"/>
                <w:spacing w:val="-6"/>
              </w:rPr>
              <w:t>”</w:t>
            </w:r>
            <w:r>
              <w:rPr>
                <w:rFonts w:hint="eastAsia" w:ascii="宋体" w:hAnsi="宋体" w:eastAsia="宋体"/>
                <w:color w:val="auto"/>
                <w:spacing w:val="-6"/>
              </w:rPr>
              <w:t>登记制度进行登记的，可仅提供营业执照复制件）、投标人资质证书、安全生产许可证副本等材</w:t>
            </w:r>
            <w:r>
              <w:rPr>
                <w:rFonts w:hint="eastAsia" w:ascii="宋体" w:hAnsi="宋体" w:eastAsia="宋体"/>
                <w:color w:val="auto"/>
              </w:rPr>
              <w:t>料的复制件。</w:t>
            </w:r>
          </w:p>
          <w:p>
            <w:pPr>
              <w:pStyle w:val="165"/>
              <w:shd w:val="clear" w:color="auto" w:fill="FFFFFF"/>
              <w:kinsoku w:val="0"/>
              <w:snapToGrid w:val="0"/>
              <w:spacing w:line="360" w:lineRule="auto"/>
              <w:ind w:firstLine="0" w:firstLineChars="0"/>
              <w:jc w:val="both"/>
              <w:rPr>
                <w:rFonts w:ascii="宋体" w:hAnsi="宋体" w:eastAsia="宋体"/>
                <w:bCs/>
                <w:color w:val="auto"/>
              </w:rPr>
            </w:pPr>
            <w:r>
              <w:rPr>
                <w:color w:val="auto"/>
                <w:szCs w:val="24"/>
              </w:rPr>
              <w:t>2.</w:t>
            </w:r>
            <w:r>
              <w:rPr>
                <w:rFonts w:ascii="宋体" w:hAnsi="宋体" w:eastAsia="宋体"/>
                <w:bCs/>
                <w:color w:val="auto"/>
              </w:rPr>
              <w:t>企业主要负责人（法定代表人、企业经理、企业分管安全生产的副经理、企业技术负责人）</w:t>
            </w:r>
            <w:r>
              <w:rPr>
                <w:rFonts w:hint="eastAsia" w:ascii="宋体" w:hAnsi="宋体" w:eastAsia="宋体"/>
                <w:bCs/>
                <w:color w:val="auto"/>
              </w:rPr>
              <w:t>专职安全生产管理人员</w:t>
            </w:r>
            <w:r>
              <w:rPr>
                <w:rFonts w:ascii="宋体" w:hAnsi="宋体" w:eastAsia="宋体"/>
                <w:bCs/>
                <w:color w:val="auto"/>
              </w:rPr>
              <w:t>A类证书</w:t>
            </w:r>
            <w:r>
              <w:rPr>
                <w:rFonts w:hint="eastAsia" w:ascii="宋体" w:hAnsi="宋体" w:eastAsia="宋体"/>
                <w:bCs/>
                <w:color w:val="auto"/>
              </w:rPr>
              <w:t>和</w:t>
            </w:r>
            <w:r>
              <w:rPr>
                <w:rFonts w:ascii="宋体" w:hAnsi="宋体" w:eastAsia="宋体"/>
                <w:bCs/>
                <w:color w:val="auto"/>
              </w:rPr>
              <w:t>企业分管安全生产副经理企业的任命书</w:t>
            </w:r>
            <w:r>
              <w:rPr>
                <w:rFonts w:hint="eastAsia" w:ascii="宋体" w:hAnsi="宋体" w:eastAsia="宋体"/>
                <w:bCs/>
                <w:color w:val="auto"/>
              </w:rPr>
              <w:t>复制件。</w:t>
            </w:r>
            <w:r>
              <w:rPr>
                <w:rFonts w:ascii="宋体" w:hAnsi="宋体" w:eastAsia="宋体"/>
                <w:bCs/>
                <w:color w:val="auto"/>
              </w:rPr>
              <w:t>□</w:t>
            </w:r>
            <w:r>
              <w:rPr>
                <w:rFonts w:hint="eastAsia" w:ascii="宋体" w:hAnsi="宋体" w:eastAsia="宋体"/>
                <w:bCs/>
                <w:color w:val="auto"/>
              </w:rPr>
              <w:t>企业经理、技术负责人</w:t>
            </w:r>
            <w:r>
              <w:rPr>
                <w:rFonts w:ascii="宋体" w:hAnsi="宋体" w:eastAsia="宋体"/>
                <w:bCs/>
                <w:color w:val="auto"/>
              </w:rPr>
              <w:t>任命书</w:t>
            </w:r>
            <w:r>
              <w:rPr>
                <w:rFonts w:hint="eastAsia" w:ascii="宋体" w:hAnsi="宋体" w:eastAsia="宋体"/>
                <w:bCs/>
                <w:color w:val="auto"/>
              </w:rPr>
              <w:t>复制件。</w:t>
            </w:r>
          </w:p>
          <w:p>
            <w:pPr>
              <w:pStyle w:val="165"/>
              <w:shd w:val="clear" w:color="auto" w:fill="FFFFFF"/>
              <w:kinsoku w:val="0"/>
              <w:adjustRightInd/>
              <w:snapToGrid w:val="0"/>
              <w:spacing w:line="360" w:lineRule="auto"/>
              <w:ind w:firstLine="0" w:firstLineChars="0"/>
              <w:jc w:val="both"/>
              <w:rPr>
                <w:rFonts w:ascii="宋体" w:hAnsi="宋体" w:eastAsia="宋体"/>
                <w:bCs/>
                <w:color w:val="auto"/>
              </w:rPr>
            </w:pPr>
            <w:r>
              <w:rPr>
                <w:rFonts w:ascii="宋体" w:hAnsi="宋体" w:eastAsia="宋体"/>
                <w:bCs/>
                <w:color w:val="auto"/>
              </w:rPr>
              <w:t>3.</w:t>
            </w:r>
            <w:r>
              <w:rPr>
                <w:rFonts w:hint="eastAsia" w:ascii="宋体" w:hAnsi="宋体" w:eastAsia="宋体"/>
                <w:bCs/>
                <w:color w:val="auto"/>
              </w:rPr>
              <w:t>拟派项目负责人</w:t>
            </w:r>
            <w:r>
              <w:rPr>
                <w:rFonts w:ascii="宋体" w:hAnsi="宋体" w:eastAsia="宋体"/>
                <w:bCs/>
                <w:color w:val="auto"/>
              </w:rPr>
              <w:t>建造师执业资格</w:t>
            </w:r>
            <w:r>
              <w:rPr>
                <w:rFonts w:hint="eastAsia" w:ascii="宋体" w:hAnsi="宋体" w:eastAsia="宋体"/>
                <w:bCs/>
                <w:color w:val="auto"/>
              </w:rPr>
              <w:t>，</w:t>
            </w:r>
            <w:r>
              <w:rPr>
                <w:rFonts w:ascii="宋体" w:hAnsi="宋体" w:eastAsia="宋体"/>
                <w:bCs/>
                <w:color w:val="auto"/>
              </w:rPr>
              <w:t>同时具有</w:t>
            </w:r>
            <w:r>
              <w:rPr>
                <w:rFonts w:hint="eastAsia" w:ascii="宋体" w:hAnsi="宋体" w:eastAsia="宋体"/>
                <w:bCs/>
                <w:color w:val="auto"/>
              </w:rPr>
              <w:t>专职安全生产管理人员</w:t>
            </w:r>
            <w:r>
              <w:rPr>
                <w:rFonts w:ascii="宋体" w:hAnsi="宋体" w:eastAsia="宋体"/>
                <w:bCs/>
                <w:color w:val="auto"/>
              </w:rPr>
              <w:t>B</w:t>
            </w:r>
            <w:r>
              <w:rPr>
                <w:rFonts w:hint="eastAsia" w:ascii="宋体" w:hAnsi="宋体" w:eastAsia="宋体"/>
                <w:bCs/>
                <w:color w:val="auto"/>
              </w:rPr>
              <w:t>类证书复制件。建造师以浙江省建筑市场监管与诚信信息发布平台信息，或注册执业证书，或建设主管部门相关证明材料为准。</w:t>
            </w:r>
          </w:p>
          <w:p>
            <w:pPr>
              <w:pStyle w:val="165"/>
              <w:shd w:val="clear" w:color="auto" w:fill="FFFFFF"/>
              <w:kinsoku w:val="0"/>
              <w:snapToGrid w:val="0"/>
              <w:spacing w:line="360" w:lineRule="auto"/>
              <w:ind w:firstLine="0" w:firstLineChars="0"/>
              <w:jc w:val="both"/>
              <w:rPr>
                <w:rFonts w:ascii="宋体" w:hAnsi="宋体" w:eastAsia="宋体"/>
                <w:bCs/>
                <w:color w:val="auto"/>
              </w:rPr>
            </w:pPr>
            <w:r>
              <w:rPr>
                <w:rFonts w:ascii="宋体" w:hAnsi="宋体" w:eastAsia="宋体"/>
                <w:bCs/>
                <w:color w:val="auto"/>
              </w:rPr>
              <w:t>4.施工现场专职安全生产管理人员有效的</w:t>
            </w:r>
            <w:r>
              <w:rPr>
                <w:rFonts w:hint="eastAsia" w:ascii="宋体" w:hAnsi="宋体" w:eastAsia="宋体"/>
                <w:bCs/>
                <w:color w:val="auto"/>
              </w:rPr>
              <w:t>专职安全生产管理人员</w:t>
            </w:r>
            <w:r>
              <w:rPr>
                <w:rFonts w:ascii="宋体" w:hAnsi="宋体" w:eastAsia="宋体"/>
                <w:bCs/>
                <w:color w:val="auto"/>
              </w:rPr>
              <w:t>C类证书</w:t>
            </w:r>
            <w:r>
              <w:rPr>
                <w:rFonts w:hint="eastAsia" w:ascii="宋体" w:hAnsi="宋体" w:eastAsia="宋体"/>
                <w:bCs/>
                <w:color w:val="auto"/>
              </w:rPr>
              <w:t>复制件。</w:t>
            </w:r>
          </w:p>
          <w:p>
            <w:pPr>
              <w:pStyle w:val="165"/>
              <w:shd w:val="clear" w:color="auto" w:fill="FFFFFF"/>
              <w:kinsoku w:val="0"/>
              <w:snapToGrid w:val="0"/>
              <w:spacing w:line="360" w:lineRule="auto"/>
              <w:ind w:firstLine="0" w:firstLineChars="0"/>
              <w:jc w:val="both"/>
              <w:rPr>
                <w:rFonts w:ascii="宋体" w:hAnsi="宋体" w:eastAsia="宋体"/>
                <w:bCs/>
                <w:color w:val="auto"/>
              </w:rPr>
            </w:pPr>
            <w:r>
              <w:rPr>
                <w:rFonts w:ascii="宋体" w:hAnsi="宋体" w:eastAsia="宋体"/>
                <w:bCs/>
                <w:color w:val="auto"/>
              </w:rPr>
              <w:t>5.</w:t>
            </w:r>
            <w:r>
              <w:rPr>
                <w:rFonts w:hint="eastAsia" w:ascii="宋体" w:hAnsi="宋体" w:eastAsia="宋体"/>
                <w:bCs/>
                <w:color w:val="auto"/>
              </w:rPr>
              <w:t>联合体各方签订的共同投标协议（联合体投标的提供）。</w:t>
            </w:r>
          </w:p>
          <w:p>
            <w:pPr>
              <w:pStyle w:val="165"/>
              <w:shd w:val="clear" w:color="auto" w:fill="FFFFFF"/>
              <w:kinsoku w:val="0"/>
              <w:adjustRightInd/>
              <w:snapToGrid w:val="0"/>
              <w:spacing w:line="360" w:lineRule="auto"/>
              <w:ind w:firstLine="0" w:firstLineChars="0"/>
              <w:jc w:val="both"/>
              <w:rPr>
                <w:rFonts w:ascii="宋体" w:hAnsi="宋体" w:eastAsia="宋体"/>
                <w:bCs/>
                <w:color w:val="auto"/>
              </w:rPr>
            </w:pPr>
            <w:r>
              <w:rPr>
                <w:rFonts w:ascii="宋体" w:hAnsi="宋体" w:eastAsia="宋体"/>
                <w:bCs/>
                <w:color w:val="auto"/>
              </w:rPr>
              <w:t>6.</w:t>
            </w:r>
            <w:r>
              <w:rPr>
                <w:rFonts w:hint="eastAsia" w:ascii="宋体" w:hAnsi="宋体" w:eastAsia="宋体"/>
                <w:bCs/>
                <w:color w:val="auto"/>
              </w:rPr>
              <w:t>授权委托书</w:t>
            </w:r>
            <w:r>
              <w:rPr>
                <w:rFonts w:hint="eastAsia"/>
                <w:bCs/>
                <w:color w:val="auto"/>
                <w:lang w:eastAsia="zh-CN"/>
              </w:rPr>
              <w:t>（如有）</w:t>
            </w:r>
            <w:r>
              <w:rPr>
                <w:rFonts w:hint="eastAsia" w:ascii="宋体" w:hAnsi="宋体" w:eastAsia="宋体"/>
                <w:bCs/>
                <w:color w:val="auto"/>
              </w:rPr>
              <w:t>。</w:t>
            </w:r>
          </w:p>
          <w:p>
            <w:pPr>
              <w:pStyle w:val="165"/>
              <w:shd w:val="clear" w:color="auto" w:fill="FFFFFF"/>
              <w:kinsoku w:val="0"/>
              <w:adjustRightInd/>
              <w:snapToGrid w:val="0"/>
              <w:spacing w:line="360" w:lineRule="auto"/>
              <w:ind w:firstLine="0" w:firstLineChars="0"/>
              <w:jc w:val="both"/>
              <w:rPr>
                <w:rFonts w:ascii="宋体" w:hAnsi="宋体" w:eastAsia="宋体"/>
                <w:bCs/>
                <w:color w:val="auto"/>
              </w:rPr>
            </w:pPr>
            <w:r>
              <w:rPr>
                <w:rFonts w:ascii="宋体" w:hAnsi="宋体" w:eastAsia="宋体"/>
                <w:bCs/>
                <w:color w:val="auto"/>
              </w:rPr>
              <w:t>7.</w:t>
            </w:r>
            <w:r>
              <w:rPr>
                <w:rFonts w:hint="eastAsia" w:ascii="宋体" w:hAnsi="宋体" w:eastAsia="宋体"/>
                <w:bCs/>
                <w:color w:val="auto"/>
              </w:rPr>
              <w:t>投标承诺书。</w:t>
            </w:r>
          </w:p>
          <w:p>
            <w:pPr>
              <w:pStyle w:val="165"/>
              <w:shd w:val="clear" w:color="auto" w:fill="FFFFFF"/>
              <w:kinsoku w:val="0"/>
              <w:snapToGrid w:val="0"/>
              <w:spacing w:line="360" w:lineRule="auto"/>
              <w:ind w:firstLine="0" w:firstLineChars="0"/>
              <w:jc w:val="both"/>
              <w:rPr>
                <w:rFonts w:ascii="宋体" w:hAnsi="宋体" w:eastAsia="宋体"/>
                <w:bCs/>
                <w:color w:val="auto"/>
              </w:rPr>
            </w:pPr>
            <w:r>
              <w:rPr>
                <w:rFonts w:ascii="宋体" w:hAnsi="宋体" w:eastAsia="宋体"/>
                <w:bCs/>
                <w:color w:val="auto"/>
              </w:rPr>
              <w:t>8.</w:t>
            </w:r>
            <w:r>
              <w:rPr>
                <w:rFonts w:hint="eastAsia" w:ascii="宋体" w:hAnsi="宋体" w:eastAsia="宋体"/>
                <w:bCs/>
                <w:color w:val="auto"/>
              </w:rPr>
              <w:t>投标保证金缴纳证明资料（银行转账记录或银行保函或投标保险保单或</w:t>
            </w:r>
            <w:r>
              <w:rPr>
                <w:rFonts w:hint="eastAsia"/>
                <w:bCs/>
                <w:color w:val="auto"/>
                <w:lang w:eastAsia="zh-CN"/>
              </w:rPr>
              <w:t>年度（联保）</w:t>
            </w:r>
            <w:r>
              <w:rPr>
                <w:rFonts w:hint="eastAsia" w:ascii="宋体" w:hAnsi="宋体" w:eastAsia="宋体"/>
                <w:bCs/>
                <w:color w:val="auto"/>
              </w:rPr>
              <w:t>保证金证明）。</w:t>
            </w:r>
          </w:p>
          <w:p>
            <w:pPr>
              <w:pStyle w:val="165"/>
              <w:kinsoku w:val="0"/>
              <w:snapToGrid w:val="0"/>
              <w:spacing w:line="360" w:lineRule="auto"/>
              <w:ind w:firstLine="0" w:firstLineChars="0"/>
              <w:jc w:val="both"/>
              <w:rPr>
                <w:rFonts w:ascii="宋体" w:hAnsi="宋体" w:eastAsia="宋体"/>
                <w:color w:val="auto"/>
                <w:szCs w:val="24"/>
              </w:rPr>
            </w:pPr>
            <w:r>
              <w:rPr>
                <w:rFonts w:ascii="宋体" w:hAnsi="宋体" w:eastAsia="宋体"/>
                <w:bCs/>
                <w:color w:val="auto"/>
              </w:rPr>
              <w:t>9.</w:t>
            </w:r>
            <w:r>
              <w:rPr>
                <w:rFonts w:hint="eastAsia" w:ascii="宋体" w:hAnsi="宋体" w:eastAsia="宋体"/>
                <w:bCs/>
                <w:color w:val="auto"/>
              </w:rPr>
              <w:t>□</w:t>
            </w:r>
            <w:r>
              <w:rPr>
                <w:rFonts w:hint="eastAsia" w:ascii="宋体" w:hAnsi="宋体" w:eastAsia="宋体"/>
                <w:bCs/>
                <w:color w:val="auto"/>
                <w:u w:val="single"/>
              </w:rPr>
              <w:t>（招标人需要增加的其他符合法律法规规定的资料）</w:t>
            </w:r>
            <w:r>
              <w:rPr>
                <w:rFonts w:hint="eastAsia" w:ascii="宋体" w:hAnsi="宋体" w:eastAsia="宋体"/>
                <w:bCs/>
                <w:color w:val="auto"/>
              </w:rPr>
              <w:t>。</w:t>
            </w:r>
          </w:p>
        </w:tc>
      </w:tr>
      <w:tr>
        <w:tblPrEx>
          <w:tblCellMar>
            <w:top w:w="0" w:type="dxa"/>
            <w:left w:w="57" w:type="dxa"/>
            <w:bottom w:w="0" w:type="dxa"/>
            <w:right w:w="57" w:type="dxa"/>
          </w:tblCellMar>
        </w:tblPrEx>
        <w:trPr>
          <w:gridBefore w:val="1"/>
          <w:wBefore w:w="110" w:type="dxa"/>
          <w:trHeight w:val="695"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10"/>
              <w:ind w:left="103"/>
              <w:jc w:val="center"/>
              <w:rPr>
                <w:rFonts w:ascii="宋体" w:hAnsi="宋体"/>
                <w:color w:val="auto"/>
              </w:rPr>
            </w:pPr>
            <w:r>
              <w:rPr>
                <w:rFonts w:ascii="宋体" w:hAnsi="宋体"/>
                <w:color w:val="auto"/>
              </w:rPr>
              <w:t>3.7.3</w:t>
            </w:r>
            <w:r>
              <w:rPr>
                <w:rFonts w:hint="eastAsia" w:ascii="宋体" w:hAnsi="宋体"/>
                <w:color w:val="auto"/>
              </w:rPr>
              <w:t>（</w:t>
            </w:r>
            <w:r>
              <w:rPr>
                <w:rFonts w:ascii="宋体" w:hAnsi="宋体"/>
                <w:color w:val="auto"/>
              </w:rPr>
              <w:t>1</w:t>
            </w:r>
            <w:r>
              <w:rPr>
                <w:rFonts w:hint="eastAsia" w:ascii="宋体" w:hAnsi="宋体"/>
                <w:color w:val="auto"/>
              </w:rPr>
              <w:t>）</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95"/>
              <w:jc w:val="center"/>
              <w:rPr>
                <w:rFonts w:ascii="宋体"/>
                <w:color w:val="auto"/>
              </w:rPr>
            </w:pPr>
            <w:r>
              <w:rPr>
                <w:rFonts w:hint="eastAsia" w:ascii="宋体"/>
                <w:color w:val="auto"/>
              </w:rPr>
              <w:t>电子投标文件</w:t>
            </w:r>
          </w:p>
          <w:p>
            <w:pPr>
              <w:pStyle w:val="136"/>
              <w:kinsoku w:val="0"/>
              <w:spacing w:before="95"/>
              <w:jc w:val="center"/>
              <w:rPr>
                <w:color w:val="auto"/>
              </w:rPr>
            </w:pPr>
            <w:r>
              <w:rPr>
                <w:rFonts w:hint="eastAsia" w:ascii="宋体"/>
                <w:color w:val="auto"/>
              </w:rPr>
              <w:t>盖章要求</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napToGrid w:val="0"/>
              <w:spacing w:line="300" w:lineRule="auto"/>
              <w:jc w:val="both"/>
              <w:rPr>
                <w:rFonts w:ascii="宋体" w:hAnsi="宋体" w:eastAsia="宋体"/>
                <w:color w:val="auto"/>
              </w:rPr>
            </w:pPr>
            <w:r>
              <w:rPr>
                <w:rFonts w:ascii="宋体" w:hAnsi="宋体" w:eastAsia="宋体"/>
                <w:color w:val="auto"/>
              </w:rPr>
              <w:t>1.</w:t>
            </w:r>
            <w:r>
              <w:rPr>
                <w:rFonts w:hint="eastAsia" w:ascii="宋体" w:hAnsi="宋体" w:eastAsia="宋体"/>
                <w:color w:val="auto"/>
              </w:rPr>
              <w:t>投标文件格式文件要求投标人盖章、法定代表人</w:t>
            </w:r>
            <w:r>
              <w:rPr>
                <w:rFonts w:hint="eastAsia"/>
                <w:color w:val="auto"/>
              </w:rPr>
              <w:t>签字或盖章</w:t>
            </w:r>
            <w:r>
              <w:rPr>
                <w:rFonts w:hint="eastAsia" w:ascii="宋体" w:hAnsi="宋体" w:eastAsia="宋体"/>
                <w:color w:val="auto"/>
              </w:rPr>
              <w:t>的地方，投标人均应使用</w:t>
            </w:r>
            <w:r>
              <w:rPr>
                <w:rFonts w:ascii="宋体" w:hAnsi="宋体" w:eastAsia="宋体"/>
                <w:color w:val="auto"/>
              </w:rPr>
              <w:t>CA</w:t>
            </w:r>
            <w:r>
              <w:rPr>
                <w:rFonts w:hint="eastAsia" w:ascii="宋体" w:hAnsi="宋体" w:eastAsia="宋体"/>
                <w:color w:val="auto"/>
              </w:rPr>
              <w:t>数字证书加盖投标人的单位电子印章、法定代表人个人电子印章。联合体投标的，除联合体协议书格式之外的仅由联合体牵头人加盖单位电子印章、法定代表人个人电子印章即可。</w:t>
            </w:r>
          </w:p>
          <w:p>
            <w:pPr>
              <w:pStyle w:val="136"/>
              <w:kinsoku w:val="0"/>
              <w:snapToGrid w:val="0"/>
              <w:spacing w:line="300" w:lineRule="auto"/>
              <w:jc w:val="both"/>
              <w:rPr>
                <w:rFonts w:ascii="宋体" w:hAnsi="宋体" w:eastAsia="宋体"/>
                <w:color w:val="auto"/>
              </w:rPr>
            </w:pPr>
            <w:r>
              <w:rPr>
                <w:rFonts w:ascii="宋体" w:hAnsi="宋体" w:eastAsia="宋体"/>
                <w:color w:val="auto"/>
              </w:rPr>
              <w:t>2.</w:t>
            </w:r>
            <w:r>
              <w:rPr>
                <w:rFonts w:ascii="宋体" w:hAnsi="宋体" w:eastAsia="宋体"/>
                <w:color w:val="auto"/>
                <w:shd w:val="clear" w:color="auto" w:fill="FFFFFF"/>
              </w:rPr>
              <w:sym w:font="Wingdings 2" w:char="00A3"/>
            </w:r>
            <w:r>
              <w:rPr>
                <w:rFonts w:hint="eastAsia" w:ascii="宋体" w:hAnsi="宋体" w:eastAsia="宋体"/>
                <w:color w:val="auto"/>
              </w:rPr>
              <w:t>投标文件所附证书证件、业绩证明文件、投标保证金等证明材料用原件扫描件并加盖投标单位电子印章；</w:t>
            </w:r>
          </w:p>
        </w:tc>
      </w:tr>
      <w:tr>
        <w:tblPrEx>
          <w:tblCellMar>
            <w:top w:w="0" w:type="dxa"/>
            <w:left w:w="57" w:type="dxa"/>
            <w:bottom w:w="0" w:type="dxa"/>
            <w:right w:w="57" w:type="dxa"/>
          </w:tblCellMar>
        </w:tblPrEx>
        <w:trPr>
          <w:gridBefore w:val="1"/>
          <w:wBefore w:w="110" w:type="dxa"/>
          <w:trHeight w:val="969"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ind w:left="103"/>
              <w:jc w:val="center"/>
              <w:rPr>
                <w:rFonts w:ascii="宋体" w:hAnsi="宋体"/>
                <w:color w:val="auto"/>
              </w:rPr>
            </w:pPr>
            <w:r>
              <w:rPr>
                <w:rFonts w:ascii="宋体" w:hAnsi="宋体"/>
                <w:color w:val="auto"/>
              </w:rPr>
              <w:t>3.7.3</w:t>
            </w:r>
            <w:r>
              <w:rPr>
                <w:rFonts w:hint="eastAsia" w:ascii="宋体" w:hAnsi="宋体"/>
                <w:color w:val="auto"/>
              </w:rPr>
              <w:t>（</w:t>
            </w:r>
            <w:r>
              <w:rPr>
                <w:rFonts w:ascii="宋体" w:hAnsi="宋体"/>
                <w:color w:val="auto"/>
              </w:rPr>
              <w:t>2</w:t>
            </w:r>
            <w:r>
              <w:rPr>
                <w:rFonts w:hint="eastAsia" w:ascii="宋体" w:hAnsi="宋体"/>
                <w:color w:val="auto"/>
              </w:rPr>
              <w:t>）</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93"/>
              <w:jc w:val="center"/>
              <w:rPr>
                <w:rFonts w:ascii="宋体"/>
                <w:color w:val="auto"/>
              </w:rPr>
            </w:pPr>
            <w:r>
              <w:rPr>
                <w:rFonts w:hint="eastAsia" w:ascii="宋体"/>
                <w:color w:val="auto"/>
              </w:rPr>
              <w:t>电子投标文件</w:t>
            </w:r>
          </w:p>
          <w:p>
            <w:pPr>
              <w:pStyle w:val="136"/>
              <w:kinsoku w:val="0"/>
              <w:spacing w:before="93"/>
              <w:jc w:val="center"/>
              <w:rPr>
                <w:rFonts w:eastAsia="Times New Roman"/>
                <w:color w:val="auto"/>
              </w:rPr>
            </w:pPr>
            <w:r>
              <w:rPr>
                <w:rFonts w:hint="eastAsia" w:ascii="宋体"/>
                <w:color w:val="auto"/>
              </w:rPr>
              <w:t>的制作</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napToGrid w:val="0"/>
              <w:spacing w:line="300" w:lineRule="auto"/>
              <w:rPr>
                <w:rFonts w:ascii="宋体" w:hAnsi="宋体" w:eastAsia="宋体"/>
                <w:color w:val="auto"/>
                <w:u w:val="single"/>
              </w:rPr>
            </w:pPr>
            <w:r>
              <w:rPr>
                <w:rFonts w:ascii="宋体" w:hAnsi="宋体" w:eastAsia="宋体"/>
                <w:color w:val="auto"/>
                <w:u w:val="single"/>
              </w:rPr>
              <w:t xml:space="preserve">  （采用当地电子投标文件制作工具制作）  </w:t>
            </w:r>
          </w:p>
          <w:p>
            <w:pPr>
              <w:pStyle w:val="136"/>
              <w:kinsoku w:val="0"/>
              <w:snapToGrid w:val="0"/>
              <w:spacing w:line="300" w:lineRule="auto"/>
              <w:rPr>
                <w:rFonts w:ascii="宋体" w:hAnsi="宋体" w:eastAsia="宋体"/>
                <w:color w:val="auto"/>
              </w:rPr>
            </w:pPr>
            <w:r>
              <w:rPr>
                <w:rFonts w:hint="eastAsia" w:ascii="宋体" w:hAnsi="宋体" w:eastAsia="宋体" w:cs="宋体"/>
                <w:color w:val="auto"/>
              </w:rPr>
              <w:t>其他：</w:t>
            </w:r>
            <w:r>
              <w:rPr>
                <w:rFonts w:ascii="宋体" w:hAnsi="宋体" w:eastAsia="宋体" w:cs="宋体"/>
                <w:color w:val="auto"/>
                <w:u w:val="single"/>
              </w:rPr>
              <w:t xml:space="preserve">             </w:t>
            </w:r>
            <w:r>
              <w:rPr>
                <w:rFonts w:hint="eastAsia" w:ascii="宋体" w:hAnsi="宋体" w:eastAsia="宋体" w:cs="宋体"/>
                <w:color w:val="auto"/>
              </w:rPr>
              <w:t>。</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10"/>
              <w:ind w:left="103"/>
              <w:jc w:val="center"/>
              <w:rPr>
                <w:rFonts w:ascii="宋体" w:hAnsi="宋体" w:cs="宋体"/>
                <w:color w:val="auto"/>
              </w:rPr>
            </w:pPr>
            <w:r>
              <w:rPr>
                <w:rFonts w:ascii="宋体" w:hAnsi="宋体" w:cs="宋体"/>
                <w:color w:val="auto"/>
              </w:rPr>
              <w:sym w:font="Wingdings 2" w:char="00A3"/>
            </w:r>
            <w:r>
              <w:rPr>
                <w:rFonts w:ascii="宋体" w:hAnsi="宋体"/>
                <w:color w:val="auto"/>
              </w:rPr>
              <w:t>3.7.4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
              <w:ind w:right="74"/>
              <w:jc w:val="center"/>
              <w:rPr>
                <w:rFonts w:ascii="宋体" w:hAnsi="Times New Roman"/>
                <w:color w:val="auto"/>
              </w:rPr>
            </w:pPr>
            <w:r>
              <w:rPr>
                <w:rFonts w:hint="eastAsia" w:ascii="宋体" w:hAnsi="Times New Roman"/>
                <w:color w:val="auto"/>
              </w:rPr>
              <w:t>业绩证明文件</w:t>
            </w:r>
          </w:p>
          <w:p>
            <w:pPr>
              <w:pStyle w:val="136"/>
              <w:kinsoku w:val="0"/>
              <w:spacing w:before="1"/>
              <w:ind w:right="74"/>
              <w:jc w:val="center"/>
              <w:rPr>
                <w:rFonts w:ascii="宋体" w:hAnsi="Times New Roman"/>
                <w:color w:val="auto"/>
              </w:rPr>
            </w:pPr>
            <w:r>
              <w:rPr>
                <w:rFonts w:hint="eastAsia" w:ascii="宋体" w:hAnsi="Times New Roman"/>
                <w:color w:val="auto"/>
              </w:rPr>
              <w:t>要求</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napToGrid w:val="0"/>
              <w:spacing w:line="300" w:lineRule="auto"/>
              <w:rPr>
                <w:rFonts w:ascii="宋体" w:hAnsi="宋体" w:eastAsia="宋体"/>
                <w:color w:val="auto"/>
              </w:rPr>
            </w:pPr>
            <w:r>
              <w:rPr>
                <w:rFonts w:hint="eastAsia" w:ascii="宋体" w:hAnsi="宋体" w:eastAsia="宋体" w:cs="宋体"/>
                <w:color w:val="auto"/>
              </w:rPr>
              <w:t>□</w:t>
            </w:r>
            <w:r>
              <w:rPr>
                <w:rFonts w:hint="eastAsia" w:ascii="宋体" w:hAnsi="宋体" w:eastAsia="宋体"/>
                <w:color w:val="auto"/>
              </w:rPr>
              <w:t>业绩汇总表须按所附证明材料如实填写。</w:t>
            </w:r>
          </w:p>
          <w:p>
            <w:pPr>
              <w:pStyle w:val="136"/>
              <w:kinsoku w:val="0"/>
              <w:snapToGrid w:val="0"/>
              <w:spacing w:line="300" w:lineRule="auto"/>
              <w:rPr>
                <w:rFonts w:ascii="宋体" w:hAnsi="宋体" w:eastAsia="宋体"/>
                <w:color w:val="auto"/>
              </w:rPr>
            </w:pPr>
            <w:r>
              <w:rPr>
                <w:rFonts w:hint="eastAsia" w:ascii="宋体" w:hAnsi="宋体" w:eastAsia="宋体" w:cs="宋体"/>
                <w:color w:val="auto"/>
              </w:rPr>
              <w:t>其他：</w:t>
            </w:r>
            <w:r>
              <w:rPr>
                <w:rFonts w:ascii="宋体" w:hAnsi="宋体" w:eastAsia="宋体" w:cs="宋体"/>
                <w:color w:val="auto"/>
                <w:u w:val="single"/>
              </w:rPr>
              <w:t xml:space="preserve">             </w:t>
            </w:r>
            <w:r>
              <w:rPr>
                <w:rFonts w:hint="eastAsia" w:ascii="宋体" w:hAnsi="宋体" w:eastAsia="宋体" w:cs="宋体"/>
                <w:color w:val="auto"/>
              </w:rPr>
              <w:t>。</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ind w:left="103"/>
              <w:jc w:val="center"/>
              <w:rPr>
                <w:rFonts w:ascii="宋体" w:hAnsi="宋体"/>
                <w:color w:val="auto"/>
              </w:rPr>
            </w:pPr>
            <w:r>
              <w:rPr>
                <w:rFonts w:ascii="宋体" w:hAnsi="宋体"/>
                <w:color w:val="auto"/>
              </w:rPr>
              <w:t>4.1.1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93"/>
              <w:jc w:val="center"/>
              <w:rPr>
                <w:rFonts w:eastAsia="Times New Roman"/>
                <w:color w:val="auto"/>
              </w:rPr>
            </w:pPr>
            <w:r>
              <w:rPr>
                <w:rFonts w:hint="eastAsia" w:ascii="宋体"/>
                <w:color w:val="auto"/>
              </w:rPr>
              <w:t>电子投标文件加密要求</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napToGrid w:val="0"/>
              <w:spacing w:line="300" w:lineRule="auto"/>
              <w:jc w:val="both"/>
              <w:rPr>
                <w:rFonts w:ascii="宋体" w:hAnsi="宋体" w:eastAsia="宋体"/>
                <w:color w:val="auto"/>
              </w:rPr>
            </w:pPr>
            <w:r>
              <w:rPr>
                <w:rFonts w:hint="eastAsia" w:ascii="宋体" w:hAnsi="宋体" w:eastAsia="宋体"/>
                <w:color w:val="auto"/>
                <w:kern w:val="2"/>
              </w:rPr>
              <w:t>使用投标工具软件编制生成的电子投标文件。</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56"/>
              <w:jc w:val="center"/>
              <w:rPr>
                <w:rFonts w:ascii="宋体" w:hAnsi="宋体"/>
                <w:color w:val="auto"/>
              </w:rPr>
            </w:pPr>
            <w:r>
              <w:rPr>
                <w:rFonts w:ascii="宋体" w:hAnsi="宋体"/>
                <w:color w:val="auto"/>
              </w:rPr>
              <w:t>4.2.1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jc w:val="center"/>
              <w:rPr>
                <w:color w:val="auto"/>
              </w:rPr>
            </w:pPr>
            <w:r>
              <w:rPr>
                <w:rFonts w:hint="eastAsia" w:ascii="宋体" w:cs="宋体"/>
                <w:color w:val="auto"/>
              </w:rPr>
              <w:t>投标截止时间/电子投标文件上传截止时间</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jc w:val="both"/>
              <w:rPr>
                <w:rFonts w:ascii="宋体" w:hAnsi="宋体" w:eastAsia="宋体"/>
                <w:color w:val="auto"/>
              </w:rPr>
            </w:pPr>
            <w:r>
              <w:rPr>
                <w:rFonts w:ascii="宋体" w:hAnsi="宋体" w:eastAsia="宋体"/>
                <w:color w:val="auto"/>
                <w:u w:val="single"/>
              </w:rPr>
              <w:tab/>
            </w:r>
            <w:r>
              <w:rPr>
                <w:rFonts w:hint="eastAsia" w:ascii="宋体" w:hAnsi="宋体" w:eastAsia="宋体" w:cs="宋体"/>
                <w:color w:val="auto"/>
              </w:rPr>
              <w:t>年</w:t>
            </w:r>
            <w:r>
              <w:rPr>
                <w:rFonts w:ascii="宋体" w:hAnsi="宋体" w:eastAsia="宋体"/>
                <w:color w:val="auto"/>
                <w:u w:val="single"/>
              </w:rPr>
              <w:tab/>
            </w:r>
            <w:r>
              <w:rPr>
                <w:rFonts w:hint="eastAsia" w:ascii="宋体" w:hAnsi="宋体" w:eastAsia="宋体" w:cs="宋体"/>
                <w:color w:val="auto"/>
                <w:spacing w:val="-3"/>
              </w:rPr>
              <w:t>月</w:t>
            </w:r>
            <w:r>
              <w:rPr>
                <w:rFonts w:ascii="宋体" w:hAnsi="宋体" w:eastAsia="宋体"/>
                <w:color w:val="auto"/>
                <w:spacing w:val="-3"/>
                <w:u w:val="single"/>
              </w:rPr>
              <w:tab/>
            </w:r>
            <w:r>
              <w:rPr>
                <w:rFonts w:hint="eastAsia" w:ascii="宋体" w:hAnsi="宋体" w:eastAsia="宋体" w:cs="宋体"/>
                <w:color w:val="auto"/>
              </w:rPr>
              <w:t>日</w:t>
            </w:r>
            <w:r>
              <w:rPr>
                <w:rFonts w:ascii="宋体" w:hAnsi="宋体" w:eastAsia="宋体"/>
                <w:color w:val="auto"/>
                <w:u w:val="single"/>
              </w:rPr>
              <w:tab/>
            </w:r>
            <w:r>
              <w:rPr>
                <w:rFonts w:hint="eastAsia" w:ascii="宋体" w:hAnsi="宋体" w:eastAsia="宋体" w:cs="宋体"/>
                <w:color w:val="auto"/>
              </w:rPr>
              <w:t>时</w:t>
            </w:r>
            <w:r>
              <w:rPr>
                <w:rFonts w:ascii="宋体" w:hAnsi="宋体" w:eastAsia="宋体" w:cs="宋体"/>
                <w:color w:val="auto"/>
                <w:u w:val="single"/>
              </w:rPr>
              <w:t xml:space="preserve">    </w:t>
            </w:r>
            <w:r>
              <w:rPr>
                <w:rFonts w:hint="eastAsia" w:ascii="宋体" w:hAnsi="宋体" w:eastAsia="宋体" w:cs="宋体"/>
                <w:color w:val="auto"/>
              </w:rPr>
              <w:t>分</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ind w:left="103"/>
              <w:jc w:val="center"/>
              <w:rPr>
                <w:rFonts w:ascii="宋体" w:hAnsi="宋体"/>
                <w:color w:val="auto"/>
              </w:rPr>
            </w:pPr>
            <w:r>
              <w:rPr>
                <w:rFonts w:ascii="宋体" w:hAnsi="宋体"/>
                <w:color w:val="auto"/>
              </w:rPr>
              <w:t>4.2.2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7"/>
              <w:jc w:val="center"/>
              <w:rPr>
                <w:rFonts w:ascii="宋体" w:cs="宋体"/>
                <w:color w:val="auto"/>
              </w:rPr>
            </w:pPr>
            <w:r>
              <w:rPr>
                <w:rFonts w:hint="eastAsia" w:ascii="宋体" w:cs="宋体"/>
                <w:color w:val="auto"/>
              </w:rPr>
              <w:t>电子投标文件上传平台</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jc w:val="both"/>
              <w:rPr>
                <w:rFonts w:ascii="宋体" w:hAnsi="宋体" w:eastAsia="宋体"/>
                <w:i/>
                <w:iCs/>
                <w:color w:val="auto"/>
                <w:u w:val="single"/>
              </w:rPr>
            </w:pPr>
            <w:r>
              <w:rPr>
                <w:rFonts w:hint="eastAsia" w:ascii="宋体" w:hAnsi="宋体" w:eastAsia="宋体"/>
                <w:color w:val="auto"/>
              </w:rPr>
              <w:t>使用专用密钥上传至</w:t>
            </w:r>
            <w:r>
              <w:rPr>
                <w:rFonts w:ascii="宋体" w:hAnsi="宋体" w:eastAsia="宋体"/>
                <w:color w:val="auto"/>
              </w:rPr>
              <w:t xml:space="preserve">   </w:t>
            </w:r>
            <w:r>
              <w:rPr>
                <w:rFonts w:ascii="宋体" w:hAnsi="宋体" w:eastAsia="宋体"/>
                <w:color w:val="auto"/>
                <w:u w:val="single"/>
              </w:rPr>
              <w:t xml:space="preserve">             </w:t>
            </w:r>
          </w:p>
        </w:tc>
      </w:tr>
      <w:tr>
        <w:tblPrEx>
          <w:tblCellMar>
            <w:top w:w="0" w:type="dxa"/>
            <w:left w:w="57" w:type="dxa"/>
            <w:bottom w:w="0" w:type="dxa"/>
            <w:right w:w="57" w:type="dxa"/>
          </w:tblCellMar>
        </w:tblPrEx>
        <w:trPr>
          <w:gridBefore w:val="1"/>
          <w:wBefore w:w="110" w:type="dxa"/>
          <w:trHeight w:val="134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olor w:val="auto"/>
              </w:rPr>
            </w:pPr>
            <w:r>
              <w:rPr>
                <w:rFonts w:ascii="宋体" w:hAnsi="宋体"/>
                <w:color w:val="auto"/>
              </w:rPr>
              <w:t>4.2.3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color w:val="auto"/>
              </w:rPr>
            </w:pPr>
            <w:r>
              <w:rPr>
                <w:rFonts w:hint="eastAsia" w:ascii="宋体" w:cs="宋体"/>
                <w:color w:val="auto"/>
              </w:rPr>
              <w:t>投标文件退还</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jc w:val="both"/>
              <w:rPr>
                <w:rFonts w:ascii="宋体" w:hAnsi="宋体" w:eastAsia="宋体"/>
                <w:color w:val="auto"/>
              </w:rPr>
            </w:pPr>
            <w:r>
              <w:rPr>
                <w:rFonts w:hint="eastAsia" w:ascii="宋体" w:hAnsi="宋体" w:eastAsia="宋体"/>
                <w:color w:val="auto"/>
              </w:rPr>
              <w:t>投标截止时间止，存在以下情形之一的不予开标，投标文件退还：</w:t>
            </w:r>
          </w:p>
          <w:p>
            <w:pPr>
              <w:numPr>
                <w:ilvl w:val="0"/>
                <w:numId w:val="0"/>
              </w:numPr>
              <w:snapToGrid w:val="0"/>
              <w:spacing w:line="300" w:lineRule="auto"/>
              <w:jc w:val="both"/>
              <w:rPr>
                <w:rFonts w:ascii="宋体" w:hAnsi="宋体" w:eastAsia="宋体"/>
                <w:color w:val="auto"/>
              </w:rPr>
            </w:pPr>
            <w:r>
              <w:rPr>
                <w:rFonts w:ascii="宋体" w:hAnsi="宋体" w:eastAsia="宋体"/>
                <w:color w:val="auto"/>
              </w:rPr>
              <w:t>1.递交投标文件的投标人少于3</w:t>
            </w:r>
            <w:r>
              <w:rPr>
                <w:rFonts w:hint="eastAsia" w:ascii="宋体" w:hAnsi="宋体" w:eastAsia="宋体"/>
                <w:color w:val="auto"/>
              </w:rPr>
              <w:t>个的；</w:t>
            </w:r>
          </w:p>
          <w:p>
            <w:pPr>
              <w:snapToGrid w:val="0"/>
              <w:spacing w:line="300" w:lineRule="auto"/>
              <w:jc w:val="both"/>
              <w:rPr>
                <w:rFonts w:ascii="宋体" w:hAnsi="宋体" w:eastAsia="宋体"/>
                <w:color w:val="auto"/>
              </w:rPr>
            </w:pPr>
            <w:r>
              <w:rPr>
                <w:rFonts w:ascii="宋体" w:hAnsi="宋体" w:eastAsia="宋体"/>
                <w:color w:val="auto"/>
              </w:rPr>
              <w:t>2.</w:t>
            </w:r>
            <w:r>
              <w:rPr>
                <w:rFonts w:hint="eastAsia" w:ascii="宋体" w:hAnsi="宋体" w:eastAsia="宋体"/>
                <w:color w:val="auto"/>
              </w:rPr>
              <w:t>其他：</w:t>
            </w:r>
            <w:r>
              <w:rPr>
                <w:rFonts w:ascii="宋体" w:hAnsi="宋体" w:eastAsia="宋体"/>
                <w:color w:val="auto"/>
                <w:u w:val="single"/>
              </w:rPr>
              <w:t xml:space="preserve">                </w:t>
            </w:r>
            <w:r>
              <w:rPr>
                <w:rFonts w:hint="eastAsia" w:ascii="宋体" w:hAnsi="宋体" w:eastAsia="宋体"/>
                <w:color w:val="auto"/>
              </w:rPr>
              <w:t>。</w:t>
            </w:r>
          </w:p>
        </w:tc>
      </w:tr>
      <w:tr>
        <w:tblPrEx>
          <w:tblCellMar>
            <w:top w:w="0" w:type="dxa"/>
            <w:left w:w="57" w:type="dxa"/>
            <w:bottom w:w="0" w:type="dxa"/>
            <w:right w:w="57" w:type="dxa"/>
          </w:tblCellMar>
        </w:tblPrEx>
        <w:trPr>
          <w:gridBefore w:val="1"/>
          <w:wBefore w:w="110" w:type="dxa"/>
          <w:trHeight w:val="757"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3"/>
              <w:jc w:val="center"/>
              <w:rPr>
                <w:rFonts w:ascii="宋体" w:hAnsi="宋体"/>
                <w:color w:val="auto"/>
              </w:rPr>
            </w:pPr>
            <w:r>
              <w:rPr>
                <w:rFonts w:ascii="宋体" w:hAnsi="宋体"/>
                <w:color w:val="auto"/>
              </w:rPr>
              <w:t>4.2.5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color w:val="auto"/>
              </w:rPr>
            </w:pPr>
            <w:r>
              <w:rPr>
                <w:rFonts w:hint="eastAsia"/>
                <w:color w:val="auto"/>
              </w:rPr>
              <w:t>电子投标文件的拒收情形</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rPr>
                <w:rFonts w:ascii="宋体" w:hAnsi="宋体" w:eastAsia="宋体"/>
                <w:color w:val="auto"/>
              </w:rPr>
            </w:pPr>
            <w:r>
              <w:rPr>
                <w:rFonts w:ascii="宋体" w:hAnsi="宋体" w:eastAsia="宋体"/>
                <w:color w:val="auto"/>
              </w:rPr>
              <w:t>1.</w:t>
            </w:r>
            <w:r>
              <w:rPr>
                <w:rFonts w:hint="eastAsia" w:ascii="宋体" w:hAnsi="宋体" w:eastAsia="宋体"/>
                <w:color w:val="auto"/>
              </w:rPr>
              <w:t>投标截止时间后送达（上传）的投标文件、未按招标文件要求上传的；</w:t>
            </w:r>
          </w:p>
          <w:p>
            <w:pPr>
              <w:snapToGrid w:val="0"/>
              <w:spacing w:line="300" w:lineRule="auto"/>
              <w:rPr>
                <w:rFonts w:ascii="宋体" w:hAnsi="宋体" w:eastAsia="宋体"/>
                <w:color w:val="auto"/>
              </w:rPr>
            </w:pPr>
            <w:r>
              <w:rPr>
                <w:rFonts w:ascii="宋体" w:hAnsi="宋体" w:eastAsia="宋体"/>
                <w:color w:val="auto"/>
                <w:spacing w:val="-5"/>
              </w:rPr>
              <w:t>2.</w:t>
            </w:r>
            <w:r>
              <w:rPr>
                <w:rFonts w:hint="eastAsia" w:ascii="宋体" w:hAnsi="宋体" w:eastAsia="宋体"/>
                <w:color w:val="auto"/>
                <w:spacing w:val="-5"/>
              </w:rPr>
              <w:t>投标人未按规定加密的投标文件，应当拒收并提示。</w:t>
            </w:r>
            <w:r>
              <w:rPr>
                <w:rFonts w:ascii="Arial" w:hAnsi="Arial" w:cs="Arial"/>
                <w:color w:val="auto"/>
              </w:rPr>
              <w:br w:type="textWrapping"/>
            </w:r>
            <w:r>
              <w:rPr>
                <w:rFonts w:ascii="宋体" w:hAnsi="宋体" w:eastAsia="宋体"/>
                <w:color w:val="auto"/>
              </w:rPr>
              <w:t>3.</w:t>
            </w:r>
            <w:r>
              <w:rPr>
                <w:rFonts w:hint="eastAsia" w:ascii="宋体" w:hAnsi="宋体" w:eastAsia="宋体"/>
                <w:color w:val="auto"/>
                <w:spacing w:val="-5"/>
              </w:rPr>
              <w:t>存在下列情况之一的，视为拒收：</w:t>
            </w:r>
          </w:p>
          <w:p>
            <w:pPr>
              <w:snapToGrid w:val="0"/>
              <w:spacing w:line="300" w:lineRule="auto"/>
              <w:jc w:val="both"/>
              <w:rPr>
                <w:rFonts w:ascii="宋体" w:hAnsi="宋体" w:eastAsia="宋体"/>
                <w:color w:val="auto"/>
              </w:rPr>
            </w:pPr>
            <w:r>
              <w:rPr>
                <w:rFonts w:hint="eastAsia" w:ascii="宋体" w:hAnsi="宋体" w:eastAsia="宋体"/>
                <w:color w:val="auto"/>
              </w:rPr>
              <w:t>（</w:t>
            </w:r>
            <w:r>
              <w:rPr>
                <w:rFonts w:ascii="宋体" w:hAnsi="宋体" w:eastAsia="宋体"/>
                <w:color w:val="auto"/>
              </w:rPr>
              <w:t>1</w:t>
            </w:r>
            <w:r>
              <w:rPr>
                <w:rFonts w:hint="eastAsia" w:ascii="宋体" w:hAnsi="宋体" w:eastAsia="宋体"/>
                <w:color w:val="auto"/>
              </w:rPr>
              <w:t>）电子投标文件无法解密的；</w:t>
            </w:r>
          </w:p>
          <w:p>
            <w:pPr>
              <w:snapToGrid w:val="0"/>
              <w:spacing w:line="300" w:lineRule="auto"/>
              <w:jc w:val="both"/>
              <w:rPr>
                <w:rFonts w:ascii="宋体" w:hAnsi="宋体" w:eastAsia="宋体"/>
                <w:color w:val="auto"/>
              </w:rPr>
            </w:pPr>
            <w:r>
              <w:rPr>
                <w:rFonts w:hint="eastAsia" w:ascii="宋体" w:hAnsi="宋体" w:eastAsia="宋体"/>
                <w:color w:val="auto"/>
              </w:rPr>
              <w:t>（</w:t>
            </w:r>
            <w:r>
              <w:rPr>
                <w:rFonts w:ascii="宋体" w:hAnsi="宋体" w:eastAsia="宋体"/>
                <w:color w:val="auto"/>
              </w:rPr>
              <w:t>2</w:t>
            </w:r>
            <w:r>
              <w:rPr>
                <w:rFonts w:hint="eastAsia" w:ascii="宋体" w:hAnsi="宋体" w:eastAsia="宋体"/>
                <w:color w:val="auto"/>
              </w:rPr>
              <w:t>）电子投标文件解密后无法正确读取的；</w:t>
            </w:r>
          </w:p>
          <w:p>
            <w:pPr>
              <w:snapToGrid w:val="0"/>
              <w:spacing w:line="300" w:lineRule="auto"/>
              <w:rPr>
                <w:rFonts w:ascii="宋体" w:hAnsi="宋体" w:eastAsia="宋体"/>
                <w:color w:val="auto"/>
              </w:rPr>
            </w:pPr>
            <w:r>
              <w:rPr>
                <w:rFonts w:hint="eastAsia" w:ascii="宋体" w:hAnsi="宋体" w:eastAsia="宋体"/>
                <w:color w:val="auto"/>
              </w:rPr>
              <w:t>（</w:t>
            </w:r>
            <w:r>
              <w:rPr>
                <w:rFonts w:ascii="宋体" w:hAnsi="宋体" w:eastAsia="宋体"/>
                <w:color w:val="auto"/>
              </w:rPr>
              <w:t>3</w:t>
            </w:r>
            <w:r>
              <w:rPr>
                <w:rFonts w:hint="eastAsia" w:ascii="宋体" w:hAnsi="宋体" w:eastAsia="宋体"/>
                <w:color w:val="auto"/>
              </w:rPr>
              <w:t>）电子投标文件无法导入成功的；</w:t>
            </w:r>
          </w:p>
          <w:p>
            <w:pPr>
              <w:snapToGrid w:val="0"/>
              <w:spacing w:line="300" w:lineRule="auto"/>
              <w:rPr>
                <w:rFonts w:ascii="宋体" w:hAnsi="宋体" w:eastAsia="宋体"/>
                <w:color w:val="auto"/>
              </w:rPr>
            </w:pPr>
            <w:r>
              <w:rPr>
                <w:rFonts w:ascii="宋体" w:hAnsi="宋体" w:eastAsia="宋体"/>
                <w:color w:val="auto"/>
              </w:rPr>
              <w:t>4.</w:t>
            </w:r>
            <w:r>
              <w:rPr>
                <w:rFonts w:hint="eastAsia" w:ascii="宋体" w:hAnsi="宋体" w:eastAsia="宋体"/>
                <w:color w:val="auto"/>
              </w:rPr>
              <w:t>□未被邀请的申请人提交的投标文件</w:t>
            </w:r>
          </w:p>
          <w:p>
            <w:pPr>
              <w:snapToGrid w:val="0"/>
              <w:spacing w:line="300" w:lineRule="auto"/>
              <w:rPr>
                <w:rFonts w:ascii="宋体" w:hAnsi="宋体" w:eastAsia="宋体"/>
                <w:color w:val="auto"/>
              </w:rPr>
            </w:pPr>
            <w:r>
              <w:rPr>
                <w:rFonts w:ascii="宋体" w:hAnsi="宋体" w:eastAsia="宋体"/>
                <w:color w:val="auto"/>
              </w:rPr>
              <w:t>5.</w:t>
            </w:r>
            <w:r>
              <w:rPr>
                <w:rFonts w:hint="eastAsia" w:ascii="宋体" w:hAnsi="宋体" w:eastAsia="宋体"/>
                <w:color w:val="auto"/>
              </w:rPr>
              <w:t>其他</w:t>
            </w:r>
            <w:r>
              <w:rPr>
                <w:rFonts w:ascii="宋体" w:hAnsi="宋体" w:eastAsia="宋体"/>
                <w:color w:val="auto"/>
              </w:rPr>
              <w:t>:</w:t>
            </w:r>
            <w:r>
              <w:rPr>
                <w:rFonts w:ascii="宋体" w:hAnsi="宋体" w:eastAsia="宋体"/>
                <w:b/>
                <w:color w:val="auto"/>
              </w:rPr>
              <w:t xml:space="preserve"> </w:t>
            </w:r>
            <w:r>
              <w:rPr>
                <w:rFonts w:ascii="宋体" w:hAnsi="宋体" w:eastAsia="宋体"/>
                <w:b/>
                <w:color w:val="auto"/>
                <w:u w:val="single"/>
              </w:rPr>
              <w:t xml:space="preserve">               </w:t>
            </w:r>
            <w:r>
              <w:rPr>
                <w:rFonts w:hint="eastAsia" w:ascii="宋体" w:hAnsi="宋体" w:eastAsia="宋体"/>
                <w:b/>
                <w:color w:val="auto"/>
              </w:rPr>
              <w:t>。</w:t>
            </w:r>
          </w:p>
        </w:tc>
      </w:tr>
      <w:tr>
        <w:tblPrEx>
          <w:tblCellMar>
            <w:top w:w="0" w:type="dxa"/>
            <w:left w:w="57" w:type="dxa"/>
            <w:bottom w:w="0" w:type="dxa"/>
            <w:right w:w="57" w:type="dxa"/>
          </w:tblCellMar>
        </w:tblPrEx>
        <w:trPr>
          <w:gridBefore w:val="1"/>
          <w:wBefore w:w="110" w:type="dxa"/>
          <w:trHeight w:val="1113" w:hRule="atLeast"/>
        </w:trPr>
        <w:tc>
          <w:tcPr>
            <w:tcW w:w="1173" w:type="dxa"/>
            <w:tcBorders>
              <w:top w:val="single" w:color="000000" w:sz="4" w:space="0"/>
              <w:left w:val="single" w:color="000000" w:sz="4" w:space="0"/>
              <w:bottom w:val="single" w:color="auto" w:sz="4" w:space="0"/>
              <w:right w:val="single" w:color="000000" w:sz="4" w:space="0"/>
            </w:tcBorders>
            <w:noWrap w:val="0"/>
            <w:vAlign w:val="center"/>
          </w:tcPr>
          <w:p>
            <w:pPr>
              <w:pStyle w:val="136"/>
              <w:kinsoku w:val="0"/>
              <w:spacing w:before="108"/>
              <w:ind w:left="103" w:right="-5"/>
              <w:jc w:val="center"/>
              <w:rPr>
                <w:rFonts w:ascii="宋体" w:hAnsi="宋体"/>
                <w:color w:val="auto"/>
              </w:rPr>
            </w:pPr>
            <w:r>
              <w:rPr>
                <w:rFonts w:ascii="宋体" w:hAnsi="宋体"/>
                <w:color w:val="auto"/>
              </w:rPr>
              <w:t>5.1</w:t>
            </w:r>
          </w:p>
        </w:tc>
        <w:tc>
          <w:tcPr>
            <w:tcW w:w="1697" w:type="dxa"/>
            <w:tcBorders>
              <w:top w:val="single" w:color="000000" w:sz="4" w:space="0"/>
              <w:left w:val="single" w:color="000000" w:sz="4" w:space="0"/>
              <w:right w:val="single" w:color="000000" w:sz="4" w:space="0"/>
            </w:tcBorders>
            <w:noWrap w:val="0"/>
            <w:vAlign w:val="center"/>
          </w:tcPr>
          <w:p>
            <w:pPr>
              <w:pStyle w:val="136"/>
              <w:kinsoku w:val="0"/>
              <w:spacing w:before="108"/>
              <w:ind w:right="1"/>
              <w:jc w:val="center"/>
              <w:rPr>
                <w:rFonts w:ascii="宋体" w:cs="宋体"/>
                <w:color w:val="auto"/>
              </w:rPr>
            </w:pPr>
            <w:r>
              <w:rPr>
                <w:rFonts w:hint="eastAsia" w:ascii="宋体" w:cs="宋体"/>
                <w:color w:val="auto"/>
              </w:rPr>
              <w:t>开标时间和地点</w:t>
            </w:r>
          </w:p>
        </w:tc>
        <w:tc>
          <w:tcPr>
            <w:tcW w:w="6858" w:type="dxa"/>
            <w:tcBorders>
              <w:top w:val="single" w:color="000000" w:sz="4" w:space="0"/>
              <w:left w:val="single" w:color="000000" w:sz="4" w:space="0"/>
              <w:right w:val="single" w:color="000000" w:sz="4" w:space="0"/>
            </w:tcBorders>
            <w:noWrap w:val="0"/>
            <w:vAlign w:val="center"/>
          </w:tcPr>
          <w:p>
            <w:pPr>
              <w:pStyle w:val="136"/>
              <w:kinsoku w:val="0"/>
              <w:snapToGrid w:val="0"/>
              <w:spacing w:line="300" w:lineRule="auto"/>
              <w:rPr>
                <w:rFonts w:ascii="宋体" w:hAnsi="宋体" w:eastAsia="宋体" w:cs="宋体"/>
                <w:color w:val="auto"/>
              </w:rPr>
            </w:pPr>
            <w:r>
              <w:rPr>
                <w:rFonts w:ascii="宋体" w:hAnsi="宋体" w:eastAsia="宋体" w:cs="宋体"/>
                <w:color w:val="auto"/>
              </w:rPr>
              <w:t>1.开标时间：同电子投标文件上传截止时间。</w:t>
            </w:r>
          </w:p>
          <w:p>
            <w:pPr>
              <w:pStyle w:val="136"/>
              <w:kinsoku w:val="0"/>
              <w:snapToGrid w:val="0"/>
              <w:spacing w:line="300" w:lineRule="auto"/>
              <w:rPr>
                <w:rFonts w:ascii="宋体" w:hAnsi="宋体" w:eastAsia="宋体"/>
                <w:color w:val="auto"/>
                <w:shd w:val="clear" w:color="auto" w:fill="FFFFFF"/>
              </w:rPr>
            </w:pPr>
            <w:r>
              <w:rPr>
                <w:rFonts w:ascii="宋体" w:hAnsi="宋体" w:eastAsia="宋体" w:cs="宋体"/>
                <w:color w:val="auto"/>
              </w:rPr>
              <w:t>2.开标地点：</w:t>
            </w:r>
            <w:r>
              <w:rPr>
                <w:rFonts w:ascii="宋体" w:hAnsi="宋体" w:eastAsia="宋体" w:cs="宋体"/>
                <w:color w:val="auto"/>
                <w:u w:val="single"/>
              </w:rPr>
              <w:t xml:space="preserve">             </w:t>
            </w:r>
            <w:r>
              <w:rPr>
                <w:rFonts w:hint="eastAsia" w:ascii="宋体" w:hAnsi="宋体" w:eastAsia="宋体" w:cs="宋体"/>
                <w:color w:val="auto"/>
              </w:rPr>
              <w:t>。</w:t>
            </w:r>
          </w:p>
          <w:p>
            <w:pPr>
              <w:snapToGrid w:val="0"/>
              <w:spacing w:line="300" w:lineRule="auto"/>
              <w:jc w:val="both"/>
              <w:rPr>
                <w:rFonts w:ascii="宋体" w:hAnsi="宋体" w:eastAsia="宋体"/>
                <w:color w:val="auto"/>
                <w:shd w:val="clear" w:color="auto" w:fill="FFFFFF"/>
              </w:rPr>
            </w:pPr>
            <w:r>
              <w:rPr>
                <w:rFonts w:ascii="宋体" w:hAnsi="宋体" w:eastAsia="宋体"/>
                <w:color w:val="auto"/>
                <w:shd w:val="clear" w:color="auto" w:fill="FFFFFF"/>
              </w:rPr>
              <w:t>3.</w:t>
            </w:r>
            <w:r>
              <w:rPr>
                <w:rFonts w:hint="eastAsia" w:ascii="宋体" w:hAnsi="宋体" w:eastAsia="宋体"/>
                <w:color w:val="auto"/>
                <w:shd w:val="clear" w:color="auto" w:fill="FFFFFF"/>
              </w:rPr>
              <w:t>开标平台</w:t>
            </w:r>
            <w:r>
              <w:rPr>
                <w:rFonts w:ascii="宋体" w:hAnsi="宋体" w:eastAsia="宋体"/>
                <w:color w:val="auto"/>
                <w:shd w:val="clear" w:color="auto" w:fill="FFFFFF"/>
              </w:rPr>
              <w:t>:</w:t>
            </w:r>
            <w:r>
              <w:rPr>
                <w:rFonts w:hint="eastAsia" w:ascii="宋体" w:hAnsi="宋体" w:eastAsia="宋体"/>
                <w:color w:val="auto"/>
              </w:rPr>
              <w:t>当地招投标交易平台</w:t>
            </w:r>
          </w:p>
          <w:p>
            <w:pPr>
              <w:snapToGrid w:val="0"/>
              <w:spacing w:line="300" w:lineRule="auto"/>
              <w:jc w:val="both"/>
              <w:rPr>
                <w:rFonts w:ascii="宋体" w:hAnsi="宋体" w:eastAsia="宋体"/>
                <w:color w:val="auto"/>
              </w:rPr>
            </w:pPr>
            <w:r>
              <w:rPr>
                <w:rFonts w:ascii="宋体" w:hAnsi="宋体" w:eastAsia="宋体"/>
                <w:color w:val="auto"/>
                <w:shd w:val="clear" w:color="auto" w:fill="FFFFFF"/>
              </w:rPr>
              <w:t>4.</w:t>
            </w:r>
            <w:r>
              <w:rPr>
                <w:rFonts w:hint="eastAsia" w:ascii="宋体" w:hAnsi="宋体" w:eastAsia="宋体"/>
                <w:color w:val="auto"/>
                <w:shd w:val="clear" w:color="auto" w:fill="FFFFFF"/>
              </w:rPr>
              <w:t>其他：</w:t>
            </w:r>
            <w:r>
              <w:rPr>
                <w:rFonts w:ascii="宋体" w:hAnsi="宋体" w:eastAsia="宋体"/>
                <w:color w:val="auto"/>
                <w:u w:val="single"/>
                <w:shd w:val="clear" w:color="auto" w:fill="FFFFFF"/>
              </w:rPr>
              <w:t xml:space="preserve">               </w:t>
            </w:r>
            <w:r>
              <w:rPr>
                <w:rFonts w:hint="eastAsia" w:ascii="宋体" w:hAnsi="宋体" w:eastAsia="宋体"/>
                <w:color w:val="auto"/>
                <w:shd w:val="clear" w:color="auto" w:fill="FFFFFF"/>
              </w:rPr>
              <w:t>。</w:t>
            </w:r>
          </w:p>
        </w:tc>
      </w:tr>
      <w:tr>
        <w:tblPrEx>
          <w:tblCellMar>
            <w:top w:w="0" w:type="dxa"/>
            <w:left w:w="57" w:type="dxa"/>
            <w:bottom w:w="0" w:type="dxa"/>
            <w:right w:w="57" w:type="dxa"/>
          </w:tblCellMar>
        </w:tblPrEx>
        <w:trPr>
          <w:gridBefore w:val="1"/>
          <w:wBefore w:w="110" w:type="dxa"/>
          <w:trHeight w:val="688" w:hRule="atLeast"/>
        </w:trPr>
        <w:tc>
          <w:tcPr>
            <w:tcW w:w="1173" w:type="dxa"/>
            <w:tcBorders>
              <w:top w:val="single" w:color="auto" w:sz="4" w:space="0"/>
              <w:left w:val="single" w:color="000000" w:sz="4" w:space="0"/>
              <w:bottom w:val="single" w:color="auto" w:sz="4" w:space="0"/>
              <w:right w:val="single" w:color="000000" w:sz="4" w:space="0"/>
            </w:tcBorders>
            <w:noWrap w:val="0"/>
            <w:vAlign w:val="center"/>
          </w:tcPr>
          <w:p>
            <w:pPr>
              <w:pStyle w:val="136"/>
              <w:kinsoku w:val="0"/>
              <w:spacing w:before="108"/>
              <w:ind w:left="103" w:right="-5"/>
              <w:jc w:val="center"/>
              <w:rPr>
                <w:rFonts w:ascii="宋体" w:hAnsi="宋体"/>
                <w:color w:val="auto"/>
              </w:rPr>
            </w:pPr>
            <w:r>
              <w:rPr>
                <w:rFonts w:ascii="宋体" w:hAnsi="宋体"/>
                <w:color w:val="auto"/>
              </w:rPr>
              <w:t>5.2</w:t>
            </w:r>
          </w:p>
        </w:tc>
        <w:tc>
          <w:tcPr>
            <w:tcW w:w="1697" w:type="dxa"/>
            <w:tcBorders>
              <w:top w:val="single" w:color="000000" w:sz="4" w:space="0"/>
              <w:left w:val="single" w:color="000000" w:sz="4" w:space="0"/>
              <w:bottom w:val="single" w:color="auto" w:sz="4" w:space="0"/>
              <w:right w:val="single" w:color="000000" w:sz="4" w:space="0"/>
            </w:tcBorders>
            <w:noWrap w:val="0"/>
            <w:vAlign w:val="center"/>
          </w:tcPr>
          <w:p>
            <w:pPr>
              <w:pStyle w:val="136"/>
              <w:kinsoku w:val="0"/>
              <w:spacing w:before="108"/>
              <w:ind w:right="1"/>
              <w:jc w:val="center"/>
              <w:rPr>
                <w:rFonts w:ascii="宋体" w:cs="宋体"/>
                <w:color w:val="auto"/>
              </w:rPr>
            </w:pPr>
            <w:r>
              <w:rPr>
                <w:rFonts w:hint="eastAsia" w:ascii="宋体" w:cs="宋体"/>
                <w:color w:val="auto"/>
              </w:rPr>
              <w:t>开标程序</w:t>
            </w:r>
          </w:p>
        </w:tc>
        <w:tc>
          <w:tcPr>
            <w:tcW w:w="6858" w:type="dxa"/>
            <w:tcBorders>
              <w:top w:val="single" w:color="000000" w:sz="4" w:space="0"/>
              <w:left w:val="single" w:color="000000" w:sz="4" w:space="0"/>
              <w:bottom w:val="single" w:color="auto" w:sz="4" w:space="0"/>
              <w:right w:val="single" w:color="000000" w:sz="4" w:space="0"/>
            </w:tcBorders>
            <w:noWrap w:val="0"/>
            <w:vAlign w:val="center"/>
          </w:tcPr>
          <w:p>
            <w:pPr>
              <w:pStyle w:val="136"/>
              <w:tabs>
                <w:tab w:val="left" w:pos="2309"/>
                <w:tab w:val="left" w:pos="2729"/>
                <w:tab w:val="left" w:pos="3826"/>
              </w:tabs>
              <w:kinsoku w:val="0"/>
              <w:snapToGrid w:val="0"/>
              <w:spacing w:line="300" w:lineRule="auto"/>
              <w:jc w:val="both"/>
              <w:rPr>
                <w:rFonts w:ascii="宋体" w:hAnsi="宋体" w:eastAsia="宋体"/>
                <w:color w:val="auto"/>
              </w:rPr>
            </w:pPr>
            <w:r>
              <w:rPr>
                <w:rFonts w:ascii="宋体" w:hAnsi="宋体" w:eastAsia="宋体"/>
                <w:color w:val="auto"/>
                <w:u w:val="single"/>
                <w:shd w:val="clear" w:color="auto" w:fill="FFFFFF"/>
              </w:rPr>
              <w:t xml:space="preserve">  </w:t>
            </w:r>
            <w:r>
              <w:rPr>
                <w:rFonts w:hint="eastAsia" w:ascii="宋体" w:hAnsi="宋体"/>
                <w:color w:val="auto"/>
                <w:u w:val="single"/>
                <w:shd w:val="clear" w:color="auto" w:fill="FFFFFF"/>
                <w:lang w:val="en-US" w:eastAsia="zh-CN"/>
              </w:rPr>
              <w:t xml:space="preserve">                            </w:t>
            </w:r>
            <w:r>
              <w:rPr>
                <w:rFonts w:ascii="宋体" w:hAnsi="宋体" w:eastAsia="宋体"/>
                <w:color w:val="auto"/>
                <w:u w:val="single"/>
                <w:shd w:val="clear" w:color="auto" w:fill="FFFFFF"/>
              </w:rPr>
              <w:t xml:space="preserve"> </w:t>
            </w:r>
            <w:r>
              <w:rPr>
                <w:rFonts w:hint="eastAsia" w:ascii="宋体" w:hAnsi="宋体" w:eastAsia="宋体"/>
                <w:color w:val="auto"/>
                <w:shd w:val="clear" w:color="auto" w:fill="FFFFFF"/>
              </w:rPr>
              <w:t>。</w:t>
            </w:r>
          </w:p>
        </w:tc>
      </w:tr>
      <w:tr>
        <w:tblPrEx>
          <w:tblCellMar>
            <w:top w:w="0" w:type="dxa"/>
            <w:left w:w="57" w:type="dxa"/>
            <w:bottom w:w="0" w:type="dxa"/>
            <w:right w:w="57" w:type="dxa"/>
          </w:tblCellMar>
        </w:tblPrEx>
        <w:trPr>
          <w:gridBefore w:val="1"/>
          <w:wBefore w:w="110" w:type="dxa"/>
          <w:trHeight w:val="3045"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8"/>
              <w:ind w:left="103" w:right="-5"/>
              <w:jc w:val="center"/>
              <w:rPr>
                <w:rFonts w:ascii="宋体" w:hAnsi="宋体" w:cs="宋体"/>
                <w:color w:val="auto"/>
              </w:rPr>
            </w:pPr>
            <w:r>
              <w:rPr>
                <w:rFonts w:ascii="宋体" w:hAnsi="宋体" w:cs="宋体"/>
                <w:color w:val="auto"/>
              </w:rPr>
              <w:t>5.4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08"/>
              <w:ind w:right="1"/>
              <w:jc w:val="center"/>
              <w:rPr>
                <w:rFonts w:ascii="宋体" w:hAnsi="宋体" w:eastAsia="宋体" w:cs="宋体"/>
                <w:color w:val="auto"/>
              </w:rPr>
            </w:pPr>
            <w:r>
              <w:rPr>
                <w:rFonts w:hint="eastAsia" w:ascii="宋体" w:hAnsi="宋体" w:eastAsia="宋体" w:cs="宋体"/>
                <w:color w:val="auto"/>
              </w:rPr>
              <w:t>特殊情况处置</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9"/>
              <w:snapToGrid w:val="0"/>
              <w:spacing w:line="300" w:lineRule="auto"/>
              <w:ind w:left="0" w:firstLine="0" w:firstLineChars="0"/>
              <w:rPr>
                <w:color w:val="auto"/>
                <w:sz w:val="24"/>
              </w:rPr>
            </w:pPr>
            <w:r>
              <w:rPr>
                <w:color w:val="auto"/>
                <w:sz w:val="24"/>
              </w:rPr>
              <w:t>1.</w:t>
            </w:r>
            <w:r>
              <w:rPr>
                <w:rFonts w:hint="eastAsia"/>
                <w:color w:val="auto"/>
                <w:sz w:val="24"/>
              </w:rPr>
              <w:t>因网络、系统、电力等不可抗力因素延期开标的，需更新制作投标文件并按招标文件要求重新递交。</w:t>
            </w:r>
          </w:p>
          <w:p>
            <w:pPr>
              <w:pStyle w:val="19"/>
              <w:snapToGrid w:val="0"/>
              <w:spacing w:line="300" w:lineRule="auto"/>
              <w:ind w:left="0" w:firstLine="0" w:firstLineChars="0"/>
              <w:rPr>
                <w:color w:val="auto"/>
                <w:sz w:val="24"/>
              </w:rPr>
            </w:pPr>
            <w:r>
              <w:rPr>
                <w:rFonts w:ascii="Calibri" w:hAnsi="Calibri"/>
                <w:color w:val="auto"/>
                <w:sz w:val="24"/>
              </w:rPr>
              <w:t>2.</w:t>
            </w:r>
            <w:r>
              <w:rPr>
                <w:rFonts w:hint="eastAsia" w:ascii="Calibri" w:hAnsi="Calibri"/>
                <w:color w:val="auto"/>
                <w:sz w:val="24"/>
              </w:rPr>
              <w:t>开</w:t>
            </w:r>
            <w:r>
              <w:rPr>
                <w:rFonts w:hint="eastAsia"/>
                <w:color w:val="auto"/>
                <w:sz w:val="24"/>
              </w:rPr>
              <w:t>标特别说明</w:t>
            </w:r>
            <w:r>
              <w:rPr>
                <w:rFonts w:hint="eastAsia"/>
                <w:color w:val="auto"/>
                <w:sz w:val="24"/>
                <w:lang w:eastAsia="zh-CN"/>
              </w:rPr>
              <w:t>：</w:t>
            </w:r>
            <w:r>
              <w:rPr>
                <w:rFonts w:hint="eastAsia"/>
                <w:color w:val="auto"/>
                <w:sz w:val="24"/>
              </w:rPr>
              <w:t>（</w:t>
            </w:r>
            <w:r>
              <w:rPr>
                <w:color w:val="auto"/>
                <w:sz w:val="24"/>
              </w:rPr>
              <w:t>1</w:t>
            </w:r>
            <w:r>
              <w:rPr>
                <w:rFonts w:hint="eastAsia"/>
                <w:color w:val="auto"/>
                <w:sz w:val="24"/>
              </w:rPr>
              <w:t>）因投标人原因造成其电子投标文件未解密的，视为撤销其投标文件；投标截止时间前未完成投标文件传输的，视为撤回投标文件；因投标人之外的原因造成电子投标文件未解密的，视为撤回其投标文件。</w:t>
            </w:r>
          </w:p>
          <w:p>
            <w:pPr>
              <w:pStyle w:val="19"/>
              <w:snapToGrid w:val="0"/>
              <w:spacing w:line="300" w:lineRule="auto"/>
              <w:ind w:left="0" w:firstLine="0" w:firstLineChars="0"/>
              <w:rPr>
                <w:color w:val="auto"/>
                <w:sz w:val="24"/>
              </w:rPr>
            </w:pPr>
            <w:r>
              <w:rPr>
                <w:rFonts w:hint="eastAsia"/>
                <w:color w:val="auto"/>
                <w:sz w:val="24"/>
              </w:rPr>
              <w:t>（</w:t>
            </w:r>
            <w:r>
              <w:rPr>
                <w:color w:val="auto"/>
                <w:sz w:val="24"/>
              </w:rPr>
              <w:t>2</w:t>
            </w:r>
            <w:r>
              <w:rPr>
                <w:rFonts w:hint="eastAsia"/>
                <w:color w:val="auto"/>
                <w:sz w:val="24"/>
              </w:rPr>
              <w:t>）投标人必须使用生成电子投标文件的CA数字证书</w:t>
            </w:r>
            <w:r>
              <w:rPr>
                <w:rFonts w:hint="eastAsia"/>
                <w:color w:val="auto"/>
                <w:sz w:val="24"/>
                <w:lang w:eastAsia="zh-CN"/>
              </w:rPr>
              <w:t>加</w:t>
            </w:r>
            <w:r>
              <w:rPr>
                <w:rFonts w:hint="eastAsia"/>
                <w:color w:val="auto"/>
                <w:sz w:val="24"/>
              </w:rPr>
              <w:t>密电子投标文件</w:t>
            </w:r>
            <w:r>
              <w:rPr>
                <w:rFonts w:hint="eastAsia"/>
                <w:color w:val="auto"/>
                <w:sz w:val="24"/>
                <w:lang w:eastAsia="zh-CN"/>
              </w:rPr>
              <w:t>，未加密的</w:t>
            </w:r>
            <w:r>
              <w:rPr>
                <w:rFonts w:hint="eastAsia"/>
                <w:color w:val="auto"/>
                <w:sz w:val="24"/>
              </w:rPr>
              <w:t>视为撤销其投标文件。</w:t>
            </w:r>
          </w:p>
          <w:p>
            <w:pPr>
              <w:pStyle w:val="19"/>
              <w:snapToGrid w:val="0"/>
              <w:spacing w:line="300" w:lineRule="auto"/>
              <w:ind w:left="0" w:firstLine="0" w:firstLineChars="0"/>
              <w:rPr>
                <w:color w:val="auto"/>
                <w:sz w:val="24"/>
                <w:u w:val="single"/>
              </w:rPr>
            </w:pPr>
            <w:r>
              <w:rPr>
                <w:rFonts w:ascii="Calibri" w:hAnsi="Calibri"/>
                <w:color w:val="auto"/>
                <w:sz w:val="24"/>
              </w:rPr>
              <w:t>3.</w:t>
            </w:r>
            <w:r>
              <w:rPr>
                <w:rFonts w:hint="eastAsia"/>
                <w:color w:val="auto"/>
                <w:sz w:val="24"/>
              </w:rPr>
              <w:t>其他：</w:t>
            </w:r>
            <w:r>
              <w:rPr>
                <w:color w:val="auto"/>
                <w:sz w:val="24"/>
                <w:u w:val="single"/>
              </w:rPr>
              <w:t xml:space="preserve">                            </w:t>
            </w:r>
            <w:r>
              <w:rPr>
                <w:rFonts w:hint="eastAsia"/>
                <w:color w:val="auto"/>
                <w:sz w:val="24"/>
              </w:rPr>
              <w:t xml:space="preserve"> 。</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38"/>
              <w:ind w:left="367"/>
              <w:jc w:val="both"/>
              <w:rPr>
                <w:rFonts w:ascii="宋体" w:hAnsi="宋体"/>
                <w:color w:val="auto"/>
              </w:rPr>
            </w:pPr>
            <w:r>
              <w:rPr>
                <w:rFonts w:ascii="宋体" w:hAnsi="宋体"/>
                <w:color w:val="auto"/>
              </w:rPr>
              <w:t>6.1.1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color w:val="auto"/>
              </w:rPr>
            </w:pPr>
            <w:r>
              <w:rPr>
                <w:rFonts w:hint="eastAsia" w:ascii="宋体" w:cs="宋体"/>
                <w:color w:val="auto"/>
              </w:rPr>
              <w:t>评标委员会的组建</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50"/>
              <w:kinsoku w:val="0"/>
              <w:snapToGrid w:val="0"/>
              <w:spacing w:line="360" w:lineRule="auto"/>
              <w:jc w:val="both"/>
              <w:rPr>
                <w:rFonts w:ascii="宋体" w:hAnsi="宋体" w:eastAsia="宋体"/>
                <w:color w:val="auto"/>
                <w:szCs w:val="24"/>
              </w:rPr>
            </w:pPr>
            <w:r>
              <w:rPr>
                <w:rFonts w:hint="eastAsia" w:ascii="宋体" w:hAnsi="宋体" w:eastAsia="宋体" w:cs="宋体"/>
                <w:color w:val="auto"/>
                <w:spacing w:val="-2"/>
                <w:szCs w:val="24"/>
              </w:rPr>
              <w:t>评标委员会构成：</w:t>
            </w:r>
            <w:r>
              <w:rPr>
                <w:rFonts w:ascii="宋体" w:hAnsi="宋体" w:eastAsia="宋体" w:cs="宋体"/>
                <w:color w:val="auto"/>
                <w:szCs w:val="24"/>
                <w:u w:val="single"/>
              </w:rPr>
              <w:t xml:space="preserve">  </w:t>
            </w:r>
            <w:r>
              <w:rPr>
                <w:rFonts w:ascii="宋体" w:hAnsi="宋体" w:eastAsia="宋体" w:cs="宋体"/>
                <w:color w:val="auto"/>
                <w:szCs w:val="24"/>
                <w:u w:val="single"/>
                <w:lang w:val="en-US"/>
              </w:rPr>
              <w:t xml:space="preserve">  </w:t>
            </w:r>
            <w:r>
              <w:rPr>
                <w:rFonts w:ascii="宋体" w:hAnsi="宋体" w:eastAsia="宋体" w:cs="宋体"/>
                <w:color w:val="auto"/>
                <w:spacing w:val="-2"/>
                <w:szCs w:val="24"/>
                <w:u w:val="single"/>
                <w:lang w:val="en-US"/>
              </w:rPr>
              <w:t xml:space="preserve"> </w:t>
            </w:r>
            <w:r>
              <w:rPr>
                <w:rFonts w:ascii="宋体" w:hAnsi="宋体" w:eastAsia="宋体" w:cs="宋体"/>
                <w:color w:val="auto"/>
                <w:spacing w:val="-2"/>
                <w:szCs w:val="24"/>
                <w:u w:val="single"/>
              </w:rPr>
              <w:t xml:space="preserve"> </w:t>
            </w:r>
            <w:r>
              <w:rPr>
                <w:rFonts w:hint="eastAsia" w:ascii="宋体" w:hAnsi="宋体" w:eastAsia="宋体" w:cs="宋体"/>
                <w:color w:val="auto"/>
                <w:spacing w:val="-2"/>
                <w:szCs w:val="24"/>
                <w:u w:val="single"/>
              </w:rPr>
              <w:t>（</w:t>
            </w:r>
            <w:r>
              <w:rPr>
                <w:rFonts w:hint="eastAsia" w:ascii="宋体" w:hAnsi="宋体" w:eastAsia="宋体" w:cs="宋体"/>
                <w:color w:val="auto"/>
                <w:spacing w:val="-2"/>
                <w:szCs w:val="24"/>
                <w:u w:val="single"/>
                <w:lang w:val="en-US"/>
              </w:rPr>
              <w:t>应根据法律法规及相关文件要求填写</w:t>
            </w:r>
            <w:r>
              <w:rPr>
                <w:rFonts w:hint="eastAsia" w:ascii="宋体" w:hAnsi="宋体" w:eastAsia="宋体" w:cs="宋体"/>
                <w:color w:val="auto"/>
                <w:spacing w:val="-2"/>
                <w:szCs w:val="24"/>
                <w:u w:val="single"/>
              </w:rPr>
              <w:t>）</w:t>
            </w:r>
            <w:r>
              <w:rPr>
                <w:rFonts w:hint="eastAsia" w:ascii="宋体" w:hAnsi="宋体" w:eastAsia="宋体" w:cs="宋体"/>
                <w:color w:val="auto"/>
                <w:spacing w:val="-2"/>
                <w:szCs w:val="24"/>
              </w:rPr>
              <w:t>。</w:t>
            </w:r>
          </w:p>
        </w:tc>
      </w:tr>
      <w:tr>
        <w:tblPrEx>
          <w:tblCellMar>
            <w:top w:w="0" w:type="dxa"/>
            <w:left w:w="57" w:type="dxa"/>
            <w:bottom w:w="0" w:type="dxa"/>
            <w:right w:w="57" w:type="dxa"/>
          </w:tblCellMar>
        </w:tblPrEx>
        <w:trPr>
          <w:gridBefore w:val="1"/>
          <w:wBefore w:w="110" w:type="dxa"/>
          <w:trHeight w:val="23"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s="宋体"/>
                <w:color w:val="auto"/>
              </w:rPr>
            </w:pPr>
            <w:r>
              <w:rPr>
                <w:rFonts w:ascii="宋体" w:hAnsi="宋体" w:cs="宋体"/>
                <w:color w:val="auto"/>
              </w:rPr>
              <w:t>6.3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评标办法</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tabs>
                <w:tab w:val="left" w:pos="2309"/>
                <w:tab w:val="left" w:pos="2729"/>
                <w:tab w:val="left" w:pos="3826"/>
              </w:tabs>
              <w:kinsoku w:val="0"/>
              <w:snapToGrid w:val="0"/>
              <w:spacing w:line="300" w:lineRule="auto"/>
              <w:jc w:val="both"/>
              <w:rPr>
                <w:rFonts w:ascii="宋体" w:hAnsi="宋体" w:eastAsia="宋体"/>
                <w:color w:val="auto"/>
              </w:rPr>
            </w:pPr>
            <w:r>
              <w:rPr>
                <w:rFonts w:ascii="宋体" w:hAnsi="宋体" w:eastAsia="宋体"/>
                <w:color w:val="auto"/>
              </w:rPr>
              <w:t>1.</w:t>
            </w:r>
            <w:r>
              <w:rPr>
                <w:rFonts w:ascii="宋体" w:hAnsi="宋体" w:eastAsia="宋体"/>
                <w:color w:val="auto"/>
              </w:rPr>
              <w:sym w:font="Wingdings 2" w:char="00A3"/>
            </w:r>
            <w:r>
              <w:rPr>
                <w:rFonts w:hint="eastAsia" w:ascii="宋体" w:hAnsi="宋体" w:eastAsia="宋体"/>
                <w:color w:val="auto"/>
              </w:rPr>
              <w:t>经评审的最低投标价法。</w:t>
            </w:r>
          </w:p>
          <w:p>
            <w:pPr>
              <w:pStyle w:val="136"/>
              <w:tabs>
                <w:tab w:val="left" w:pos="2309"/>
                <w:tab w:val="left" w:pos="2729"/>
                <w:tab w:val="left" w:pos="3826"/>
              </w:tabs>
              <w:kinsoku w:val="0"/>
              <w:snapToGrid w:val="0"/>
              <w:spacing w:line="300" w:lineRule="auto"/>
              <w:jc w:val="both"/>
              <w:rPr>
                <w:rFonts w:ascii="宋体" w:hAnsi="宋体" w:eastAsia="宋体"/>
                <w:color w:val="auto"/>
              </w:rPr>
            </w:pPr>
            <w:r>
              <w:rPr>
                <w:rFonts w:ascii="宋体" w:hAnsi="宋体" w:eastAsia="宋体"/>
                <w:color w:val="auto"/>
              </w:rPr>
              <w:t>2.</w:t>
            </w:r>
            <w:r>
              <w:rPr>
                <w:rFonts w:ascii="宋体" w:hAnsi="宋体" w:eastAsia="宋体"/>
                <w:color w:val="auto"/>
              </w:rPr>
              <w:sym w:font="Wingdings 2" w:char="00A3"/>
            </w:r>
            <w:r>
              <w:rPr>
                <w:rFonts w:hint="eastAsia" w:ascii="宋体" w:hAnsi="宋体" w:eastAsia="宋体"/>
                <w:color w:val="auto"/>
              </w:rPr>
              <w:t>技术标通过制的综合评估法：商务总报价评分（≥</w:t>
            </w:r>
            <w:r>
              <w:rPr>
                <w:rFonts w:ascii="宋体" w:hAnsi="宋体" w:eastAsia="宋体"/>
                <w:color w:val="auto"/>
              </w:rPr>
              <w:t>85</w:t>
            </w:r>
            <w:r>
              <w:rPr>
                <w:rFonts w:hint="eastAsia" w:ascii="宋体" w:hAnsi="宋体" w:eastAsia="宋体"/>
                <w:color w:val="auto"/>
              </w:rPr>
              <w:t>分）</w:t>
            </w:r>
            <w:r>
              <w:rPr>
                <w:rFonts w:ascii="宋体" w:hAnsi="宋体" w:eastAsia="宋体"/>
                <w:color w:val="auto"/>
                <w:u w:val="single"/>
              </w:rPr>
              <w:t xml:space="preserve">   </w:t>
            </w:r>
            <w:r>
              <w:rPr>
                <w:rFonts w:hint="eastAsia" w:ascii="宋体" w:hAnsi="宋体" w:eastAsia="宋体"/>
                <w:color w:val="auto"/>
              </w:rPr>
              <w:t>分、工程量清单综合单价评分（≤</w:t>
            </w:r>
            <w:r>
              <w:rPr>
                <w:rFonts w:ascii="宋体" w:hAnsi="宋体" w:eastAsia="宋体"/>
                <w:color w:val="auto"/>
              </w:rPr>
              <w:t>10分）</w:t>
            </w:r>
            <w:r>
              <w:rPr>
                <w:rFonts w:ascii="宋体" w:hAnsi="宋体" w:eastAsia="宋体"/>
                <w:color w:val="auto"/>
                <w:u w:val="single"/>
              </w:rPr>
              <w:t xml:space="preserve">  </w:t>
            </w:r>
            <w:r>
              <w:rPr>
                <w:rFonts w:hint="eastAsia" w:ascii="宋体" w:hAnsi="宋体" w:eastAsia="宋体"/>
                <w:color w:val="auto"/>
              </w:rPr>
              <w:t>分、信用评价评分（≤</w:t>
            </w:r>
            <w:r>
              <w:rPr>
                <w:rFonts w:ascii="宋体" w:hAnsi="宋体" w:eastAsia="宋体"/>
                <w:color w:val="auto"/>
              </w:rPr>
              <w:t>5</w:t>
            </w:r>
            <w:r>
              <w:rPr>
                <w:rFonts w:hint="eastAsia" w:ascii="宋体" w:hAnsi="宋体" w:eastAsia="宋体"/>
                <w:color w:val="auto"/>
              </w:rPr>
              <w:t>分）</w:t>
            </w:r>
            <w:r>
              <w:rPr>
                <w:rFonts w:ascii="宋体" w:hAnsi="宋体" w:eastAsia="宋体"/>
                <w:color w:val="auto"/>
                <w:u w:val="single"/>
              </w:rPr>
              <w:t xml:space="preserve">   </w:t>
            </w:r>
            <w:r>
              <w:rPr>
                <w:rFonts w:hint="eastAsia" w:ascii="宋体" w:hAnsi="宋体" w:eastAsia="宋体"/>
                <w:color w:val="auto"/>
              </w:rPr>
              <w:t>分。</w:t>
            </w:r>
          </w:p>
          <w:p>
            <w:pPr>
              <w:pStyle w:val="136"/>
              <w:tabs>
                <w:tab w:val="left" w:pos="2309"/>
                <w:tab w:val="left" w:pos="2729"/>
                <w:tab w:val="left" w:pos="3826"/>
              </w:tabs>
              <w:kinsoku w:val="0"/>
              <w:snapToGrid w:val="0"/>
              <w:spacing w:line="300" w:lineRule="auto"/>
              <w:jc w:val="both"/>
              <w:rPr>
                <w:rFonts w:ascii="宋体" w:hAnsi="宋体" w:eastAsia="宋体"/>
                <w:color w:val="auto"/>
              </w:rPr>
            </w:pPr>
            <w:r>
              <w:rPr>
                <w:rFonts w:ascii="宋体" w:hAnsi="宋体" w:eastAsia="宋体"/>
                <w:color w:val="auto"/>
              </w:rPr>
              <w:t>3.</w:t>
            </w:r>
            <w:r>
              <w:rPr>
                <w:rFonts w:ascii="宋体" w:hAnsi="宋体" w:eastAsia="宋体"/>
                <w:color w:val="auto"/>
              </w:rPr>
              <w:sym w:font="Wingdings 2" w:char="00A3"/>
            </w:r>
            <w:r>
              <w:rPr>
                <w:rFonts w:hint="eastAsia" w:ascii="宋体" w:hAnsi="宋体" w:eastAsia="宋体"/>
                <w:color w:val="auto"/>
              </w:rPr>
              <w:t>技术标打分制的综合评估法：技术标评分（≤</w:t>
            </w:r>
            <w:r>
              <w:rPr>
                <w:rFonts w:ascii="宋体" w:hAnsi="宋体" w:eastAsia="宋体"/>
                <w:color w:val="auto"/>
              </w:rPr>
              <w:t>30</w:t>
            </w:r>
            <w:r>
              <w:rPr>
                <w:rFonts w:hint="eastAsia" w:ascii="宋体" w:hAnsi="宋体" w:eastAsia="宋体"/>
                <w:color w:val="auto"/>
              </w:rPr>
              <w:t>分）</w:t>
            </w:r>
            <w:r>
              <w:rPr>
                <w:rFonts w:ascii="宋体" w:hAnsi="宋体" w:eastAsia="宋体"/>
                <w:color w:val="auto"/>
                <w:u w:val="single"/>
              </w:rPr>
              <w:t xml:space="preserve">    </w:t>
            </w:r>
            <w:r>
              <w:rPr>
                <w:rFonts w:hint="eastAsia" w:ascii="宋体" w:hAnsi="宋体" w:eastAsia="宋体"/>
                <w:color w:val="auto"/>
              </w:rPr>
              <w:t>分</w:t>
            </w:r>
            <w:r>
              <w:rPr>
                <w:rFonts w:ascii="宋体" w:hAnsi="宋体" w:eastAsia="宋体"/>
                <w:color w:val="auto"/>
              </w:rPr>
              <w:t>,</w:t>
            </w:r>
            <w:r>
              <w:rPr>
                <w:rFonts w:hint="eastAsia" w:ascii="宋体" w:hAnsi="宋体" w:eastAsia="宋体"/>
                <w:color w:val="auto"/>
              </w:rPr>
              <w:t>资信标评分（≤</w:t>
            </w:r>
            <w:r>
              <w:rPr>
                <w:rFonts w:ascii="宋体" w:hAnsi="宋体" w:eastAsia="宋体"/>
                <w:color w:val="auto"/>
              </w:rPr>
              <w:t>10</w:t>
            </w:r>
            <w:r>
              <w:rPr>
                <w:rFonts w:hint="eastAsia" w:ascii="宋体" w:hAnsi="宋体" w:eastAsia="宋体"/>
                <w:color w:val="auto"/>
              </w:rPr>
              <w:t>分）</w:t>
            </w:r>
            <w:r>
              <w:rPr>
                <w:rFonts w:ascii="宋体" w:hAnsi="宋体" w:eastAsia="宋体"/>
                <w:color w:val="auto"/>
                <w:u w:val="single"/>
              </w:rPr>
              <w:t xml:space="preserve">    </w:t>
            </w:r>
            <w:r>
              <w:rPr>
                <w:rFonts w:hint="eastAsia" w:ascii="宋体" w:hAnsi="宋体" w:eastAsia="宋体"/>
                <w:color w:val="auto"/>
              </w:rPr>
              <w:t>分</w:t>
            </w:r>
            <w:r>
              <w:rPr>
                <w:rFonts w:ascii="宋体" w:hAnsi="宋体" w:eastAsia="宋体"/>
                <w:color w:val="auto"/>
              </w:rPr>
              <w:t>,</w:t>
            </w:r>
            <w:r>
              <w:rPr>
                <w:rFonts w:hint="eastAsia" w:ascii="宋体" w:hAnsi="宋体" w:eastAsia="宋体"/>
                <w:color w:val="auto"/>
              </w:rPr>
              <w:t>商务标评分（≥</w:t>
            </w:r>
            <w:r>
              <w:rPr>
                <w:rFonts w:ascii="宋体" w:hAnsi="宋体" w:eastAsia="宋体"/>
                <w:color w:val="auto"/>
              </w:rPr>
              <w:t>60</w:t>
            </w:r>
            <w:r>
              <w:rPr>
                <w:rFonts w:hint="eastAsia" w:ascii="宋体" w:hAnsi="宋体" w:eastAsia="宋体"/>
                <w:color w:val="auto"/>
              </w:rPr>
              <w:t>分）</w:t>
            </w:r>
            <w:r>
              <w:rPr>
                <w:rFonts w:ascii="宋体" w:hAnsi="宋体" w:eastAsia="宋体"/>
                <w:color w:val="auto"/>
                <w:u w:val="single"/>
              </w:rPr>
              <w:t xml:space="preserve">     </w:t>
            </w:r>
            <w:r>
              <w:rPr>
                <w:rFonts w:hint="eastAsia" w:ascii="宋体" w:hAnsi="宋体" w:eastAsia="宋体"/>
                <w:color w:val="auto"/>
              </w:rPr>
              <w:t>分。</w:t>
            </w:r>
          </w:p>
          <w:p>
            <w:pPr>
              <w:pStyle w:val="136"/>
              <w:tabs>
                <w:tab w:val="left" w:pos="2309"/>
                <w:tab w:val="left" w:pos="2729"/>
                <w:tab w:val="left" w:pos="3826"/>
              </w:tabs>
              <w:kinsoku w:val="0"/>
              <w:snapToGrid w:val="0"/>
              <w:spacing w:line="300" w:lineRule="auto"/>
              <w:jc w:val="both"/>
              <w:rPr>
                <w:rFonts w:ascii="宋体" w:hAnsi="宋体" w:eastAsia="宋体"/>
                <w:color w:val="auto"/>
              </w:rPr>
            </w:pPr>
            <w:r>
              <w:rPr>
                <w:rFonts w:ascii="宋体" w:hAnsi="宋体" w:eastAsia="宋体"/>
                <w:color w:val="auto"/>
              </w:rPr>
              <w:t>4.其他</w:t>
            </w:r>
            <w:r>
              <w:rPr>
                <w:rFonts w:ascii="宋体" w:hAnsi="宋体" w:eastAsia="宋体"/>
                <w:color w:val="auto"/>
                <w:u w:val="single"/>
              </w:rPr>
              <w:t xml:space="preserve">                 </w:t>
            </w:r>
            <w:r>
              <w:rPr>
                <w:rFonts w:hint="eastAsia" w:ascii="宋体" w:hAnsi="宋体" w:eastAsia="宋体"/>
                <w:color w:val="auto"/>
              </w:rPr>
              <w:t>。</w:t>
            </w:r>
          </w:p>
        </w:tc>
      </w:tr>
      <w:tr>
        <w:tblPrEx>
          <w:tblCellMar>
            <w:top w:w="0" w:type="dxa"/>
            <w:left w:w="57" w:type="dxa"/>
            <w:bottom w:w="0" w:type="dxa"/>
            <w:right w:w="57" w:type="dxa"/>
          </w:tblCellMar>
        </w:tblPrEx>
        <w:trPr>
          <w:gridBefore w:val="1"/>
          <w:wBefore w:w="110" w:type="dxa"/>
          <w:trHeight w:val="852"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s="宋体"/>
                <w:color w:val="auto"/>
              </w:rPr>
            </w:pPr>
            <w:r>
              <w:rPr>
                <w:rFonts w:ascii="宋体" w:hAnsi="宋体" w:cs="宋体"/>
                <w:color w:val="auto"/>
              </w:rPr>
              <w:sym w:font="Wingdings 2" w:char="00A3"/>
            </w:r>
            <w:r>
              <w:rPr>
                <w:rFonts w:ascii="宋体" w:hAnsi="宋体" w:cs="宋体"/>
                <w:color w:val="auto"/>
              </w:rPr>
              <w:t>6.3.1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eastAsia="宋体" w:cs="宋体"/>
                <w:color w:val="auto"/>
              </w:rPr>
            </w:pPr>
            <w:r>
              <w:rPr>
                <w:rFonts w:hint="eastAsia" w:ascii="宋体" w:hAnsi="宋体" w:eastAsia="宋体" w:cs="宋体"/>
                <w:color w:val="auto"/>
              </w:rPr>
              <w:t>评标基准价的确定方法</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kinsoku w:val="0"/>
              <w:autoSpaceDE/>
              <w:autoSpaceDN/>
              <w:adjustRightInd/>
              <w:snapToGrid w:val="0"/>
              <w:spacing w:line="360" w:lineRule="exact"/>
              <w:jc w:val="both"/>
              <w:rPr>
                <w:rFonts w:ascii="宋体" w:hAnsi="宋体" w:eastAsia="宋体" w:cs="宋体"/>
                <w:color w:val="auto"/>
              </w:rPr>
            </w:pPr>
            <w:r>
              <w:rPr>
                <w:rFonts w:hint="eastAsia" w:ascii="宋体" w:hAnsi="宋体" w:eastAsia="宋体" w:cs="宋体"/>
                <w:color w:val="auto"/>
              </w:rPr>
              <w:t>评标基准价确定方法</w:t>
            </w:r>
            <w:r>
              <w:rPr>
                <w:rFonts w:ascii="宋体" w:hAnsi="宋体" w:eastAsia="宋体" w:cs="宋体"/>
                <w:color w:val="auto"/>
                <w:u w:val="single"/>
              </w:rPr>
              <w:t xml:space="preserve">       </w:t>
            </w:r>
            <w:r>
              <w:rPr>
                <w:rFonts w:hint="eastAsia" w:ascii="宋体" w:hAnsi="宋体" w:cs="宋体"/>
                <w:color w:val="auto"/>
                <w:u w:val="single"/>
                <w:lang w:val="en-US" w:eastAsia="zh-CN"/>
              </w:rPr>
              <w:t xml:space="preserve">                     </w:t>
            </w:r>
            <w:r>
              <w:rPr>
                <w:rFonts w:ascii="宋体" w:hAnsi="宋体" w:eastAsia="宋体" w:cs="宋体"/>
                <w:color w:val="auto"/>
                <w:u w:val="single"/>
              </w:rPr>
              <w:t xml:space="preserve">  </w:t>
            </w:r>
            <w:r>
              <w:rPr>
                <w:rFonts w:hint="eastAsia" w:ascii="宋体" w:hAnsi="宋体" w:eastAsia="宋体" w:cs="宋体"/>
                <w:color w:val="auto"/>
              </w:rPr>
              <w:t>。</w:t>
            </w:r>
          </w:p>
        </w:tc>
      </w:tr>
      <w:tr>
        <w:tblPrEx>
          <w:tblCellMar>
            <w:top w:w="0" w:type="dxa"/>
            <w:left w:w="57" w:type="dxa"/>
            <w:bottom w:w="0" w:type="dxa"/>
            <w:right w:w="57" w:type="dxa"/>
          </w:tblCellMar>
        </w:tblPrEx>
        <w:trPr>
          <w:gridBefore w:val="1"/>
          <w:wBefore w:w="110" w:type="dxa"/>
          <w:trHeight w:val="852" w:hRule="atLeast"/>
        </w:trPr>
        <w:tc>
          <w:tcPr>
            <w:tcW w:w="1173"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s="宋体"/>
                <w:color w:val="auto"/>
              </w:rPr>
            </w:pPr>
            <w:r>
              <w:rPr>
                <w:rFonts w:ascii="宋体" w:hAnsi="宋体" w:cs="宋体"/>
                <w:color w:val="auto"/>
              </w:rPr>
              <w:t>6.3.2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eastAsia="宋体" w:cs="宋体"/>
                <w:color w:val="auto"/>
              </w:rPr>
            </w:pPr>
            <w:r>
              <w:rPr>
                <w:rFonts w:hint="eastAsia" w:ascii="宋体" w:hAnsi="宋体" w:eastAsia="宋体"/>
                <w:color w:val="auto"/>
              </w:rPr>
              <w:t>评标委员会推荐中标候选人的人数</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kinsoku w:val="0"/>
              <w:autoSpaceDE/>
              <w:autoSpaceDN/>
              <w:adjustRightInd/>
              <w:snapToGrid w:val="0"/>
              <w:spacing w:line="360" w:lineRule="exact"/>
              <w:jc w:val="both"/>
              <w:rPr>
                <w:rFonts w:ascii="宋体" w:hAnsi="宋体" w:eastAsia="宋体" w:cs="宋体"/>
                <w:color w:val="auto"/>
                <w:u w:val="single"/>
              </w:rPr>
            </w:pPr>
            <w:r>
              <w:rPr>
                <w:rFonts w:ascii="宋体" w:hAnsi="宋体" w:eastAsia="宋体" w:cs="宋体"/>
                <w:color w:val="auto"/>
                <w:u w:val="single"/>
              </w:rPr>
              <w:t xml:space="preserve">    </w:t>
            </w:r>
            <w:r>
              <w:rPr>
                <w:rFonts w:hint="eastAsia" w:ascii="宋体" w:hAnsi="宋体" w:eastAsia="宋体" w:cs="宋体"/>
                <w:color w:val="auto"/>
                <w:u w:val="single"/>
              </w:rPr>
              <w:t>（</w:t>
            </w:r>
            <w:r>
              <w:rPr>
                <w:rFonts w:hint="eastAsia" w:ascii="宋体" w:hAnsi="宋体" w:eastAsia="宋体" w:cs="宋体"/>
                <w:color w:val="auto"/>
                <w:spacing w:val="-2"/>
                <w:u w:val="single"/>
              </w:rPr>
              <w:t>应根据法律法规及相关文件要求填写</w:t>
            </w:r>
            <w:r>
              <w:rPr>
                <w:rFonts w:hint="eastAsia" w:ascii="宋体" w:hAnsi="宋体" w:eastAsia="宋体" w:cs="宋体"/>
                <w:color w:val="auto"/>
                <w:u w:val="single"/>
              </w:rPr>
              <w:t>）</w:t>
            </w:r>
            <w:r>
              <w:rPr>
                <w:rFonts w:ascii="宋体" w:hAnsi="宋体" w:eastAsia="宋体" w:cs="宋体"/>
                <w:color w:val="auto"/>
                <w:u w:val="single"/>
              </w:rPr>
              <w:t xml:space="preserve">    </w:t>
            </w:r>
            <w:r>
              <w:rPr>
                <w:rFonts w:hint="eastAsia" w:ascii="宋体" w:hAnsi="宋体" w:eastAsia="宋体" w:cs="宋体"/>
                <w:color w:val="auto"/>
              </w:rPr>
              <w:t>。</w:t>
            </w:r>
          </w:p>
        </w:tc>
      </w:tr>
      <w:tr>
        <w:tblPrEx>
          <w:tblCellMar>
            <w:top w:w="0" w:type="dxa"/>
            <w:left w:w="57" w:type="dxa"/>
            <w:bottom w:w="0" w:type="dxa"/>
            <w:right w:w="57" w:type="dxa"/>
          </w:tblCellMar>
        </w:tblPrEx>
        <w:trPr>
          <w:gridBefore w:val="1"/>
          <w:wBefore w:w="110" w:type="dxa"/>
          <w:trHeight w:val="823" w:hRule="atLeast"/>
        </w:trPr>
        <w:tc>
          <w:tcPr>
            <w:tcW w:w="1173" w:type="dxa"/>
            <w:tcBorders>
              <w:left w:val="single" w:color="000000" w:sz="4" w:space="0"/>
              <w:bottom w:val="single" w:color="000000" w:sz="4" w:space="0"/>
              <w:right w:val="single" w:color="000000" w:sz="4" w:space="0"/>
            </w:tcBorders>
            <w:noWrap w:val="0"/>
            <w:vAlign w:val="center"/>
          </w:tcPr>
          <w:p>
            <w:pPr>
              <w:pStyle w:val="136"/>
              <w:kinsoku w:val="0"/>
              <w:spacing w:before="148"/>
              <w:ind w:left="2"/>
              <w:jc w:val="center"/>
              <w:rPr>
                <w:rFonts w:ascii="宋体" w:hAnsi="宋体"/>
                <w:color w:val="auto"/>
              </w:rPr>
            </w:pPr>
            <w:r>
              <w:rPr>
                <w:rFonts w:ascii="宋体" w:hAnsi="宋体"/>
                <w:color w:val="auto"/>
              </w:rPr>
              <w:t>7.1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color w:val="auto"/>
              </w:rPr>
            </w:pPr>
            <w:r>
              <w:rPr>
                <w:rFonts w:hint="eastAsia" w:ascii="宋体" w:cs="宋体"/>
                <w:color w:val="auto"/>
              </w:rPr>
              <w:t>中标候选人公示媒介及期限</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rPr>
                <w:rFonts w:ascii="宋体" w:hAnsi="宋体" w:eastAsia="宋体" w:cs="宋体"/>
                <w:color w:val="auto"/>
              </w:rPr>
            </w:pPr>
            <w:r>
              <w:rPr>
                <w:rFonts w:hint="eastAsia" w:ascii="宋体" w:hAnsi="宋体" w:eastAsia="宋体" w:cs="宋体"/>
                <w:color w:val="auto"/>
              </w:rPr>
              <w:t>公示媒介：</w:t>
            </w:r>
            <w:r>
              <w:rPr>
                <w:rFonts w:ascii="宋体" w:hAnsi="宋体" w:eastAsia="宋体" w:cs="宋体"/>
                <w:color w:val="auto"/>
                <w:u w:val="single"/>
              </w:rPr>
              <w:t xml:space="preserve">                      </w:t>
            </w:r>
            <w:r>
              <w:rPr>
                <w:rFonts w:hint="eastAsia" w:ascii="宋体" w:hAnsi="宋体" w:eastAsia="宋体" w:cs="宋体"/>
                <w:color w:val="auto"/>
              </w:rPr>
              <w:t>（网址）</w:t>
            </w:r>
          </w:p>
          <w:p>
            <w:pPr>
              <w:pStyle w:val="136"/>
              <w:tabs>
                <w:tab w:val="left" w:pos="2100"/>
              </w:tabs>
              <w:kinsoku w:val="0"/>
              <w:snapToGrid w:val="0"/>
              <w:spacing w:line="300" w:lineRule="auto"/>
              <w:jc w:val="both"/>
              <w:rPr>
                <w:rFonts w:ascii="宋体" w:hAnsi="宋体" w:eastAsia="宋体"/>
                <w:color w:val="auto"/>
              </w:rPr>
            </w:pPr>
            <w:r>
              <w:rPr>
                <w:rFonts w:hint="eastAsia" w:ascii="宋体" w:hAnsi="宋体" w:eastAsia="宋体" w:cs="宋体"/>
                <w:color w:val="auto"/>
                <w:spacing w:val="-2"/>
              </w:rPr>
              <w:t>公示期限：不少于</w:t>
            </w:r>
            <w:r>
              <w:rPr>
                <w:rFonts w:ascii="宋体" w:hAnsi="宋体" w:eastAsia="宋体" w:cs="宋体"/>
                <w:color w:val="auto"/>
                <w:spacing w:val="-2"/>
              </w:rPr>
              <w:t>3日。如遇国家法定</w:t>
            </w:r>
            <w:r>
              <w:rPr>
                <w:rFonts w:hint="eastAsia" w:ascii="宋体" w:hAnsi="宋体" w:eastAsia="宋体" w:cs="宋体"/>
                <w:color w:val="auto"/>
                <w:spacing w:val="-2"/>
              </w:rPr>
              <w:t>休假日，应顺延至法定休假日后第一个工作日。</w:t>
            </w:r>
          </w:p>
        </w:tc>
      </w:tr>
      <w:tr>
        <w:tblPrEx>
          <w:tblCellMar>
            <w:top w:w="0" w:type="dxa"/>
            <w:left w:w="57" w:type="dxa"/>
            <w:bottom w:w="0" w:type="dxa"/>
            <w:right w:w="57" w:type="dxa"/>
          </w:tblCellMar>
        </w:tblPrEx>
        <w:trPr>
          <w:gridBefore w:val="1"/>
          <w:wBefore w:w="110" w:type="dxa"/>
          <w:trHeight w:val="1039" w:hRule="atLeast"/>
        </w:trPr>
        <w:tc>
          <w:tcPr>
            <w:tcW w:w="1173" w:type="dxa"/>
            <w:tcBorders>
              <w:top w:val="single" w:color="000000" w:sz="4" w:space="0"/>
              <w:left w:val="single" w:color="000000" w:sz="4" w:space="0"/>
              <w:right w:val="single" w:color="000000" w:sz="4" w:space="0"/>
            </w:tcBorders>
            <w:noWrap w:val="0"/>
            <w:vAlign w:val="center"/>
          </w:tcPr>
          <w:p>
            <w:pPr>
              <w:pStyle w:val="136"/>
              <w:kinsoku w:val="0"/>
              <w:spacing w:before="145"/>
              <w:ind w:left="2"/>
              <w:jc w:val="center"/>
              <w:rPr>
                <w:rFonts w:ascii="宋体" w:hAnsi="宋体"/>
                <w:color w:val="auto"/>
              </w:rPr>
            </w:pPr>
            <w:r>
              <w:rPr>
                <w:rFonts w:ascii="宋体" w:hAnsi="宋体"/>
                <w:color w:val="auto"/>
              </w:rPr>
              <w:t>7.2</w:t>
            </w:r>
          </w:p>
        </w:tc>
        <w:tc>
          <w:tcPr>
            <w:tcW w:w="1697" w:type="dxa"/>
            <w:tcBorders>
              <w:top w:val="single" w:color="000000" w:sz="4" w:space="0"/>
              <w:left w:val="single" w:color="000000" w:sz="4" w:space="0"/>
              <w:right w:val="single" w:color="000000" w:sz="4" w:space="0"/>
            </w:tcBorders>
            <w:noWrap w:val="0"/>
            <w:vAlign w:val="center"/>
          </w:tcPr>
          <w:p>
            <w:pPr>
              <w:pStyle w:val="136"/>
              <w:kinsoku w:val="0"/>
              <w:jc w:val="center"/>
              <w:rPr>
                <w:color w:val="auto"/>
              </w:rPr>
            </w:pPr>
            <w:r>
              <w:rPr>
                <w:rFonts w:hint="eastAsia" w:ascii="宋体" w:cs="宋体"/>
                <w:color w:val="auto"/>
              </w:rPr>
              <w:t>是否授权评标委员会确定中标人</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napToGrid w:val="0"/>
              <w:spacing w:line="300" w:lineRule="auto"/>
              <w:rPr>
                <w:rFonts w:ascii="宋体" w:hAnsi="宋体" w:eastAsia="宋体" w:cs="宋体"/>
                <w:color w:val="auto"/>
              </w:rPr>
            </w:pPr>
            <w:r>
              <w:rPr>
                <w:rFonts w:hint="eastAsia" w:ascii="宋体" w:hAnsi="宋体" w:eastAsia="宋体"/>
                <w:color w:val="auto"/>
              </w:rPr>
              <w:t>□</w:t>
            </w:r>
            <w:r>
              <w:rPr>
                <w:rFonts w:hint="eastAsia" w:ascii="宋体" w:hAnsi="宋体" w:eastAsia="宋体" w:cs="宋体"/>
                <w:color w:val="auto"/>
              </w:rPr>
              <w:t>是。</w:t>
            </w:r>
          </w:p>
          <w:p>
            <w:pPr>
              <w:pStyle w:val="136"/>
              <w:kinsoku w:val="0"/>
              <w:snapToGrid w:val="0"/>
              <w:spacing w:line="300" w:lineRule="auto"/>
              <w:rPr>
                <w:rFonts w:ascii="宋体" w:hAnsi="宋体" w:eastAsia="宋体" w:cs="宋体"/>
                <w:color w:val="auto"/>
              </w:rPr>
            </w:pPr>
            <w:r>
              <w:rPr>
                <w:rFonts w:hint="eastAsia" w:ascii="宋体" w:hAnsi="宋体" w:eastAsia="宋体"/>
                <w:color w:val="auto"/>
              </w:rPr>
              <w:t>□</w:t>
            </w:r>
            <w:r>
              <w:rPr>
                <w:rFonts w:hint="eastAsia" w:ascii="宋体" w:hAnsi="宋体" w:eastAsia="宋体" w:cs="宋体"/>
                <w:color w:val="auto"/>
              </w:rPr>
              <w:t>否。</w:t>
            </w:r>
          </w:p>
          <w:p>
            <w:pPr>
              <w:pStyle w:val="136"/>
              <w:kinsoku w:val="0"/>
              <w:snapToGrid w:val="0"/>
              <w:spacing w:line="300" w:lineRule="auto"/>
              <w:rPr>
                <w:rFonts w:ascii="宋体" w:hAnsi="宋体" w:eastAsia="宋体" w:cs="宋体"/>
                <w:color w:val="auto"/>
              </w:rPr>
            </w:pPr>
            <w:r>
              <w:rPr>
                <w:rFonts w:hint="eastAsia" w:ascii="宋体" w:hAnsi="宋体" w:eastAsia="宋体" w:cs="宋体"/>
                <w:color w:val="auto"/>
              </w:rPr>
              <w:t>其他：</w:t>
            </w:r>
            <w:r>
              <w:rPr>
                <w:rFonts w:ascii="宋体" w:hAnsi="宋体" w:eastAsia="宋体" w:cs="宋体"/>
                <w:color w:val="auto"/>
                <w:u w:val="single"/>
              </w:rPr>
              <w:t xml:space="preserve">              </w:t>
            </w:r>
            <w:r>
              <w:rPr>
                <w:rFonts w:hint="eastAsia" w:ascii="宋体" w:hAnsi="宋体" w:eastAsia="宋体" w:cs="宋体"/>
                <w:color w:val="auto"/>
              </w:rPr>
              <w:t>。</w:t>
            </w:r>
          </w:p>
        </w:tc>
      </w:tr>
      <w:tr>
        <w:tblPrEx>
          <w:tblCellMar>
            <w:top w:w="0" w:type="dxa"/>
            <w:left w:w="57" w:type="dxa"/>
            <w:bottom w:w="0" w:type="dxa"/>
            <w:right w:w="57" w:type="dxa"/>
          </w:tblCellMar>
        </w:tblPrEx>
        <w:trPr>
          <w:trHeight w:val="23"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36"/>
              <w:kinsoku w:val="0"/>
              <w:ind w:left="367" w:firstLine="240" w:firstLineChars="100"/>
              <w:rPr>
                <w:rFonts w:ascii="宋体" w:hAnsi="宋体"/>
                <w:color w:val="auto"/>
              </w:rPr>
            </w:pPr>
            <w:r>
              <w:rPr>
                <w:rFonts w:ascii="宋体" w:hAnsi="宋体"/>
                <w:color w:val="auto"/>
              </w:rPr>
              <w:t>7.4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ind w:right="1"/>
              <w:jc w:val="center"/>
              <w:rPr>
                <w:rFonts w:ascii="宋体" w:cs="宋体"/>
                <w:color w:val="auto"/>
              </w:rPr>
            </w:pPr>
            <w:r>
              <w:rPr>
                <w:rFonts w:hint="eastAsia" w:ascii="宋体" w:cs="宋体"/>
                <w:color w:val="auto"/>
              </w:rPr>
              <w:t>履约担保</w:t>
            </w:r>
          </w:p>
          <w:p>
            <w:pPr>
              <w:pStyle w:val="136"/>
              <w:kinsoku w:val="0"/>
              <w:ind w:right="1"/>
              <w:jc w:val="center"/>
              <w:rPr>
                <w:rFonts w:ascii="宋体" w:cs="宋体"/>
                <w:color w:val="auto"/>
              </w:rPr>
            </w:pPr>
            <w:r>
              <w:rPr>
                <w:rFonts w:hint="eastAsia" w:ascii="宋体" w:cs="宋体"/>
                <w:color w:val="auto"/>
              </w:rPr>
              <w:t>及工程款支付</w:t>
            </w:r>
          </w:p>
          <w:p>
            <w:pPr>
              <w:pStyle w:val="136"/>
              <w:kinsoku w:val="0"/>
              <w:ind w:right="1"/>
              <w:jc w:val="center"/>
              <w:rPr>
                <w:rFonts w:ascii="宋体" w:cs="宋体"/>
                <w:color w:val="auto"/>
              </w:rPr>
            </w:pPr>
            <w:r>
              <w:rPr>
                <w:rFonts w:hint="eastAsia" w:ascii="宋体" w:cs="宋体"/>
                <w:color w:val="auto"/>
              </w:rPr>
              <w:t>担保</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rPr>
                <w:rFonts w:ascii="宋体" w:hAnsi="宋体" w:eastAsia="宋体"/>
                <w:color w:val="auto"/>
              </w:rPr>
            </w:pPr>
            <w:r>
              <w:rPr>
                <w:rFonts w:hint="eastAsia" w:ascii="宋体" w:hAnsi="宋体" w:eastAsia="宋体"/>
                <w:color w:val="auto"/>
              </w:rPr>
              <w:t>履约担保的金额：合同总价的</w:t>
            </w:r>
            <w:r>
              <w:rPr>
                <w:rFonts w:ascii="宋体" w:hAnsi="宋体" w:eastAsia="宋体"/>
                <w:color w:val="auto"/>
                <w:u w:val="single"/>
              </w:rPr>
              <w:t xml:space="preserve">   </w:t>
            </w:r>
            <w:r>
              <w:rPr>
                <w:rFonts w:ascii="宋体" w:hAnsi="宋体" w:eastAsia="宋体"/>
                <w:color w:val="auto"/>
              </w:rPr>
              <w:t>%</w:t>
            </w:r>
            <w:r>
              <w:rPr>
                <w:rFonts w:hint="eastAsia" w:ascii="宋体" w:hAnsi="宋体" w:eastAsia="宋体"/>
                <w:color w:val="auto"/>
              </w:rPr>
              <w:t>（不得超过</w:t>
            </w:r>
            <w:r>
              <w:rPr>
                <w:rFonts w:ascii="宋体" w:hAnsi="宋体" w:eastAsia="宋体"/>
                <w:color w:val="auto"/>
              </w:rPr>
              <w:t>2%</w:t>
            </w:r>
            <w:r>
              <w:rPr>
                <w:rFonts w:hint="eastAsia" w:ascii="宋体" w:hAnsi="宋体" w:eastAsia="宋体"/>
                <w:color w:val="auto"/>
              </w:rPr>
              <w:t>）。</w:t>
            </w:r>
          </w:p>
          <w:p>
            <w:pPr>
              <w:snapToGrid w:val="0"/>
              <w:spacing w:line="300" w:lineRule="auto"/>
              <w:rPr>
                <w:rFonts w:ascii="宋体" w:hAnsi="宋体" w:eastAsia="宋体"/>
                <w:color w:val="auto"/>
              </w:rPr>
            </w:pPr>
            <w:r>
              <w:rPr>
                <w:rFonts w:hint="eastAsia" w:ascii="宋体" w:hAnsi="宋体" w:eastAsia="宋体"/>
                <w:color w:val="auto"/>
              </w:rPr>
              <w:t>工程款支付担保的金额：与履约担保同比例。</w:t>
            </w:r>
          </w:p>
          <w:p>
            <w:pPr>
              <w:snapToGrid w:val="0"/>
              <w:spacing w:line="300" w:lineRule="auto"/>
              <w:rPr>
                <w:rFonts w:ascii="宋体" w:hAnsi="宋体" w:eastAsia="宋体"/>
                <w:color w:val="auto"/>
              </w:rPr>
            </w:pPr>
            <w:r>
              <w:rPr>
                <w:rFonts w:hint="eastAsia" w:ascii="宋体" w:hAnsi="宋体" w:eastAsia="宋体"/>
                <w:color w:val="auto"/>
              </w:rPr>
              <w:t>履约担保</w:t>
            </w:r>
            <w:r>
              <w:rPr>
                <w:rFonts w:ascii="宋体" w:hAnsi="宋体" w:eastAsia="宋体"/>
                <w:color w:val="auto"/>
              </w:rPr>
              <w:t>/</w:t>
            </w:r>
            <w:r>
              <w:rPr>
                <w:rFonts w:hint="eastAsia" w:ascii="宋体" w:hAnsi="宋体" w:eastAsia="宋体"/>
                <w:color w:val="auto"/>
              </w:rPr>
              <w:t>工程款</w:t>
            </w:r>
            <w:r>
              <w:rPr>
                <w:rFonts w:ascii="宋体" w:hAnsi="宋体" w:eastAsia="宋体"/>
                <w:color w:val="auto"/>
              </w:rPr>
              <w:t>支付担保的形式：</w:t>
            </w:r>
            <w:bookmarkStart w:id="104" w:name="EB729f8822ed244be9b6cbf8c77e802a6c"/>
            <w:r>
              <w:rPr>
                <w:rFonts w:hint="eastAsia" w:ascii="宋体" w:hAnsi="宋体" w:eastAsia="宋体"/>
                <w:color w:val="auto"/>
              </w:rPr>
              <w:t>现金、支票、汇票、转账、银行保函、融资担保公司保函或者保险机构保证、保险、保单。</w:t>
            </w:r>
            <w:bookmarkEnd w:id="104"/>
          </w:p>
        </w:tc>
      </w:tr>
      <w:tr>
        <w:tblPrEx>
          <w:tblCellMar>
            <w:top w:w="0" w:type="dxa"/>
            <w:left w:w="57" w:type="dxa"/>
            <w:bottom w:w="0" w:type="dxa"/>
            <w:right w:w="57" w:type="dxa"/>
          </w:tblCellMar>
        </w:tblPrEx>
        <w:trPr>
          <w:trHeight w:val="23"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36"/>
              <w:kinsoku w:val="0"/>
              <w:ind w:left="367" w:firstLine="240" w:firstLineChars="100"/>
              <w:rPr>
                <w:rFonts w:ascii="宋体" w:hAnsi="宋体"/>
                <w:color w:val="auto"/>
              </w:rPr>
            </w:pPr>
            <w:r>
              <w:rPr>
                <w:rFonts w:ascii="宋体" w:hAnsi="宋体"/>
                <w:color w:val="auto"/>
              </w:rPr>
              <w:t>8.1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ind w:right="1"/>
              <w:jc w:val="center"/>
              <w:rPr>
                <w:rFonts w:ascii="宋体" w:cs="宋体"/>
                <w:color w:val="auto"/>
              </w:rPr>
            </w:pPr>
            <w:r>
              <w:rPr>
                <w:rFonts w:hint="eastAsia" w:ascii="宋体" w:cs="宋体"/>
                <w:color w:val="auto"/>
              </w:rPr>
              <w:t>重新招标其他情形</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spacing w:line="360" w:lineRule="auto"/>
              <w:rPr>
                <w:rFonts w:ascii="宋体" w:hAnsi="宋体" w:eastAsia="宋体"/>
                <w:color w:val="auto"/>
              </w:rPr>
            </w:pPr>
            <w:r>
              <w:rPr>
                <w:rFonts w:ascii="宋体" w:hAnsi="宋体" w:eastAsia="宋体"/>
                <w:color w:val="auto"/>
              </w:rPr>
              <w:t>1.</w:t>
            </w:r>
            <w:r>
              <w:rPr>
                <w:rFonts w:hint="eastAsia" w:ascii="宋体" w:hAnsi="宋体" w:eastAsia="宋体"/>
                <w:color w:val="auto"/>
              </w:rPr>
              <w:t>招标投标过程中，因项目发生变更，现有招标资格条件与项目工程规模不符的；</w:t>
            </w:r>
          </w:p>
          <w:p>
            <w:pPr>
              <w:numPr>
                <w:ilvl w:val="0"/>
                <w:numId w:val="0"/>
              </w:numPr>
              <w:snapToGrid w:val="0"/>
              <w:spacing w:line="360" w:lineRule="auto"/>
              <w:rPr>
                <w:rFonts w:ascii="宋体" w:hAnsi="宋体" w:eastAsia="宋体"/>
                <w:color w:val="auto"/>
              </w:rPr>
            </w:pPr>
            <w:r>
              <w:rPr>
                <w:rFonts w:ascii="宋体" w:hAnsi="宋体" w:eastAsia="宋体"/>
                <w:color w:val="auto"/>
              </w:rPr>
              <w:t>2.</w:t>
            </w:r>
            <w:r>
              <w:rPr>
                <w:rFonts w:hint="eastAsia" w:ascii="宋体" w:hAnsi="宋体" w:eastAsia="宋体"/>
                <w:color w:val="auto"/>
              </w:rPr>
              <w:t>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重新招标。</w:t>
            </w:r>
          </w:p>
          <w:p>
            <w:pPr>
              <w:tabs>
                <w:tab w:val="left" w:pos="9360"/>
              </w:tabs>
              <w:spacing w:line="360" w:lineRule="auto"/>
              <w:rPr>
                <w:rFonts w:ascii="宋体" w:hAnsi="宋体" w:eastAsia="宋体"/>
                <w:color w:val="auto"/>
              </w:rPr>
            </w:pPr>
            <w:r>
              <w:rPr>
                <w:rFonts w:ascii="宋体" w:hAnsi="宋体" w:eastAsia="宋体"/>
                <w:color w:val="auto"/>
              </w:rPr>
              <w:t>3.</w:t>
            </w:r>
            <w:r>
              <w:rPr>
                <w:rFonts w:hint="eastAsia" w:ascii="宋体" w:hAnsi="宋体" w:eastAsia="宋体"/>
                <w:color w:val="auto"/>
              </w:rPr>
              <w:t>法律法规规定的其他情形。</w:t>
            </w:r>
          </w:p>
        </w:tc>
      </w:tr>
      <w:tr>
        <w:tblPrEx>
          <w:tblCellMar>
            <w:top w:w="0" w:type="dxa"/>
            <w:left w:w="57" w:type="dxa"/>
            <w:bottom w:w="0" w:type="dxa"/>
            <w:right w:w="57" w:type="dxa"/>
          </w:tblCellMar>
        </w:tblPrEx>
        <w:trPr>
          <w:trHeight w:val="23"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36"/>
              <w:kinsoku w:val="0"/>
              <w:ind w:left="367" w:firstLine="240" w:firstLineChars="100"/>
              <w:rPr>
                <w:rFonts w:ascii="宋体" w:hAnsi="宋体"/>
                <w:color w:val="auto"/>
              </w:rPr>
            </w:pPr>
            <w:r>
              <w:rPr>
                <w:rFonts w:ascii="宋体" w:hAnsi="宋体"/>
                <w:color w:val="auto"/>
              </w:rPr>
              <w:t>8.2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ind w:right="1"/>
              <w:jc w:val="center"/>
              <w:rPr>
                <w:rFonts w:ascii="宋体" w:cs="宋体"/>
                <w:color w:val="auto"/>
              </w:rPr>
            </w:pPr>
            <w:r>
              <w:rPr>
                <w:rFonts w:hint="eastAsia" w:ascii="宋体" w:cs="宋体"/>
                <w:color w:val="auto"/>
              </w:rPr>
              <w:t>不再招标的情形</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rPr>
                <w:rFonts w:ascii="宋体" w:hAnsi="宋体" w:eastAsia="宋体"/>
                <w:color w:val="auto"/>
              </w:rPr>
            </w:pPr>
            <w:r>
              <w:rPr>
                <w:rFonts w:hint="eastAsia" w:ascii="宋体" w:hAnsi="宋体" w:eastAsia="宋体"/>
                <w:color w:val="auto"/>
              </w:rPr>
              <w:t>重新招标后投标人仍少于</w:t>
            </w:r>
            <w:r>
              <w:rPr>
                <w:rFonts w:ascii="宋体" w:hAnsi="宋体" w:eastAsia="宋体"/>
                <w:color w:val="auto"/>
              </w:rPr>
              <w:t>3</w:t>
            </w:r>
            <w:r>
              <w:rPr>
                <w:rFonts w:hint="eastAsia" w:ascii="宋体" w:hAnsi="宋体" w:eastAsia="宋体"/>
                <w:color w:val="auto"/>
              </w:rPr>
              <w:t>个的，属于必须审批、核准的工程建设项目，报经原审批、核准部门审批、核准后可以不再进行招标。</w:t>
            </w:r>
          </w:p>
        </w:tc>
      </w:tr>
      <w:tr>
        <w:tblPrEx>
          <w:tblCellMar>
            <w:top w:w="0" w:type="dxa"/>
            <w:left w:w="57" w:type="dxa"/>
            <w:bottom w:w="0" w:type="dxa"/>
            <w:right w:w="57" w:type="dxa"/>
          </w:tblCellMar>
        </w:tblPrEx>
        <w:trPr>
          <w:trHeight w:val="23"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45"/>
              <w:jc w:val="center"/>
              <w:rPr>
                <w:rFonts w:ascii="宋体" w:hAnsi="宋体"/>
                <w:color w:val="auto"/>
              </w:rPr>
            </w:pPr>
            <w:r>
              <w:rPr>
                <w:rFonts w:ascii="宋体" w:hAnsi="宋体"/>
                <w:color w:val="auto"/>
              </w:rPr>
              <w:t>10</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cs="宋体"/>
                <w:color w:val="auto"/>
              </w:rPr>
            </w:pPr>
            <w:r>
              <w:rPr>
                <w:rFonts w:hint="eastAsia" w:ascii="宋体" w:cs="宋体"/>
                <w:color w:val="auto"/>
              </w:rPr>
              <w:t>需要补充的</w:t>
            </w:r>
          </w:p>
          <w:p>
            <w:pPr>
              <w:pStyle w:val="136"/>
              <w:kinsoku w:val="0"/>
              <w:jc w:val="center"/>
              <w:rPr>
                <w:color w:val="auto"/>
              </w:rPr>
            </w:pPr>
            <w:r>
              <w:rPr>
                <w:rFonts w:hint="eastAsia" w:ascii="宋体" w:cs="宋体"/>
                <w:color w:val="auto"/>
              </w:rPr>
              <w:t>其他内容</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jc w:val="both"/>
              <w:rPr>
                <w:rFonts w:ascii="宋体" w:hAnsi="宋体" w:eastAsia="宋体"/>
                <w:color w:val="auto"/>
              </w:rPr>
            </w:pPr>
            <w:r>
              <w:rPr>
                <w:rFonts w:hint="eastAsia" w:ascii="宋体" w:hAnsi="宋体" w:eastAsia="宋体"/>
                <w:color w:val="auto"/>
              </w:rPr>
              <w:t>投诉受理的具体部门及电话</w:t>
            </w:r>
            <w:r>
              <w:rPr>
                <w:rFonts w:ascii="宋体" w:hAnsi="宋体" w:eastAsia="宋体"/>
                <w:color w:val="auto"/>
                <w:u w:val="single"/>
              </w:rPr>
              <w:t xml:space="preserve">       </w:t>
            </w:r>
            <w:r>
              <w:rPr>
                <w:rFonts w:hint="eastAsia" w:ascii="宋体" w:hAnsi="宋体" w:eastAsia="宋体"/>
                <w:color w:val="auto"/>
              </w:rPr>
              <w:t>。</w:t>
            </w:r>
          </w:p>
        </w:tc>
      </w:tr>
      <w:tr>
        <w:tblPrEx>
          <w:tblCellMar>
            <w:top w:w="0" w:type="dxa"/>
            <w:left w:w="57" w:type="dxa"/>
            <w:bottom w:w="0" w:type="dxa"/>
            <w:right w:w="57" w:type="dxa"/>
          </w:tblCellMar>
        </w:tblPrEx>
        <w:trPr>
          <w:trHeight w:val="23"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45"/>
              <w:jc w:val="center"/>
              <w:rPr>
                <w:rFonts w:ascii="宋体" w:hAnsi="宋体"/>
                <w:color w:val="auto"/>
              </w:rPr>
            </w:pPr>
            <w:r>
              <w:rPr>
                <w:rFonts w:ascii="宋体" w:hAnsi="宋体"/>
                <w:color w:val="auto"/>
              </w:rPr>
              <w:t>10.1</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4"/>
              <w:jc w:val="center"/>
              <w:rPr>
                <w:color w:val="auto"/>
              </w:rPr>
            </w:pPr>
            <w:r>
              <w:rPr>
                <w:rFonts w:hint="eastAsia"/>
                <w:color w:val="auto"/>
              </w:rPr>
              <w:t>商务标编制</w:t>
            </w:r>
          </w:p>
          <w:p>
            <w:pPr>
              <w:pStyle w:val="136"/>
              <w:kinsoku w:val="0"/>
              <w:spacing w:before="4"/>
              <w:jc w:val="center"/>
              <w:rPr>
                <w:color w:val="auto"/>
              </w:rPr>
            </w:pPr>
            <w:r>
              <w:rPr>
                <w:rFonts w:hint="eastAsia"/>
                <w:color w:val="auto"/>
              </w:rPr>
              <w:t>相关规定</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00" w:lineRule="auto"/>
              <w:rPr>
                <w:rFonts w:ascii="宋体" w:hAnsi="宋体" w:eastAsia="宋体"/>
                <w:color w:val="auto"/>
              </w:rPr>
            </w:pPr>
            <w:r>
              <w:rPr>
                <w:rFonts w:ascii="宋体" w:hAnsi="宋体" w:eastAsia="宋体"/>
                <w:color w:val="auto"/>
              </w:rPr>
              <w:t>根据</w:t>
            </w:r>
            <w:r>
              <w:rPr>
                <w:rFonts w:hint="eastAsia" w:ascii="宋体" w:hAnsi="宋体" w:eastAsia="宋体"/>
                <w:color w:val="auto"/>
              </w:rPr>
              <w:t>住房和城乡建设部</w:t>
            </w:r>
            <w:r>
              <w:rPr>
                <w:rFonts w:ascii="宋体" w:hAnsi="宋体" w:eastAsia="宋体"/>
                <w:color w:val="auto"/>
              </w:rPr>
              <w:t>、省</w:t>
            </w:r>
            <w:r>
              <w:rPr>
                <w:rFonts w:hint="eastAsia" w:ascii="宋体" w:hAnsi="宋体" w:eastAsia="宋体"/>
                <w:color w:val="auto"/>
              </w:rPr>
              <w:t>建设主管部门</w:t>
            </w:r>
            <w:r>
              <w:rPr>
                <w:rFonts w:ascii="宋体" w:hAnsi="宋体" w:eastAsia="宋体"/>
                <w:color w:val="auto"/>
              </w:rPr>
              <w:t>对造价从业人员执业管理的相关法律法规规定以及</w:t>
            </w:r>
            <w:r>
              <w:rPr>
                <w:rFonts w:hint="eastAsia" w:ascii="宋体" w:hAnsi="宋体" w:eastAsia="宋体"/>
                <w:color w:val="auto"/>
              </w:rPr>
              <w:t>《建设工程工程量清单计价规范》（</w:t>
            </w:r>
            <w:r>
              <w:rPr>
                <w:rFonts w:ascii="宋体" w:hAnsi="宋体" w:eastAsia="宋体"/>
                <w:color w:val="auto"/>
              </w:rPr>
              <w:t>GB50500-2013）的规定，投标报价的编制必须遵守以下规定：</w:t>
            </w:r>
          </w:p>
          <w:p>
            <w:pPr>
              <w:snapToGrid w:val="0"/>
              <w:spacing w:line="300" w:lineRule="auto"/>
              <w:rPr>
                <w:rFonts w:ascii="宋体" w:hAnsi="宋体" w:eastAsia="宋体"/>
                <w:color w:val="auto"/>
              </w:rPr>
            </w:pPr>
            <w:r>
              <w:rPr>
                <w:rFonts w:ascii="宋体" w:hAnsi="宋体" w:eastAsia="宋体"/>
                <w:color w:val="auto"/>
              </w:rPr>
              <w:t>1.</w:t>
            </w:r>
            <w:r>
              <w:rPr>
                <w:rFonts w:hint="eastAsia" w:ascii="宋体" w:hAnsi="宋体" w:eastAsia="宋体"/>
                <w:color w:val="auto"/>
              </w:rPr>
              <w:t>投标报</w:t>
            </w:r>
            <w:r>
              <w:rPr>
                <w:rFonts w:ascii="宋体" w:hAnsi="宋体" w:eastAsia="宋体"/>
                <w:color w:val="auto"/>
              </w:rPr>
              <w:t>价应由投标人或受其委托具有相应能力的工程造价咨询</w:t>
            </w:r>
            <w:r>
              <w:rPr>
                <w:rFonts w:hint="eastAsia" w:ascii="宋体" w:hAnsi="宋体" w:eastAsia="宋体"/>
                <w:color w:val="auto"/>
              </w:rPr>
              <w:t>人</w:t>
            </w:r>
            <w:r>
              <w:rPr>
                <w:rFonts w:ascii="宋体" w:hAnsi="宋体" w:eastAsia="宋体"/>
                <w:color w:val="auto"/>
              </w:rPr>
              <w:t>编制。</w:t>
            </w:r>
          </w:p>
          <w:p>
            <w:pPr>
              <w:snapToGrid w:val="0"/>
              <w:spacing w:line="300" w:lineRule="auto"/>
              <w:rPr>
                <w:rFonts w:ascii="宋体" w:hAnsi="宋体" w:eastAsia="宋体"/>
                <w:color w:val="auto"/>
              </w:rPr>
            </w:pPr>
            <w:r>
              <w:rPr>
                <w:rFonts w:ascii="宋体" w:hAnsi="宋体" w:eastAsia="宋体"/>
                <w:color w:val="auto"/>
              </w:rPr>
              <w:t>2.</w:t>
            </w:r>
            <w:r>
              <w:rPr>
                <w:rFonts w:hint="eastAsia"/>
                <w:color w:val="auto"/>
              </w:rPr>
              <w:t>投标文件的编制人不得接受同一工程招标人委托编制</w:t>
            </w:r>
            <w:r>
              <w:rPr>
                <w:rFonts w:hint="eastAsia" w:ascii="宋体" w:hAnsi="宋体" w:eastAsia="宋体"/>
                <w:color w:val="auto"/>
              </w:rPr>
              <w:t>招标文件（含招标控制价</w:t>
            </w:r>
            <w:r>
              <w:rPr>
                <w:rFonts w:ascii="宋体" w:hAnsi="宋体" w:eastAsia="宋体"/>
                <w:color w:val="auto"/>
              </w:rPr>
              <w:t>)</w:t>
            </w:r>
            <w:r>
              <w:rPr>
                <w:rFonts w:hint="eastAsia"/>
                <w:color w:val="auto"/>
              </w:rPr>
              <w:t>，并不得接受其他投标人委托编制</w:t>
            </w:r>
            <w:r>
              <w:rPr>
                <w:rFonts w:hint="eastAsia" w:ascii="宋体" w:hAnsi="宋体" w:eastAsia="宋体"/>
                <w:color w:val="auto"/>
              </w:rPr>
              <w:t>投标文件</w:t>
            </w:r>
          </w:p>
        </w:tc>
      </w:tr>
      <w:tr>
        <w:tblPrEx>
          <w:tblCellMar>
            <w:top w:w="0" w:type="dxa"/>
            <w:left w:w="57" w:type="dxa"/>
            <w:bottom w:w="0" w:type="dxa"/>
            <w:right w:w="57" w:type="dxa"/>
          </w:tblCellMar>
        </w:tblPrEx>
        <w:trPr>
          <w:trHeight w:val="23"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45"/>
              <w:jc w:val="center"/>
              <w:rPr>
                <w:rFonts w:ascii="宋体" w:hAnsi="宋体"/>
                <w:color w:val="auto"/>
              </w:rPr>
            </w:pPr>
            <w:r>
              <w:rPr>
                <w:rFonts w:ascii="宋体" w:hAnsi="宋体"/>
                <w:color w:val="auto"/>
              </w:rPr>
              <w:t>10.2</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4"/>
              <w:jc w:val="center"/>
              <w:rPr>
                <w:rFonts w:ascii="宋体" w:cs="宋体"/>
                <w:color w:val="auto"/>
              </w:rPr>
            </w:pPr>
            <w:r>
              <w:rPr>
                <w:rFonts w:hint="eastAsia"/>
                <w:color w:val="auto"/>
              </w:rPr>
              <w:t>投标文件的澄清、质询</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50"/>
              <w:snapToGrid w:val="0"/>
              <w:spacing w:line="360" w:lineRule="auto"/>
              <w:jc w:val="both"/>
              <w:rPr>
                <w:color w:val="auto"/>
              </w:rPr>
            </w:pPr>
            <w:r>
              <w:rPr>
                <w:color w:val="auto"/>
                <w:szCs w:val="24"/>
                <w:lang w:val="en-US"/>
              </w:rPr>
              <w:t>1.</w:t>
            </w:r>
            <w:r>
              <w:rPr>
                <w:rFonts w:hint="eastAsia"/>
                <w:color w:val="auto"/>
                <w:szCs w:val="24"/>
              </w:rPr>
              <w:t>澄清回复时间不得超过在发出通知后</w:t>
            </w:r>
            <w:r>
              <w:rPr>
                <w:color w:val="auto"/>
                <w:szCs w:val="24"/>
                <w:u w:val="single"/>
              </w:rPr>
              <w:t> </w:t>
            </w:r>
            <w:r>
              <w:rPr>
                <w:rFonts w:hint="eastAsia"/>
                <w:color w:val="auto"/>
                <w:szCs w:val="24"/>
                <w:u w:val="single"/>
                <w:lang w:val="en-US" w:eastAsia="zh-CN"/>
              </w:rPr>
              <w:t>30</w:t>
            </w:r>
            <w:r>
              <w:rPr>
                <w:color w:val="auto"/>
                <w:szCs w:val="24"/>
                <w:u w:val="single"/>
              </w:rPr>
              <w:t> </w:t>
            </w:r>
            <w:r>
              <w:rPr>
                <w:rFonts w:hint="eastAsia"/>
                <w:color w:val="auto"/>
                <w:szCs w:val="24"/>
              </w:rPr>
              <w:t>分钟，投标人逾期或未按要求澄清回复的，将视为不予回复或确认，评标委员会有权否决其投标。投标人通讯不畅通，导致不能及时联系的，视作为投标人不予回复或确认。</w:t>
            </w:r>
            <w:r>
              <w:rPr>
                <w:color w:val="auto"/>
                <w:szCs w:val="24"/>
              </w:rPr>
              <w:br w:type="textWrapping"/>
            </w:r>
            <w:r>
              <w:rPr>
                <w:color w:val="auto"/>
                <w:szCs w:val="24"/>
              </w:rPr>
              <w:t>2</w:t>
            </w:r>
            <w:r>
              <w:rPr>
                <w:color w:val="auto"/>
                <w:szCs w:val="24"/>
                <w:lang w:val="en-US"/>
              </w:rPr>
              <w:t>.</w:t>
            </w:r>
            <w:r>
              <w:rPr>
                <w:rFonts w:hint="eastAsia"/>
                <w:color w:val="auto"/>
                <w:szCs w:val="24"/>
              </w:rPr>
              <w:t>评标委员会对投标人提交的澄清、说明或补正有疑问的，可以要求投标人进一步澄清、说明或补正，直至满足评标委员会的要求。</w:t>
            </w:r>
          </w:p>
          <w:p>
            <w:pPr>
              <w:pStyle w:val="150"/>
              <w:spacing w:line="360" w:lineRule="auto"/>
              <w:rPr>
                <w:color w:val="auto"/>
              </w:rPr>
            </w:pPr>
            <w:r>
              <w:rPr>
                <w:rFonts w:ascii="宋体" w:hAnsi="宋体" w:eastAsia="宋体" w:cs="宋体"/>
                <w:color w:val="auto"/>
                <w:szCs w:val="24"/>
                <w:lang w:val="en-US"/>
              </w:rPr>
              <w:t>3.</w:t>
            </w:r>
            <w:r>
              <w:rPr>
                <w:rFonts w:hint="eastAsia" w:ascii="宋体" w:hAnsi="宋体" w:eastAsia="宋体" w:cs="宋体"/>
                <w:color w:val="auto"/>
                <w:szCs w:val="24"/>
              </w:rPr>
              <w:t>投标人拒不按照要求对投标文件进行澄清、说明或者补正的，评标委员会可以否决其投标。</w:t>
            </w:r>
          </w:p>
        </w:tc>
      </w:tr>
      <w:tr>
        <w:tblPrEx>
          <w:tblCellMar>
            <w:top w:w="0" w:type="dxa"/>
            <w:left w:w="57" w:type="dxa"/>
            <w:bottom w:w="0" w:type="dxa"/>
            <w:right w:w="57" w:type="dxa"/>
          </w:tblCellMar>
        </w:tblPrEx>
        <w:trPr>
          <w:trHeight w:val="23"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45"/>
              <w:jc w:val="center"/>
              <w:rPr>
                <w:rFonts w:ascii="宋体" w:hAnsi="宋体"/>
                <w:color w:val="auto"/>
              </w:rPr>
            </w:pPr>
            <w:r>
              <w:rPr>
                <w:rFonts w:ascii="宋体" w:hAnsi="宋体" w:cs="宋体"/>
                <w:color w:val="auto"/>
              </w:rPr>
              <w:sym w:font="Wingdings 2" w:char="00A3"/>
            </w:r>
            <w:r>
              <w:rPr>
                <w:rFonts w:ascii="宋体" w:hAnsi="宋体"/>
                <w:color w:val="auto"/>
              </w:rPr>
              <w:t>10.3</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4"/>
              <w:jc w:val="center"/>
              <w:rPr>
                <w:color w:val="auto"/>
              </w:rPr>
            </w:pPr>
            <w:r>
              <w:rPr>
                <w:rFonts w:hint="eastAsia"/>
                <w:color w:val="auto"/>
              </w:rPr>
              <w:t>陈述和答辩</w:t>
            </w:r>
          </w:p>
        </w:tc>
        <w:tc>
          <w:tcPr>
            <w:tcW w:w="6858" w:type="dxa"/>
            <w:tcBorders>
              <w:top w:val="single" w:color="000000" w:sz="4" w:space="0"/>
              <w:left w:val="single" w:color="000000" w:sz="4" w:space="0"/>
              <w:bottom w:val="single" w:color="000000" w:sz="4" w:space="0"/>
              <w:right w:val="single" w:color="000000" w:sz="4" w:space="0"/>
            </w:tcBorders>
            <w:noWrap w:val="0"/>
            <w:vAlign w:val="top"/>
          </w:tcPr>
          <w:p>
            <w:pPr>
              <w:pStyle w:val="136"/>
              <w:kinsoku w:val="0"/>
              <w:snapToGrid w:val="0"/>
              <w:spacing w:line="276" w:lineRule="auto"/>
              <w:jc w:val="both"/>
              <w:rPr>
                <w:rFonts w:ascii="宋体" w:hAnsi="宋体" w:eastAsia="宋体" w:cs="宋体"/>
                <w:color w:val="auto"/>
              </w:rPr>
            </w:pPr>
            <w:r>
              <w:rPr>
                <w:rFonts w:ascii="宋体" w:hAnsi="宋体" w:eastAsia="宋体" w:cs="宋体"/>
                <w:color w:val="auto"/>
              </w:rPr>
              <w:t>1.陈述和答辩人：通过资格审查和技术评审的有效投标人的拟派</w:t>
            </w:r>
            <w:r>
              <w:rPr>
                <w:rFonts w:hint="eastAsia" w:ascii="宋体" w:hAnsi="宋体"/>
                <w:color w:val="auto"/>
              </w:rPr>
              <w:t>项目负责人</w:t>
            </w:r>
            <w:r>
              <w:rPr>
                <w:rFonts w:ascii="宋体" w:hAnsi="宋体" w:eastAsia="宋体" w:cs="宋体"/>
                <w:color w:val="auto"/>
              </w:rPr>
              <w:t>。</w:t>
            </w:r>
          </w:p>
          <w:p>
            <w:pPr>
              <w:pStyle w:val="136"/>
              <w:kinsoku w:val="0"/>
              <w:snapToGrid w:val="0"/>
              <w:spacing w:line="276" w:lineRule="auto"/>
              <w:jc w:val="both"/>
              <w:rPr>
                <w:rFonts w:ascii="宋体" w:hAnsi="宋体" w:eastAsia="宋体" w:cs="宋体"/>
                <w:color w:val="auto"/>
              </w:rPr>
            </w:pPr>
            <w:r>
              <w:rPr>
                <w:rFonts w:ascii="宋体" w:hAnsi="宋体" w:eastAsia="宋体" w:cs="宋体"/>
                <w:color w:val="auto"/>
              </w:rPr>
              <w:t>2.答辩方式：□现场语音答复□书面答复□电子平台在线答复</w:t>
            </w:r>
          </w:p>
          <w:p>
            <w:pPr>
              <w:pStyle w:val="136"/>
              <w:kinsoku w:val="0"/>
              <w:snapToGrid w:val="0"/>
              <w:spacing w:line="276" w:lineRule="auto"/>
              <w:jc w:val="both"/>
              <w:rPr>
                <w:rFonts w:ascii="宋体" w:hAnsi="宋体" w:eastAsia="宋体" w:cs="宋体"/>
                <w:color w:val="auto"/>
              </w:rPr>
            </w:pPr>
            <w:r>
              <w:rPr>
                <w:rFonts w:ascii="宋体" w:hAnsi="宋体" w:eastAsia="宋体" w:cs="宋体"/>
                <w:color w:val="auto"/>
              </w:rPr>
              <w:t>3.陈述和答辩通知方式及相关规定：</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1）入围后进行预通知（通过</w:t>
            </w:r>
            <w:r>
              <w:rPr>
                <w:rFonts w:hint="eastAsia" w:ascii="宋体" w:hAnsi="宋体" w:eastAsia="宋体" w:cs="宋体"/>
                <w:color w:val="auto"/>
              </w:rPr>
              <w:t>电话或</w:t>
            </w:r>
            <w:r>
              <w:rPr>
                <w:rFonts w:ascii="宋体" w:hAnsi="宋体" w:eastAsia="宋体" w:cs="宋体"/>
                <w:color w:val="auto"/>
              </w:rPr>
              <w:t>短信</w:t>
            </w:r>
            <w:r>
              <w:rPr>
                <w:rFonts w:hint="eastAsia" w:ascii="宋体" w:hAnsi="宋体" w:eastAsia="宋体" w:cs="宋体"/>
                <w:color w:val="auto"/>
              </w:rPr>
              <w:t>等</w:t>
            </w:r>
            <w:r>
              <w:rPr>
                <w:rFonts w:ascii="宋体" w:hAnsi="宋体" w:eastAsia="宋体" w:cs="宋体"/>
                <w:color w:val="auto"/>
              </w:rPr>
              <w:t>方式发送给开标委托人，提醒</w:t>
            </w:r>
            <w:r>
              <w:rPr>
                <w:rFonts w:hint="eastAsia" w:ascii="宋体" w:hAnsi="宋体" w:eastAsia="宋体" w:cs="宋体"/>
                <w:color w:val="auto"/>
              </w:rPr>
              <w:t>项目负责人</w:t>
            </w:r>
            <w:r>
              <w:rPr>
                <w:rFonts w:ascii="宋体" w:hAnsi="宋体" w:eastAsia="宋体" w:cs="宋体"/>
                <w:color w:val="auto"/>
              </w:rPr>
              <w:t>做好陈述和答辩准备）；</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2）技术标评审评分结束后正式通知（通过</w:t>
            </w:r>
            <w:r>
              <w:rPr>
                <w:rFonts w:hint="eastAsia" w:ascii="宋体" w:hAnsi="宋体" w:eastAsia="宋体" w:cs="宋体"/>
                <w:color w:val="auto"/>
              </w:rPr>
              <w:t>电话或</w:t>
            </w:r>
            <w:r>
              <w:rPr>
                <w:rFonts w:ascii="宋体" w:hAnsi="宋体" w:eastAsia="宋体" w:cs="宋体"/>
                <w:color w:val="auto"/>
              </w:rPr>
              <w:t>短信</w:t>
            </w:r>
            <w:r>
              <w:rPr>
                <w:rFonts w:hint="eastAsia" w:ascii="宋体" w:hAnsi="宋体" w:eastAsia="宋体" w:cs="宋体"/>
                <w:color w:val="auto"/>
              </w:rPr>
              <w:t>等</w:t>
            </w:r>
            <w:r>
              <w:rPr>
                <w:rFonts w:ascii="宋体" w:hAnsi="宋体" w:eastAsia="宋体" w:cs="宋体"/>
                <w:color w:val="auto"/>
              </w:rPr>
              <w:t>方式发送给开标委托人，通知</w:t>
            </w:r>
            <w:r>
              <w:rPr>
                <w:rFonts w:hint="eastAsia" w:ascii="宋体" w:hAnsi="宋体" w:eastAsia="宋体" w:cs="宋体"/>
                <w:color w:val="auto"/>
              </w:rPr>
              <w:t>项目负责人</w:t>
            </w:r>
            <w:r>
              <w:rPr>
                <w:rFonts w:ascii="宋体" w:hAnsi="宋体" w:eastAsia="宋体" w:cs="宋体"/>
                <w:color w:val="auto"/>
              </w:rPr>
              <w:t>进行陈述和答辩）。</w:t>
            </w:r>
            <w:r>
              <w:rPr>
                <w:rFonts w:hint="eastAsia" w:ascii="宋体" w:hAnsi="宋体" w:eastAsia="宋体" w:cs="宋体"/>
                <w:color w:val="auto"/>
              </w:rPr>
              <w:t>项目负责人</w:t>
            </w:r>
            <w:r>
              <w:rPr>
                <w:rFonts w:ascii="宋体" w:hAnsi="宋体" w:eastAsia="宋体" w:cs="宋体"/>
                <w:color w:val="auto"/>
              </w:rPr>
              <w:t>未按通知要求的时间到达指定地点的，视为自动放弃陈述和答辩，该项按0分处理。</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3</w:t>
            </w:r>
            <w:r>
              <w:rPr>
                <w:rFonts w:hint="eastAsia" w:ascii="宋体" w:hAnsi="宋体" w:eastAsia="宋体" w:cs="宋体"/>
                <w:color w:val="auto"/>
              </w:rPr>
              <w:t>）陈述和答辩人应在陈述和答辩问题的范围内进行陈述和答辩。</w:t>
            </w:r>
          </w:p>
          <w:p>
            <w:pPr>
              <w:pStyle w:val="136"/>
              <w:kinsoku w:val="0"/>
              <w:snapToGrid w:val="0"/>
              <w:spacing w:line="276" w:lineRule="auto"/>
              <w:jc w:val="both"/>
              <w:rPr>
                <w:rFonts w:hint="default" w:ascii="宋体" w:hAnsi="宋体" w:eastAsia="宋体" w:cs="宋体"/>
                <w:color w:val="auto"/>
                <w:lang w:val="en-US" w:eastAsia="zh-CN"/>
              </w:rPr>
            </w:pPr>
            <w:r>
              <w:rPr>
                <w:rFonts w:ascii="宋体" w:hAnsi="宋体" w:eastAsia="宋体" w:cs="宋体"/>
                <w:color w:val="auto"/>
              </w:rPr>
              <w:t>4.陈述和答辩地点：</w:t>
            </w:r>
            <w:r>
              <w:rPr>
                <w:rFonts w:ascii="宋体" w:hAnsi="宋体" w:eastAsia="宋体" w:cs="宋体"/>
                <w:color w:val="auto"/>
                <w:u w:val="single"/>
              </w:rPr>
              <w:t xml:space="preserve">              </w:t>
            </w:r>
            <w:r>
              <w:rPr>
                <w:rFonts w:hint="eastAsia" w:ascii="宋体" w:hAnsi="宋体" w:eastAsia="宋体" w:cs="宋体"/>
                <w:color w:val="auto"/>
              </w:rPr>
              <w:t>。</w:t>
            </w:r>
            <w:r>
              <w:rPr>
                <w:rFonts w:hint="eastAsia" w:ascii="宋体" w:hAnsi="宋体" w:cs="宋体"/>
                <w:color w:val="auto"/>
                <w:lang w:val="en-US" w:eastAsia="zh-CN"/>
              </w:rPr>
              <w:t xml:space="preserve"> </w:t>
            </w:r>
          </w:p>
          <w:p>
            <w:pPr>
              <w:pStyle w:val="136"/>
              <w:kinsoku w:val="0"/>
              <w:snapToGrid w:val="0"/>
              <w:spacing w:line="276" w:lineRule="auto"/>
              <w:jc w:val="both"/>
              <w:rPr>
                <w:rFonts w:ascii="宋体" w:hAnsi="宋体" w:eastAsia="宋体" w:cs="宋体"/>
                <w:color w:val="auto"/>
              </w:rPr>
            </w:pPr>
            <w:r>
              <w:rPr>
                <w:rFonts w:ascii="宋体" w:hAnsi="宋体" w:eastAsia="宋体" w:cs="宋体"/>
                <w:color w:val="auto"/>
              </w:rPr>
              <w:t>5.</w:t>
            </w:r>
            <w:r>
              <w:rPr>
                <w:rFonts w:hint="eastAsia" w:ascii="宋体" w:hAnsi="宋体" w:eastAsia="宋体" w:cs="宋体"/>
                <w:color w:val="auto"/>
              </w:rPr>
              <w:t>陈述和答辩问题：可在招标文件中公布，或者由评标委员会根据招标文件及评审因素内容统一拟定，原则上由评标委员会负责人执笔。</w:t>
            </w:r>
          </w:p>
          <w:p>
            <w:pPr>
              <w:pStyle w:val="136"/>
              <w:kinsoku w:val="0"/>
              <w:snapToGrid w:val="0"/>
              <w:spacing w:line="276" w:lineRule="auto"/>
              <w:jc w:val="both"/>
              <w:rPr>
                <w:rFonts w:ascii="宋体" w:hAnsi="宋体" w:eastAsia="宋体" w:cs="宋体"/>
                <w:color w:val="auto"/>
              </w:rPr>
            </w:pPr>
            <w:r>
              <w:rPr>
                <w:rFonts w:ascii="宋体" w:hAnsi="宋体" w:eastAsia="宋体" w:cs="宋体"/>
                <w:color w:val="auto"/>
              </w:rPr>
              <w:t>6.参加答辩人员在进入答辩区域后须缴存通讯工具，进场不允许携带资料</w:t>
            </w:r>
            <w:r>
              <w:rPr>
                <w:rFonts w:hint="eastAsia" w:ascii="宋体" w:hAnsi="宋体" w:eastAsia="宋体" w:cs="宋体"/>
                <w:color w:val="auto"/>
              </w:rPr>
              <w:t>。</w:t>
            </w:r>
          </w:p>
        </w:tc>
      </w:tr>
      <w:tr>
        <w:tblPrEx>
          <w:tblCellMar>
            <w:top w:w="0" w:type="dxa"/>
            <w:left w:w="57" w:type="dxa"/>
            <w:bottom w:w="0" w:type="dxa"/>
            <w:right w:w="57" w:type="dxa"/>
          </w:tblCellMar>
        </w:tblPrEx>
        <w:trPr>
          <w:trHeight w:val="1227"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45"/>
              <w:jc w:val="center"/>
              <w:rPr>
                <w:rFonts w:ascii="宋体" w:hAnsi="宋体" w:cs="宋体"/>
                <w:color w:val="auto"/>
              </w:rPr>
            </w:pPr>
            <w:r>
              <w:rPr>
                <w:rFonts w:ascii="宋体" w:hAnsi="宋体" w:cs="宋体"/>
                <w:color w:val="auto"/>
              </w:rPr>
              <w:t>10.4</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4"/>
              <w:jc w:val="center"/>
              <w:rPr>
                <w:color w:val="auto"/>
              </w:rPr>
            </w:pPr>
            <w:r>
              <w:rPr>
                <w:rFonts w:hint="eastAsia"/>
                <w:color w:val="auto"/>
              </w:rPr>
              <w:t>在建合同工程的认定及变更证明</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napToGrid w:val="0"/>
              <w:spacing w:line="276" w:lineRule="auto"/>
              <w:jc w:val="both"/>
              <w:rPr>
                <w:rFonts w:ascii="宋体" w:hAnsi="宋体" w:eastAsia="宋体" w:cs="宋体"/>
                <w:color w:val="auto"/>
              </w:rPr>
            </w:pPr>
            <w:r>
              <w:rPr>
                <w:rFonts w:ascii="宋体" w:hAnsi="宋体" w:eastAsia="宋体" w:cs="宋体"/>
                <w:color w:val="auto"/>
              </w:rPr>
              <w:t>1.</w:t>
            </w:r>
            <w:r>
              <w:rPr>
                <w:rFonts w:hint="eastAsia" w:ascii="宋体" w:hAnsi="宋体" w:eastAsia="宋体" w:cs="宋体"/>
                <w:color w:val="auto"/>
              </w:rPr>
              <w:t>对</w:t>
            </w:r>
            <w:r>
              <w:rPr>
                <w:rFonts w:hint="eastAsia" w:ascii="宋体" w:hAnsi="宋体"/>
                <w:color w:val="auto"/>
              </w:rPr>
              <w:t>项目负责人</w:t>
            </w:r>
            <w:r>
              <w:rPr>
                <w:rFonts w:hint="eastAsia" w:ascii="宋体" w:hAnsi="宋体" w:eastAsia="宋体" w:cs="宋体"/>
                <w:color w:val="auto"/>
              </w:rPr>
              <w:t>“有在建合同工程”的认定标准：</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1）</w:t>
            </w:r>
            <w:r>
              <w:rPr>
                <w:rFonts w:hint="eastAsia" w:ascii="宋体" w:hAnsi="宋体" w:eastAsia="宋体" w:cs="宋体"/>
                <w:color w:val="auto"/>
              </w:rPr>
              <w:t>拟派</w:t>
            </w:r>
            <w:r>
              <w:rPr>
                <w:rFonts w:hint="eastAsia" w:ascii="宋体" w:hAnsi="宋体"/>
                <w:color w:val="auto"/>
              </w:rPr>
              <w:t>项目负责人</w:t>
            </w:r>
            <w:r>
              <w:rPr>
                <w:rFonts w:hint="eastAsia" w:ascii="宋体" w:hAnsi="宋体" w:eastAsia="宋体" w:cs="宋体"/>
                <w:color w:val="auto"/>
              </w:rPr>
              <w:t>在投标截止时间尚有在其他在建合同工程中担任</w:t>
            </w:r>
            <w:r>
              <w:rPr>
                <w:rFonts w:hint="eastAsia" w:ascii="宋体" w:hAnsi="宋体"/>
                <w:color w:val="auto"/>
              </w:rPr>
              <w:t>项目负责人</w:t>
            </w:r>
            <w:r>
              <w:rPr>
                <w:rFonts w:hint="eastAsia" w:ascii="宋体" w:hAnsi="宋体" w:eastAsia="宋体" w:cs="宋体"/>
                <w:color w:val="auto"/>
              </w:rPr>
              <w:t>的情形为“有在建合同工程”。</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2）</w:t>
            </w:r>
            <w:r>
              <w:rPr>
                <w:rFonts w:hint="eastAsia" w:ascii="宋体" w:hAnsi="宋体" w:eastAsia="宋体" w:cs="宋体"/>
                <w:color w:val="auto"/>
              </w:rPr>
              <w:t>其他工程项目，包括在中华人民共和国境内所有建设工程，不受地域、行业和投资性质的限制。</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3）</w:t>
            </w:r>
            <w:r>
              <w:rPr>
                <w:rFonts w:hint="eastAsia" w:ascii="宋体" w:hAnsi="宋体" w:eastAsia="宋体" w:cs="宋体"/>
                <w:color w:val="auto"/>
              </w:rPr>
              <w:t>在建合同工程的时间界定：</w:t>
            </w:r>
            <w:r>
              <w:rPr>
                <w:rFonts w:hint="eastAsia" w:ascii="宋体" w:hAnsi="宋体" w:eastAsia="宋体"/>
                <w:color w:val="auto"/>
              </w:rPr>
              <w:t>在建合同工程的开始时间为合同工程中标通知书发出日期，或者不通过招标方式的则以合同签订日期为开始时间，结束时间为该合同工程验收合格或合同解除日期）</w:t>
            </w:r>
            <w:bookmarkStart w:id="105" w:name="bookmark193"/>
            <w:bookmarkEnd w:id="105"/>
            <w:r>
              <w:rPr>
                <w:rFonts w:hint="eastAsia" w:ascii="宋体" w:hAnsi="宋体" w:eastAsia="宋体" w:cs="宋体"/>
                <w:color w:val="auto"/>
              </w:rPr>
              <w:t>。</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以下情形视为“有在建合同工程”：</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1）</w:t>
            </w:r>
            <w:r>
              <w:rPr>
                <w:rFonts w:hint="eastAsia" w:ascii="宋体" w:hAnsi="宋体" w:eastAsia="宋体" w:cs="宋体"/>
                <w:color w:val="auto"/>
              </w:rPr>
              <w:t>合同协议书尚未签订的，中标通知书中载明的</w:t>
            </w:r>
            <w:r>
              <w:rPr>
                <w:rFonts w:hint="eastAsia" w:ascii="宋体" w:hAnsi="宋体"/>
                <w:color w:val="auto"/>
              </w:rPr>
              <w:t>项目负责人</w:t>
            </w:r>
            <w:r>
              <w:rPr>
                <w:rFonts w:hint="eastAsia" w:ascii="宋体" w:hAnsi="宋体" w:eastAsia="宋体" w:cs="宋体"/>
                <w:color w:val="auto"/>
              </w:rPr>
              <w:t>；</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2）</w:t>
            </w:r>
            <w:r>
              <w:rPr>
                <w:rFonts w:hint="eastAsia" w:ascii="宋体" w:hAnsi="宋体" w:eastAsia="宋体" w:cs="宋体"/>
                <w:color w:val="auto"/>
              </w:rPr>
              <w:t>合同协议书已经签订，合同协议书中明确的</w:t>
            </w:r>
            <w:r>
              <w:rPr>
                <w:rFonts w:hint="eastAsia" w:ascii="宋体" w:hAnsi="宋体"/>
                <w:color w:val="auto"/>
              </w:rPr>
              <w:t>项目负责人</w:t>
            </w:r>
            <w:r>
              <w:rPr>
                <w:rFonts w:hint="eastAsia" w:ascii="宋体" w:hAnsi="宋体" w:eastAsia="宋体" w:cs="宋体"/>
                <w:color w:val="auto"/>
              </w:rPr>
              <w:t>；</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3）</w:t>
            </w:r>
            <w:r>
              <w:rPr>
                <w:rFonts w:hint="eastAsia" w:ascii="宋体" w:hAnsi="宋体"/>
                <w:color w:val="auto"/>
              </w:rPr>
              <w:t>项目负责人</w:t>
            </w:r>
            <w:r>
              <w:rPr>
                <w:rFonts w:hint="eastAsia" w:ascii="宋体" w:hAnsi="宋体" w:eastAsia="宋体" w:cs="宋体"/>
                <w:color w:val="auto"/>
              </w:rPr>
              <w:t>发生更换的，以现任</w:t>
            </w:r>
            <w:r>
              <w:rPr>
                <w:rFonts w:hint="eastAsia" w:ascii="宋体" w:hAnsi="宋体"/>
                <w:color w:val="auto"/>
              </w:rPr>
              <w:t>项目负责人</w:t>
            </w:r>
            <w:r>
              <w:rPr>
                <w:rFonts w:hint="eastAsia" w:ascii="宋体" w:hAnsi="宋体" w:eastAsia="宋体" w:cs="宋体"/>
                <w:color w:val="auto"/>
              </w:rPr>
              <w:t>视为有“在建合同工程”。</w:t>
            </w:r>
          </w:p>
          <w:p>
            <w:pPr>
              <w:pStyle w:val="136"/>
              <w:kinsoku w:val="0"/>
              <w:snapToGrid w:val="0"/>
              <w:spacing w:line="276" w:lineRule="auto"/>
              <w:jc w:val="both"/>
              <w:rPr>
                <w:rFonts w:ascii="宋体" w:hAnsi="宋体" w:eastAsia="宋体" w:cs="宋体"/>
                <w:color w:val="auto"/>
              </w:rPr>
            </w:pPr>
            <w:r>
              <w:rPr>
                <w:rFonts w:ascii="宋体" w:hAnsi="宋体" w:eastAsia="宋体" w:cs="宋体"/>
                <w:color w:val="auto"/>
              </w:rPr>
              <w:t>2.</w:t>
            </w:r>
            <w:r>
              <w:rPr>
                <w:rFonts w:hint="eastAsia" w:ascii="宋体" w:hAnsi="宋体" w:eastAsia="宋体" w:cs="宋体"/>
                <w:color w:val="auto"/>
              </w:rPr>
              <w:t>在建项目的</w:t>
            </w:r>
            <w:r>
              <w:rPr>
                <w:rFonts w:hint="eastAsia" w:ascii="宋体" w:hAnsi="宋体"/>
                <w:color w:val="auto"/>
              </w:rPr>
              <w:t>项目负责人</w:t>
            </w:r>
            <w:r>
              <w:rPr>
                <w:rFonts w:hint="eastAsia" w:ascii="宋体" w:hAnsi="宋体" w:eastAsia="宋体" w:cs="宋体"/>
                <w:color w:val="auto"/>
              </w:rPr>
              <w:t>办理更换后，投标时需提供的资料：</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1）</w:t>
            </w:r>
            <w:r>
              <w:rPr>
                <w:rFonts w:hint="eastAsia" w:ascii="宋体" w:hAnsi="宋体" w:eastAsia="宋体" w:cs="宋体"/>
                <w:color w:val="auto"/>
              </w:rPr>
              <w:t>项目业主同意更换的证明；</w:t>
            </w:r>
          </w:p>
          <w:p>
            <w:pPr>
              <w:pStyle w:val="136"/>
              <w:kinsoku w:val="0"/>
              <w:snapToGrid w:val="0"/>
              <w:spacing w:line="276" w:lineRule="auto"/>
              <w:jc w:val="both"/>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2）</w:t>
            </w:r>
            <w:r>
              <w:rPr>
                <w:rFonts w:hint="eastAsia" w:ascii="宋体" w:hAnsi="宋体" w:eastAsia="宋体" w:cs="宋体"/>
                <w:color w:val="auto"/>
              </w:rPr>
              <w:t>原</w:t>
            </w:r>
            <w:r>
              <w:rPr>
                <w:rFonts w:hint="eastAsia" w:ascii="宋体" w:hAnsi="宋体"/>
                <w:color w:val="auto"/>
              </w:rPr>
              <w:t>项目负责人在建项目信息</w:t>
            </w:r>
            <w:r>
              <w:rPr>
                <w:rFonts w:hint="eastAsia" w:ascii="宋体" w:hAnsi="宋体" w:eastAsia="宋体" w:cs="宋体"/>
                <w:color w:val="auto"/>
              </w:rPr>
              <w:t>有备案在建设主管部门的，应提供建设主管部门同意更换的证明或网上变更信息扫描件；</w:t>
            </w:r>
          </w:p>
          <w:p>
            <w:pPr>
              <w:pStyle w:val="136"/>
              <w:kinsoku w:val="0"/>
              <w:snapToGrid w:val="0"/>
              <w:spacing w:line="276" w:lineRule="auto"/>
              <w:jc w:val="both"/>
              <w:rPr>
                <w:rFonts w:ascii="宋体" w:hAnsi="宋体" w:eastAsia="宋体" w:cs="宋体"/>
                <w:color w:val="auto"/>
              </w:rPr>
            </w:pPr>
            <w:r>
              <w:rPr>
                <w:rFonts w:ascii="宋体" w:hAnsi="宋体" w:eastAsia="宋体" w:cs="宋体"/>
                <w:color w:val="auto"/>
              </w:rPr>
              <w:t>3.在建合同工程和人员信息可参照全国和</w:t>
            </w:r>
            <w:r>
              <w:rPr>
                <w:rFonts w:hint="eastAsia" w:ascii="宋体" w:hAnsi="宋体" w:eastAsia="宋体" w:cs="宋体"/>
                <w:color w:val="auto"/>
              </w:rPr>
              <w:t>浙江省建筑市场监管与诚信信息平台发布的信息。</w:t>
            </w:r>
          </w:p>
        </w:tc>
      </w:tr>
      <w:tr>
        <w:tblPrEx>
          <w:tblCellMar>
            <w:top w:w="0" w:type="dxa"/>
            <w:left w:w="57" w:type="dxa"/>
            <w:bottom w:w="0" w:type="dxa"/>
            <w:right w:w="57" w:type="dxa"/>
          </w:tblCellMar>
        </w:tblPrEx>
        <w:trPr>
          <w:trHeight w:val="1281"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145"/>
              <w:jc w:val="center"/>
              <w:rPr>
                <w:rFonts w:ascii="宋体" w:hAnsi="宋体" w:cs="宋体"/>
                <w:color w:val="auto"/>
              </w:rPr>
            </w:pPr>
            <w:r>
              <w:rPr>
                <w:rFonts w:ascii="宋体" w:hAnsi="宋体" w:cs="宋体"/>
                <w:color w:val="auto"/>
              </w:rPr>
              <w:t>10.5</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4"/>
              <w:jc w:val="center"/>
              <w:rPr>
                <w:color w:val="auto"/>
              </w:rPr>
            </w:pPr>
            <w:r>
              <w:rPr>
                <w:rFonts w:hint="eastAsia"/>
                <w:color w:val="auto"/>
              </w:rPr>
              <w:t>否决投标的情形</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tabs>
                <w:tab w:val="left" w:pos="3376"/>
              </w:tabs>
              <w:snapToGrid w:val="0"/>
              <w:spacing w:line="360" w:lineRule="auto"/>
              <w:ind w:right="276" w:rightChars="115"/>
              <w:rPr>
                <w:color w:val="auto"/>
              </w:rPr>
            </w:pPr>
            <w:r>
              <w:rPr>
                <w:color w:val="auto"/>
              </w:rPr>
              <w:t>1.</w:t>
            </w:r>
            <w:r>
              <w:rPr>
                <w:rFonts w:hint="eastAsia"/>
                <w:color w:val="auto"/>
              </w:rPr>
              <w:t>投标文件存在以下情形之一的，由评标委员会审核并经过询标程序，其投标文件将被否决：</w:t>
            </w:r>
          </w:p>
          <w:p>
            <w:pPr>
              <w:snapToGrid w:val="0"/>
              <w:spacing w:line="360" w:lineRule="auto"/>
              <w:ind w:right="276" w:rightChars="115"/>
              <w:rPr>
                <w:rFonts w:cs="宋体"/>
                <w:color w:val="auto"/>
              </w:rPr>
            </w:pPr>
            <w:r>
              <w:rPr>
                <w:rFonts w:hint="eastAsia"/>
                <w:color w:val="auto"/>
              </w:rPr>
              <w:t>（1）资格审查内容：</w:t>
            </w:r>
          </w:p>
          <w:p>
            <w:pPr>
              <w:snapToGrid w:val="0"/>
              <w:spacing w:line="360" w:lineRule="auto"/>
              <w:ind w:right="276" w:rightChars="115"/>
              <w:rPr>
                <w:color w:val="auto"/>
              </w:rPr>
            </w:pPr>
            <w:r>
              <w:rPr>
                <w:rFonts w:hint="eastAsia" w:ascii="宋体" w:hAnsi="宋体" w:cs="宋体"/>
                <w:color w:val="auto"/>
              </w:rPr>
              <w:t>①</w:t>
            </w:r>
            <w:r>
              <w:rPr>
                <w:rFonts w:hint="eastAsia"/>
                <w:color w:val="auto"/>
              </w:rPr>
              <w:t>投标人不满足招标文件载明的企业资质、人员资格、安全生产许可证、业绩条件（若有）的；</w:t>
            </w:r>
          </w:p>
          <w:p>
            <w:pPr>
              <w:snapToGrid w:val="0"/>
              <w:spacing w:line="360" w:lineRule="auto"/>
              <w:ind w:right="276" w:rightChars="115"/>
              <w:rPr>
                <w:color w:val="auto"/>
              </w:rPr>
            </w:pPr>
            <w:r>
              <w:rPr>
                <w:rFonts w:hint="eastAsia" w:ascii="宋体" w:hAnsi="宋体" w:cs="宋体"/>
                <w:color w:val="auto"/>
              </w:rPr>
              <w:t>②</w:t>
            </w:r>
            <w:r>
              <w:rPr>
                <w:rFonts w:hint="eastAsia"/>
                <w:color w:val="auto"/>
              </w:rPr>
              <w:t>投标人未按照招标文件的要求提交投标保证金的；</w:t>
            </w:r>
          </w:p>
          <w:p>
            <w:pPr>
              <w:snapToGrid w:val="0"/>
              <w:spacing w:line="360" w:lineRule="auto"/>
              <w:ind w:right="276" w:rightChars="115"/>
              <w:rPr>
                <w:color w:val="auto"/>
              </w:rPr>
            </w:pPr>
            <w:r>
              <w:rPr>
                <w:rFonts w:hint="eastAsia" w:ascii="宋体" w:hAnsi="宋体" w:cs="宋体"/>
                <w:color w:val="auto"/>
              </w:rPr>
              <w:t>③</w:t>
            </w:r>
            <w:r>
              <w:rPr>
                <w:rFonts w:hint="eastAsia"/>
                <w:color w:val="auto"/>
              </w:rPr>
              <w:t>投标人被有关行政监管部门依法限制投标且在限制期内的；</w:t>
            </w:r>
          </w:p>
          <w:p>
            <w:pPr>
              <w:snapToGrid w:val="0"/>
              <w:spacing w:line="360" w:lineRule="auto"/>
              <w:ind w:right="276" w:rightChars="115"/>
              <w:rPr>
                <w:color w:val="auto"/>
              </w:rPr>
            </w:pPr>
            <w:r>
              <w:rPr>
                <w:rFonts w:hint="eastAsia" w:ascii="宋体" w:hAnsi="宋体" w:cs="宋体"/>
                <w:color w:val="auto"/>
              </w:rPr>
              <w:t>④</w:t>
            </w:r>
            <w:r>
              <w:rPr>
                <w:rFonts w:hint="eastAsia"/>
                <w:color w:val="auto"/>
              </w:rPr>
              <w:t>投标报价高于最高限价的；</w:t>
            </w:r>
          </w:p>
          <w:p>
            <w:pPr>
              <w:snapToGrid w:val="0"/>
              <w:spacing w:line="360" w:lineRule="auto"/>
              <w:ind w:right="276" w:rightChars="115"/>
              <w:rPr>
                <w:color w:val="auto"/>
              </w:rPr>
            </w:pPr>
            <w:r>
              <w:rPr>
                <w:rFonts w:hint="eastAsia" w:ascii="宋体" w:hAnsi="宋体" w:cs="宋体"/>
                <w:color w:val="auto"/>
              </w:rPr>
              <w:t>⑤</w:t>
            </w:r>
            <w:r>
              <w:rPr>
                <w:rFonts w:hint="eastAsia"/>
                <w:color w:val="auto"/>
              </w:rPr>
              <w:t>不同投标人的投标文件检测码（或制作码、创建码）一致的；</w:t>
            </w:r>
          </w:p>
          <w:p>
            <w:pPr>
              <w:snapToGrid w:val="0"/>
              <w:spacing w:line="360" w:lineRule="auto"/>
              <w:ind w:right="276" w:rightChars="115"/>
              <w:rPr>
                <w:color w:val="auto"/>
              </w:rPr>
            </w:pPr>
            <w:r>
              <w:rPr>
                <w:rFonts w:hint="eastAsia" w:ascii="宋体" w:hAnsi="宋体" w:cs="宋体"/>
                <w:color w:val="auto"/>
              </w:rPr>
              <w:t>⑥</w:t>
            </w:r>
            <w:r>
              <w:rPr>
                <w:rFonts w:ascii="宋体" w:hAnsi="宋体" w:cs="宋体"/>
                <w:color w:val="auto"/>
              </w:rPr>
              <w:sym w:font="Wingdings 2" w:char="00A3"/>
            </w:r>
            <w:r>
              <w:rPr>
                <w:rFonts w:hint="eastAsia"/>
                <w:color w:val="auto"/>
              </w:rPr>
              <w:t>投标人提供的纸质投标文件水印码与电子投标文件不一致的；</w:t>
            </w:r>
          </w:p>
          <w:p>
            <w:pPr>
              <w:snapToGrid w:val="0"/>
              <w:spacing w:line="360" w:lineRule="auto"/>
              <w:ind w:right="276" w:rightChars="115"/>
              <w:rPr>
                <w:color w:val="auto"/>
              </w:rPr>
            </w:pPr>
            <w:r>
              <w:rPr>
                <w:rFonts w:hint="eastAsia" w:ascii="宋体" w:hAnsi="宋体" w:cs="宋体"/>
                <w:color w:val="auto"/>
              </w:rPr>
              <w:t>⑦</w:t>
            </w:r>
            <w:r>
              <w:rPr>
                <w:rFonts w:hint="eastAsia"/>
                <w:color w:val="auto"/>
              </w:rPr>
              <w:t>委托代理人未提供有效的授权委托书的；</w:t>
            </w:r>
          </w:p>
          <w:p>
            <w:pPr>
              <w:snapToGrid w:val="0"/>
              <w:spacing w:line="360" w:lineRule="auto"/>
              <w:ind w:right="276" w:rightChars="115"/>
              <w:rPr>
                <w:color w:val="auto"/>
              </w:rPr>
            </w:pPr>
            <w:r>
              <w:rPr>
                <w:rFonts w:hint="eastAsia" w:ascii="宋体" w:hAnsi="宋体" w:cs="宋体"/>
                <w:color w:val="auto"/>
              </w:rPr>
              <w:t>⑧</w:t>
            </w:r>
            <w:r>
              <w:rPr>
                <w:rFonts w:hint="eastAsia"/>
                <w:color w:val="auto"/>
              </w:rPr>
              <w:t>投标人及其拟派项目负责人被列入建筑市场严重失信名单的（以全国和浙江省建筑市场监管与诚信信息发布平台为准）；</w:t>
            </w:r>
          </w:p>
          <w:p>
            <w:pPr>
              <w:snapToGrid w:val="0"/>
              <w:spacing w:line="360" w:lineRule="auto"/>
              <w:ind w:right="276" w:rightChars="115"/>
              <w:rPr>
                <w:color w:val="auto"/>
              </w:rPr>
            </w:pPr>
            <w:r>
              <w:rPr>
                <w:rFonts w:ascii="宋体" w:hAnsi="宋体" w:cs="宋体"/>
                <w:color w:val="auto"/>
              </w:rPr>
              <w:sym w:font="Wingdings 2" w:char="00A3"/>
            </w:r>
            <w:r>
              <w:rPr>
                <w:rFonts w:hint="eastAsia"/>
                <w:color w:val="auto"/>
              </w:rPr>
              <w:t>投标人及其拟派项目负责人被列入招标投标失信黑名单的（以浙江省发展和改革委员会公布的披露期内的失信黑名单为准）；</w:t>
            </w:r>
          </w:p>
          <w:p>
            <w:pPr>
              <w:snapToGrid w:val="0"/>
              <w:spacing w:line="360" w:lineRule="auto"/>
              <w:ind w:right="276" w:rightChars="115"/>
              <w:rPr>
                <w:color w:val="auto"/>
              </w:rPr>
            </w:pPr>
            <w:r>
              <w:rPr>
                <w:rFonts w:hint="eastAsia" w:ascii="宋体" w:hAnsi="宋体" w:cs="宋体"/>
                <w:color w:val="auto"/>
              </w:rPr>
              <w:t>⑨</w:t>
            </w:r>
            <w:r>
              <w:rPr>
                <w:rFonts w:hint="eastAsia"/>
                <w:color w:val="auto"/>
              </w:rPr>
              <w:t>存在法律、法规、规章规定的其它否决投标情况的；</w:t>
            </w:r>
          </w:p>
          <w:p>
            <w:pPr>
              <w:snapToGrid w:val="0"/>
              <w:spacing w:line="360" w:lineRule="auto"/>
              <w:ind w:right="276" w:rightChars="115"/>
              <w:rPr>
                <w:color w:val="auto"/>
              </w:rPr>
            </w:pPr>
            <w:r>
              <w:rPr>
                <w:rFonts w:hint="eastAsia" w:ascii="宋体" w:hAnsi="宋体" w:cs="宋体"/>
                <w:color w:val="auto"/>
              </w:rPr>
              <w:t>⑩</w:t>
            </w:r>
            <w:r>
              <w:rPr>
                <w:rFonts w:hint="eastAsia"/>
                <w:color w:val="auto"/>
              </w:rPr>
              <w:t>其他：</w:t>
            </w:r>
            <w:r>
              <w:rPr>
                <w:color w:val="auto"/>
                <w:u w:val="single"/>
              </w:rPr>
              <w:t xml:space="preserve">                                       </w:t>
            </w:r>
            <w:r>
              <w:rPr>
                <w:rFonts w:hint="eastAsia"/>
                <w:color w:val="auto"/>
              </w:rPr>
              <w:t>。</w:t>
            </w:r>
          </w:p>
          <w:p>
            <w:pPr>
              <w:numPr>
                <w:ilvl w:val="0"/>
                <w:numId w:val="11"/>
              </w:numPr>
              <w:snapToGrid w:val="0"/>
              <w:spacing w:line="360" w:lineRule="auto"/>
              <w:ind w:right="276" w:rightChars="115"/>
              <w:rPr>
                <w:color w:val="auto"/>
              </w:rPr>
            </w:pPr>
            <w:r>
              <w:rPr>
                <w:rFonts w:hint="eastAsia"/>
                <w:color w:val="auto"/>
              </w:rPr>
              <w:t>初步评审内容：</w:t>
            </w:r>
          </w:p>
          <w:p>
            <w:pPr>
              <w:numPr>
                <w:ilvl w:val="0"/>
                <w:numId w:val="0"/>
              </w:numPr>
              <w:snapToGrid w:val="0"/>
              <w:spacing w:line="360" w:lineRule="auto"/>
              <w:ind w:right="276" w:rightChars="115"/>
              <w:rPr>
                <w:color w:val="auto"/>
              </w:rPr>
            </w:pPr>
            <w:r>
              <w:rPr>
                <w:rFonts w:hint="eastAsia" w:ascii="宋体" w:hAnsi="宋体" w:cs="宋体"/>
                <w:color w:val="auto"/>
              </w:rPr>
              <w:t>①</w:t>
            </w:r>
            <w:r>
              <w:rPr>
                <w:rFonts w:hint="eastAsia"/>
                <w:color w:val="auto"/>
              </w:rPr>
              <w:t>投标文件未经投标人盖章的；投标文件未经法定代表人（或提供有效“授权委托书”的委托代理人）签字和盖章的；</w:t>
            </w:r>
          </w:p>
          <w:p>
            <w:pPr>
              <w:numPr>
                <w:ilvl w:val="0"/>
                <w:numId w:val="0"/>
              </w:numPr>
              <w:snapToGrid w:val="0"/>
              <w:spacing w:line="360" w:lineRule="auto"/>
              <w:ind w:right="276" w:rightChars="115"/>
              <w:rPr>
                <w:color w:val="auto"/>
              </w:rPr>
            </w:pPr>
            <w:r>
              <w:rPr>
                <w:rFonts w:hint="eastAsia" w:ascii="宋体" w:hAnsi="宋体" w:cs="宋体"/>
                <w:color w:val="auto"/>
              </w:rPr>
              <w:t>②</w:t>
            </w:r>
            <w:r>
              <w:rPr>
                <w:rFonts w:hint="eastAsia"/>
                <w:color w:val="auto"/>
              </w:rPr>
              <w:t>投标文件中投标函或投标承诺书未按要求填写；</w:t>
            </w:r>
          </w:p>
          <w:p>
            <w:pPr>
              <w:numPr>
                <w:ilvl w:val="0"/>
                <w:numId w:val="0"/>
              </w:numPr>
              <w:snapToGrid w:val="0"/>
              <w:spacing w:line="360" w:lineRule="auto"/>
              <w:ind w:right="276" w:rightChars="115"/>
              <w:rPr>
                <w:color w:val="auto"/>
              </w:rPr>
            </w:pPr>
            <w:r>
              <w:rPr>
                <w:rFonts w:hint="eastAsia" w:ascii="宋体" w:hAnsi="宋体" w:cs="宋体"/>
                <w:color w:val="auto"/>
              </w:rPr>
              <w:t>③</w:t>
            </w:r>
            <w:r>
              <w:rPr>
                <w:rFonts w:hint="eastAsia"/>
                <w:color w:val="auto"/>
              </w:rPr>
              <w:t>投标人递交两份或多份内容不同的投标文件，或在一份投标文件中对同一招标项目报有两个或以上报价，且未声明哪一个有效；</w:t>
            </w:r>
          </w:p>
          <w:p>
            <w:pPr>
              <w:numPr>
                <w:ilvl w:val="0"/>
                <w:numId w:val="0"/>
              </w:numPr>
              <w:snapToGrid w:val="0"/>
              <w:spacing w:line="360" w:lineRule="auto"/>
              <w:ind w:right="276" w:rightChars="115"/>
              <w:rPr>
                <w:color w:val="auto"/>
              </w:rPr>
            </w:pPr>
            <w:r>
              <w:rPr>
                <w:rFonts w:hint="eastAsia" w:ascii="宋体" w:hAnsi="宋体" w:cs="宋体"/>
                <w:color w:val="auto"/>
              </w:rPr>
              <w:t>④</w:t>
            </w:r>
            <w:r>
              <w:rPr>
                <w:rFonts w:hint="eastAsia"/>
                <w:color w:val="auto"/>
              </w:rPr>
              <w:t>组成联合体投标的，投标文件未附联合体各方共同投标协议的；</w:t>
            </w:r>
          </w:p>
          <w:p>
            <w:pPr>
              <w:numPr>
                <w:ilvl w:val="0"/>
                <w:numId w:val="0"/>
              </w:numPr>
              <w:snapToGrid w:val="0"/>
              <w:spacing w:line="360" w:lineRule="auto"/>
              <w:ind w:right="276" w:rightChars="115"/>
              <w:rPr>
                <w:color w:val="auto"/>
              </w:rPr>
            </w:pPr>
            <w:r>
              <w:rPr>
                <w:rFonts w:hint="eastAsia" w:ascii="宋体" w:hAnsi="宋体" w:cs="宋体"/>
                <w:color w:val="auto"/>
              </w:rPr>
              <w:t>⑤</w:t>
            </w:r>
            <w:r>
              <w:rPr>
                <w:rFonts w:hint="eastAsia"/>
                <w:color w:val="auto"/>
              </w:rPr>
              <w:t>投标文件不能满足招标文件载明的工程质量、工程验收标准、施工工期、保修期要求的；</w:t>
            </w:r>
          </w:p>
          <w:p>
            <w:pPr>
              <w:numPr>
                <w:ilvl w:val="0"/>
                <w:numId w:val="0"/>
              </w:numPr>
              <w:snapToGrid w:val="0"/>
              <w:spacing w:line="360" w:lineRule="auto"/>
              <w:ind w:right="276" w:rightChars="115"/>
              <w:rPr>
                <w:color w:val="auto"/>
              </w:rPr>
            </w:pPr>
            <w:r>
              <w:rPr>
                <w:rFonts w:hint="eastAsia" w:ascii="宋体" w:hAnsi="宋体" w:cs="宋体"/>
                <w:color w:val="auto"/>
              </w:rPr>
              <w:t>⑥</w:t>
            </w:r>
            <w:r>
              <w:rPr>
                <w:rFonts w:hint="eastAsia"/>
                <w:color w:val="auto"/>
              </w:rPr>
              <w:t>存在法律、法规、规章规定的其它否决投标情况的；</w:t>
            </w:r>
          </w:p>
          <w:p>
            <w:pPr>
              <w:numPr>
                <w:ilvl w:val="0"/>
                <w:numId w:val="0"/>
              </w:numPr>
              <w:snapToGrid w:val="0"/>
              <w:spacing w:line="360" w:lineRule="auto"/>
              <w:ind w:right="276" w:rightChars="115"/>
              <w:rPr>
                <w:color w:val="auto"/>
              </w:rPr>
            </w:pPr>
            <w:r>
              <w:rPr>
                <w:rFonts w:hint="eastAsia" w:ascii="宋体" w:hAnsi="宋体" w:cs="宋体"/>
                <w:color w:val="auto"/>
              </w:rPr>
              <w:t>⑦</w:t>
            </w:r>
            <w:r>
              <w:rPr>
                <w:rFonts w:hint="eastAsia"/>
                <w:color w:val="auto"/>
              </w:rPr>
              <w:t>其他：</w:t>
            </w:r>
            <w:r>
              <w:rPr>
                <w:color w:val="auto"/>
                <w:u w:val="single"/>
              </w:rPr>
              <w:t xml:space="preserve">                                       </w:t>
            </w:r>
            <w:r>
              <w:rPr>
                <w:rFonts w:hint="eastAsia"/>
                <w:color w:val="auto"/>
              </w:rPr>
              <w:t>。</w:t>
            </w:r>
          </w:p>
          <w:p>
            <w:pPr>
              <w:numPr>
                <w:ilvl w:val="0"/>
                <w:numId w:val="11"/>
              </w:numPr>
              <w:tabs>
                <w:tab w:val="left" w:pos="3376"/>
              </w:tabs>
              <w:snapToGrid w:val="0"/>
              <w:spacing w:line="360" w:lineRule="auto"/>
              <w:ind w:right="276" w:rightChars="115"/>
              <w:rPr>
                <w:color w:val="auto"/>
              </w:rPr>
            </w:pPr>
            <w:r>
              <w:rPr>
                <w:rFonts w:ascii="宋体" w:hAnsi="宋体" w:cs="宋体"/>
                <w:color w:val="auto"/>
              </w:rPr>
              <w:sym w:font="Wingdings 2" w:char="00A3"/>
            </w:r>
            <w:r>
              <w:rPr>
                <w:rFonts w:hint="eastAsia"/>
                <w:color w:val="auto"/>
              </w:rPr>
              <w:t>技术标评审内容：</w:t>
            </w:r>
          </w:p>
          <w:p>
            <w:pPr>
              <w:numPr>
                <w:ilvl w:val="0"/>
                <w:numId w:val="0"/>
              </w:numPr>
              <w:snapToGrid w:val="0"/>
              <w:spacing w:line="360" w:lineRule="auto"/>
              <w:ind w:right="276" w:rightChars="115"/>
              <w:rPr>
                <w:color w:val="auto"/>
              </w:rPr>
            </w:pPr>
            <w:r>
              <w:rPr>
                <w:rFonts w:hint="eastAsia" w:ascii="宋体" w:hAnsi="宋体" w:cs="宋体"/>
                <w:color w:val="auto"/>
              </w:rPr>
              <w:t>①</w:t>
            </w:r>
            <w:r>
              <w:rPr>
                <w:rFonts w:hint="eastAsia"/>
                <w:color w:val="auto"/>
              </w:rPr>
              <w:t>项目管理班子配备不能满足要求的；</w:t>
            </w:r>
          </w:p>
          <w:p>
            <w:pPr>
              <w:numPr>
                <w:ilvl w:val="0"/>
                <w:numId w:val="0"/>
              </w:numPr>
              <w:snapToGrid w:val="0"/>
              <w:spacing w:line="360" w:lineRule="auto"/>
              <w:ind w:right="276" w:rightChars="115"/>
              <w:rPr>
                <w:color w:val="auto"/>
              </w:rPr>
            </w:pPr>
            <w:r>
              <w:rPr>
                <w:rFonts w:hint="eastAsia" w:ascii="宋体" w:hAnsi="宋体" w:cs="宋体"/>
                <w:color w:val="auto"/>
              </w:rPr>
              <w:t>②</w:t>
            </w:r>
            <w:r>
              <w:rPr>
                <w:rFonts w:hint="eastAsia"/>
                <w:color w:val="auto"/>
              </w:rPr>
              <w:t>关键施工技术方案不可行的；</w:t>
            </w:r>
          </w:p>
          <w:p>
            <w:pPr>
              <w:numPr>
                <w:ilvl w:val="0"/>
                <w:numId w:val="0"/>
              </w:numPr>
              <w:snapToGrid w:val="0"/>
              <w:spacing w:line="360" w:lineRule="auto"/>
              <w:ind w:right="276" w:rightChars="115"/>
              <w:rPr>
                <w:color w:val="auto"/>
              </w:rPr>
            </w:pPr>
            <w:r>
              <w:rPr>
                <w:rFonts w:hint="eastAsia" w:ascii="宋体" w:hAnsi="宋体" w:cs="宋体"/>
                <w:color w:val="auto"/>
              </w:rPr>
              <w:t>③</w:t>
            </w:r>
            <w:r>
              <w:rPr>
                <w:rFonts w:hint="eastAsia"/>
                <w:color w:val="auto"/>
              </w:rPr>
              <w:t>生产措施存在重大安全隐患的；</w:t>
            </w:r>
          </w:p>
          <w:p>
            <w:pPr>
              <w:numPr>
                <w:ilvl w:val="0"/>
                <w:numId w:val="0"/>
              </w:numPr>
              <w:snapToGrid w:val="0"/>
              <w:spacing w:line="360" w:lineRule="auto"/>
              <w:ind w:right="276" w:rightChars="115"/>
              <w:rPr>
                <w:color w:val="auto"/>
              </w:rPr>
            </w:pPr>
            <w:r>
              <w:rPr>
                <w:rFonts w:hint="eastAsia" w:ascii="宋体" w:hAnsi="宋体" w:cs="宋体"/>
                <w:color w:val="auto"/>
              </w:rPr>
              <w:t>④</w:t>
            </w:r>
            <w:r>
              <w:rPr>
                <w:rFonts w:hint="eastAsia"/>
                <w:color w:val="auto"/>
              </w:rPr>
              <w:t>主要施工机械设备不能满足施工需要的；</w:t>
            </w:r>
          </w:p>
          <w:p>
            <w:pPr>
              <w:numPr>
                <w:ilvl w:val="0"/>
                <w:numId w:val="0"/>
              </w:numPr>
              <w:snapToGrid w:val="0"/>
              <w:spacing w:line="360" w:lineRule="auto"/>
              <w:ind w:right="276" w:rightChars="115"/>
              <w:rPr>
                <w:color w:val="auto"/>
              </w:rPr>
            </w:pPr>
            <w:r>
              <w:rPr>
                <w:rFonts w:hint="eastAsia" w:ascii="宋体" w:hAnsi="宋体" w:cs="宋体"/>
                <w:color w:val="auto"/>
              </w:rPr>
              <w:t>⑤</w:t>
            </w:r>
            <w:r>
              <w:rPr>
                <w:rFonts w:hint="eastAsia"/>
                <w:color w:val="auto"/>
              </w:rPr>
              <w:t>采用的验收标准或主要技术指标达不到国家强制性标准或招标文件要求的；</w:t>
            </w:r>
          </w:p>
          <w:p>
            <w:pPr>
              <w:numPr>
                <w:ilvl w:val="0"/>
                <w:numId w:val="0"/>
              </w:numPr>
              <w:snapToGrid w:val="0"/>
              <w:spacing w:line="360" w:lineRule="auto"/>
              <w:ind w:right="276" w:rightChars="115"/>
              <w:rPr>
                <w:color w:val="auto"/>
              </w:rPr>
            </w:pPr>
            <w:r>
              <w:rPr>
                <w:rFonts w:hint="eastAsia" w:ascii="宋体" w:hAnsi="宋体" w:cs="宋体"/>
                <w:color w:val="auto"/>
              </w:rPr>
              <w:t>⑥</w:t>
            </w:r>
            <w:r>
              <w:rPr>
                <w:rFonts w:hint="eastAsia"/>
                <w:color w:val="auto"/>
              </w:rPr>
              <w:t>采用的施工工艺、方法或质量安全管理措施不能满足国家强制性标准或要求的。</w:t>
            </w:r>
          </w:p>
          <w:p>
            <w:pPr>
              <w:pStyle w:val="2"/>
              <w:numPr>
                <w:ilvl w:val="0"/>
                <w:numId w:val="0"/>
              </w:numPr>
              <w:snapToGrid w:val="0"/>
              <w:spacing w:line="360" w:lineRule="auto"/>
              <w:ind w:right="276" w:rightChars="115"/>
              <w:rPr>
                <w:color w:val="auto"/>
              </w:rPr>
            </w:pPr>
            <w:r>
              <w:rPr>
                <w:rFonts w:hint="eastAsia" w:ascii="宋体" w:hAnsi="宋体" w:eastAsia="宋体" w:cs="宋体"/>
                <w:color w:val="auto"/>
                <w:sz w:val="24"/>
                <w:szCs w:val="24"/>
              </w:rPr>
              <w:t>⑦</w:t>
            </w:r>
            <w:r>
              <w:rPr>
                <w:rFonts w:hint="eastAsia" w:ascii="Calibri" w:hAnsi="Calibri" w:eastAsia="宋体"/>
                <w:color w:val="auto"/>
                <w:sz w:val="24"/>
                <w:szCs w:val="24"/>
              </w:rPr>
              <w:t>存在法律、法规、规章规定的其它否决投标情况的；</w:t>
            </w:r>
          </w:p>
          <w:p>
            <w:pPr>
              <w:pStyle w:val="2"/>
              <w:numPr>
                <w:ilvl w:val="0"/>
                <w:numId w:val="0"/>
              </w:numPr>
              <w:snapToGrid w:val="0"/>
              <w:spacing w:line="360" w:lineRule="auto"/>
              <w:ind w:right="276" w:rightChars="115"/>
              <w:rPr>
                <w:color w:val="auto"/>
              </w:rPr>
            </w:pPr>
            <w:r>
              <w:rPr>
                <w:rFonts w:ascii="宋体" w:hAnsi="宋体" w:eastAsia="宋体" w:cs="宋体"/>
                <w:color w:val="auto"/>
                <w:sz w:val="24"/>
                <w:szCs w:val="24"/>
              </w:rPr>
              <w:t>⑧</w:t>
            </w:r>
            <w:r>
              <w:rPr>
                <w:rFonts w:hint="eastAsia"/>
                <w:color w:val="auto"/>
              </w:rPr>
              <w:t>其他：</w:t>
            </w:r>
            <w:r>
              <w:rPr>
                <w:color w:val="auto"/>
                <w:u w:val="single"/>
              </w:rPr>
              <w:t xml:space="preserve">                                       </w:t>
            </w:r>
            <w:r>
              <w:rPr>
                <w:rFonts w:hint="eastAsia" w:ascii="Calibri" w:hAnsi="Calibri" w:eastAsia="宋体"/>
                <w:color w:val="auto"/>
              </w:rPr>
              <w:t>。</w:t>
            </w:r>
          </w:p>
          <w:p>
            <w:pPr>
              <w:numPr>
                <w:ilvl w:val="0"/>
                <w:numId w:val="11"/>
              </w:numPr>
              <w:snapToGrid w:val="0"/>
              <w:spacing w:line="360" w:lineRule="auto"/>
              <w:ind w:right="276" w:rightChars="115"/>
              <w:rPr>
                <w:color w:val="auto"/>
              </w:rPr>
            </w:pPr>
            <w:r>
              <w:rPr>
                <w:rFonts w:hint="eastAsia"/>
                <w:color w:val="auto"/>
              </w:rPr>
              <w:t>商务标评审内容：</w:t>
            </w:r>
          </w:p>
          <w:p>
            <w:pPr>
              <w:numPr>
                <w:ilvl w:val="0"/>
                <w:numId w:val="0"/>
              </w:numPr>
              <w:snapToGrid w:val="0"/>
              <w:spacing w:line="360" w:lineRule="auto"/>
              <w:ind w:right="276" w:rightChars="115"/>
              <w:rPr>
                <w:color w:val="auto"/>
              </w:rPr>
            </w:pPr>
            <w:r>
              <w:rPr>
                <w:rFonts w:hint="eastAsia" w:ascii="宋体" w:hAnsi="宋体" w:cs="宋体"/>
                <w:color w:val="auto"/>
              </w:rPr>
              <w:t>①</w:t>
            </w:r>
            <w:r>
              <w:rPr>
                <w:rFonts w:hint="eastAsia"/>
                <w:color w:val="auto"/>
              </w:rPr>
              <w:t>安全文明施工费用（包括安全文明施工基本费和创建安全文明施工标化工地增加费）未按照招标文件和工程量清单要求填报的；</w:t>
            </w:r>
          </w:p>
          <w:p>
            <w:pPr>
              <w:numPr>
                <w:ilvl w:val="0"/>
                <w:numId w:val="0"/>
              </w:numPr>
              <w:snapToGrid w:val="0"/>
              <w:spacing w:line="360" w:lineRule="auto"/>
              <w:ind w:right="276" w:rightChars="115"/>
              <w:rPr>
                <w:color w:val="auto"/>
              </w:rPr>
            </w:pPr>
            <w:r>
              <w:rPr>
                <w:rFonts w:hint="eastAsia" w:ascii="宋体" w:hAnsi="宋体" w:cs="宋体"/>
                <w:color w:val="auto"/>
              </w:rPr>
              <w:t>②</w:t>
            </w:r>
            <w:r>
              <w:rPr>
                <w:rFonts w:hint="eastAsia"/>
                <w:color w:val="auto"/>
              </w:rPr>
              <w:t>规费、税金报价不符合现行规定的；</w:t>
            </w:r>
          </w:p>
          <w:p>
            <w:pPr>
              <w:numPr>
                <w:ilvl w:val="0"/>
                <w:numId w:val="0"/>
              </w:numPr>
              <w:snapToGrid w:val="0"/>
              <w:spacing w:line="360" w:lineRule="auto"/>
              <w:ind w:right="276" w:rightChars="115"/>
              <w:rPr>
                <w:color w:val="auto"/>
              </w:rPr>
            </w:pPr>
            <w:r>
              <w:rPr>
                <w:rFonts w:hint="eastAsia" w:ascii="宋体" w:hAnsi="宋体" w:cs="宋体"/>
                <w:color w:val="auto"/>
              </w:rPr>
              <w:t>③</w:t>
            </w:r>
            <w:r>
              <w:rPr>
                <w:rFonts w:hint="eastAsia"/>
                <w:color w:val="auto"/>
              </w:rPr>
              <w:t>改变招标文件提供的工程量清单（含分部分项工程及措施项目、其他项目清单项目的编码、项目名称、计量单位、工程数量、项目特征描述）的；</w:t>
            </w:r>
          </w:p>
          <w:p>
            <w:pPr>
              <w:numPr>
                <w:ilvl w:val="0"/>
                <w:numId w:val="0"/>
              </w:numPr>
              <w:snapToGrid w:val="0"/>
              <w:spacing w:line="360" w:lineRule="auto"/>
              <w:ind w:right="276" w:rightChars="115"/>
              <w:rPr>
                <w:color w:val="auto"/>
              </w:rPr>
            </w:pPr>
            <w:r>
              <w:rPr>
                <w:rFonts w:hint="eastAsia" w:ascii="宋体" w:hAnsi="宋体" w:cs="宋体"/>
                <w:color w:val="auto"/>
              </w:rPr>
              <w:t>④</w:t>
            </w:r>
            <w:r>
              <w:rPr>
                <w:rFonts w:hint="eastAsia"/>
                <w:color w:val="auto"/>
              </w:rPr>
              <w:t>改变招标文件和工程量清单明确的暂列金额和暂估价的；</w:t>
            </w:r>
            <w:r>
              <w:rPr>
                <w:rFonts w:hint="eastAsia" w:ascii="宋体" w:hAnsi="宋体" w:cs="宋体"/>
                <w:color w:val="auto"/>
              </w:rPr>
              <w:t>⑤</w:t>
            </w:r>
            <w:r>
              <w:rPr>
                <w:rFonts w:hint="eastAsia"/>
                <w:color w:val="auto"/>
              </w:rPr>
              <w:t>经评标委员会认定投标人的投标报价低于成本价，且投标人对其报价不能充分说明理由，或提供的相关资料无法证明报价不低于其成本价的；</w:t>
            </w:r>
          </w:p>
          <w:p>
            <w:pPr>
              <w:numPr>
                <w:ilvl w:val="0"/>
                <w:numId w:val="0"/>
              </w:numPr>
              <w:snapToGrid w:val="0"/>
              <w:spacing w:line="360" w:lineRule="auto"/>
              <w:ind w:right="276" w:rightChars="115"/>
              <w:rPr>
                <w:color w:val="auto"/>
              </w:rPr>
            </w:pPr>
            <w:r>
              <w:rPr>
                <w:rFonts w:hint="eastAsia" w:ascii="宋体" w:hAnsi="宋体" w:cs="宋体"/>
                <w:color w:val="auto"/>
              </w:rPr>
              <w:t>⑥</w:t>
            </w:r>
            <w:r>
              <w:rPr>
                <w:rFonts w:hint="eastAsia"/>
                <w:color w:val="auto"/>
              </w:rPr>
              <w:t>投标文件的编制人接受同一工程招标人委托编制</w:t>
            </w:r>
            <w:r>
              <w:rPr>
                <w:rFonts w:hint="eastAsia" w:ascii="宋体" w:hAnsi="宋体" w:eastAsia="宋体"/>
                <w:color w:val="auto"/>
              </w:rPr>
              <w:t>招标文件（含招标控制价</w:t>
            </w:r>
            <w:r>
              <w:rPr>
                <w:rFonts w:ascii="宋体" w:hAnsi="宋体" w:eastAsia="宋体"/>
                <w:color w:val="auto"/>
              </w:rPr>
              <w:t>)</w:t>
            </w:r>
            <w:r>
              <w:rPr>
                <w:rFonts w:hint="eastAsia"/>
                <w:color w:val="auto"/>
              </w:rPr>
              <w:t>，或接受其他投标人委托编制</w:t>
            </w:r>
            <w:r>
              <w:rPr>
                <w:rFonts w:hint="eastAsia" w:ascii="宋体" w:hAnsi="宋体" w:eastAsia="宋体"/>
                <w:color w:val="auto"/>
              </w:rPr>
              <w:t>投标文件</w:t>
            </w:r>
            <w:r>
              <w:rPr>
                <w:rFonts w:hint="eastAsia"/>
                <w:color w:val="auto"/>
              </w:rPr>
              <w:t>的。</w:t>
            </w:r>
          </w:p>
          <w:p>
            <w:pPr>
              <w:pStyle w:val="2"/>
              <w:numPr>
                <w:ilvl w:val="0"/>
                <w:numId w:val="0"/>
              </w:numPr>
              <w:snapToGrid w:val="0"/>
              <w:spacing w:line="360" w:lineRule="auto"/>
              <w:ind w:right="276" w:rightChars="115"/>
              <w:rPr>
                <w:rFonts w:ascii="Calibri" w:hAnsi="Calibri" w:eastAsia="宋体"/>
                <w:color w:val="auto"/>
                <w:sz w:val="24"/>
                <w:szCs w:val="24"/>
              </w:rPr>
            </w:pPr>
            <w:r>
              <w:rPr>
                <w:rFonts w:ascii="宋体" w:hAnsi="宋体" w:eastAsia="宋体" w:cs="宋体"/>
                <w:color w:val="auto"/>
                <w:sz w:val="24"/>
                <w:szCs w:val="24"/>
              </w:rPr>
              <w:t>⑦</w:t>
            </w:r>
            <w:r>
              <w:rPr>
                <w:rFonts w:hint="eastAsia" w:ascii="Calibri" w:hAnsi="Calibri" w:eastAsia="宋体"/>
                <w:color w:val="auto"/>
                <w:sz w:val="24"/>
                <w:szCs w:val="24"/>
              </w:rPr>
              <w:t>存在法律、法规、规章规定的其它否决投标情况的；</w:t>
            </w:r>
          </w:p>
          <w:p>
            <w:pPr>
              <w:pStyle w:val="2"/>
              <w:numPr>
                <w:ilvl w:val="0"/>
                <w:numId w:val="0"/>
              </w:numPr>
              <w:snapToGrid w:val="0"/>
              <w:spacing w:line="360" w:lineRule="auto"/>
              <w:ind w:right="276" w:rightChars="115"/>
              <w:rPr>
                <w:rFonts w:ascii="Calibri" w:hAnsi="Calibri"/>
                <w:color w:val="auto"/>
              </w:rPr>
            </w:pPr>
            <w:r>
              <w:rPr>
                <w:rFonts w:ascii="宋体" w:hAnsi="宋体" w:eastAsia="宋体" w:cs="宋体"/>
                <w:color w:val="auto"/>
                <w:sz w:val="24"/>
                <w:szCs w:val="24"/>
              </w:rPr>
              <w:t>⑧</w:t>
            </w:r>
            <w:r>
              <w:rPr>
                <w:rFonts w:hint="eastAsia"/>
                <w:color w:val="auto"/>
              </w:rPr>
              <w:t>其他：</w:t>
            </w:r>
            <w:r>
              <w:rPr>
                <w:color w:val="auto"/>
                <w:u w:val="single"/>
              </w:rPr>
              <w:t xml:space="preserve">                                       </w:t>
            </w:r>
            <w:r>
              <w:rPr>
                <w:rFonts w:hint="eastAsia" w:ascii="Calibri" w:hAnsi="Calibri" w:eastAsia="宋体"/>
                <w:color w:val="auto"/>
              </w:rPr>
              <w:t>。</w:t>
            </w:r>
          </w:p>
          <w:p>
            <w:pPr>
              <w:pStyle w:val="165"/>
              <w:numPr>
                <w:ilvl w:val="0"/>
                <w:numId w:val="11"/>
              </w:numPr>
              <w:snapToGrid w:val="0"/>
              <w:spacing w:line="400" w:lineRule="exact"/>
              <w:ind w:firstLine="0" w:firstLineChars="0"/>
              <w:rPr>
                <w:rFonts w:ascii="Calibri" w:hAnsi="Calibri"/>
                <w:color w:val="auto"/>
              </w:rPr>
            </w:pPr>
            <w:r>
              <w:rPr>
                <w:rFonts w:hint="eastAsia" w:ascii="Calibri" w:hAnsi="Calibri"/>
                <w:color w:val="auto"/>
              </w:rPr>
              <w:t>其他：</w:t>
            </w:r>
          </w:p>
          <w:p>
            <w:pPr>
              <w:pStyle w:val="165"/>
              <w:numPr>
                <w:ilvl w:val="0"/>
                <w:numId w:val="0"/>
              </w:numPr>
              <w:snapToGrid w:val="0"/>
              <w:spacing w:line="400" w:lineRule="exact"/>
              <w:rPr>
                <w:rFonts w:ascii="Calibri" w:hAnsi="Calibri"/>
                <w:color w:val="auto"/>
              </w:rPr>
            </w:pPr>
            <w:r>
              <w:rPr>
                <w:rFonts w:hint="eastAsia"/>
                <w:color w:val="auto"/>
                <w:szCs w:val="24"/>
              </w:rPr>
              <w:t>①</w:t>
            </w:r>
            <w:r>
              <w:rPr>
                <w:rFonts w:hint="eastAsia" w:ascii="Calibri" w:hAnsi="Calibri"/>
                <w:color w:val="auto"/>
              </w:rPr>
              <w:t>法律、法规、规章规定其他应否决投标的情形；</w:t>
            </w:r>
          </w:p>
          <w:p>
            <w:pPr>
              <w:pStyle w:val="165"/>
              <w:numPr>
                <w:ilvl w:val="0"/>
                <w:numId w:val="0"/>
              </w:numPr>
              <w:snapToGrid w:val="0"/>
              <w:spacing w:line="400" w:lineRule="exact"/>
              <w:rPr>
                <w:color w:val="auto"/>
                <w:szCs w:val="24"/>
              </w:rPr>
            </w:pPr>
            <w:r>
              <w:rPr>
                <w:rFonts w:hint="eastAsia"/>
                <w:color w:val="auto"/>
                <w:szCs w:val="24"/>
              </w:rPr>
              <w:t>②</w:t>
            </w:r>
            <w:r>
              <w:rPr>
                <w:rFonts w:hint="eastAsia" w:ascii="Calibri" w:hAnsi="Calibri"/>
                <w:color w:val="auto"/>
              </w:rPr>
              <w:t>在投标截止时间前，投标人被列入失信被执行人名单的；</w:t>
            </w:r>
          </w:p>
          <w:p>
            <w:pPr>
              <w:pStyle w:val="165"/>
              <w:numPr>
                <w:ilvl w:val="0"/>
                <w:numId w:val="0"/>
              </w:numPr>
              <w:snapToGrid w:val="0"/>
              <w:spacing w:line="400" w:lineRule="exact"/>
              <w:rPr>
                <w:rFonts w:ascii="宋体" w:hAnsi="宋体" w:eastAsia="宋体"/>
                <w:color w:val="auto"/>
                <w:szCs w:val="24"/>
              </w:rPr>
            </w:pPr>
            <w:r>
              <w:rPr>
                <w:rFonts w:hint="eastAsia"/>
                <w:color w:val="auto"/>
                <w:szCs w:val="24"/>
              </w:rPr>
              <w:t>③</w:t>
            </w:r>
            <w:r>
              <w:rPr>
                <w:rFonts w:ascii="宋体" w:hAnsi="宋体" w:eastAsia="宋体"/>
                <w:color w:val="auto"/>
                <w:szCs w:val="24"/>
              </w:rPr>
              <w:t>投标人及</w:t>
            </w:r>
            <w:r>
              <w:rPr>
                <w:rFonts w:hint="eastAsia" w:ascii="宋体" w:hAnsi="宋体" w:eastAsia="宋体"/>
                <w:color w:val="auto"/>
                <w:szCs w:val="24"/>
              </w:rPr>
              <w:t>其</w:t>
            </w:r>
            <w:r>
              <w:rPr>
                <w:rFonts w:ascii="宋体" w:hAnsi="宋体" w:eastAsia="宋体"/>
                <w:color w:val="auto"/>
                <w:szCs w:val="24"/>
              </w:rPr>
              <w:t>拟派</w:t>
            </w:r>
            <w:r>
              <w:rPr>
                <w:rFonts w:hint="eastAsia" w:ascii="宋体" w:hAnsi="宋体" w:eastAsia="宋体"/>
                <w:color w:val="auto"/>
                <w:szCs w:val="24"/>
              </w:rPr>
              <w:t>项目负责人在本招标文件（招标公告）规定时间范围内有</w:t>
            </w:r>
            <w:r>
              <w:rPr>
                <w:rFonts w:ascii="宋体" w:hAnsi="宋体" w:eastAsia="宋体"/>
                <w:color w:val="auto"/>
                <w:szCs w:val="24"/>
              </w:rPr>
              <w:t>行贿犯罪记录</w:t>
            </w:r>
            <w:r>
              <w:rPr>
                <w:rFonts w:hint="eastAsia" w:ascii="宋体" w:hAnsi="宋体" w:eastAsia="宋体"/>
                <w:color w:val="auto"/>
                <w:szCs w:val="24"/>
              </w:rPr>
              <w:t>的；</w:t>
            </w:r>
          </w:p>
          <w:p>
            <w:pPr>
              <w:pStyle w:val="165"/>
              <w:numPr>
                <w:ilvl w:val="0"/>
                <w:numId w:val="0"/>
              </w:numPr>
              <w:snapToGrid w:val="0"/>
              <w:spacing w:line="400" w:lineRule="exact"/>
              <w:rPr>
                <w:rFonts w:ascii="Calibri" w:hAnsi="Calibri"/>
                <w:color w:val="auto"/>
              </w:rPr>
            </w:pPr>
            <w:r>
              <w:rPr>
                <w:rFonts w:hint="eastAsia"/>
                <w:color w:val="auto"/>
                <w:szCs w:val="24"/>
              </w:rPr>
              <w:t>④</w:t>
            </w:r>
            <w:r>
              <w:rPr>
                <w:rFonts w:hint="eastAsia" w:ascii="Calibri" w:hAnsi="Calibri"/>
                <w:color w:val="auto"/>
              </w:rPr>
              <w:t>投标人未按投标人须知前附表10.2项，投标人须知第</w:t>
            </w:r>
            <w:r>
              <w:rPr>
                <w:rFonts w:ascii="Calibri" w:hAnsi="Calibri"/>
                <w:color w:val="auto"/>
              </w:rPr>
              <w:t>1.4.4</w:t>
            </w:r>
            <w:r>
              <w:rPr>
                <w:rFonts w:hint="eastAsia" w:ascii="Calibri" w:hAnsi="Calibri"/>
                <w:color w:val="auto"/>
              </w:rPr>
              <w:t>项、1.12项和3.6项规定执行的；</w:t>
            </w:r>
          </w:p>
          <w:p>
            <w:pPr>
              <w:pStyle w:val="165"/>
              <w:numPr>
                <w:ilvl w:val="0"/>
                <w:numId w:val="0"/>
              </w:numPr>
              <w:snapToGrid w:val="0"/>
              <w:spacing w:line="400" w:lineRule="exact"/>
              <w:rPr>
                <w:rFonts w:ascii="Calibri" w:hAnsi="Calibri"/>
                <w:color w:val="auto"/>
              </w:rPr>
            </w:pPr>
            <w:r>
              <w:rPr>
                <w:rFonts w:hint="eastAsia"/>
                <w:color w:val="auto"/>
                <w:szCs w:val="24"/>
              </w:rPr>
              <w:t>⑤</w:t>
            </w:r>
            <w:r>
              <w:rPr>
                <w:rFonts w:hint="eastAsia" w:ascii="Calibri" w:hAnsi="Calibri"/>
                <w:color w:val="auto"/>
              </w:rPr>
              <w:t>存在法律、法规、规章规定的其它否决投标情况的。</w:t>
            </w:r>
          </w:p>
          <w:p>
            <w:pPr>
              <w:kinsoku w:val="0"/>
              <w:snapToGrid w:val="0"/>
              <w:spacing w:line="440" w:lineRule="exact"/>
              <w:ind w:right="276" w:rightChars="115"/>
              <w:jc w:val="both"/>
              <w:rPr>
                <w:color w:val="auto"/>
              </w:rPr>
            </w:pPr>
            <w:r>
              <w:rPr>
                <w:rFonts w:hint="eastAsia"/>
                <w:color w:val="auto"/>
              </w:rPr>
              <w:t>注：凡评标委员会拟作出否决投标决定的，应先向投标人进行书面询问核对。</w:t>
            </w:r>
          </w:p>
        </w:tc>
      </w:tr>
      <w:tr>
        <w:tblPrEx>
          <w:tblCellMar>
            <w:top w:w="0" w:type="dxa"/>
            <w:left w:w="57" w:type="dxa"/>
            <w:bottom w:w="0" w:type="dxa"/>
            <w:right w:w="57" w:type="dxa"/>
          </w:tblCellMar>
        </w:tblPrEx>
        <w:trPr>
          <w:trHeight w:val="23"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136"/>
              <w:kinsoku w:val="0"/>
              <w:jc w:val="center"/>
              <w:rPr>
                <w:rFonts w:ascii="宋体" w:hAnsi="宋体"/>
                <w:color w:val="auto"/>
              </w:rPr>
            </w:pPr>
            <w:r>
              <w:rPr>
                <w:rFonts w:ascii="宋体" w:hAnsi="宋体"/>
                <w:color w:val="auto"/>
              </w:rPr>
              <w:t>10.6</w:t>
            </w:r>
          </w:p>
        </w:tc>
        <w:tc>
          <w:tcPr>
            <w:tcW w:w="1697" w:type="dxa"/>
            <w:tcBorders>
              <w:top w:val="single" w:color="000000" w:sz="4" w:space="0"/>
              <w:left w:val="single" w:color="000000" w:sz="4" w:space="0"/>
              <w:bottom w:val="single" w:color="000000" w:sz="4" w:space="0"/>
              <w:right w:val="single" w:color="000000" w:sz="4" w:space="0"/>
            </w:tcBorders>
            <w:noWrap w:val="0"/>
            <w:vAlign w:val="center"/>
          </w:tcPr>
          <w:p>
            <w:pPr>
              <w:pStyle w:val="136"/>
              <w:kinsoku w:val="0"/>
              <w:spacing w:before="4" w:line="288" w:lineRule="auto"/>
              <w:jc w:val="center"/>
              <w:rPr>
                <w:color w:val="auto"/>
              </w:rPr>
            </w:pPr>
            <w:r>
              <w:rPr>
                <w:rFonts w:hint="eastAsia"/>
                <w:color w:val="auto"/>
              </w:rPr>
              <w:t>特别说明</w:t>
            </w:r>
          </w:p>
        </w:tc>
        <w:tc>
          <w:tcPr>
            <w:tcW w:w="6858" w:type="dxa"/>
            <w:tcBorders>
              <w:top w:val="single" w:color="000000" w:sz="4" w:space="0"/>
              <w:left w:val="single" w:color="000000" w:sz="4" w:space="0"/>
              <w:bottom w:val="single" w:color="000000" w:sz="4" w:space="0"/>
              <w:right w:val="single" w:color="000000" w:sz="4" w:space="0"/>
            </w:tcBorders>
            <w:noWrap w:val="0"/>
            <w:vAlign w:val="center"/>
          </w:tcPr>
          <w:p>
            <w:pPr>
              <w:numPr>
                <w:ilvl w:val="0"/>
                <w:numId w:val="0"/>
              </w:numPr>
              <w:tabs>
                <w:tab w:val="left" w:pos="9360"/>
              </w:tabs>
              <w:spacing w:line="360" w:lineRule="auto"/>
              <w:rPr>
                <w:rFonts w:ascii="宋体" w:hAnsi="宋体" w:eastAsia="宋体"/>
                <w:iCs/>
                <w:color w:val="auto"/>
              </w:rPr>
            </w:pPr>
            <w:r>
              <w:rPr>
                <w:rFonts w:ascii="宋体" w:hAnsi="宋体" w:eastAsia="宋体"/>
                <w:iCs/>
                <w:color w:val="auto"/>
              </w:rPr>
              <w:t>1.</w:t>
            </w:r>
            <w:r>
              <w:rPr>
                <w:rFonts w:hint="eastAsia" w:ascii="宋体" w:hAnsi="宋体" w:eastAsia="宋体"/>
                <w:iCs/>
                <w:color w:val="auto"/>
              </w:rPr>
              <w:t>本前附表是投标人须知正文内容的补充和细化，应当与正文内容一致。如本前附表与正文内容表述不一，以本前附表为准。</w:t>
            </w:r>
          </w:p>
          <w:p>
            <w:pPr>
              <w:numPr>
                <w:ilvl w:val="0"/>
                <w:numId w:val="0"/>
              </w:numPr>
              <w:tabs>
                <w:tab w:val="left" w:pos="9360"/>
              </w:tabs>
              <w:spacing w:line="360" w:lineRule="auto"/>
              <w:rPr>
                <w:rFonts w:ascii="宋体" w:hAnsi="宋体" w:eastAsia="宋体"/>
                <w:iCs/>
                <w:color w:val="auto"/>
              </w:rPr>
            </w:pPr>
            <w:r>
              <w:rPr>
                <w:rFonts w:ascii="宋体" w:hAnsi="宋体" w:eastAsia="宋体"/>
                <w:iCs/>
                <w:color w:val="auto"/>
              </w:rPr>
              <w:t>2.</w:t>
            </w:r>
            <w:r>
              <w:rPr>
                <w:rFonts w:ascii="宋体" w:hAnsi="宋体" w:cs="宋体"/>
                <w:color w:val="auto"/>
              </w:rPr>
              <w:sym w:font="Wingdings 2" w:char="00A3"/>
            </w:r>
            <w:r>
              <w:rPr>
                <w:rFonts w:hint="eastAsia" w:ascii="宋体" w:hAnsi="宋体" w:eastAsia="宋体"/>
                <w:iCs/>
                <w:color w:val="auto"/>
              </w:rPr>
              <w:t>监测设施经费保障要求：本工程处于安装监测设施工程范围，投标人扬尘控制及在线监测设施安装、运行费用应充分考虑并列入报价，在合同签订前应向招标人提供对应的实施方案。</w:t>
            </w:r>
          </w:p>
          <w:p>
            <w:pPr>
              <w:numPr>
                <w:ilvl w:val="0"/>
                <w:numId w:val="0"/>
              </w:numPr>
              <w:tabs>
                <w:tab w:val="left" w:pos="9360"/>
              </w:tabs>
              <w:spacing w:line="360" w:lineRule="auto"/>
              <w:rPr>
                <w:rFonts w:ascii="宋体" w:hAnsi="宋体" w:eastAsia="宋体" w:cs="宋体"/>
                <w:iCs/>
                <w:color w:val="auto"/>
                <w:u w:val="single"/>
              </w:rPr>
            </w:pPr>
            <w:r>
              <w:rPr>
                <w:rFonts w:ascii="宋体" w:hAnsi="宋体" w:eastAsia="宋体"/>
                <w:iCs/>
                <w:color w:val="auto"/>
              </w:rPr>
              <w:t>3.</w:t>
            </w:r>
            <w:r>
              <w:rPr>
                <w:rFonts w:hint="eastAsia" w:ascii="宋体" w:hAnsi="宋体" w:eastAsia="宋体" w:cs="宋体"/>
                <w:iCs/>
                <w:color w:val="auto"/>
              </w:rPr>
              <w:t>建筑工人实名制管理和</w:t>
            </w:r>
            <w:r>
              <w:rPr>
                <w:rFonts w:hint="eastAsia" w:ascii="宋体" w:hAnsi="宋体" w:eastAsia="宋体"/>
                <w:iCs/>
                <w:color w:val="auto"/>
              </w:rPr>
              <w:t>经费保障要求</w:t>
            </w:r>
            <w:r>
              <w:rPr>
                <w:rFonts w:hint="eastAsia" w:ascii="宋体" w:hAnsi="宋体" w:eastAsia="宋体" w:cs="宋体"/>
                <w:iCs/>
                <w:color w:val="auto"/>
              </w:rPr>
              <w:t>：</w:t>
            </w:r>
            <w:r>
              <w:rPr>
                <w:rFonts w:ascii="宋体" w:hAnsi="宋体" w:eastAsia="宋体" w:cs="宋体"/>
                <w:iCs/>
                <w:color w:val="auto"/>
                <w:u w:val="single"/>
              </w:rPr>
              <w:t xml:space="preserve">               </w:t>
            </w:r>
          </w:p>
          <w:p>
            <w:pPr>
              <w:numPr>
                <w:ilvl w:val="0"/>
                <w:numId w:val="0"/>
              </w:numPr>
              <w:tabs>
                <w:tab w:val="left" w:pos="9360"/>
              </w:tabs>
              <w:spacing w:line="360" w:lineRule="auto"/>
              <w:rPr>
                <w:rFonts w:ascii="宋体" w:hAnsi="宋体" w:eastAsia="宋体" w:cs="宋体"/>
                <w:iCs/>
                <w:color w:val="auto"/>
              </w:rPr>
            </w:pPr>
            <w:r>
              <w:rPr>
                <w:rFonts w:ascii="宋体" w:hAnsi="宋体" w:eastAsia="宋体"/>
                <w:iCs/>
                <w:color w:val="auto"/>
              </w:rPr>
              <w:t>4.</w:t>
            </w:r>
            <w:r>
              <w:rPr>
                <w:rFonts w:hint="eastAsia" w:ascii="宋体" w:hAnsi="宋体" w:eastAsia="宋体" w:cs="宋体"/>
                <w:color w:val="auto"/>
              </w:rPr>
              <w:t>价款结算方式</w:t>
            </w:r>
            <w:r>
              <w:rPr>
                <w:rFonts w:hint="eastAsia" w:ascii="宋体" w:hAnsi="宋体" w:eastAsia="宋体" w:cs="宋体"/>
                <w:iCs/>
                <w:color w:val="auto"/>
              </w:rPr>
              <w:t>：</w:t>
            </w:r>
          </w:p>
          <w:p>
            <w:pPr>
              <w:numPr>
                <w:ilvl w:val="0"/>
                <w:numId w:val="0"/>
              </w:numPr>
              <w:tabs>
                <w:tab w:val="left" w:pos="9360"/>
              </w:tabs>
              <w:spacing w:line="360" w:lineRule="auto"/>
              <w:rPr>
                <w:rFonts w:ascii="宋体" w:hAnsi="宋体" w:eastAsia="宋体" w:cs="宋体"/>
                <w:color w:val="auto"/>
              </w:rPr>
            </w:pPr>
            <w:r>
              <w:rPr>
                <w:rFonts w:hint="eastAsia" w:ascii="宋体" w:hAnsi="宋体" w:eastAsia="宋体" w:cs="宋体"/>
                <w:color w:val="auto"/>
              </w:rPr>
              <w:t>□竣工后一次性结算</w:t>
            </w:r>
          </w:p>
          <w:p>
            <w:pPr>
              <w:numPr>
                <w:ilvl w:val="0"/>
                <w:numId w:val="0"/>
              </w:numPr>
              <w:tabs>
                <w:tab w:val="left" w:pos="9360"/>
              </w:tabs>
              <w:spacing w:line="360" w:lineRule="auto"/>
              <w:rPr>
                <w:rFonts w:ascii="宋体" w:hAnsi="宋体" w:eastAsia="宋体" w:cs="宋体"/>
                <w:color w:val="auto"/>
              </w:rPr>
            </w:pPr>
            <w:r>
              <w:rPr>
                <w:rFonts w:hint="eastAsia" w:ascii="宋体" w:hAnsi="宋体" w:eastAsia="宋体" w:cs="宋体"/>
                <w:color w:val="auto"/>
              </w:rPr>
              <w:t>□施工过程分段结算：□</w:t>
            </w:r>
            <w:r>
              <w:rPr>
                <w:rFonts w:hint="eastAsia" w:ascii="宋体" w:hAnsi="宋体" w:eastAsia="宋体"/>
                <w:color w:val="auto"/>
              </w:rPr>
              <w:t>房建工程分段节点</w:t>
            </w:r>
            <w:r>
              <w:rPr>
                <w:rFonts w:ascii="宋体" w:hAnsi="宋体" w:eastAsia="宋体"/>
                <w:color w:val="auto"/>
                <w:u w:val="single"/>
              </w:rPr>
              <w:t xml:space="preserve">                </w:t>
            </w:r>
            <w:r>
              <w:rPr>
                <w:rFonts w:hint="eastAsia" w:ascii="宋体" w:hAnsi="宋体" w:eastAsia="宋体"/>
                <w:color w:val="auto"/>
              </w:rPr>
              <w:t>（如可按桩基工程、地下室工程、地上主体结构工程和装饰装修工程划分，或分专业、分单项等）；</w:t>
            </w:r>
            <w:r>
              <w:rPr>
                <w:rFonts w:hint="eastAsia" w:ascii="宋体" w:hAnsi="宋体" w:eastAsia="宋体" w:cs="宋体"/>
                <w:color w:val="auto"/>
              </w:rPr>
              <w:t>□市政工程分段节点按</w:t>
            </w:r>
            <w:r>
              <w:rPr>
                <w:rFonts w:ascii="宋体" w:hAnsi="宋体" w:eastAsia="宋体" w:cs="宋体"/>
                <w:color w:val="auto"/>
                <w:u w:val="single"/>
              </w:rPr>
              <w:t xml:space="preserve">                   </w:t>
            </w:r>
            <w:r>
              <w:rPr>
                <w:rFonts w:hint="eastAsia" w:ascii="宋体" w:hAnsi="宋体" w:eastAsia="宋体" w:cs="宋体"/>
                <w:color w:val="auto"/>
              </w:rPr>
              <w:t>划分（节点</w:t>
            </w:r>
            <w:r>
              <w:rPr>
                <w:rFonts w:hint="eastAsia" w:ascii="宋体" w:hAnsi="宋体" w:eastAsia="宋体"/>
                <w:color w:val="auto"/>
              </w:rPr>
              <w:t>划分</w:t>
            </w:r>
            <w:r>
              <w:rPr>
                <w:rFonts w:ascii="宋体" w:hAnsi="宋体" w:eastAsia="宋体"/>
                <w:color w:val="auto"/>
              </w:rPr>
              <w:t>:</w:t>
            </w:r>
            <w:r>
              <w:rPr>
                <w:rFonts w:hint="eastAsia" w:ascii="宋体" w:hAnsi="宋体" w:eastAsia="宋体"/>
                <w:color w:val="auto"/>
              </w:rPr>
              <w:t>如道路工程、给排水燃气工程、隧道工程、河道护岸工程、综合管廊工程等市政工程可按施工段合理划分过程结算周期节点；水处理构筑物工程和生活垃圾处理工程可参照建筑工程划分过程结算周期节点；桥梁工程可按下部结构、上部结构、附属工程划分过程结算周期节点。</w:t>
            </w:r>
            <w:r>
              <w:rPr>
                <w:rFonts w:hint="eastAsia" w:ascii="宋体" w:hAnsi="宋体" w:eastAsia="宋体" w:cs="宋体"/>
                <w:color w:val="auto"/>
              </w:rPr>
              <w:t>）。</w:t>
            </w:r>
          </w:p>
          <w:p>
            <w:pPr>
              <w:numPr>
                <w:ilvl w:val="0"/>
                <w:numId w:val="0"/>
              </w:numPr>
              <w:tabs>
                <w:tab w:val="left" w:pos="9360"/>
              </w:tabs>
              <w:spacing w:line="360" w:lineRule="auto"/>
              <w:rPr>
                <w:rFonts w:ascii="宋体" w:hAnsi="宋体" w:eastAsia="宋体" w:cs="宋体"/>
                <w:color w:val="auto"/>
              </w:rPr>
            </w:pPr>
            <w:r>
              <w:rPr>
                <w:rFonts w:ascii="宋体" w:hAnsi="宋体" w:eastAsia="宋体" w:cs="宋体"/>
                <w:color w:val="auto"/>
              </w:rPr>
              <w:t>5.</w:t>
            </w:r>
            <w:r>
              <w:rPr>
                <w:rFonts w:hint="eastAsia" w:ascii="宋体" w:hAnsi="宋体" w:eastAsia="宋体" w:cs="宋体"/>
                <w:color w:val="auto"/>
              </w:rPr>
              <w:t>农民工工资保证金：</w:t>
            </w:r>
          </w:p>
          <w:p>
            <w:pPr>
              <w:numPr>
                <w:ilvl w:val="0"/>
                <w:numId w:val="0"/>
              </w:numPr>
              <w:tabs>
                <w:tab w:val="left" w:pos="9360"/>
              </w:tabs>
              <w:spacing w:line="360" w:lineRule="auto"/>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1）投标人</w:t>
            </w:r>
            <w:r>
              <w:rPr>
                <w:rFonts w:hint="eastAsia" w:ascii="宋体" w:hAnsi="宋体" w:eastAsia="宋体" w:cs="宋体"/>
                <w:color w:val="auto"/>
              </w:rPr>
              <w:t>应在投标前仔细核查本企业农民工工资保证金缴纳情况，应按当地有关农民工工资保证金管理制度执行。</w:t>
            </w:r>
          </w:p>
          <w:p>
            <w:pPr>
              <w:numPr>
                <w:ilvl w:val="0"/>
                <w:numId w:val="0"/>
              </w:numPr>
              <w:tabs>
                <w:tab w:val="left" w:pos="9360"/>
              </w:tabs>
              <w:spacing w:line="360" w:lineRule="auto"/>
              <w:rPr>
                <w:rFonts w:ascii="宋体" w:hAnsi="宋体" w:eastAsia="宋体" w:cs="宋体"/>
                <w:color w:val="auto"/>
              </w:rPr>
            </w:pPr>
            <w:r>
              <w:rPr>
                <w:rFonts w:hint="eastAsia" w:ascii="宋体" w:hAnsi="宋体" w:eastAsia="宋体" w:cs="宋体"/>
                <w:color w:val="auto"/>
              </w:rPr>
              <w:t>（</w:t>
            </w:r>
            <w:r>
              <w:rPr>
                <w:rFonts w:ascii="宋体" w:hAnsi="宋体" w:eastAsia="宋体" w:cs="宋体"/>
                <w:color w:val="auto"/>
              </w:rPr>
              <w:t>2）农民工工资支付按照</w:t>
            </w:r>
            <w:r>
              <w:rPr>
                <w:rFonts w:hint="eastAsia" w:ascii="宋体" w:hAnsi="宋体" w:eastAsia="宋体" w:cs="宋体"/>
                <w:color w:val="auto"/>
              </w:rPr>
              <w:t>当地相关文件执行，具体在合同专用条款中明确。</w:t>
            </w:r>
          </w:p>
          <w:p>
            <w:pPr>
              <w:numPr>
                <w:ilvl w:val="0"/>
                <w:numId w:val="0"/>
              </w:numPr>
              <w:tabs>
                <w:tab w:val="left" w:pos="9360"/>
              </w:tabs>
              <w:spacing w:line="360" w:lineRule="auto"/>
              <w:rPr>
                <w:color w:val="auto"/>
                <w:u w:val="single"/>
              </w:rPr>
            </w:pPr>
            <w:r>
              <w:rPr>
                <w:color w:val="auto"/>
              </w:rPr>
              <w:t>6.</w:t>
            </w:r>
            <w:r>
              <w:rPr>
                <w:rFonts w:hint="eastAsia" w:ascii="宋体" w:hAnsi="宋体" w:cs="宋体"/>
                <w:color w:val="auto"/>
              </w:rPr>
              <w:sym w:font="Wingdings 2" w:char="00A3"/>
            </w:r>
            <w:r>
              <w:rPr>
                <w:rFonts w:hint="eastAsia"/>
                <w:color w:val="auto"/>
              </w:rPr>
              <w:t>实施BIM的内容：</w:t>
            </w:r>
            <w:r>
              <w:rPr>
                <w:rFonts w:hint="eastAsia"/>
                <w:color w:val="auto"/>
                <w:u w:val="single"/>
              </w:rPr>
              <w:t xml:space="preserve">                              。</w:t>
            </w:r>
          </w:p>
          <w:p>
            <w:pPr>
              <w:spacing w:line="360" w:lineRule="auto"/>
              <w:rPr>
                <w:color w:val="auto"/>
              </w:rPr>
            </w:pPr>
            <w:r>
              <w:rPr>
                <w:color w:val="auto"/>
              </w:rPr>
              <w:t>7.</w:t>
            </w:r>
            <w:r>
              <w:rPr>
                <w:rFonts w:hint="eastAsia" w:ascii="宋体" w:hAnsi="宋体" w:cs="宋体"/>
                <w:color w:val="auto"/>
              </w:rPr>
              <w:sym w:font="Wingdings 2" w:char="00A3"/>
            </w:r>
            <w:r>
              <w:rPr>
                <w:rFonts w:hint="eastAsia"/>
                <w:color w:val="auto"/>
              </w:rPr>
              <w:t>投标人存在撤销投标文件和无正当理由放弃中标、不与招标人签订书面合同等情形或被行政部门查实存在违法行为，招标人重新招标的，招标人可以拒绝投标人再次投标该项目。</w:t>
            </w:r>
          </w:p>
          <w:p>
            <w:pPr>
              <w:pStyle w:val="129"/>
              <w:numPr>
                <w:ilvl w:val="0"/>
                <w:numId w:val="0"/>
              </w:numPr>
              <w:snapToGrid w:val="0"/>
              <w:spacing w:line="360" w:lineRule="auto"/>
              <w:rPr>
                <w:rFonts w:ascii="宋体" w:hAnsi="宋体"/>
                <w:color w:val="auto"/>
              </w:rPr>
            </w:pPr>
            <w:r>
              <w:rPr>
                <w:color w:val="auto"/>
              </w:rPr>
              <w:t>8.</w:t>
            </w:r>
            <w:r>
              <w:rPr>
                <w:rFonts w:hint="eastAsia" w:ascii="宋体" w:hAnsi="宋体"/>
                <w:color w:val="auto"/>
              </w:rPr>
              <w:t>本招标文件项目负责人一般情况下是指项目经理。</w:t>
            </w:r>
          </w:p>
          <w:p>
            <w:pPr>
              <w:pStyle w:val="129"/>
              <w:numPr>
                <w:ilvl w:val="0"/>
                <w:numId w:val="0"/>
              </w:numPr>
              <w:snapToGrid w:val="0"/>
              <w:spacing w:line="360" w:lineRule="auto"/>
              <w:rPr>
                <w:rFonts w:ascii="宋体" w:hAnsi="宋体"/>
                <w:color w:val="auto"/>
              </w:rPr>
            </w:pPr>
            <w:r>
              <w:rPr>
                <w:rFonts w:hint="eastAsia" w:ascii="宋体" w:hAnsi="宋体"/>
                <w:color w:val="auto"/>
              </w:rPr>
              <w:t>9.中标单位如为未办理进浙备案的省外企业，须在获得中标通知书后签订施工合同前办理进浙备案相关手续。</w:t>
            </w:r>
          </w:p>
          <w:p>
            <w:pPr>
              <w:numPr>
                <w:ilvl w:val="0"/>
                <w:numId w:val="0"/>
              </w:numPr>
              <w:tabs>
                <w:tab w:val="left" w:pos="9360"/>
              </w:tabs>
              <w:spacing w:line="360" w:lineRule="auto"/>
              <w:rPr>
                <w:color w:val="auto"/>
              </w:rPr>
            </w:pPr>
            <w:r>
              <w:rPr>
                <w:rFonts w:hint="eastAsia"/>
                <w:color w:val="auto"/>
              </w:rPr>
              <w:t>10</w:t>
            </w:r>
            <w:r>
              <w:rPr>
                <w:color w:val="auto"/>
              </w:rPr>
              <w:t>.</w:t>
            </w:r>
            <w:r>
              <w:rPr>
                <w:rFonts w:hint="eastAsia"/>
                <w:color w:val="auto"/>
              </w:rPr>
              <w:t>其他：</w:t>
            </w:r>
            <w:r>
              <w:rPr>
                <w:color w:val="auto"/>
                <w:u w:val="single"/>
              </w:rPr>
              <w:t xml:space="preserve">                       </w:t>
            </w:r>
            <w:r>
              <w:rPr>
                <w:rFonts w:hint="eastAsia"/>
                <w:color w:val="auto"/>
              </w:rPr>
              <w:t>。</w:t>
            </w:r>
          </w:p>
        </w:tc>
      </w:tr>
      <w:tr>
        <w:tblPrEx>
          <w:tblCellMar>
            <w:top w:w="0" w:type="dxa"/>
            <w:left w:w="57" w:type="dxa"/>
            <w:bottom w:w="0" w:type="dxa"/>
            <w:right w:w="57" w:type="dxa"/>
          </w:tblCellMar>
        </w:tblPrEx>
        <w:trPr>
          <w:trHeight w:val="23" w:hRule="atLeast"/>
        </w:trPr>
        <w:tc>
          <w:tcPr>
            <w:tcW w:w="1283" w:type="dxa"/>
            <w:gridSpan w:val="2"/>
            <w:tcBorders>
              <w:top w:val="single" w:color="000000" w:sz="4" w:space="0"/>
              <w:left w:val="single" w:color="000000" w:sz="4" w:space="0"/>
              <w:bottom w:val="single" w:color="000000" w:sz="4" w:space="0"/>
              <w:right w:val="single" w:color="000000" w:sz="4" w:space="0"/>
            </w:tcBorders>
            <w:noWrap w:val="0"/>
            <w:vAlign w:val="top"/>
          </w:tcPr>
          <w:p>
            <w:pPr>
              <w:pStyle w:val="136"/>
              <w:kinsoku w:val="0"/>
              <w:spacing w:before="159"/>
              <w:ind w:left="367"/>
              <w:rPr>
                <w:rFonts w:ascii="宋体" w:hAnsi="宋体"/>
                <w:color w:val="auto"/>
              </w:rPr>
            </w:pPr>
            <w:r>
              <w:rPr>
                <w:rFonts w:ascii="宋体" w:hAnsi="宋体"/>
                <w:color w:val="auto"/>
                <w:sz w:val="21"/>
                <w:szCs w:val="21"/>
              </w:rPr>
              <w:t>……</w:t>
            </w:r>
          </w:p>
        </w:tc>
        <w:tc>
          <w:tcPr>
            <w:tcW w:w="8555" w:type="dxa"/>
            <w:gridSpan w:val="2"/>
            <w:tcBorders>
              <w:top w:val="single" w:color="000000" w:sz="4" w:space="0"/>
              <w:left w:val="single" w:color="000000" w:sz="4" w:space="0"/>
              <w:bottom w:val="single" w:color="000000" w:sz="4" w:space="0"/>
              <w:right w:val="single" w:color="000000" w:sz="4" w:space="0"/>
            </w:tcBorders>
            <w:noWrap w:val="0"/>
            <w:vAlign w:val="top"/>
          </w:tcPr>
          <w:p>
            <w:pPr>
              <w:pStyle w:val="136"/>
              <w:kinsoku w:val="0"/>
              <w:spacing w:before="159"/>
              <w:ind w:left="2"/>
              <w:jc w:val="center"/>
              <w:rPr>
                <w:rFonts w:ascii="宋体" w:hAnsi="宋体"/>
                <w:color w:val="auto"/>
                <w:sz w:val="21"/>
                <w:szCs w:val="21"/>
              </w:rPr>
            </w:pPr>
            <w:r>
              <w:rPr>
                <w:rFonts w:ascii="宋体" w:hAnsi="宋体"/>
                <w:color w:val="auto"/>
                <w:sz w:val="21"/>
                <w:szCs w:val="21"/>
              </w:rPr>
              <w:t>……</w:t>
            </w:r>
          </w:p>
        </w:tc>
      </w:tr>
    </w:tbl>
    <w:p>
      <w:pPr>
        <w:rPr>
          <w:color w:val="auto"/>
        </w:rPr>
        <w:sectPr>
          <w:footerReference r:id="rId8" w:type="default"/>
          <w:pgSz w:w="12240" w:h="15840"/>
          <w:pgMar w:top="1360" w:right="1100" w:bottom="1100" w:left="1580" w:header="0" w:footer="901" w:gutter="0"/>
          <w:cols w:space="720" w:num="1"/>
        </w:sectPr>
      </w:pPr>
    </w:p>
    <w:p>
      <w:pPr>
        <w:spacing w:line="360" w:lineRule="auto"/>
        <w:jc w:val="center"/>
        <w:rPr>
          <w:rFonts w:ascii="黑体" w:hAnsi="黑体" w:eastAsia="黑体"/>
          <w:color w:val="auto"/>
          <w:sz w:val="44"/>
          <w:szCs w:val="44"/>
        </w:rPr>
      </w:pPr>
      <w:bookmarkStart w:id="106" w:name="bookmark22"/>
      <w:bookmarkEnd w:id="106"/>
      <w:bookmarkStart w:id="107" w:name="_Toc723"/>
      <w:bookmarkStart w:id="108" w:name="_Toc45697231"/>
      <w:bookmarkStart w:id="109" w:name="_Toc22828068"/>
      <w:r>
        <w:rPr>
          <w:rFonts w:hint="eastAsia" w:ascii="黑体" w:hAnsi="黑体" w:eastAsia="黑体"/>
          <w:color w:val="auto"/>
          <w:sz w:val="44"/>
          <w:szCs w:val="44"/>
        </w:rPr>
        <w:t>投标人须知</w:t>
      </w:r>
      <w:bookmarkEnd w:id="107"/>
      <w:bookmarkEnd w:id="108"/>
    </w:p>
    <w:p>
      <w:pPr>
        <w:spacing w:line="360" w:lineRule="auto"/>
        <w:rPr>
          <w:rFonts w:ascii="宋体" w:hAnsi="宋体" w:eastAsia="宋体"/>
          <w:b/>
          <w:color w:val="auto"/>
          <w:sz w:val="32"/>
          <w:szCs w:val="32"/>
        </w:rPr>
      </w:pPr>
      <w:bookmarkStart w:id="110" w:name="_Toc45697232"/>
      <w:bookmarkStart w:id="111" w:name="_Toc18780"/>
      <w:r>
        <w:rPr>
          <w:rFonts w:ascii="宋体" w:hAnsi="宋体" w:eastAsia="宋体"/>
          <w:b/>
          <w:color w:val="auto"/>
          <w:sz w:val="32"/>
          <w:szCs w:val="32"/>
        </w:rPr>
        <w:t>1.总则</w:t>
      </w:r>
      <w:bookmarkEnd w:id="109"/>
      <w:bookmarkEnd w:id="110"/>
      <w:bookmarkEnd w:id="111"/>
    </w:p>
    <w:p>
      <w:pPr>
        <w:spacing w:line="360" w:lineRule="auto"/>
        <w:ind w:firstLine="275" w:firstLineChars="98"/>
        <w:rPr>
          <w:rFonts w:ascii="宋体" w:hAnsi="宋体" w:eastAsia="宋体"/>
          <w:b/>
          <w:color w:val="auto"/>
          <w:sz w:val="28"/>
        </w:rPr>
      </w:pPr>
      <w:bookmarkStart w:id="112" w:name="bookmark23"/>
      <w:bookmarkEnd w:id="112"/>
      <w:r>
        <w:rPr>
          <w:rFonts w:ascii="宋体" w:hAnsi="宋体" w:eastAsia="宋体"/>
          <w:b/>
          <w:color w:val="auto"/>
          <w:sz w:val="28"/>
        </w:rPr>
        <w:t>1.1招标项目概况</w:t>
      </w:r>
    </w:p>
    <w:p>
      <w:pPr>
        <w:pStyle w:val="18"/>
        <w:numPr>
          <w:ilvl w:val="2"/>
          <w:numId w:val="12"/>
        </w:numPr>
        <w:kinsoku w:val="0"/>
        <w:snapToGrid w:val="0"/>
        <w:spacing w:line="360" w:lineRule="auto"/>
        <w:ind w:left="0" w:firstLine="448" w:firstLineChars="200"/>
        <w:rPr>
          <w:rFonts w:hAnsi="宋体"/>
          <w:color w:val="auto"/>
        </w:rPr>
      </w:pPr>
      <w:r>
        <w:rPr>
          <w:rFonts w:hint="eastAsia" w:hAnsi="宋体"/>
          <w:color w:val="auto"/>
          <w:spacing w:val="-8"/>
        </w:rPr>
        <w:t>根据《中华人民共和国招标投标法》《中华人民共和国招标投标法实施条例》等有关</w:t>
      </w:r>
      <w:r>
        <w:rPr>
          <w:rFonts w:hint="eastAsia" w:hAnsi="宋体"/>
          <w:color w:val="auto"/>
        </w:rPr>
        <w:t>法律、法规和规章的规定，本招标项目已具备招标条件，现对项目施工进行招标。</w:t>
      </w:r>
    </w:p>
    <w:p>
      <w:pPr>
        <w:pStyle w:val="18"/>
        <w:numPr>
          <w:ilvl w:val="2"/>
          <w:numId w:val="12"/>
        </w:numPr>
        <w:kinsoku w:val="0"/>
        <w:snapToGrid w:val="0"/>
        <w:spacing w:line="360" w:lineRule="auto"/>
        <w:ind w:left="0" w:firstLine="480" w:firstLineChars="200"/>
        <w:rPr>
          <w:rFonts w:hAnsi="宋体"/>
          <w:color w:val="auto"/>
        </w:rPr>
      </w:pPr>
      <w:r>
        <w:rPr>
          <w:rFonts w:hint="eastAsia" w:hAnsi="宋体"/>
          <w:color w:val="auto"/>
        </w:rPr>
        <w:t>招标人：见投标人须知前附表。</w:t>
      </w:r>
    </w:p>
    <w:p>
      <w:pPr>
        <w:pStyle w:val="18"/>
        <w:numPr>
          <w:ilvl w:val="2"/>
          <w:numId w:val="12"/>
        </w:numPr>
        <w:kinsoku w:val="0"/>
        <w:snapToGrid w:val="0"/>
        <w:spacing w:line="360" w:lineRule="auto"/>
        <w:ind w:left="0" w:firstLine="480" w:firstLineChars="200"/>
        <w:rPr>
          <w:rFonts w:hAnsi="宋体"/>
          <w:color w:val="auto"/>
        </w:rPr>
      </w:pPr>
      <w:r>
        <w:rPr>
          <w:rFonts w:hint="eastAsia" w:hAnsi="宋体"/>
          <w:color w:val="auto"/>
        </w:rPr>
        <w:t>招标代理机构：见投标人须知前附表。</w:t>
      </w:r>
    </w:p>
    <w:p>
      <w:pPr>
        <w:pStyle w:val="18"/>
        <w:numPr>
          <w:ilvl w:val="2"/>
          <w:numId w:val="12"/>
        </w:numPr>
        <w:kinsoku w:val="0"/>
        <w:snapToGrid w:val="0"/>
        <w:spacing w:line="360" w:lineRule="auto"/>
        <w:ind w:left="0" w:firstLine="480" w:firstLineChars="200"/>
        <w:rPr>
          <w:rFonts w:hAnsi="宋体"/>
          <w:color w:val="auto"/>
        </w:rPr>
      </w:pPr>
      <w:r>
        <w:rPr>
          <w:rFonts w:hint="eastAsia" w:hAnsi="宋体"/>
          <w:color w:val="auto"/>
        </w:rPr>
        <w:t>工程名称：见投标人须知前附表。</w:t>
      </w:r>
    </w:p>
    <w:p>
      <w:pPr>
        <w:pStyle w:val="18"/>
        <w:numPr>
          <w:ilvl w:val="2"/>
          <w:numId w:val="12"/>
        </w:numPr>
        <w:kinsoku w:val="0"/>
        <w:snapToGrid w:val="0"/>
        <w:spacing w:line="360" w:lineRule="auto"/>
        <w:ind w:left="0" w:firstLine="480" w:firstLineChars="200"/>
        <w:rPr>
          <w:rFonts w:hAnsi="宋体"/>
          <w:color w:val="auto"/>
        </w:rPr>
      </w:pPr>
      <w:r>
        <w:rPr>
          <w:rFonts w:hint="eastAsia" w:hAnsi="宋体"/>
          <w:color w:val="auto"/>
        </w:rPr>
        <w:t>工程建设地点：见投标人须知前附表。</w:t>
      </w:r>
    </w:p>
    <w:p>
      <w:pPr>
        <w:pStyle w:val="18"/>
        <w:numPr>
          <w:ilvl w:val="2"/>
          <w:numId w:val="12"/>
        </w:numPr>
        <w:kinsoku w:val="0"/>
        <w:snapToGrid w:val="0"/>
        <w:spacing w:line="360" w:lineRule="auto"/>
        <w:ind w:left="0" w:firstLine="480" w:firstLineChars="200"/>
        <w:rPr>
          <w:rFonts w:hAnsi="宋体"/>
          <w:color w:val="auto"/>
        </w:rPr>
      </w:pPr>
      <w:r>
        <w:rPr>
          <w:rFonts w:hint="eastAsia" w:hAnsi="宋体"/>
          <w:color w:val="auto"/>
        </w:rPr>
        <w:t>工程承包方式：见投标人须知前附表。</w:t>
      </w:r>
    </w:p>
    <w:p>
      <w:pPr>
        <w:spacing w:line="360" w:lineRule="auto"/>
        <w:ind w:firstLine="275" w:firstLineChars="98"/>
        <w:rPr>
          <w:rFonts w:ascii="宋体" w:hAnsi="宋体" w:eastAsia="宋体"/>
          <w:b/>
          <w:color w:val="auto"/>
          <w:sz w:val="28"/>
        </w:rPr>
      </w:pPr>
      <w:bookmarkStart w:id="113" w:name="bookmark24"/>
      <w:bookmarkEnd w:id="113"/>
      <w:r>
        <w:rPr>
          <w:rFonts w:ascii="宋体" w:hAnsi="宋体" w:eastAsia="宋体"/>
          <w:b/>
          <w:color w:val="auto"/>
          <w:sz w:val="28"/>
        </w:rPr>
        <w:t>1.2招标项目的资金来源和落实情况</w:t>
      </w:r>
    </w:p>
    <w:p>
      <w:pPr>
        <w:pStyle w:val="18"/>
        <w:numPr>
          <w:ilvl w:val="2"/>
          <w:numId w:val="13"/>
        </w:numPr>
        <w:kinsoku w:val="0"/>
        <w:spacing w:line="360" w:lineRule="auto"/>
        <w:ind w:left="0" w:firstLine="480" w:firstLineChars="200"/>
        <w:rPr>
          <w:rFonts w:hAnsi="宋体"/>
          <w:color w:val="auto"/>
        </w:rPr>
      </w:pPr>
      <w:r>
        <w:rPr>
          <w:rFonts w:hint="eastAsia" w:hAnsi="宋体"/>
          <w:color w:val="auto"/>
        </w:rPr>
        <w:t>资金来源及比例：见投标人须知前附表。</w:t>
      </w:r>
    </w:p>
    <w:p>
      <w:pPr>
        <w:pStyle w:val="18"/>
        <w:numPr>
          <w:ilvl w:val="2"/>
          <w:numId w:val="13"/>
        </w:numPr>
        <w:kinsoku w:val="0"/>
        <w:spacing w:line="360" w:lineRule="auto"/>
        <w:ind w:left="0" w:firstLine="480" w:firstLineChars="200"/>
        <w:rPr>
          <w:rFonts w:hAnsi="宋体"/>
          <w:color w:val="auto"/>
        </w:rPr>
      </w:pPr>
      <w:r>
        <w:rPr>
          <w:rFonts w:hint="eastAsia" w:hAnsi="宋体"/>
          <w:color w:val="auto"/>
        </w:rPr>
        <w:t>资金落实情况：见投标人须知前附表。</w:t>
      </w:r>
    </w:p>
    <w:p>
      <w:pPr>
        <w:spacing w:line="360" w:lineRule="auto"/>
        <w:ind w:firstLine="275" w:firstLineChars="98"/>
        <w:rPr>
          <w:rFonts w:ascii="宋体" w:hAnsi="宋体" w:eastAsia="宋体"/>
          <w:b/>
          <w:color w:val="auto"/>
          <w:sz w:val="28"/>
        </w:rPr>
      </w:pPr>
      <w:bookmarkStart w:id="114" w:name="bookmark25"/>
      <w:bookmarkEnd w:id="114"/>
      <w:r>
        <w:rPr>
          <w:rFonts w:ascii="宋体" w:hAnsi="宋体" w:eastAsia="宋体"/>
          <w:b/>
          <w:color w:val="auto"/>
          <w:sz w:val="28"/>
        </w:rPr>
        <w:t>1.3招标范围、计划工期和质量要求</w:t>
      </w:r>
    </w:p>
    <w:p>
      <w:pPr>
        <w:pStyle w:val="18"/>
        <w:numPr>
          <w:ilvl w:val="2"/>
          <w:numId w:val="14"/>
        </w:numPr>
        <w:kinsoku w:val="0"/>
        <w:snapToGrid w:val="0"/>
        <w:spacing w:line="360" w:lineRule="auto"/>
        <w:ind w:left="0" w:firstLine="480" w:firstLineChars="200"/>
        <w:rPr>
          <w:rFonts w:hAnsi="宋体"/>
          <w:color w:val="auto"/>
        </w:rPr>
      </w:pPr>
      <w:r>
        <w:rPr>
          <w:rFonts w:hint="eastAsia" w:hAnsi="宋体"/>
          <w:color w:val="auto"/>
        </w:rPr>
        <w:t>招标范围：见投标人须知前附表。</w:t>
      </w:r>
    </w:p>
    <w:p>
      <w:pPr>
        <w:pStyle w:val="18"/>
        <w:numPr>
          <w:ilvl w:val="2"/>
          <w:numId w:val="14"/>
        </w:numPr>
        <w:kinsoku w:val="0"/>
        <w:snapToGrid w:val="0"/>
        <w:spacing w:line="360" w:lineRule="auto"/>
        <w:ind w:left="0" w:firstLine="480" w:firstLineChars="200"/>
        <w:rPr>
          <w:rFonts w:hAnsi="宋体"/>
          <w:color w:val="auto"/>
        </w:rPr>
      </w:pPr>
      <w:r>
        <w:rPr>
          <w:rFonts w:hint="eastAsia" w:hAnsi="宋体"/>
          <w:color w:val="auto"/>
        </w:rPr>
        <w:t>计划工期：见投标人须知前附表。</w:t>
      </w:r>
    </w:p>
    <w:p>
      <w:pPr>
        <w:pStyle w:val="18"/>
        <w:numPr>
          <w:ilvl w:val="2"/>
          <w:numId w:val="14"/>
        </w:numPr>
        <w:kinsoku w:val="0"/>
        <w:snapToGrid w:val="0"/>
        <w:spacing w:line="360" w:lineRule="auto"/>
        <w:ind w:left="0" w:firstLine="480" w:firstLineChars="200"/>
        <w:rPr>
          <w:rFonts w:hAnsi="宋体"/>
          <w:color w:val="auto"/>
        </w:rPr>
      </w:pPr>
      <w:r>
        <w:rPr>
          <w:rFonts w:hint="eastAsia" w:hAnsi="宋体"/>
          <w:color w:val="auto"/>
        </w:rPr>
        <w:t>质量要求：见投标人须知前附表。</w:t>
      </w:r>
    </w:p>
    <w:p>
      <w:pPr>
        <w:spacing w:line="360" w:lineRule="auto"/>
        <w:ind w:firstLine="275" w:firstLineChars="98"/>
        <w:rPr>
          <w:rFonts w:ascii="宋体" w:hAnsi="宋体" w:eastAsia="宋体"/>
          <w:b/>
          <w:color w:val="auto"/>
          <w:sz w:val="28"/>
        </w:rPr>
      </w:pPr>
      <w:bookmarkStart w:id="115" w:name="bookmark26"/>
      <w:bookmarkEnd w:id="115"/>
      <w:r>
        <w:rPr>
          <w:rFonts w:ascii="宋体" w:hAnsi="宋体" w:eastAsia="宋体"/>
          <w:b/>
          <w:color w:val="auto"/>
          <w:sz w:val="28"/>
        </w:rPr>
        <w:t>1.4投标人资格要求</w:t>
      </w:r>
    </w:p>
    <w:p>
      <w:pPr>
        <w:pStyle w:val="18"/>
        <w:numPr>
          <w:ilvl w:val="2"/>
          <w:numId w:val="15"/>
        </w:numPr>
        <w:kinsoku w:val="0"/>
        <w:snapToGrid w:val="0"/>
        <w:spacing w:line="360" w:lineRule="auto"/>
        <w:ind w:left="0" w:firstLine="480" w:firstLineChars="200"/>
        <w:rPr>
          <w:rFonts w:hAnsi="宋体"/>
          <w:color w:val="auto"/>
        </w:rPr>
      </w:pPr>
      <w:r>
        <w:rPr>
          <w:rFonts w:hint="eastAsia" w:hAnsi="宋体"/>
          <w:color w:val="auto"/>
        </w:rPr>
        <w:t>投标人应具备承担本招标项目资质条件、能力和信誉：</w:t>
      </w:r>
    </w:p>
    <w:p>
      <w:pPr>
        <w:pStyle w:val="18"/>
        <w:numPr>
          <w:ilvl w:val="0"/>
          <w:numId w:val="16"/>
        </w:numPr>
        <w:kinsoku w:val="0"/>
        <w:snapToGrid w:val="0"/>
        <w:spacing w:line="360" w:lineRule="auto"/>
        <w:ind w:left="0" w:firstLine="480" w:firstLineChars="200"/>
        <w:rPr>
          <w:rFonts w:hAnsi="宋体"/>
          <w:color w:val="auto"/>
        </w:rPr>
      </w:pPr>
      <w:r>
        <w:rPr>
          <w:rFonts w:hint="eastAsia" w:hAnsi="宋体"/>
          <w:color w:val="auto"/>
        </w:rPr>
        <w:t>资质要求：见投标人须知前附表；</w:t>
      </w:r>
    </w:p>
    <w:p>
      <w:pPr>
        <w:pStyle w:val="18"/>
        <w:numPr>
          <w:ilvl w:val="0"/>
          <w:numId w:val="16"/>
        </w:numPr>
        <w:kinsoku w:val="0"/>
        <w:snapToGrid w:val="0"/>
        <w:spacing w:line="360" w:lineRule="auto"/>
        <w:ind w:left="0" w:firstLine="480" w:firstLineChars="200"/>
        <w:rPr>
          <w:rFonts w:hAnsi="宋体"/>
          <w:color w:val="auto"/>
        </w:rPr>
      </w:pPr>
      <w:r>
        <w:rPr>
          <w:rFonts w:hint="eastAsia" w:hAnsi="宋体"/>
          <w:color w:val="auto"/>
        </w:rPr>
        <w:t>业绩要求：见投标人须知前附表；</w:t>
      </w:r>
    </w:p>
    <w:p>
      <w:pPr>
        <w:pStyle w:val="18"/>
        <w:numPr>
          <w:ilvl w:val="0"/>
          <w:numId w:val="16"/>
        </w:numPr>
        <w:kinsoku w:val="0"/>
        <w:snapToGrid w:val="0"/>
        <w:spacing w:line="360" w:lineRule="auto"/>
        <w:ind w:left="0" w:firstLine="480" w:firstLineChars="200"/>
        <w:rPr>
          <w:rFonts w:hAnsi="宋体"/>
          <w:color w:val="auto"/>
        </w:rPr>
      </w:pPr>
      <w:r>
        <w:rPr>
          <w:rFonts w:hint="eastAsia" w:ascii="宋体" w:hAnsi="宋体"/>
          <w:color w:val="auto"/>
        </w:rPr>
        <w:t>项目负责人</w:t>
      </w:r>
      <w:r>
        <w:rPr>
          <w:rFonts w:hint="eastAsia" w:hAnsi="宋体"/>
          <w:color w:val="auto"/>
          <w:spacing w:val="-6"/>
        </w:rPr>
        <w:t>的资格要求：见投标</w:t>
      </w:r>
      <w:r>
        <w:rPr>
          <w:rFonts w:hint="eastAsia" w:hAnsi="宋体"/>
          <w:color w:val="auto"/>
        </w:rPr>
        <w:t>人须知前附表；</w:t>
      </w:r>
    </w:p>
    <w:p>
      <w:pPr>
        <w:pStyle w:val="18"/>
        <w:numPr>
          <w:ilvl w:val="0"/>
          <w:numId w:val="16"/>
        </w:numPr>
        <w:kinsoku w:val="0"/>
        <w:snapToGrid w:val="0"/>
        <w:spacing w:line="360" w:lineRule="auto"/>
        <w:ind w:left="0" w:firstLine="480" w:firstLineChars="200"/>
        <w:rPr>
          <w:rFonts w:hAnsi="宋体"/>
          <w:color w:val="auto"/>
        </w:rPr>
      </w:pPr>
      <w:r>
        <w:rPr>
          <w:rFonts w:hint="eastAsia" w:hAnsi="宋体"/>
          <w:color w:val="auto"/>
        </w:rPr>
        <w:t>其他要求：见投标人须知前附表。</w:t>
      </w:r>
    </w:p>
    <w:p>
      <w:pPr>
        <w:pStyle w:val="18"/>
        <w:numPr>
          <w:ilvl w:val="2"/>
          <w:numId w:val="15"/>
        </w:numPr>
        <w:kinsoku w:val="0"/>
        <w:snapToGrid w:val="0"/>
        <w:spacing w:line="360" w:lineRule="auto"/>
        <w:ind w:left="0" w:firstLine="480" w:firstLineChars="200"/>
        <w:rPr>
          <w:rFonts w:hAnsi="宋体"/>
          <w:color w:val="auto"/>
        </w:rPr>
      </w:pPr>
      <w:r>
        <w:rPr>
          <w:rFonts w:hint="eastAsia" w:hAnsi="宋体"/>
          <w:color w:val="auto"/>
        </w:rPr>
        <w:t>投标人须知前附表规定接受联合体投标的，联合体除应符合本章第</w:t>
      </w:r>
      <w:r>
        <w:rPr>
          <w:rFonts w:hAnsi="宋体"/>
          <w:color w:val="auto"/>
        </w:rPr>
        <w:t>1.4.1</w:t>
      </w:r>
      <w:r>
        <w:rPr>
          <w:rFonts w:hint="eastAsia" w:hAnsi="宋体"/>
          <w:color w:val="auto"/>
        </w:rPr>
        <w:t>项和投标人须知前附表的要求外，还应遵守以下规定：</w:t>
      </w:r>
    </w:p>
    <w:p>
      <w:pPr>
        <w:pStyle w:val="18"/>
        <w:numPr>
          <w:ilvl w:val="0"/>
          <w:numId w:val="17"/>
        </w:numPr>
        <w:kinsoku w:val="0"/>
        <w:spacing w:line="360" w:lineRule="auto"/>
        <w:ind w:left="0" w:firstLine="480" w:firstLineChars="200"/>
        <w:rPr>
          <w:rFonts w:hAnsi="宋体"/>
          <w:color w:val="auto"/>
        </w:rPr>
      </w:pPr>
      <w:r>
        <w:rPr>
          <w:rFonts w:hint="eastAsia" w:hAnsi="宋体"/>
          <w:color w:val="auto"/>
        </w:rPr>
        <w:t>联合体各方应按招标文件提供的格式签订联合体协议书，明确联合体牵头人和各方权利义务；</w:t>
      </w:r>
    </w:p>
    <w:p>
      <w:pPr>
        <w:pStyle w:val="18"/>
        <w:numPr>
          <w:ilvl w:val="0"/>
          <w:numId w:val="17"/>
        </w:numPr>
        <w:kinsoku w:val="0"/>
        <w:spacing w:line="360" w:lineRule="auto"/>
        <w:ind w:left="0" w:firstLine="480" w:firstLineChars="200"/>
        <w:rPr>
          <w:rFonts w:hAnsi="宋体"/>
          <w:color w:val="auto"/>
        </w:rPr>
      </w:pPr>
      <w:r>
        <w:rPr>
          <w:rFonts w:hint="eastAsia" w:hAnsi="宋体"/>
          <w:color w:val="auto"/>
        </w:rPr>
        <w:t>联合体的各专业资质等级，根据共同投标协议约定的专业分工，分别按照承担相应专业工作的资质等级较低的单位确定；</w:t>
      </w:r>
    </w:p>
    <w:p>
      <w:pPr>
        <w:pStyle w:val="18"/>
        <w:numPr>
          <w:ilvl w:val="0"/>
          <w:numId w:val="17"/>
        </w:numPr>
        <w:kinsoku w:val="0"/>
        <w:spacing w:line="360" w:lineRule="auto"/>
        <w:ind w:left="0" w:firstLine="480" w:firstLineChars="200"/>
        <w:rPr>
          <w:rFonts w:hAnsi="宋体"/>
          <w:color w:val="auto"/>
        </w:rPr>
      </w:pPr>
      <w:r>
        <w:rPr>
          <w:rFonts w:hint="eastAsia" w:hAnsi="宋体"/>
          <w:color w:val="auto"/>
        </w:rPr>
        <w:t>联合体各方不得再以自己名义单独或参加其他联合体在同一标段中投标。</w:t>
      </w:r>
    </w:p>
    <w:p>
      <w:pPr>
        <w:pStyle w:val="18"/>
        <w:numPr>
          <w:ilvl w:val="2"/>
          <w:numId w:val="15"/>
        </w:numPr>
        <w:kinsoku w:val="0"/>
        <w:snapToGrid w:val="0"/>
        <w:spacing w:line="360" w:lineRule="auto"/>
        <w:ind w:left="0" w:firstLine="480" w:firstLineChars="200"/>
        <w:rPr>
          <w:rFonts w:hAnsi="宋体"/>
          <w:color w:val="auto"/>
        </w:rPr>
      </w:pPr>
      <w:r>
        <w:rPr>
          <w:rFonts w:hint="eastAsia" w:hAnsi="宋体"/>
          <w:color w:val="auto"/>
        </w:rPr>
        <w:t>投标人的资格审查方式</w:t>
      </w:r>
      <w:r>
        <w:rPr>
          <w:rFonts w:hAnsi="宋体"/>
          <w:color w:val="auto"/>
        </w:rPr>
        <w:t>:</w:t>
      </w:r>
      <w:r>
        <w:rPr>
          <w:rFonts w:hint="eastAsia" w:hAnsi="宋体"/>
          <w:color w:val="auto"/>
        </w:rPr>
        <w:t>见投标人须知前附表。</w:t>
      </w:r>
    </w:p>
    <w:p>
      <w:pPr>
        <w:pStyle w:val="18"/>
        <w:numPr>
          <w:ilvl w:val="2"/>
          <w:numId w:val="15"/>
        </w:numPr>
        <w:kinsoku w:val="0"/>
        <w:snapToGrid w:val="0"/>
        <w:spacing w:line="360" w:lineRule="auto"/>
        <w:ind w:left="0" w:firstLine="480" w:firstLineChars="200"/>
        <w:rPr>
          <w:rFonts w:hAnsi="宋体"/>
          <w:color w:val="auto"/>
        </w:rPr>
      </w:pPr>
      <w:r>
        <w:rPr>
          <w:rFonts w:hint="eastAsia" w:hAnsi="宋体"/>
          <w:color w:val="auto"/>
        </w:rPr>
        <w:t>投标人不得存在下列情形之一：</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为招标人不具有独立法人资格的附属机构（单位）；</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为与招标人存在利害关系可能影响招标公正性的法人、其他组织或者个人；</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不同投标人的单位负责人为同一人或者互相存在控股、管理关系的；</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为本标段前期准备提供设计或咨询服务的；</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为本标段的监理人；</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为本标段的代建人；</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为本标段提供招标代理服务的；</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与本标段的监理人或代建人或招标代理机构同为一个法定代表人的；</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与本标段的监理人或代建人或招标代理机构相互控股或参股的；</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与本标段的监理人或代建人或招标代理机构相互任职或工作的；</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被责令停产停业、暂扣或者吊销许可证、暂扣或者吊销执照；</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进入清算程序，或被宣告破产；</w:t>
      </w:r>
    </w:p>
    <w:p>
      <w:pPr>
        <w:pStyle w:val="18"/>
        <w:numPr>
          <w:ilvl w:val="0"/>
          <w:numId w:val="18"/>
        </w:numPr>
        <w:kinsoku w:val="0"/>
        <w:spacing w:line="360" w:lineRule="auto"/>
        <w:ind w:left="0" w:firstLine="480" w:firstLineChars="200"/>
        <w:rPr>
          <w:rFonts w:hAnsi="宋体"/>
          <w:color w:val="auto"/>
        </w:rPr>
      </w:pPr>
      <w:r>
        <w:rPr>
          <w:rFonts w:hint="eastAsia" w:hAnsi="宋体"/>
          <w:color w:val="auto"/>
        </w:rPr>
        <w:t>被依法暂停或取消投标资格的；</w:t>
      </w:r>
    </w:p>
    <w:p>
      <w:pPr>
        <w:pStyle w:val="18"/>
        <w:numPr>
          <w:ilvl w:val="0"/>
          <w:numId w:val="18"/>
        </w:numPr>
        <w:kinsoku w:val="0"/>
        <w:spacing w:line="360" w:lineRule="auto"/>
        <w:ind w:left="0" w:firstLine="480" w:firstLineChars="200"/>
        <w:rPr>
          <w:rFonts w:hAnsi="宋体"/>
          <w:color w:val="auto"/>
        </w:rPr>
      </w:pPr>
      <w:r>
        <w:rPr>
          <w:rFonts w:hint="eastAsia"/>
          <w:color w:val="auto"/>
        </w:rPr>
        <w:t>法律法规或投标人须知前附表规定的其他情形。</w:t>
      </w:r>
    </w:p>
    <w:p>
      <w:pPr>
        <w:spacing w:line="360" w:lineRule="auto"/>
        <w:ind w:firstLine="275" w:firstLineChars="98"/>
        <w:rPr>
          <w:rFonts w:ascii="宋体" w:hAnsi="宋体" w:eastAsia="宋体"/>
          <w:b/>
          <w:color w:val="auto"/>
          <w:sz w:val="28"/>
        </w:rPr>
      </w:pPr>
      <w:bookmarkStart w:id="116" w:name="bookmark27"/>
      <w:bookmarkEnd w:id="116"/>
      <w:r>
        <w:rPr>
          <w:rFonts w:ascii="宋体" w:hAnsi="宋体" w:eastAsia="宋体"/>
          <w:b/>
          <w:color w:val="auto"/>
          <w:sz w:val="28"/>
        </w:rPr>
        <w:t>1.5费用承担</w:t>
      </w:r>
    </w:p>
    <w:p>
      <w:pPr>
        <w:pStyle w:val="18"/>
        <w:kinsoku w:val="0"/>
        <w:spacing w:line="360" w:lineRule="auto"/>
        <w:ind w:right="44"/>
        <w:rPr>
          <w:rFonts w:hAnsi="宋体"/>
          <w:color w:val="auto"/>
        </w:rPr>
      </w:pPr>
      <w:r>
        <w:rPr>
          <w:rFonts w:hint="eastAsia" w:hAnsi="宋体"/>
          <w:color w:val="auto"/>
        </w:rPr>
        <w:t>投标人准备和参加投标活动发生的费用自理。</w:t>
      </w:r>
    </w:p>
    <w:p>
      <w:pPr>
        <w:spacing w:line="360" w:lineRule="auto"/>
        <w:ind w:firstLine="275" w:firstLineChars="98"/>
        <w:rPr>
          <w:rFonts w:ascii="宋体" w:hAnsi="宋体" w:eastAsia="宋体"/>
          <w:b/>
          <w:color w:val="auto"/>
          <w:sz w:val="28"/>
        </w:rPr>
      </w:pPr>
      <w:bookmarkStart w:id="117" w:name="bookmark28"/>
      <w:bookmarkEnd w:id="117"/>
      <w:r>
        <w:rPr>
          <w:rFonts w:ascii="宋体" w:hAnsi="宋体" w:eastAsia="宋体"/>
          <w:b/>
          <w:color w:val="auto"/>
          <w:sz w:val="28"/>
        </w:rPr>
        <w:t>1.6保密</w:t>
      </w:r>
    </w:p>
    <w:p>
      <w:pPr>
        <w:pStyle w:val="18"/>
        <w:kinsoku w:val="0"/>
        <w:snapToGrid w:val="0"/>
        <w:spacing w:line="360" w:lineRule="auto"/>
        <w:ind w:left="0" w:firstLine="476" w:firstLineChars="200"/>
        <w:rPr>
          <w:rFonts w:hAnsi="宋体"/>
          <w:color w:val="auto"/>
        </w:rPr>
      </w:pPr>
      <w:r>
        <w:rPr>
          <w:rFonts w:hint="eastAsia" w:hAnsi="宋体"/>
          <w:color w:val="auto"/>
          <w:spacing w:val="-1"/>
        </w:rPr>
        <w:t>参与招标投标活动的各方应对招标文件和投标文件中的商业和技术等秘密保密，否则应承</w:t>
      </w:r>
      <w:r>
        <w:rPr>
          <w:rFonts w:hint="eastAsia" w:hAnsi="宋体"/>
          <w:color w:val="auto"/>
        </w:rPr>
        <w:t>担相应的法律责任。</w:t>
      </w:r>
    </w:p>
    <w:p>
      <w:pPr>
        <w:spacing w:line="360" w:lineRule="auto"/>
        <w:ind w:firstLine="275" w:firstLineChars="98"/>
        <w:rPr>
          <w:rFonts w:ascii="宋体" w:hAnsi="宋体" w:eastAsia="宋体"/>
          <w:b/>
          <w:color w:val="auto"/>
          <w:sz w:val="28"/>
        </w:rPr>
      </w:pPr>
      <w:bookmarkStart w:id="118" w:name="bookmark29"/>
      <w:bookmarkEnd w:id="118"/>
      <w:r>
        <w:rPr>
          <w:rFonts w:ascii="宋体" w:hAnsi="宋体" w:eastAsia="宋体"/>
          <w:b/>
          <w:color w:val="auto"/>
          <w:sz w:val="28"/>
        </w:rPr>
        <w:t>1.7语言文字</w:t>
      </w:r>
    </w:p>
    <w:p>
      <w:pPr>
        <w:pStyle w:val="18"/>
        <w:kinsoku w:val="0"/>
        <w:snapToGrid w:val="0"/>
        <w:spacing w:line="360" w:lineRule="auto"/>
        <w:ind w:left="0" w:firstLine="480" w:firstLineChars="200"/>
        <w:rPr>
          <w:rFonts w:hAnsi="宋体"/>
          <w:color w:val="auto"/>
        </w:rPr>
      </w:pPr>
      <w:r>
        <w:rPr>
          <w:rFonts w:hint="eastAsia" w:hAnsi="宋体"/>
          <w:color w:val="auto"/>
        </w:rPr>
        <w:t>招标投标文件使用的语言文字为中文。专用术语使用外文的，应附有中文注释。</w:t>
      </w:r>
    </w:p>
    <w:p>
      <w:pPr>
        <w:spacing w:line="360" w:lineRule="auto"/>
        <w:ind w:firstLine="275" w:firstLineChars="98"/>
        <w:rPr>
          <w:rFonts w:ascii="宋体" w:hAnsi="宋体" w:eastAsia="宋体"/>
          <w:b/>
          <w:color w:val="auto"/>
          <w:sz w:val="28"/>
        </w:rPr>
      </w:pPr>
      <w:bookmarkStart w:id="119" w:name="bookmark30"/>
      <w:bookmarkEnd w:id="119"/>
      <w:r>
        <w:rPr>
          <w:rFonts w:ascii="宋体" w:hAnsi="宋体" w:eastAsia="宋体"/>
          <w:b/>
          <w:color w:val="auto"/>
          <w:sz w:val="28"/>
        </w:rPr>
        <w:t>1.8计量单位</w:t>
      </w:r>
    </w:p>
    <w:p>
      <w:pPr>
        <w:pStyle w:val="18"/>
        <w:kinsoku w:val="0"/>
        <w:spacing w:line="360" w:lineRule="auto"/>
        <w:ind w:right="44"/>
        <w:rPr>
          <w:rFonts w:hAnsi="宋体"/>
          <w:color w:val="auto"/>
        </w:rPr>
      </w:pPr>
      <w:r>
        <w:rPr>
          <w:rFonts w:hint="eastAsia" w:hAnsi="宋体"/>
          <w:color w:val="auto"/>
        </w:rPr>
        <w:t>所有计量均采用中华人民共和国法定计量单位。</w:t>
      </w:r>
    </w:p>
    <w:p>
      <w:pPr>
        <w:spacing w:line="360" w:lineRule="auto"/>
        <w:ind w:firstLine="275" w:firstLineChars="98"/>
        <w:rPr>
          <w:rFonts w:ascii="宋体" w:hAnsi="宋体" w:eastAsia="宋体"/>
          <w:b/>
          <w:color w:val="auto"/>
          <w:sz w:val="28"/>
        </w:rPr>
      </w:pPr>
      <w:bookmarkStart w:id="120" w:name="bookmark31"/>
      <w:bookmarkEnd w:id="120"/>
      <w:r>
        <w:rPr>
          <w:rFonts w:ascii="宋体" w:hAnsi="宋体" w:eastAsia="宋体"/>
          <w:b/>
          <w:color w:val="auto"/>
          <w:sz w:val="28"/>
        </w:rPr>
        <w:t>1.9踏勘现场</w:t>
      </w:r>
    </w:p>
    <w:p>
      <w:pPr>
        <w:pStyle w:val="18"/>
        <w:numPr>
          <w:ilvl w:val="2"/>
          <w:numId w:val="19"/>
        </w:numPr>
        <w:kinsoku w:val="0"/>
        <w:snapToGrid w:val="0"/>
        <w:spacing w:line="360" w:lineRule="auto"/>
        <w:ind w:left="0" w:firstLine="464" w:firstLineChars="200"/>
        <w:rPr>
          <w:rFonts w:hAnsi="宋体"/>
          <w:color w:val="auto"/>
          <w:spacing w:val="-6"/>
        </w:rPr>
      </w:pPr>
      <w:r>
        <w:rPr>
          <w:rFonts w:hint="eastAsia" w:hAnsi="宋体"/>
          <w:color w:val="auto"/>
          <w:spacing w:val="-4"/>
        </w:rPr>
        <w:t>投标人须知前附表规定组织踏勘现场的，招标人按投标人须知前附表规定的时间、地</w:t>
      </w:r>
      <w:r>
        <w:rPr>
          <w:rFonts w:hint="eastAsia" w:hAnsi="宋体"/>
          <w:color w:val="auto"/>
          <w:spacing w:val="-6"/>
        </w:rPr>
        <w:t>点组织投标人踏勘项目现场。部分投标人未按时参加踏勘现场的，不影响踏勘现场的正常进行。</w:t>
      </w:r>
    </w:p>
    <w:p>
      <w:pPr>
        <w:pStyle w:val="18"/>
        <w:numPr>
          <w:ilvl w:val="2"/>
          <w:numId w:val="19"/>
        </w:numPr>
        <w:kinsoku w:val="0"/>
        <w:snapToGrid w:val="0"/>
        <w:spacing w:line="360" w:lineRule="auto"/>
        <w:ind w:left="0" w:firstLine="480" w:firstLineChars="200"/>
        <w:rPr>
          <w:rFonts w:hAnsi="宋体"/>
          <w:color w:val="auto"/>
        </w:rPr>
      </w:pPr>
      <w:r>
        <w:rPr>
          <w:rFonts w:hint="eastAsia" w:hAnsi="宋体"/>
          <w:color w:val="auto"/>
        </w:rPr>
        <w:t>投标人踏勘现场发生的费用自理。</w:t>
      </w:r>
    </w:p>
    <w:p>
      <w:pPr>
        <w:pStyle w:val="18"/>
        <w:numPr>
          <w:ilvl w:val="2"/>
          <w:numId w:val="19"/>
        </w:numPr>
        <w:kinsoku w:val="0"/>
        <w:snapToGrid w:val="0"/>
        <w:spacing w:line="360" w:lineRule="auto"/>
        <w:ind w:left="0" w:firstLine="480" w:firstLineChars="200"/>
        <w:rPr>
          <w:rFonts w:hAnsi="宋体"/>
          <w:color w:val="auto"/>
        </w:rPr>
      </w:pPr>
      <w:r>
        <w:rPr>
          <w:rFonts w:hint="eastAsia" w:hAnsi="宋体"/>
          <w:color w:val="auto"/>
        </w:rPr>
        <w:t>除招标人的原因外，投标人自行负责在踏勘现场中所发生的人员伤亡和财产损失。</w:t>
      </w:r>
    </w:p>
    <w:p>
      <w:pPr>
        <w:pStyle w:val="18"/>
        <w:numPr>
          <w:ilvl w:val="2"/>
          <w:numId w:val="19"/>
        </w:numPr>
        <w:kinsoku w:val="0"/>
        <w:snapToGrid w:val="0"/>
        <w:spacing w:line="360" w:lineRule="auto"/>
        <w:ind w:left="0" w:firstLine="464" w:firstLineChars="200"/>
        <w:rPr>
          <w:rFonts w:hAnsi="宋体"/>
          <w:color w:val="auto"/>
        </w:rPr>
      </w:pPr>
      <w:r>
        <w:rPr>
          <w:rFonts w:hint="eastAsia" w:hAnsi="宋体"/>
          <w:color w:val="auto"/>
          <w:spacing w:val="-4"/>
        </w:rPr>
        <w:t>招标人在踏勘现场中介绍的工程场地和相关的周边环境情况，供投标人在编制投标文</w:t>
      </w:r>
      <w:r>
        <w:rPr>
          <w:rFonts w:hint="eastAsia" w:hAnsi="宋体"/>
          <w:color w:val="auto"/>
        </w:rPr>
        <w:t>件时参考，招标人不对投标人据此作出的判断和决策负责。</w:t>
      </w:r>
    </w:p>
    <w:p>
      <w:pPr>
        <w:spacing w:line="360" w:lineRule="auto"/>
        <w:ind w:firstLine="275" w:firstLineChars="98"/>
        <w:rPr>
          <w:rFonts w:ascii="宋体" w:hAnsi="宋体" w:eastAsia="宋体"/>
          <w:b/>
          <w:color w:val="auto"/>
          <w:sz w:val="28"/>
        </w:rPr>
      </w:pPr>
      <w:bookmarkStart w:id="121" w:name="bookmark32"/>
      <w:bookmarkEnd w:id="121"/>
      <w:r>
        <w:rPr>
          <w:rFonts w:ascii="宋体" w:hAnsi="宋体" w:eastAsia="宋体"/>
          <w:b/>
          <w:color w:val="auto"/>
          <w:sz w:val="28"/>
        </w:rPr>
        <w:t>1.10投标预备会</w:t>
      </w:r>
    </w:p>
    <w:p>
      <w:pPr>
        <w:pStyle w:val="18"/>
        <w:numPr>
          <w:ilvl w:val="2"/>
          <w:numId w:val="20"/>
        </w:numPr>
        <w:kinsoku w:val="0"/>
        <w:spacing w:line="360" w:lineRule="auto"/>
        <w:ind w:left="0" w:right="45" w:firstLine="480" w:firstLineChars="200"/>
        <w:rPr>
          <w:rFonts w:hAnsi="宋体"/>
          <w:color w:val="auto"/>
        </w:rPr>
      </w:pPr>
      <w:r>
        <w:rPr>
          <w:rFonts w:hint="eastAsia" w:hAnsi="宋体"/>
          <w:color w:val="auto"/>
        </w:rPr>
        <w:t>投标人须知前附表规定召开投标预备会的，招标人按投标人须知前附表规定的时间和地点召开投标预备会，澄清投标人提出的问题。</w:t>
      </w:r>
    </w:p>
    <w:p>
      <w:pPr>
        <w:spacing w:line="360" w:lineRule="auto"/>
        <w:ind w:firstLine="275" w:firstLineChars="98"/>
        <w:rPr>
          <w:rFonts w:ascii="宋体" w:hAnsi="宋体" w:eastAsia="宋体"/>
          <w:b/>
          <w:color w:val="auto"/>
          <w:sz w:val="28"/>
        </w:rPr>
      </w:pPr>
      <w:bookmarkStart w:id="122" w:name="bookmark33"/>
      <w:bookmarkEnd w:id="122"/>
      <w:r>
        <w:rPr>
          <w:rFonts w:ascii="宋体" w:hAnsi="宋体" w:eastAsia="宋体"/>
          <w:b/>
          <w:color w:val="auto"/>
          <w:sz w:val="28"/>
        </w:rPr>
        <w:t>1.11分包</w:t>
      </w:r>
    </w:p>
    <w:p>
      <w:pPr>
        <w:pStyle w:val="18"/>
        <w:kinsoku w:val="0"/>
        <w:snapToGrid w:val="0"/>
        <w:spacing w:line="360" w:lineRule="auto"/>
        <w:ind w:left="0" w:firstLine="480" w:firstLineChars="200"/>
        <w:jc w:val="both"/>
        <w:rPr>
          <w:rFonts w:hAnsi="宋体"/>
          <w:color w:val="auto"/>
        </w:rPr>
      </w:pPr>
      <w:r>
        <w:rPr>
          <w:rFonts w:hint="eastAsia" w:hAnsi="宋体"/>
          <w:color w:val="auto"/>
        </w:rPr>
        <w:t>投标人拟在中标后将中标项目的非主体、非关键性工作进行分包的，</w:t>
      </w:r>
      <w:bookmarkStart w:id="123" w:name="_Hlk27203995"/>
      <w:r>
        <w:rPr>
          <w:rFonts w:hint="eastAsia" w:hAnsi="宋体"/>
          <w:color w:val="auto"/>
        </w:rPr>
        <w:t>应符合相关法律法规规定。</w:t>
      </w:r>
      <w:bookmarkEnd w:id="123"/>
    </w:p>
    <w:p>
      <w:pPr>
        <w:spacing w:line="360" w:lineRule="auto"/>
        <w:ind w:firstLine="275" w:firstLineChars="98"/>
        <w:rPr>
          <w:rFonts w:ascii="宋体" w:hAnsi="宋体" w:eastAsia="宋体"/>
          <w:b/>
          <w:color w:val="auto"/>
          <w:sz w:val="28"/>
        </w:rPr>
      </w:pPr>
      <w:bookmarkStart w:id="124" w:name="bookmark34"/>
      <w:bookmarkEnd w:id="124"/>
      <w:r>
        <w:rPr>
          <w:rFonts w:ascii="宋体" w:hAnsi="宋体" w:eastAsia="宋体"/>
          <w:b/>
          <w:color w:val="auto"/>
          <w:sz w:val="28"/>
        </w:rPr>
        <w:t>1.12偏差</w:t>
      </w:r>
    </w:p>
    <w:p>
      <w:pPr>
        <w:pStyle w:val="18"/>
        <w:numPr>
          <w:ilvl w:val="2"/>
          <w:numId w:val="21"/>
        </w:numPr>
        <w:kinsoku w:val="0"/>
        <w:spacing w:line="360" w:lineRule="auto"/>
        <w:ind w:left="0" w:firstLine="480" w:firstLineChars="200"/>
        <w:rPr>
          <w:rFonts w:hAnsi="宋体"/>
          <w:color w:val="auto"/>
          <w:spacing w:val="-1"/>
        </w:rPr>
      </w:pPr>
      <w:r>
        <w:rPr>
          <w:rFonts w:hint="eastAsia" w:hAnsi="宋体"/>
          <w:color w:val="auto"/>
        </w:rPr>
        <w:t>投标文件应当对招标文件的实质性要求和条件作出满足性或更有利于招标人的响应，否则，投标人的投标将被否决。实质性要求和条件见投标人须知前附表。</w:t>
      </w:r>
    </w:p>
    <w:p>
      <w:pPr>
        <w:pStyle w:val="18"/>
        <w:numPr>
          <w:ilvl w:val="2"/>
          <w:numId w:val="21"/>
        </w:numPr>
        <w:kinsoku w:val="0"/>
        <w:spacing w:line="360" w:lineRule="auto"/>
        <w:ind w:left="0" w:firstLine="480" w:firstLineChars="200"/>
        <w:rPr>
          <w:rFonts w:hAnsi="宋体"/>
          <w:color w:val="auto"/>
        </w:rPr>
      </w:pPr>
      <w:r>
        <w:rPr>
          <w:rFonts w:hint="eastAsia" w:hAnsi="宋体"/>
          <w:color w:val="auto"/>
        </w:rPr>
        <w:t>投标人须知前附表允许投标文件偏差招标文件某些要求的，偏离应当符合招标文件规定的偏差范围和幅度。投标人应响应评标委员会要求，对存在的细微偏差在评标结束前予以补正。拒不补正的，在详细评审时可以细微偏差作不利于该投标人的量化。</w:t>
      </w:r>
    </w:p>
    <w:p>
      <w:pPr>
        <w:spacing w:line="360" w:lineRule="auto"/>
        <w:rPr>
          <w:rFonts w:ascii="宋体" w:hAnsi="宋体" w:eastAsia="宋体"/>
          <w:b/>
          <w:color w:val="auto"/>
          <w:sz w:val="32"/>
          <w:szCs w:val="32"/>
        </w:rPr>
      </w:pPr>
      <w:bookmarkStart w:id="125" w:name="_Toc45697233"/>
      <w:bookmarkStart w:id="126" w:name="_Toc22828069"/>
      <w:bookmarkStart w:id="127" w:name="_Toc12149"/>
      <w:r>
        <w:rPr>
          <w:rFonts w:ascii="宋体" w:hAnsi="宋体" w:eastAsia="宋体"/>
          <w:b/>
          <w:color w:val="auto"/>
          <w:sz w:val="32"/>
          <w:szCs w:val="32"/>
        </w:rPr>
        <w:t>2.招标文件</w:t>
      </w:r>
      <w:bookmarkEnd w:id="125"/>
      <w:bookmarkEnd w:id="126"/>
      <w:bookmarkEnd w:id="127"/>
    </w:p>
    <w:p>
      <w:pPr>
        <w:spacing w:line="360" w:lineRule="auto"/>
        <w:ind w:firstLine="275" w:firstLineChars="98"/>
        <w:rPr>
          <w:rFonts w:ascii="宋体" w:hAnsi="宋体" w:eastAsia="宋体"/>
          <w:b/>
          <w:color w:val="auto"/>
          <w:sz w:val="28"/>
        </w:rPr>
      </w:pPr>
      <w:bookmarkStart w:id="128" w:name="bookmark36"/>
      <w:bookmarkEnd w:id="128"/>
      <w:r>
        <w:rPr>
          <w:rFonts w:ascii="宋体" w:hAnsi="宋体" w:eastAsia="宋体"/>
          <w:b/>
          <w:color w:val="auto"/>
          <w:sz w:val="28"/>
        </w:rPr>
        <w:t>2.1</w:t>
      </w:r>
      <w:r>
        <w:rPr>
          <w:rFonts w:hint="eastAsia" w:ascii="宋体" w:hAnsi="宋体" w:eastAsia="宋体"/>
          <w:b/>
          <w:color w:val="auto"/>
          <w:sz w:val="28"/>
        </w:rPr>
        <w:t>招标文件的组成</w:t>
      </w:r>
    </w:p>
    <w:p>
      <w:pPr>
        <w:pStyle w:val="18"/>
        <w:kinsoku w:val="0"/>
        <w:snapToGrid w:val="0"/>
        <w:spacing w:line="360" w:lineRule="auto"/>
        <w:ind w:left="0" w:firstLine="240" w:firstLineChars="100"/>
        <w:rPr>
          <w:rFonts w:hAnsi="宋体"/>
          <w:color w:val="auto"/>
        </w:rPr>
      </w:pPr>
      <w:r>
        <w:rPr>
          <w:rFonts w:hint="eastAsia" w:hAnsi="宋体"/>
          <w:color w:val="auto"/>
        </w:rPr>
        <w:t>本招标文件包括：</w:t>
      </w:r>
    </w:p>
    <w:p>
      <w:pPr>
        <w:pStyle w:val="18"/>
        <w:numPr>
          <w:ilvl w:val="0"/>
          <w:numId w:val="22"/>
        </w:numPr>
        <w:kinsoku w:val="0"/>
        <w:spacing w:line="360" w:lineRule="auto"/>
        <w:ind w:left="272" w:firstLine="448" w:firstLineChars="0"/>
        <w:rPr>
          <w:rFonts w:hAnsi="宋体"/>
          <w:color w:val="auto"/>
          <w:spacing w:val="-8"/>
        </w:rPr>
      </w:pPr>
      <w:r>
        <w:rPr>
          <w:rFonts w:hint="eastAsia" w:hAnsi="宋体"/>
          <w:color w:val="auto"/>
          <w:spacing w:val="-8"/>
        </w:rPr>
        <w:t>招标公告（或投标邀请书）；</w:t>
      </w:r>
    </w:p>
    <w:p>
      <w:pPr>
        <w:pStyle w:val="18"/>
        <w:numPr>
          <w:ilvl w:val="0"/>
          <w:numId w:val="22"/>
        </w:numPr>
        <w:kinsoku w:val="0"/>
        <w:spacing w:line="360" w:lineRule="auto"/>
        <w:ind w:left="272" w:firstLine="448" w:firstLineChars="0"/>
        <w:rPr>
          <w:rFonts w:hAnsi="宋体"/>
          <w:color w:val="auto"/>
          <w:spacing w:val="-8"/>
        </w:rPr>
      </w:pPr>
      <w:r>
        <w:rPr>
          <w:rFonts w:hint="eastAsia" w:hAnsi="宋体"/>
          <w:color w:val="auto"/>
          <w:spacing w:val="-8"/>
        </w:rPr>
        <w:t>投标人须知；</w:t>
      </w:r>
    </w:p>
    <w:p>
      <w:pPr>
        <w:pStyle w:val="18"/>
        <w:numPr>
          <w:ilvl w:val="0"/>
          <w:numId w:val="22"/>
        </w:numPr>
        <w:kinsoku w:val="0"/>
        <w:spacing w:line="360" w:lineRule="auto"/>
        <w:ind w:left="272" w:firstLine="448" w:firstLineChars="0"/>
        <w:rPr>
          <w:rFonts w:hAnsi="宋体"/>
          <w:color w:val="auto"/>
          <w:spacing w:val="-8"/>
        </w:rPr>
      </w:pPr>
      <w:r>
        <w:rPr>
          <w:rFonts w:hint="eastAsia" w:hAnsi="宋体"/>
          <w:color w:val="auto"/>
          <w:spacing w:val="-8"/>
        </w:rPr>
        <w:t>评标办法；</w:t>
      </w:r>
    </w:p>
    <w:p>
      <w:pPr>
        <w:pStyle w:val="18"/>
        <w:numPr>
          <w:ilvl w:val="0"/>
          <w:numId w:val="22"/>
        </w:numPr>
        <w:kinsoku w:val="0"/>
        <w:spacing w:line="360" w:lineRule="auto"/>
        <w:ind w:left="272" w:firstLine="448" w:firstLineChars="0"/>
        <w:rPr>
          <w:rFonts w:hAnsi="宋体"/>
          <w:color w:val="auto"/>
          <w:spacing w:val="-8"/>
        </w:rPr>
      </w:pPr>
      <w:r>
        <w:rPr>
          <w:rFonts w:hint="eastAsia" w:hAnsi="宋体"/>
          <w:color w:val="auto"/>
          <w:spacing w:val="-8"/>
        </w:rPr>
        <w:t>合同条款及格式；</w:t>
      </w:r>
    </w:p>
    <w:p>
      <w:pPr>
        <w:pStyle w:val="18"/>
        <w:numPr>
          <w:ilvl w:val="0"/>
          <w:numId w:val="22"/>
        </w:numPr>
        <w:kinsoku w:val="0"/>
        <w:spacing w:line="360" w:lineRule="auto"/>
        <w:ind w:left="272" w:firstLine="448" w:firstLineChars="0"/>
        <w:rPr>
          <w:rFonts w:hAnsi="宋体"/>
          <w:color w:val="auto"/>
          <w:spacing w:val="-8"/>
        </w:rPr>
      </w:pPr>
      <w:r>
        <w:rPr>
          <w:rFonts w:hint="eastAsia" w:hAnsi="宋体"/>
          <w:color w:val="auto"/>
          <w:spacing w:val="-8"/>
        </w:rPr>
        <w:t>工程规范；</w:t>
      </w:r>
    </w:p>
    <w:p>
      <w:pPr>
        <w:pStyle w:val="18"/>
        <w:numPr>
          <w:ilvl w:val="0"/>
          <w:numId w:val="22"/>
        </w:numPr>
        <w:kinsoku w:val="0"/>
        <w:spacing w:line="360" w:lineRule="auto"/>
        <w:ind w:left="272" w:firstLine="448" w:firstLineChars="0"/>
        <w:rPr>
          <w:rFonts w:hAnsi="宋体"/>
          <w:color w:val="auto"/>
          <w:spacing w:val="-8"/>
        </w:rPr>
      </w:pPr>
      <w:r>
        <w:rPr>
          <w:rFonts w:hint="eastAsia" w:hAnsi="宋体"/>
          <w:color w:val="auto"/>
          <w:spacing w:val="-8"/>
        </w:rPr>
        <w:t>工程量清单</w:t>
      </w:r>
      <w:r>
        <w:rPr>
          <w:rFonts w:hint="eastAsia" w:hAnsi="宋体"/>
          <w:color w:val="auto"/>
          <w:spacing w:val="-8"/>
          <w:lang w:eastAsia="zh-CN"/>
        </w:rPr>
        <w:t>（应同时编制招标控制价及明细）</w:t>
      </w:r>
      <w:r>
        <w:rPr>
          <w:rFonts w:hint="eastAsia" w:hAnsi="宋体"/>
          <w:color w:val="auto"/>
          <w:spacing w:val="-8"/>
        </w:rPr>
        <w:t>；</w:t>
      </w:r>
    </w:p>
    <w:p>
      <w:pPr>
        <w:pStyle w:val="18"/>
        <w:numPr>
          <w:ilvl w:val="0"/>
          <w:numId w:val="22"/>
        </w:numPr>
        <w:kinsoku w:val="0"/>
        <w:spacing w:line="360" w:lineRule="auto"/>
        <w:ind w:left="272" w:firstLine="448" w:firstLineChars="0"/>
        <w:rPr>
          <w:rFonts w:hAnsi="宋体"/>
          <w:color w:val="auto"/>
          <w:spacing w:val="-8"/>
        </w:rPr>
      </w:pPr>
      <w:r>
        <w:rPr>
          <w:rFonts w:hint="eastAsia" w:hAnsi="宋体"/>
          <w:color w:val="auto"/>
          <w:spacing w:val="-8"/>
        </w:rPr>
        <w:t>图纸及其他资料；</w:t>
      </w:r>
    </w:p>
    <w:p>
      <w:pPr>
        <w:pStyle w:val="18"/>
        <w:numPr>
          <w:ilvl w:val="0"/>
          <w:numId w:val="22"/>
        </w:numPr>
        <w:kinsoku w:val="0"/>
        <w:spacing w:line="360" w:lineRule="auto"/>
        <w:ind w:left="272" w:firstLine="448" w:firstLineChars="0"/>
        <w:rPr>
          <w:rFonts w:hAnsi="宋体"/>
          <w:color w:val="auto"/>
          <w:spacing w:val="-8"/>
        </w:rPr>
      </w:pPr>
      <w:r>
        <w:rPr>
          <w:rFonts w:hint="eastAsia" w:hAnsi="宋体"/>
          <w:color w:val="auto"/>
          <w:spacing w:val="-8"/>
        </w:rPr>
        <w:t>投标文件格式；</w:t>
      </w:r>
    </w:p>
    <w:p>
      <w:pPr>
        <w:pStyle w:val="18"/>
        <w:numPr>
          <w:ilvl w:val="0"/>
          <w:numId w:val="22"/>
        </w:numPr>
        <w:kinsoku w:val="0"/>
        <w:spacing w:line="360" w:lineRule="auto"/>
        <w:ind w:left="272" w:firstLine="448" w:firstLineChars="0"/>
        <w:rPr>
          <w:rFonts w:hAnsi="宋体"/>
          <w:color w:val="auto"/>
          <w:spacing w:val="-8"/>
        </w:rPr>
      </w:pPr>
      <w:r>
        <w:rPr>
          <w:rFonts w:hint="eastAsia" w:hAnsi="宋体"/>
          <w:color w:val="auto"/>
          <w:spacing w:val="-8"/>
        </w:rPr>
        <w:t>投标人须知前附表规定的其他材料</w:t>
      </w:r>
      <w:r>
        <w:rPr>
          <w:rFonts w:hint="eastAsia" w:hAnsi="宋体"/>
          <w:color w:val="auto"/>
          <w:spacing w:val="-8"/>
          <w:lang w:eastAsia="zh-CN"/>
        </w:rPr>
        <w:t>（招标控制价及明细</w:t>
      </w:r>
      <w:r>
        <w:rPr>
          <w:rFonts w:hint="eastAsia"/>
          <w:color w:val="auto"/>
          <w:lang w:eastAsia="zh-CN"/>
        </w:rPr>
        <w:t>除外</w:t>
      </w:r>
      <w:r>
        <w:rPr>
          <w:rFonts w:hint="eastAsia" w:hAnsi="宋体"/>
          <w:color w:val="auto"/>
          <w:spacing w:val="-8"/>
          <w:lang w:eastAsia="zh-CN"/>
        </w:rPr>
        <w:t>）</w:t>
      </w:r>
      <w:r>
        <w:rPr>
          <w:rFonts w:hint="eastAsia" w:hAnsi="宋体"/>
          <w:color w:val="auto"/>
          <w:spacing w:val="-8"/>
        </w:rPr>
        <w:t>。</w:t>
      </w:r>
    </w:p>
    <w:p>
      <w:pPr>
        <w:pStyle w:val="18"/>
        <w:kinsoku w:val="0"/>
        <w:spacing w:line="360" w:lineRule="auto"/>
        <w:ind w:left="0" w:firstLine="480" w:firstLineChars="200"/>
        <w:rPr>
          <w:rFonts w:hAnsi="宋体"/>
          <w:color w:val="auto"/>
        </w:rPr>
      </w:pPr>
      <w:r>
        <w:rPr>
          <w:rFonts w:hint="eastAsia" w:hAnsi="宋体"/>
          <w:color w:val="auto"/>
        </w:rPr>
        <w:t>根据本章第</w:t>
      </w:r>
      <w:r>
        <w:rPr>
          <w:rFonts w:hAnsi="宋体"/>
          <w:color w:val="auto"/>
        </w:rPr>
        <w:t>1.10</w:t>
      </w:r>
      <w:r>
        <w:rPr>
          <w:rFonts w:hint="eastAsia" w:hAnsi="宋体"/>
          <w:color w:val="auto"/>
        </w:rPr>
        <w:t>款、第</w:t>
      </w:r>
      <w:r>
        <w:rPr>
          <w:rFonts w:hAnsi="宋体"/>
          <w:color w:val="auto"/>
        </w:rPr>
        <w:t>2.2</w:t>
      </w:r>
      <w:r>
        <w:rPr>
          <w:rFonts w:hint="eastAsia" w:hAnsi="宋体"/>
          <w:color w:val="auto"/>
        </w:rPr>
        <w:t>款和第</w:t>
      </w:r>
      <w:r>
        <w:rPr>
          <w:rFonts w:hAnsi="宋体"/>
          <w:color w:val="auto"/>
        </w:rPr>
        <w:t>2.3</w:t>
      </w:r>
      <w:r>
        <w:rPr>
          <w:rFonts w:hint="eastAsia" w:hAnsi="宋体"/>
          <w:color w:val="auto"/>
        </w:rPr>
        <w:t>款对招标文件所作的澄清、修改，构成招标文件的组成部分。</w:t>
      </w:r>
    </w:p>
    <w:p>
      <w:pPr>
        <w:spacing w:line="360" w:lineRule="auto"/>
        <w:ind w:firstLine="275" w:firstLineChars="98"/>
        <w:rPr>
          <w:rFonts w:ascii="宋体" w:hAnsi="宋体" w:eastAsia="宋体"/>
          <w:b/>
          <w:color w:val="auto"/>
          <w:sz w:val="28"/>
        </w:rPr>
      </w:pPr>
      <w:bookmarkStart w:id="129" w:name="bookmark37"/>
      <w:bookmarkEnd w:id="129"/>
      <w:r>
        <w:rPr>
          <w:rFonts w:ascii="宋体" w:hAnsi="宋体" w:eastAsia="宋体"/>
          <w:b/>
          <w:color w:val="auto"/>
          <w:sz w:val="28"/>
        </w:rPr>
        <w:t>2.2</w:t>
      </w:r>
      <w:r>
        <w:rPr>
          <w:rFonts w:hint="eastAsia" w:ascii="宋体" w:hAnsi="宋体" w:eastAsia="宋体"/>
          <w:b/>
          <w:color w:val="auto"/>
          <w:sz w:val="28"/>
        </w:rPr>
        <w:t>招标文件的澄清</w:t>
      </w:r>
    </w:p>
    <w:p>
      <w:pPr>
        <w:pStyle w:val="18"/>
        <w:numPr>
          <w:ilvl w:val="2"/>
          <w:numId w:val="23"/>
        </w:numPr>
        <w:kinsoku w:val="0"/>
        <w:spacing w:line="360" w:lineRule="auto"/>
        <w:ind w:left="0" w:firstLine="480" w:firstLineChars="200"/>
        <w:rPr>
          <w:rFonts w:hAnsi="宋体"/>
          <w:color w:val="auto"/>
        </w:rPr>
      </w:pPr>
      <w:r>
        <w:rPr>
          <w:rFonts w:hint="eastAsia" w:hAnsi="宋体"/>
          <w:color w:val="auto"/>
        </w:rPr>
        <w:t>投标人应仔细阅读和检查招标文件的全部内容。如发现缺页或附件不全，应及时向招标人提出，以便补齐。如有疑问，应按投标人须知前附表规定的要求提疑，要求招标人对招标文件予以澄清。招标文件的澄清将按前附表规定的时间和方式发布，但不指明澄清问题的来源。当招标文件的澄清内容与招标文件相互矛盾时，以最后发出的补充文件为准。</w:t>
      </w:r>
    </w:p>
    <w:p>
      <w:pPr>
        <w:spacing w:line="360" w:lineRule="auto"/>
        <w:ind w:firstLine="275" w:firstLineChars="98"/>
        <w:rPr>
          <w:rFonts w:ascii="宋体" w:hAnsi="宋体" w:eastAsia="宋体"/>
          <w:b/>
          <w:color w:val="auto"/>
          <w:sz w:val="28"/>
        </w:rPr>
      </w:pPr>
      <w:bookmarkStart w:id="130" w:name="bookmark38"/>
      <w:bookmarkEnd w:id="130"/>
      <w:r>
        <w:rPr>
          <w:rFonts w:ascii="宋体" w:hAnsi="宋体" w:eastAsia="宋体"/>
          <w:b/>
          <w:color w:val="auto"/>
          <w:sz w:val="28"/>
        </w:rPr>
        <w:t>2.3</w:t>
      </w:r>
      <w:r>
        <w:rPr>
          <w:rFonts w:hint="eastAsia" w:ascii="宋体" w:hAnsi="宋体" w:eastAsia="宋体"/>
          <w:b/>
          <w:color w:val="auto"/>
          <w:sz w:val="28"/>
        </w:rPr>
        <w:t>招标文件的修改</w:t>
      </w:r>
    </w:p>
    <w:p>
      <w:pPr>
        <w:pStyle w:val="18"/>
        <w:numPr>
          <w:ilvl w:val="2"/>
          <w:numId w:val="24"/>
        </w:numPr>
        <w:kinsoku w:val="0"/>
        <w:spacing w:line="360" w:lineRule="auto"/>
        <w:ind w:left="0" w:firstLine="468" w:firstLineChars="200"/>
        <w:rPr>
          <w:rFonts w:hAnsi="宋体"/>
          <w:color w:val="auto"/>
        </w:rPr>
      </w:pPr>
      <w:r>
        <w:rPr>
          <w:rFonts w:hint="eastAsia" w:hAnsi="宋体"/>
          <w:color w:val="auto"/>
          <w:spacing w:val="-3"/>
        </w:rPr>
        <w:t>招标人以投标人须知前附表规定的形式修改招标文件，并通知所有潜在投标人。</w:t>
      </w:r>
      <w:r>
        <w:rPr>
          <w:rFonts w:hint="eastAsia" w:hAnsi="宋体"/>
          <w:color w:val="auto"/>
        </w:rPr>
        <w:t>修改招标文件的时间距投标截止时间不足</w:t>
      </w:r>
      <w:r>
        <w:rPr>
          <w:rFonts w:hAnsi="宋体"/>
          <w:color w:val="auto"/>
        </w:rPr>
        <w:t>7</w:t>
      </w:r>
      <w:r>
        <w:rPr>
          <w:rFonts w:hint="eastAsia" w:hAnsi="宋体"/>
          <w:color w:val="auto"/>
        </w:rPr>
        <w:t>个日的，相应延长投标截止时间。修改的内容可能影响投标文件编制的，招标人将在投标截止时间至少</w:t>
      </w:r>
      <w:r>
        <w:rPr>
          <w:rFonts w:hAnsi="宋体"/>
          <w:color w:val="auto"/>
        </w:rPr>
        <w:t>15</w:t>
      </w:r>
      <w:r>
        <w:rPr>
          <w:rFonts w:hint="eastAsia" w:hAnsi="宋体"/>
          <w:color w:val="auto"/>
        </w:rPr>
        <w:t>日前发布修改文件；不足</w:t>
      </w:r>
      <w:r>
        <w:rPr>
          <w:rFonts w:hAnsi="宋体"/>
          <w:color w:val="auto"/>
        </w:rPr>
        <w:t>15</w:t>
      </w:r>
      <w:r>
        <w:rPr>
          <w:rFonts w:hint="eastAsia" w:hAnsi="宋体"/>
          <w:color w:val="auto"/>
        </w:rPr>
        <w:t>日的，招标人应当顺延提交投标文件的截止时间。</w:t>
      </w:r>
    </w:p>
    <w:p>
      <w:pPr>
        <w:pStyle w:val="18"/>
        <w:numPr>
          <w:ilvl w:val="2"/>
          <w:numId w:val="24"/>
        </w:numPr>
        <w:kinsoku w:val="0"/>
        <w:spacing w:line="360" w:lineRule="auto"/>
        <w:ind w:left="0" w:firstLine="480" w:firstLineChars="200"/>
        <w:rPr>
          <w:rFonts w:hAnsi="宋体"/>
          <w:color w:val="auto"/>
        </w:rPr>
      </w:pPr>
      <w:r>
        <w:rPr>
          <w:rFonts w:hint="eastAsia" w:hAnsi="宋体"/>
          <w:color w:val="auto"/>
        </w:rPr>
        <w:t>当招标文件的修改内容与招标文件相互矛盾时，以最后发出的补充文件为准。</w:t>
      </w:r>
    </w:p>
    <w:p>
      <w:pPr>
        <w:pStyle w:val="18"/>
        <w:tabs>
          <w:tab w:val="left" w:pos="1711"/>
        </w:tabs>
        <w:kinsoku w:val="0"/>
        <w:spacing w:before="4" w:line="360" w:lineRule="auto"/>
        <w:ind w:left="0"/>
        <w:rPr>
          <w:rFonts w:hAnsi="宋体"/>
          <w:color w:val="auto"/>
          <w:sz w:val="14"/>
          <w:szCs w:val="14"/>
        </w:rPr>
      </w:pPr>
      <w:r>
        <w:rPr>
          <w:rFonts w:hAnsi="宋体"/>
          <w:color w:val="auto"/>
          <w:sz w:val="14"/>
          <w:szCs w:val="14"/>
        </w:rPr>
        <w:tab/>
      </w:r>
    </w:p>
    <w:p>
      <w:pPr>
        <w:spacing w:line="360" w:lineRule="auto"/>
        <w:rPr>
          <w:rFonts w:ascii="宋体" w:hAnsi="宋体" w:eastAsia="宋体"/>
          <w:b/>
          <w:color w:val="auto"/>
          <w:sz w:val="32"/>
          <w:szCs w:val="32"/>
        </w:rPr>
      </w:pPr>
      <w:bookmarkStart w:id="131" w:name="bookmark40"/>
      <w:bookmarkEnd w:id="131"/>
      <w:bookmarkStart w:id="132" w:name="bookmark39"/>
      <w:bookmarkEnd w:id="132"/>
      <w:bookmarkStart w:id="133" w:name="_Toc22828070"/>
      <w:bookmarkStart w:id="134" w:name="_Toc12864"/>
      <w:bookmarkStart w:id="135" w:name="_Toc45697234"/>
      <w:r>
        <w:rPr>
          <w:rFonts w:ascii="宋体" w:hAnsi="宋体" w:eastAsia="宋体"/>
          <w:b/>
          <w:color w:val="auto"/>
          <w:sz w:val="32"/>
          <w:szCs w:val="32"/>
        </w:rPr>
        <w:t>3.投标文件</w:t>
      </w:r>
      <w:bookmarkEnd w:id="133"/>
      <w:bookmarkEnd w:id="134"/>
      <w:bookmarkEnd w:id="135"/>
    </w:p>
    <w:p>
      <w:pPr>
        <w:spacing w:line="360" w:lineRule="auto"/>
        <w:ind w:firstLine="275" w:firstLineChars="98"/>
        <w:rPr>
          <w:rFonts w:ascii="宋体" w:hAnsi="宋体" w:eastAsia="宋体"/>
          <w:b/>
          <w:color w:val="auto"/>
          <w:sz w:val="28"/>
        </w:rPr>
      </w:pPr>
      <w:bookmarkStart w:id="136" w:name="bookmark41"/>
      <w:bookmarkEnd w:id="136"/>
      <w:r>
        <w:rPr>
          <w:rFonts w:ascii="宋体" w:hAnsi="宋体" w:eastAsia="宋体"/>
          <w:b/>
          <w:color w:val="auto"/>
          <w:sz w:val="28"/>
        </w:rPr>
        <w:t>3.1投标文件的组成</w:t>
      </w:r>
    </w:p>
    <w:p>
      <w:pPr>
        <w:pStyle w:val="129"/>
        <w:numPr>
          <w:ilvl w:val="0"/>
          <w:numId w:val="0"/>
        </w:numPr>
        <w:snapToGrid w:val="0"/>
        <w:spacing w:line="360" w:lineRule="auto"/>
        <w:ind w:firstLine="480" w:firstLineChars="200"/>
        <w:rPr>
          <w:rFonts w:ascii="宋体" w:hAnsi="宋体" w:cs="宋体"/>
          <w:bCs/>
          <w:color w:val="auto"/>
        </w:rPr>
      </w:pPr>
      <w:r>
        <w:rPr>
          <w:rFonts w:hint="eastAsia" w:ascii="宋体" w:hAnsi="宋体" w:cs="宋体"/>
          <w:bCs/>
          <w:color w:val="auto"/>
        </w:rPr>
        <w:t>投标文件根据评标办法由投标文件商务标、技术标、资信标、资格审查资料组成。</w:t>
      </w:r>
      <w:r>
        <w:rPr>
          <w:rFonts w:hint="eastAsia" w:ascii="宋体" w:hAnsi="宋体" w:cs="宋体"/>
          <w:bCs/>
          <w:color w:val="auto"/>
          <w:u w:val="single"/>
        </w:rPr>
        <w:t>（招标人可将下列投标资料按相应的评标办法进行组合）</w:t>
      </w:r>
    </w:p>
    <w:p>
      <w:pPr>
        <w:pStyle w:val="129"/>
        <w:numPr>
          <w:ilvl w:val="0"/>
          <w:numId w:val="0"/>
        </w:numPr>
        <w:snapToGrid w:val="0"/>
        <w:spacing w:line="360" w:lineRule="auto"/>
        <w:ind w:left="480" w:leftChars="200"/>
        <w:rPr>
          <w:rFonts w:ascii="宋体" w:hAnsi="宋体" w:cs="宋体"/>
          <w:bCs/>
          <w:color w:val="auto"/>
        </w:rPr>
      </w:pPr>
      <w:r>
        <w:rPr>
          <w:rFonts w:hint="eastAsia" w:ascii="宋体" w:hAnsi="宋体" w:cs="宋体"/>
          <w:bCs/>
          <w:color w:val="auto"/>
        </w:rPr>
        <w:t>（一）商务标</w:t>
      </w:r>
      <w:r>
        <w:rPr>
          <w:rFonts w:ascii="宋体" w:hAnsi="宋体" w:cs="宋体"/>
          <w:bCs/>
          <w:color w:val="auto"/>
        </w:rPr>
        <w:t>工程量清单及计价表式：</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投标报价封面</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投标报价扉页</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编制说明</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投标报价费用表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单位（专业）工程投标报价费用表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分部分项工程和施工技术措施费项目清单与计价表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施工组织（总价）措施项目清单与计价表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其他项目清单与计价汇总表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暂列金额明细表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材料（工程设备）暂估单价及调整表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专业工程暂估价表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专项技术措施暂估价表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计日工表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总承包服务费计价表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主要工日一览表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主要材料和工程设备一览表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主要机械台班一览表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综合单价计算表</w:t>
      </w:r>
    </w:p>
    <w:p>
      <w:pPr>
        <w:pStyle w:val="129"/>
        <w:numPr>
          <w:ilvl w:val="0"/>
          <w:numId w:val="25"/>
        </w:numPr>
        <w:snapToGrid w:val="0"/>
        <w:spacing w:line="360" w:lineRule="auto"/>
        <w:ind w:left="0" w:firstLine="480" w:firstLineChars="200"/>
        <w:rPr>
          <w:rFonts w:ascii="宋体" w:hAnsi="宋体" w:cs="宋体"/>
          <w:bCs/>
          <w:color w:val="auto"/>
        </w:rPr>
      </w:pPr>
      <w:r>
        <w:rPr>
          <w:rFonts w:hint="eastAsia" w:ascii="宋体" w:hAnsi="宋体" w:cs="宋体"/>
          <w:bCs/>
          <w:color w:val="auto"/>
        </w:rPr>
        <w:t>综合单价工料机分析表（投标时仅提供电子版本，中标单位在中标后</w:t>
      </w:r>
      <w:r>
        <w:rPr>
          <w:rFonts w:ascii="宋体" w:hAnsi="宋体" w:cs="宋体"/>
          <w:bCs/>
          <w:color w:val="auto"/>
        </w:rPr>
        <w:t>7</w:t>
      </w:r>
      <w:r>
        <w:rPr>
          <w:rFonts w:hint="eastAsia" w:ascii="宋体" w:hAnsi="宋体" w:cs="宋体"/>
          <w:bCs/>
          <w:color w:val="auto"/>
        </w:rPr>
        <w:t>日内提供</w:t>
      </w:r>
      <w:r>
        <w:rPr>
          <w:rFonts w:ascii="宋体" w:hAnsi="宋体" w:cs="宋体"/>
          <w:bCs/>
          <w:color w:val="auto"/>
        </w:rPr>
        <w:t>1</w:t>
      </w:r>
      <w:r>
        <w:rPr>
          <w:rFonts w:hint="eastAsia" w:ascii="宋体" w:hAnsi="宋体" w:cs="宋体"/>
          <w:bCs/>
          <w:color w:val="auto"/>
        </w:rPr>
        <w:t>套纸质文本）</w:t>
      </w:r>
    </w:p>
    <w:p>
      <w:pPr>
        <w:snapToGrid w:val="0"/>
        <w:spacing w:line="360" w:lineRule="auto"/>
        <w:ind w:firstLine="480" w:firstLineChars="200"/>
        <w:rPr>
          <w:rFonts w:ascii="宋体" w:hAnsi="宋体" w:cs="宋体"/>
          <w:bCs/>
          <w:color w:val="auto"/>
        </w:rPr>
      </w:pPr>
      <w:r>
        <w:rPr>
          <w:rFonts w:hint="eastAsia" w:ascii="宋体" w:hAnsi="宋体" w:cs="宋体"/>
          <w:bCs/>
          <w:color w:val="auto"/>
        </w:rPr>
        <w:t>招标人根据拟建工程的构成、发包方式及报价要求，将在工程量清单编制总说明中明确投标人具体需填报的表格。</w:t>
      </w:r>
    </w:p>
    <w:p>
      <w:pPr>
        <w:pStyle w:val="129"/>
        <w:numPr>
          <w:ilvl w:val="0"/>
          <w:numId w:val="0"/>
        </w:numPr>
        <w:snapToGrid w:val="0"/>
        <w:spacing w:line="360" w:lineRule="auto"/>
        <w:ind w:left="480" w:leftChars="200"/>
        <w:rPr>
          <w:rFonts w:ascii="宋体" w:hAnsi="宋体" w:cs="宋体"/>
          <w:bCs/>
          <w:color w:val="auto"/>
        </w:rPr>
      </w:pPr>
      <w:r>
        <w:rPr>
          <w:rFonts w:hint="eastAsia" w:ascii="宋体" w:hAnsi="宋体" w:cs="宋体"/>
          <w:bCs/>
          <w:color w:val="auto"/>
        </w:rPr>
        <w:t>（二）</w:t>
      </w:r>
      <w:r>
        <w:rPr>
          <w:rFonts w:ascii="宋体" w:hAnsi="宋体" w:cs="宋体"/>
          <w:bCs/>
          <w:color w:val="auto"/>
        </w:rPr>
        <w:t>技术</w:t>
      </w:r>
      <w:r>
        <w:rPr>
          <w:rFonts w:hint="eastAsia" w:ascii="宋体" w:hAnsi="宋体" w:cs="宋体"/>
          <w:bCs/>
          <w:color w:val="auto"/>
        </w:rPr>
        <w:t>标主要包括下列内容</w:t>
      </w:r>
      <w:r>
        <w:rPr>
          <w:rFonts w:ascii="宋体" w:hAnsi="宋体" w:cs="宋体"/>
          <w:bCs/>
          <w:color w:val="auto"/>
        </w:rPr>
        <w:t>:</w:t>
      </w:r>
    </w:p>
    <w:p>
      <w:pPr>
        <w:pStyle w:val="129"/>
        <w:numPr>
          <w:ilvl w:val="0"/>
          <w:numId w:val="26"/>
        </w:numPr>
        <w:snapToGrid w:val="0"/>
        <w:spacing w:line="360" w:lineRule="auto"/>
        <w:ind w:left="0" w:firstLine="480" w:firstLineChars="200"/>
        <w:rPr>
          <w:rFonts w:ascii="宋体" w:hAnsi="宋体" w:cs="宋体"/>
          <w:bCs/>
          <w:color w:val="auto"/>
        </w:rPr>
      </w:pPr>
      <w:r>
        <w:rPr>
          <w:rFonts w:hint="eastAsia" w:ascii="宋体" w:hAnsi="宋体" w:cs="宋体"/>
          <w:bCs/>
          <w:color w:val="auto"/>
        </w:rPr>
        <w:t>工程概况及控制目标</w:t>
      </w:r>
    </w:p>
    <w:p>
      <w:pPr>
        <w:pStyle w:val="129"/>
        <w:numPr>
          <w:ilvl w:val="0"/>
          <w:numId w:val="26"/>
        </w:numPr>
        <w:snapToGrid w:val="0"/>
        <w:spacing w:line="360" w:lineRule="auto"/>
        <w:ind w:left="0" w:firstLine="480" w:firstLineChars="200"/>
        <w:rPr>
          <w:rFonts w:ascii="宋体" w:hAnsi="宋体" w:cs="宋体"/>
          <w:bCs/>
          <w:color w:val="auto"/>
        </w:rPr>
      </w:pPr>
      <w:r>
        <w:rPr>
          <w:rFonts w:hint="eastAsia" w:ascii="宋体" w:hAnsi="宋体" w:cs="宋体"/>
          <w:bCs/>
          <w:color w:val="auto"/>
        </w:rPr>
        <w:t>施工总体布置</w:t>
      </w:r>
    </w:p>
    <w:p>
      <w:pPr>
        <w:pStyle w:val="129"/>
        <w:numPr>
          <w:ilvl w:val="0"/>
          <w:numId w:val="26"/>
        </w:numPr>
        <w:snapToGrid w:val="0"/>
        <w:spacing w:line="360" w:lineRule="auto"/>
        <w:ind w:left="0" w:firstLine="480" w:firstLineChars="200"/>
        <w:rPr>
          <w:rFonts w:ascii="宋体" w:hAnsi="宋体" w:cs="宋体"/>
          <w:bCs/>
          <w:color w:val="auto"/>
        </w:rPr>
      </w:pPr>
      <w:r>
        <w:rPr>
          <w:rFonts w:hint="eastAsia" w:ascii="宋体" w:hAnsi="宋体" w:cs="宋体"/>
          <w:bCs/>
          <w:color w:val="auto"/>
        </w:rPr>
        <w:t>工程投入的施工机械设备情况、主要施工机械进场计划；</w:t>
      </w:r>
    </w:p>
    <w:p>
      <w:pPr>
        <w:pStyle w:val="129"/>
        <w:numPr>
          <w:ilvl w:val="0"/>
          <w:numId w:val="26"/>
        </w:numPr>
        <w:snapToGrid w:val="0"/>
        <w:spacing w:line="360" w:lineRule="auto"/>
        <w:ind w:left="0" w:firstLine="480" w:firstLineChars="200"/>
        <w:rPr>
          <w:rFonts w:ascii="宋体" w:hAnsi="宋体" w:cs="宋体"/>
          <w:bCs/>
          <w:color w:val="auto"/>
        </w:rPr>
      </w:pPr>
      <w:r>
        <w:rPr>
          <w:rFonts w:hint="eastAsia" w:ascii="宋体" w:hAnsi="宋体" w:cs="宋体"/>
          <w:bCs/>
          <w:color w:val="auto"/>
        </w:rPr>
        <w:t>劳动力安排计划；</w:t>
      </w:r>
    </w:p>
    <w:p>
      <w:pPr>
        <w:pStyle w:val="129"/>
        <w:numPr>
          <w:ilvl w:val="0"/>
          <w:numId w:val="26"/>
        </w:numPr>
        <w:snapToGrid w:val="0"/>
        <w:spacing w:line="360" w:lineRule="auto"/>
        <w:ind w:left="0" w:firstLine="480" w:firstLineChars="200"/>
        <w:rPr>
          <w:rFonts w:ascii="宋体" w:hAnsi="宋体" w:cs="宋体"/>
          <w:bCs/>
          <w:color w:val="auto"/>
        </w:rPr>
      </w:pPr>
      <w:r>
        <w:rPr>
          <w:rFonts w:hint="eastAsia" w:ascii="宋体" w:hAnsi="宋体" w:cs="宋体"/>
          <w:bCs/>
          <w:color w:val="auto"/>
        </w:rPr>
        <w:t>施工进度计划网络图；</w:t>
      </w:r>
    </w:p>
    <w:p>
      <w:pPr>
        <w:pStyle w:val="129"/>
        <w:numPr>
          <w:ilvl w:val="0"/>
          <w:numId w:val="26"/>
        </w:numPr>
        <w:snapToGrid w:val="0"/>
        <w:spacing w:line="360" w:lineRule="auto"/>
        <w:ind w:left="0" w:firstLine="480" w:firstLineChars="200"/>
        <w:rPr>
          <w:rFonts w:ascii="宋体" w:hAnsi="宋体" w:cs="宋体"/>
          <w:bCs/>
          <w:color w:val="auto"/>
        </w:rPr>
      </w:pPr>
      <w:r>
        <w:rPr>
          <w:rFonts w:hint="eastAsia" w:ascii="宋体" w:hAnsi="宋体" w:cs="宋体"/>
          <w:bCs/>
          <w:color w:val="auto"/>
        </w:rPr>
        <w:t>施工总平面布置设计。</w:t>
      </w:r>
    </w:p>
    <w:p>
      <w:pPr>
        <w:pStyle w:val="129"/>
        <w:numPr>
          <w:ilvl w:val="0"/>
          <w:numId w:val="26"/>
        </w:numPr>
        <w:snapToGrid w:val="0"/>
        <w:spacing w:line="360" w:lineRule="auto"/>
        <w:ind w:left="0" w:firstLine="480" w:firstLineChars="200"/>
        <w:rPr>
          <w:rFonts w:ascii="宋体" w:hAnsi="宋体" w:cs="宋体"/>
          <w:bCs/>
          <w:color w:val="auto"/>
        </w:rPr>
      </w:pPr>
      <w:r>
        <w:rPr>
          <w:rFonts w:ascii="宋体" w:hAnsi="宋体" w:cs="宋体"/>
          <w:bCs/>
          <w:color w:val="auto"/>
        </w:rPr>
        <w:t>针对本工程招标人特殊要求的技术措施</w:t>
      </w:r>
    </w:p>
    <w:p>
      <w:pPr>
        <w:pStyle w:val="129"/>
        <w:numPr>
          <w:ilvl w:val="0"/>
          <w:numId w:val="26"/>
        </w:numPr>
        <w:snapToGrid w:val="0"/>
        <w:spacing w:line="360" w:lineRule="auto"/>
        <w:ind w:left="0" w:firstLine="480" w:firstLineChars="200"/>
        <w:rPr>
          <w:rFonts w:ascii="宋体" w:hAnsi="宋体" w:cs="宋体"/>
          <w:bCs/>
          <w:color w:val="auto"/>
        </w:rPr>
      </w:pPr>
      <w:r>
        <w:rPr>
          <w:rFonts w:hint="eastAsia" w:ascii="宋体" w:hAnsi="宋体" w:cs="宋体"/>
          <w:bCs/>
          <w:color w:val="auto"/>
        </w:rPr>
        <w:t>项目管理班子配备情况表；</w:t>
      </w:r>
    </w:p>
    <w:p>
      <w:pPr>
        <w:pStyle w:val="129"/>
        <w:numPr>
          <w:ilvl w:val="0"/>
          <w:numId w:val="26"/>
        </w:numPr>
        <w:snapToGrid w:val="0"/>
        <w:spacing w:line="360" w:lineRule="auto"/>
        <w:ind w:left="0" w:firstLine="480" w:firstLineChars="200"/>
        <w:rPr>
          <w:rFonts w:ascii="宋体" w:hAnsi="宋体" w:cs="宋体"/>
          <w:bCs/>
          <w:color w:val="auto"/>
        </w:rPr>
      </w:pPr>
      <w:r>
        <w:rPr>
          <w:rFonts w:hint="eastAsia" w:ascii="宋体" w:hAnsi="宋体" w:cs="宋体"/>
          <w:bCs/>
          <w:color w:val="auto"/>
        </w:rPr>
        <w:t>建造师（项目负责人）简历表；</w:t>
      </w:r>
    </w:p>
    <w:p>
      <w:pPr>
        <w:pStyle w:val="129"/>
        <w:numPr>
          <w:ilvl w:val="0"/>
          <w:numId w:val="26"/>
        </w:numPr>
        <w:snapToGrid w:val="0"/>
        <w:spacing w:line="360" w:lineRule="auto"/>
        <w:ind w:left="0" w:firstLine="480" w:firstLineChars="200"/>
        <w:rPr>
          <w:rFonts w:ascii="宋体" w:hAnsi="宋体" w:cs="宋体"/>
          <w:bCs/>
          <w:color w:val="auto"/>
        </w:rPr>
      </w:pPr>
      <w:r>
        <w:rPr>
          <w:rFonts w:hint="eastAsia" w:ascii="宋体" w:hAnsi="宋体" w:cs="宋体"/>
          <w:bCs/>
          <w:color w:val="auto"/>
        </w:rPr>
        <w:t>项目技术负责人简历表；</w:t>
      </w:r>
    </w:p>
    <w:p>
      <w:pPr>
        <w:pStyle w:val="129"/>
        <w:numPr>
          <w:ilvl w:val="0"/>
          <w:numId w:val="26"/>
        </w:numPr>
        <w:snapToGrid w:val="0"/>
        <w:spacing w:line="360" w:lineRule="auto"/>
        <w:ind w:left="0" w:firstLine="480" w:firstLineChars="200"/>
        <w:rPr>
          <w:rFonts w:ascii="宋体" w:hAnsi="宋体" w:cs="宋体"/>
          <w:bCs/>
          <w:color w:val="auto"/>
        </w:rPr>
      </w:pPr>
      <w:r>
        <w:rPr>
          <w:rFonts w:hint="eastAsia" w:ascii="宋体" w:hAnsi="宋体" w:cs="宋体"/>
          <w:bCs/>
          <w:color w:val="auto"/>
        </w:rPr>
        <w:t>项目管理班子配备情况其它辅助说明资料。</w:t>
      </w:r>
    </w:p>
    <w:p>
      <w:pPr>
        <w:pStyle w:val="129"/>
        <w:numPr>
          <w:ilvl w:val="0"/>
          <w:numId w:val="27"/>
        </w:numPr>
        <w:snapToGrid w:val="0"/>
        <w:spacing w:line="360" w:lineRule="auto"/>
        <w:ind w:left="480" w:leftChars="200"/>
        <w:rPr>
          <w:rFonts w:ascii="宋体" w:hAnsi="宋体" w:cs="宋体"/>
          <w:bCs/>
          <w:color w:val="auto"/>
        </w:rPr>
      </w:pPr>
      <w:r>
        <w:rPr>
          <w:rFonts w:hint="eastAsia" w:ascii="宋体" w:hAnsi="宋体" w:cs="宋体"/>
          <w:bCs/>
          <w:color w:val="auto"/>
        </w:rPr>
        <w:t>其他综合资料</w:t>
      </w:r>
    </w:p>
    <w:p>
      <w:pPr>
        <w:pStyle w:val="129"/>
        <w:numPr>
          <w:ilvl w:val="0"/>
          <w:numId w:val="28"/>
        </w:numPr>
        <w:spacing w:line="360" w:lineRule="auto"/>
        <w:ind w:left="0" w:firstLine="480" w:firstLineChars="200"/>
        <w:rPr>
          <w:rFonts w:ascii="宋体" w:hAnsi="宋体" w:cs="宋体"/>
          <w:b/>
          <w:bCs/>
          <w:color w:val="auto"/>
        </w:rPr>
      </w:pPr>
      <w:r>
        <w:rPr>
          <w:rFonts w:hint="eastAsia" w:ascii="宋体" w:hAnsi="宋体" w:cs="宋体"/>
          <w:bCs/>
          <w:color w:val="auto"/>
        </w:rPr>
        <w:t>法定代表人身份证明书</w:t>
      </w:r>
    </w:p>
    <w:p>
      <w:pPr>
        <w:pStyle w:val="129"/>
        <w:numPr>
          <w:ilvl w:val="0"/>
          <w:numId w:val="28"/>
        </w:numPr>
        <w:spacing w:line="360" w:lineRule="auto"/>
        <w:ind w:left="0" w:firstLine="480" w:firstLineChars="200"/>
        <w:rPr>
          <w:rFonts w:ascii="宋体" w:hAnsi="宋体" w:cs="宋体"/>
          <w:b/>
          <w:bCs/>
          <w:color w:val="auto"/>
        </w:rPr>
      </w:pPr>
      <w:r>
        <w:rPr>
          <w:rFonts w:hint="eastAsia" w:ascii="宋体" w:hAnsi="宋体" w:cs="宋体"/>
          <w:bCs/>
          <w:color w:val="auto"/>
        </w:rPr>
        <w:t>授权委托书</w:t>
      </w:r>
      <w:r>
        <w:rPr>
          <w:rFonts w:hint="eastAsia"/>
          <w:color w:val="auto"/>
          <w:lang w:eastAsia="zh-CN"/>
        </w:rPr>
        <w:t>（</w:t>
      </w:r>
      <w:r>
        <w:rPr>
          <w:rFonts w:hint="eastAsia"/>
          <w:color w:val="auto"/>
          <w:lang w:val="en-US" w:eastAsia="zh-CN"/>
        </w:rPr>
        <w:t>如有</w:t>
      </w:r>
      <w:r>
        <w:rPr>
          <w:rFonts w:hint="eastAsia"/>
          <w:color w:val="auto"/>
          <w:lang w:eastAsia="zh-CN"/>
        </w:rPr>
        <w:t>）</w:t>
      </w:r>
    </w:p>
    <w:p>
      <w:pPr>
        <w:pStyle w:val="129"/>
        <w:numPr>
          <w:ilvl w:val="0"/>
          <w:numId w:val="28"/>
        </w:numPr>
        <w:spacing w:line="360" w:lineRule="auto"/>
        <w:ind w:left="0" w:firstLine="480" w:firstLineChars="200"/>
        <w:rPr>
          <w:rFonts w:ascii="宋体" w:hAnsi="宋体" w:cs="宋体"/>
          <w:b/>
          <w:bCs/>
          <w:color w:val="auto"/>
        </w:rPr>
      </w:pPr>
      <w:r>
        <w:rPr>
          <w:rFonts w:hint="eastAsia" w:ascii="宋体" w:hAnsi="宋体" w:cs="宋体"/>
          <w:bCs/>
          <w:color w:val="auto"/>
        </w:rPr>
        <w:t>投标函</w:t>
      </w:r>
    </w:p>
    <w:p>
      <w:pPr>
        <w:pStyle w:val="129"/>
        <w:numPr>
          <w:ilvl w:val="0"/>
          <w:numId w:val="28"/>
        </w:numPr>
        <w:spacing w:line="360" w:lineRule="auto"/>
        <w:ind w:left="0" w:firstLine="480" w:firstLineChars="200"/>
        <w:rPr>
          <w:rFonts w:ascii="宋体" w:hAnsi="宋体" w:cs="宋体"/>
          <w:bCs/>
          <w:color w:val="auto"/>
        </w:rPr>
      </w:pPr>
      <w:r>
        <w:rPr>
          <w:rFonts w:ascii="宋体" w:hAnsi="宋体" w:cs="宋体"/>
          <w:bCs/>
          <w:color w:val="auto"/>
        </w:rPr>
        <w:t>投标函附录</w:t>
      </w:r>
      <w:r>
        <w:rPr>
          <w:rFonts w:hint="eastAsia" w:ascii="宋体" w:hAnsi="宋体" w:cs="宋体"/>
          <w:bCs/>
          <w:color w:val="auto"/>
        </w:rPr>
        <w:t>招标文件要求投标人提交的其它投标资料</w:t>
      </w:r>
      <w:r>
        <w:rPr>
          <w:rFonts w:ascii="宋体" w:hAnsi="宋体" w:cs="宋体"/>
          <w:bCs/>
          <w:color w:val="auto"/>
        </w:rPr>
        <w:t>(</w:t>
      </w:r>
      <w:r>
        <w:rPr>
          <w:rFonts w:hint="eastAsia" w:ascii="宋体" w:hAnsi="宋体" w:cs="宋体"/>
          <w:bCs/>
          <w:color w:val="auto"/>
        </w:rPr>
        <w:t>详见投标须知前附表</w:t>
      </w:r>
      <w:r>
        <w:rPr>
          <w:rFonts w:ascii="宋体" w:hAnsi="宋体" w:cs="宋体"/>
          <w:bCs/>
          <w:color w:val="auto"/>
        </w:rPr>
        <w:t>)</w:t>
      </w:r>
    </w:p>
    <w:p>
      <w:pPr>
        <w:pStyle w:val="129"/>
        <w:numPr>
          <w:ilvl w:val="0"/>
          <w:numId w:val="28"/>
        </w:numPr>
        <w:spacing w:line="360" w:lineRule="auto"/>
        <w:ind w:left="0" w:firstLine="480" w:firstLineChars="200"/>
        <w:rPr>
          <w:rFonts w:ascii="宋体" w:hAnsi="宋体" w:cs="宋体"/>
          <w:bCs/>
          <w:color w:val="auto"/>
        </w:rPr>
      </w:pPr>
      <w:r>
        <w:rPr>
          <w:rFonts w:hint="eastAsia" w:ascii="宋体" w:hAnsi="宋体" w:cs="宋体"/>
          <w:bCs/>
          <w:color w:val="auto"/>
        </w:rPr>
        <w:t>投标人一般情况；</w:t>
      </w:r>
    </w:p>
    <w:p>
      <w:pPr>
        <w:pStyle w:val="129"/>
        <w:numPr>
          <w:ilvl w:val="0"/>
          <w:numId w:val="28"/>
        </w:numPr>
        <w:spacing w:line="360" w:lineRule="auto"/>
        <w:ind w:left="0" w:firstLine="480" w:firstLineChars="200"/>
        <w:rPr>
          <w:rFonts w:ascii="宋体" w:hAnsi="宋体" w:cs="宋体"/>
          <w:bCs/>
          <w:color w:val="auto"/>
        </w:rPr>
      </w:pPr>
      <w:r>
        <w:rPr>
          <w:rFonts w:hint="eastAsia" w:ascii="宋体" w:hAnsi="宋体" w:cs="宋体"/>
          <w:bCs/>
          <w:color w:val="auto"/>
        </w:rPr>
        <w:t>近年财务状况表；</w:t>
      </w:r>
    </w:p>
    <w:p>
      <w:pPr>
        <w:pStyle w:val="129"/>
        <w:numPr>
          <w:ilvl w:val="0"/>
          <w:numId w:val="28"/>
        </w:numPr>
        <w:spacing w:line="360" w:lineRule="auto"/>
        <w:ind w:left="0" w:firstLine="480" w:firstLineChars="200"/>
        <w:rPr>
          <w:rFonts w:ascii="宋体" w:hAnsi="宋体" w:cs="宋体"/>
          <w:bCs/>
          <w:color w:val="auto"/>
        </w:rPr>
      </w:pPr>
      <w:r>
        <w:rPr>
          <w:rFonts w:hint="eastAsia" w:ascii="宋体" w:hAnsi="宋体" w:cs="宋体"/>
          <w:bCs/>
          <w:color w:val="auto"/>
        </w:rPr>
        <w:t>业绩汇总表；</w:t>
      </w:r>
    </w:p>
    <w:p>
      <w:pPr>
        <w:pStyle w:val="129"/>
        <w:numPr>
          <w:ilvl w:val="0"/>
          <w:numId w:val="28"/>
        </w:numPr>
        <w:spacing w:line="360" w:lineRule="auto"/>
        <w:ind w:left="0" w:firstLine="480" w:firstLineChars="200"/>
        <w:rPr>
          <w:rFonts w:ascii="宋体" w:hAnsi="宋体" w:cs="宋体"/>
          <w:bCs/>
          <w:color w:val="auto"/>
        </w:rPr>
      </w:pPr>
      <w:r>
        <w:rPr>
          <w:rFonts w:hint="eastAsia" w:ascii="宋体" w:hAnsi="宋体" w:cs="宋体"/>
          <w:bCs/>
          <w:color w:val="auto"/>
        </w:rPr>
        <w:t>投标承诺书；</w:t>
      </w:r>
    </w:p>
    <w:p>
      <w:pPr>
        <w:pStyle w:val="129"/>
        <w:numPr>
          <w:ilvl w:val="0"/>
          <w:numId w:val="28"/>
        </w:numPr>
        <w:spacing w:line="360" w:lineRule="auto"/>
        <w:ind w:left="0" w:firstLine="480" w:firstLineChars="200"/>
        <w:rPr>
          <w:rFonts w:ascii="宋体" w:hAnsi="宋体" w:cs="宋体"/>
          <w:bCs/>
          <w:color w:val="auto"/>
        </w:rPr>
      </w:pPr>
      <w:bookmarkStart w:id="137" w:name="_Hlk35417754"/>
      <w:bookmarkStart w:id="138" w:name="_Hlk36454407"/>
      <w:r>
        <w:rPr>
          <w:rFonts w:hint="eastAsia" w:ascii="宋体" w:hAnsi="宋体" w:cs="宋体"/>
          <w:bCs/>
          <w:color w:val="auto"/>
        </w:rPr>
        <w:t>资格</w:t>
      </w:r>
      <w:r>
        <w:rPr>
          <w:rFonts w:ascii="宋体" w:hAnsi="宋体" w:cs="宋体"/>
          <w:bCs/>
          <w:color w:val="auto"/>
        </w:rPr>
        <w:t>业绩材料</w:t>
      </w:r>
      <w:r>
        <w:rPr>
          <w:rFonts w:hint="eastAsia" w:ascii="宋体" w:hAnsi="宋体" w:cs="宋体"/>
          <w:bCs/>
          <w:color w:val="auto"/>
        </w:rPr>
        <w:t>（</w:t>
      </w:r>
      <w:r>
        <w:rPr>
          <w:rFonts w:hint="eastAsia" w:ascii="宋体" w:hAnsi="宋体" w:cs="宋体"/>
          <w:bCs/>
          <w:color w:val="auto"/>
          <w:lang w:eastAsia="zh-CN"/>
        </w:rPr>
        <w:t>如</w:t>
      </w:r>
      <w:r>
        <w:rPr>
          <w:rFonts w:hint="eastAsia" w:ascii="宋体" w:hAnsi="宋体" w:cs="宋体"/>
          <w:bCs/>
          <w:color w:val="auto"/>
        </w:rPr>
        <w:t>有），业绩汇总表及相关附件；</w:t>
      </w:r>
    </w:p>
    <w:p>
      <w:pPr>
        <w:pStyle w:val="129"/>
        <w:numPr>
          <w:ilvl w:val="0"/>
          <w:numId w:val="28"/>
        </w:numPr>
        <w:spacing w:line="360" w:lineRule="auto"/>
        <w:ind w:left="0" w:firstLine="480" w:firstLineChars="200"/>
        <w:rPr>
          <w:rFonts w:ascii="宋体" w:hAnsi="宋体" w:cs="宋体"/>
          <w:bCs/>
          <w:color w:val="auto"/>
        </w:rPr>
      </w:pPr>
      <w:r>
        <w:rPr>
          <w:rFonts w:hint="eastAsia" w:ascii="宋体" w:hAnsi="宋体" w:cs="宋体"/>
          <w:bCs/>
          <w:color w:val="auto"/>
        </w:rPr>
        <w:t>联合体协议书（如有）；</w:t>
      </w:r>
    </w:p>
    <w:p>
      <w:pPr>
        <w:pStyle w:val="129"/>
        <w:numPr>
          <w:ilvl w:val="0"/>
          <w:numId w:val="28"/>
        </w:numPr>
        <w:spacing w:line="360" w:lineRule="auto"/>
        <w:ind w:left="0" w:firstLine="480" w:firstLineChars="200"/>
        <w:rPr>
          <w:rFonts w:ascii="宋体" w:hAnsi="宋体" w:cs="宋体"/>
          <w:bCs/>
          <w:color w:val="auto"/>
        </w:rPr>
      </w:pPr>
      <w:r>
        <w:rPr>
          <w:rFonts w:hint="eastAsia" w:ascii="宋体" w:hAnsi="宋体" w:cs="宋体"/>
          <w:bCs/>
          <w:color w:val="auto"/>
        </w:rPr>
        <w:t>投标保证金；</w:t>
      </w:r>
    </w:p>
    <w:p>
      <w:pPr>
        <w:pStyle w:val="129"/>
        <w:numPr>
          <w:ilvl w:val="0"/>
          <w:numId w:val="28"/>
        </w:numPr>
        <w:spacing w:line="360" w:lineRule="auto"/>
        <w:ind w:left="0" w:firstLine="480" w:firstLineChars="200"/>
        <w:rPr>
          <w:rFonts w:ascii="宋体" w:hAnsi="宋体" w:cs="宋体"/>
          <w:bCs/>
          <w:color w:val="auto"/>
        </w:rPr>
      </w:pPr>
      <w:r>
        <w:rPr>
          <w:rFonts w:hint="eastAsia" w:ascii="宋体" w:hAnsi="宋体" w:cs="宋体"/>
          <w:bCs/>
          <w:color w:val="auto"/>
        </w:rPr>
        <w:t>资格审查证明资料（见投标人须知条款第</w:t>
      </w:r>
      <w:r>
        <w:rPr>
          <w:rFonts w:ascii="宋体" w:hAnsi="宋体" w:cs="宋体"/>
          <w:bCs/>
          <w:color w:val="auto"/>
        </w:rPr>
        <w:t>3.5条款）；</w:t>
      </w:r>
    </w:p>
    <w:p>
      <w:pPr>
        <w:pStyle w:val="129"/>
        <w:numPr>
          <w:ilvl w:val="0"/>
          <w:numId w:val="28"/>
        </w:numPr>
        <w:spacing w:line="360" w:lineRule="auto"/>
        <w:ind w:left="0" w:firstLine="480" w:firstLineChars="200"/>
        <w:rPr>
          <w:rFonts w:ascii="宋体" w:hAnsi="宋体" w:cs="宋体"/>
          <w:bCs/>
          <w:color w:val="auto"/>
        </w:rPr>
      </w:pPr>
      <w:r>
        <w:rPr>
          <w:rFonts w:hint="eastAsia" w:ascii="宋体" w:hAnsi="宋体" w:cs="宋体"/>
          <w:bCs/>
          <w:color w:val="auto"/>
        </w:rPr>
        <w:t>拟分包项目名称和分包商情况。</w:t>
      </w:r>
    </w:p>
    <w:p>
      <w:pPr>
        <w:pStyle w:val="129"/>
        <w:numPr>
          <w:ilvl w:val="0"/>
          <w:numId w:val="28"/>
        </w:numPr>
        <w:spacing w:line="360" w:lineRule="auto"/>
        <w:ind w:left="0" w:firstLine="480" w:firstLineChars="200"/>
        <w:rPr>
          <w:rFonts w:ascii="宋体" w:hAnsi="宋体" w:cs="宋体"/>
          <w:bCs/>
          <w:color w:val="auto"/>
        </w:rPr>
      </w:pPr>
      <w:r>
        <w:rPr>
          <w:rFonts w:ascii="宋体" w:hAnsi="宋体" w:cs="宋体"/>
          <w:bCs/>
          <w:color w:val="auto"/>
        </w:rPr>
        <w:t>招标文件要求投标人提交的其他</w:t>
      </w:r>
      <w:r>
        <w:rPr>
          <w:rFonts w:hint="eastAsia" w:ascii="宋体" w:hAnsi="宋体" w:cs="宋体"/>
          <w:bCs/>
          <w:color w:val="auto"/>
        </w:rPr>
        <w:t>资料。</w:t>
      </w:r>
      <w:bookmarkEnd w:id="137"/>
      <w:bookmarkEnd w:id="138"/>
    </w:p>
    <w:p>
      <w:pPr>
        <w:spacing w:line="360" w:lineRule="auto"/>
        <w:ind w:firstLine="275" w:firstLineChars="98"/>
        <w:rPr>
          <w:rFonts w:ascii="宋体" w:hAnsi="宋体" w:eastAsia="宋体"/>
          <w:b/>
          <w:color w:val="auto"/>
          <w:sz w:val="28"/>
        </w:rPr>
      </w:pPr>
      <w:bookmarkStart w:id="139" w:name="bookmark42"/>
      <w:bookmarkEnd w:id="139"/>
      <w:r>
        <w:rPr>
          <w:rFonts w:ascii="宋体" w:hAnsi="宋体" w:eastAsia="宋体"/>
          <w:b/>
          <w:color w:val="auto"/>
          <w:sz w:val="28"/>
        </w:rPr>
        <w:t>3.2投标报价</w:t>
      </w:r>
    </w:p>
    <w:p>
      <w:pPr>
        <w:pStyle w:val="18"/>
        <w:numPr>
          <w:ilvl w:val="2"/>
          <w:numId w:val="29"/>
        </w:numPr>
        <w:kinsoku w:val="0"/>
        <w:spacing w:line="360" w:lineRule="auto"/>
        <w:ind w:left="0" w:firstLine="480" w:firstLineChars="200"/>
        <w:rPr>
          <w:rFonts w:hAnsi="宋体" w:cs="Arial"/>
          <w:color w:val="auto"/>
        </w:rPr>
      </w:pPr>
      <w:r>
        <w:rPr>
          <w:rFonts w:hAnsi="宋体" w:cs="Arial"/>
          <w:color w:val="auto"/>
        </w:rPr>
        <w:t>投标人应按照第八章“投标文件格式”的要求填写投标报价。</w:t>
      </w:r>
    </w:p>
    <w:p>
      <w:pPr>
        <w:pStyle w:val="18"/>
        <w:numPr>
          <w:ilvl w:val="2"/>
          <w:numId w:val="29"/>
        </w:numPr>
        <w:kinsoku w:val="0"/>
        <w:spacing w:line="360" w:lineRule="auto"/>
        <w:ind w:left="0" w:firstLine="480" w:firstLineChars="200"/>
        <w:rPr>
          <w:rFonts w:hAnsi="宋体" w:cs="Arial"/>
          <w:color w:val="auto"/>
        </w:rPr>
      </w:pPr>
      <w:r>
        <w:rPr>
          <w:rFonts w:hAnsi="宋体" w:cs="Arial"/>
          <w:color w:val="auto"/>
        </w:rPr>
        <w:t>投标人在投标截止时间前修改投标函中的投标报价总额，应同时修改投标文件“投标报价”中的相应报价，投标报价总额为各分项金额之和。此修改须符合本章</w:t>
      </w:r>
      <w:r>
        <w:rPr>
          <w:rFonts w:ascii="宋体" w:hAnsi="宋体" w:cs="Arial"/>
          <w:color w:val="auto"/>
        </w:rPr>
        <w:t>第4.3款</w:t>
      </w:r>
      <w:r>
        <w:rPr>
          <w:rFonts w:hAnsi="宋体" w:cs="Arial"/>
          <w:color w:val="auto"/>
        </w:rPr>
        <w:t>的有关要求。</w:t>
      </w:r>
    </w:p>
    <w:p>
      <w:pPr>
        <w:pStyle w:val="18"/>
        <w:numPr>
          <w:ilvl w:val="2"/>
          <w:numId w:val="29"/>
        </w:numPr>
        <w:kinsoku w:val="0"/>
        <w:spacing w:line="360" w:lineRule="auto"/>
        <w:ind w:left="0" w:firstLine="480" w:firstLineChars="200"/>
        <w:rPr>
          <w:rFonts w:hAnsi="宋体" w:cs="Arial"/>
          <w:color w:val="auto"/>
        </w:rPr>
      </w:pPr>
      <w:r>
        <w:rPr>
          <w:rFonts w:hAnsi="宋体" w:cs="Arial"/>
          <w:color w:val="auto"/>
        </w:rPr>
        <w:t>工程量清单计价方式：见投标人须知前附表，投标人应按第</w:t>
      </w:r>
      <w:r>
        <w:rPr>
          <w:rFonts w:hint="eastAsia" w:hAnsi="宋体" w:cs="Arial"/>
          <w:color w:val="auto"/>
        </w:rPr>
        <w:t>五</w:t>
      </w:r>
      <w:r>
        <w:rPr>
          <w:rFonts w:hAnsi="宋体" w:cs="Arial"/>
          <w:color w:val="auto"/>
        </w:rPr>
        <w:t>章“工程量清单编制”的要求填写相应表格，具体表式按招标文件第八章“投标文件格式”提供并报价</w:t>
      </w:r>
      <w:r>
        <w:rPr>
          <w:rFonts w:hint="eastAsia" w:hAnsi="宋体" w:cs="Arial"/>
          <w:color w:val="auto"/>
        </w:rPr>
        <w:t>。</w:t>
      </w:r>
    </w:p>
    <w:p>
      <w:pPr>
        <w:pStyle w:val="18"/>
        <w:numPr>
          <w:ilvl w:val="2"/>
          <w:numId w:val="29"/>
        </w:numPr>
        <w:kinsoku w:val="0"/>
        <w:spacing w:line="360" w:lineRule="auto"/>
        <w:ind w:left="0" w:firstLine="480" w:firstLineChars="200"/>
        <w:rPr>
          <w:rFonts w:hAnsi="宋体" w:cs="Arial"/>
          <w:color w:val="auto"/>
        </w:rPr>
      </w:pPr>
      <w:r>
        <w:rPr>
          <w:rFonts w:hint="eastAsia" w:hAnsi="宋体" w:cs="Arial"/>
          <w:color w:val="auto"/>
        </w:rPr>
        <w:t>招标人设有最高投标限价的，投标人的投标报价不得超过最高投标限价，最高投标限价或其计算方法在投标人须知前附表中载明。</w:t>
      </w:r>
    </w:p>
    <w:p>
      <w:pPr>
        <w:pStyle w:val="18"/>
        <w:numPr>
          <w:ilvl w:val="2"/>
          <w:numId w:val="29"/>
        </w:numPr>
        <w:kinsoku w:val="0"/>
        <w:spacing w:line="360" w:lineRule="auto"/>
        <w:ind w:left="0" w:firstLine="480" w:firstLineChars="200"/>
        <w:rPr>
          <w:rFonts w:hAnsi="宋体"/>
          <w:color w:val="auto"/>
          <w:sz w:val="19"/>
          <w:szCs w:val="19"/>
        </w:rPr>
      </w:pPr>
      <w:r>
        <w:rPr>
          <w:rFonts w:hint="eastAsia" w:hAnsi="宋体" w:cs="Arial"/>
          <w:color w:val="auto"/>
        </w:rPr>
        <w:t>投标报价的其他要求见投标人须知前附表。</w:t>
      </w:r>
    </w:p>
    <w:p>
      <w:pPr>
        <w:spacing w:line="360" w:lineRule="auto"/>
        <w:ind w:firstLine="275" w:firstLineChars="98"/>
        <w:rPr>
          <w:rFonts w:ascii="宋体" w:hAnsi="宋体" w:eastAsia="宋体"/>
          <w:b/>
          <w:color w:val="auto"/>
          <w:sz w:val="28"/>
        </w:rPr>
      </w:pPr>
      <w:bookmarkStart w:id="140" w:name="bookmark43"/>
      <w:bookmarkEnd w:id="140"/>
      <w:r>
        <w:rPr>
          <w:rFonts w:ascii="宋体" w:hAnsi="宋体" w:eastAsia="宋体"/>
          <w:b/>
          <w:color w:val="auto"/>
          <w:sz w:val="28"/>
        </w:rPr>
        <w:t>3.3投标有效期</w:t>
      </w:r>
    </w:p>
    <w:p>
      <w:pPr>
        <w:pStyle w:val="18"/>
        <w:numPr>
          <w:ilvl w:val="2"/>
          <w:numId w:val="30"/>
        </w:numPr>
        <w:kinsoku w:val="0"/>
        <w:snapToGrid w:val="0"/>
        <w:spacing w:line="360" w:lineRule="auto"/>
        <w:ind w:left="0" w:firstLine="480" w:firstLineChars="200"/>
        <w:rPr>
          <w:rFonts w:hAnsi="宋体"/>
          <w:color w:val="auto"/>
        </w:rPr>
      </w:pPr>
      <w:r>
        <w:rPr>
          <w:rFonts w:hint="eastAsia" w:hAnsi="宋体"/>
          <w:color w:val="auto"/>
        </w:rPr>
        <w:t>在投标人须知前附表规定的投标有效期内，投标人不得要求撤销或修改其投标文件。</w:t>
      </w:r>
    </w:p>
    <w:p>
      <w:pPr>
        <w:pStyle w:val="18"/>
        <w:numPr>
          <w:ilvl w:val="2"/>
          <w:numId w:val="30"/>
        </w:numPr>
        <w:kinsoku w:val="0"/>
        <w:snapToGrid w:val="0"/>
        <w:spacing w:line="360" w:lineRule="auto"/>
        <w:ind w:left="0" w:firstLine="480" w:firstLineChars="200"/>
        <w:rPr>
          <w:rFonts w:hAnsi="宋体"/>
          <w:color w:val="auto"/>
        </w:rPr>
      </w:pPr>
      <w:r>
        <w:rPr>
          <w:rFonts w:hint="eastAsia" w:hAnsi="宋体"/>
          <w:color w:val="auto"/>
        </w:rPr>
        <w:t>在投标有效期内，投标人撤销投标文件的，应承担招标文件和法律规定的责任。</w:t>
      </w:r>
    </w:p>
    <w:p>
      <w:pPr>
        <w:pStyle w:val="18"/>
        <w:numPr>
          <w:ilvl w:val="2"/>
          <w:numId w:val="30"/>
        </w:numPr>
        <w:kinsoku w:val="0"/>
        <w:snapToGrid w:val="0"/>
        <w:spacing w:line="360" w:lineRule="auto"/>
        <w:ind w:left="0" w:firstLine="480" w:firstLineChars="200"/>
        <w:rPr>
          <w:rFonts w:hAnsi="宋体"/>
          <w:color w:val="auto"/>
        </w:rPr>
      </w:pPr>
      <w:r>
        <w:rPr>
          <w:rFonts w:hint="eastAsia" w:hAnsi="宋体"/>
          <w:color w:val="auto"/>
        </w:rPr>
        <w:t>出现特殊情况需要延长投标有效期的，招标人以书面形式（或电子交易平台）通知所有投标人延长投标有效期。投标人应予以书面答复，同意延长的，应相应延长其投标保证金的有效期，但不得要求或被允许修改其投标文件；投标人拒绝延长的，其投标失效，但投标人有权收回其投标保证金。</w:t>
      </w:r>
    </w:p>
    <w:p>
      <w:pPr>
        <w:spacing w:line="360" w:lineRule="auto"/>
        <w:ind w:firstLine="275" w:firstLineChars="98"/>
        <w:rPr>
          <w:rFonts w:ascii="宋体" w:hAnsi="宋体" w:eastAsia="宋体"/>
          <w:b/>
          <w:color w:val="auto"/>
          <w:sz w:val="28"/>
        </w:rPr>
      </w:pPr>
      <w:bookmarkStart w:id="141" w:name="bookmark44"/>
      <w:bookmarkEnd w:id="141"/>
      <w:r>
        <w:rPr>
          <w:rFonts w:ascii="宋体" w:hAnsi="宋体" w:eastAsia="宋体"/>
          <w:b/>
          <w:color w:val="auto"/>
          <w:sz w:val="28"/>
        </w:rPr>
        <w:t>3.4投标保证金</w:t>
      </w:r>
    </w:p>
    <w:p>
      <w:pPr>
        <w:pStyle w:val="18"/>
        <w:numPr>
          <w:ilvl w:val="2"/>
          <w:numId w:val="31"/>
        </w:numPr>
        <w:kinsoku w:val="0"/>
        <w:snapToGrid w:val="0"/>
        <w:spacing w:line="360" w:lineRule="auto"/>
        <w:ind w:left="0" w:firstLine="456" w:firstLineChars="200"/>
        <w:jc w:val="both"/>
        <w:rPr>
          <w:rFonts w:hAnsi="宋体"/>
          <w:color w:val="auto"/>
        </w:rPr>
      </w:pPr>
      <w:r>
        <w:rPr>
          <w:rFonts w:hint="eastAsia" w:hAnsi="宋体"/>
          <w:color w:val="auto"/>
          <w:spacing w:val="-6"/>
        </w:rPr>
        <w:t>投标人在递交投标文件的同时，应按投标人须知前附</w:t>
      </w:r>
      <w:r>
        <w:rPr>
          <w:rFonts w:hint="eastAsia" w:hAnsi="宋体"/>
          <w:color w:val="auto"/>
          <w:lang w:val="en-US" w:eastAsia="zh-CN"/>
        </w:rPr>
        <w:t>要求</w:t>
      </w:r>
      <w:r>
        <w:rPr>
          <w:rFonts w:hint="eastAsia" w:hAnsi="宋体"/>
          <w:color w:val="auto"/>
          <w:spacing w:val="-3"/>
        </w:rPr>
        <w:t>递交投标保证金，并作为其投标文件的组成部分。</w:t>
      </w:r>
      <w:r>
        <w:rPr>
          <w:rFonts w:hint="eastAsia" w:hAnsi="宋体"/>
          <w:color w:val="auto"/>
          <w:spacing w:val="-1"/>
        </w:rPr>
        <w:t>联合体投标的由联合体牵头人递交投标保证金，并应符合投标人须知前附表的</w:t>
      </w:r>
      <w:r>
        <w:rPr>
          <w:rFonts w:hint="eastAsia" w:hAnsi="宋体"/>
          <w:color w:val="auto"/>
        </w:rPr>
        <w:t>规定。</w:t>
      </w:r>
    </w:p>
    <w:p>
      <w:pPr>
        <w:pStyle w:val="18"/>
        <w:numPr>
          <w:ilvl w:val="2"/>
          <w:numId w:val="31"/>
        </w:numPr>
        <w:kinsoku w:val="0"/>
        <w:snapToGrid w:val="0"/>
        <w:spacing w:line="360" w:lineRule="auto"/>
        <w:ind w:left="0" w:firstLine="480" w:firstLineChars="200"/>
        <w:jc w:val="both"/>
        <w:rPr>
          <w:rFonts w:hAnsi="宋体"/>
          <w:color w:val="auto"/>
        </w:rPr>
      </w:pPr>
      <w:r>
        <w:rPr>
          <w:rFonts w:hint="eastAsia" w:hAnsi="宋体"/>
          <w:color w:val="auto"/>
        </w:rPr>
        <w:t>投标人不按本章第</w:t>
      </w:r>
      <w:r>
        <w:rPr>
          <w:rFonts w:hAnsi="宋体"/>
          <w:color w:val="auto"/>
        </w:rPr>
        <w:t>3.4.1</w:t>
      </w:r>
      <w:r>
        <w:rPr>
          <w:rFonts w:hint="eastAsia" w:hAnsi="宋体"/>
          <w:color w:val="auto"/>
        </w:rPr>
        <w:t>项要求递交投标保证金的，评标委员会将否决其投标。</w:t>
      </w:r>
    </w:p>
    <w:p>
      <w:pPr>
        <w:pStyle w:val="18"/>
        <w:numPr>
          <w:ilvl w:val="2"/>
          <w:numId w:val="31"/>
        </w:numPr>
        <w:kinsoku w:val="0"/>
        <w:snapToGrid w:val="0"/>
        <w:spacing w:line="360" w:lineRule="auto"/>
        <w:ind w:left="0" w:firstLine="480" w:firstLineChars="200"/>
        <w:jc w:val="both"/>
        <w:rPr>
          <w:rFonts w:hAnsi="宋体"/>
          <w:color w:val="auto"/>
        </w:rPr>
      </w:pPr>
      <w:r>
        <w:rPr>
          <w:rFonts w:hint="eastAsia" w:hAnsi="宋体"/>
          <w:color w:val="auto"/>
        </w:rPr>
        <w:t>投标保证金的退还：</w:t>
      </w:r>
    </w:p>
    <w:p>
      <w:pPr>
        <w:pStyle w:val="18"/>
        <w:numPr>
          <w:ilvl w:val="2"/>
          <w:numId w:val="32"/>
        </w:numPr>
        <w:kinsoku w:val="0"/>
        <w:spacing w:line="360" w:lineRule="auto"/>
        <w:ind w:left="0" w:firstLine="480" w:firstLineChars="200"/>
        <w:jc w:val="both"/>
        <w:rPr>
          <w:color w:val="auto"/>
        </w:rPr>
      </w:pPr>
      <w:r>
        <w:rPr>
          <w:rFonts w:hint="eastAsia"/>
          <w:color w:val="auto"/>
        </w:rPr>
        <w:t>未中标单位的在中标通知书发出后退还。</w:t>
      </w:r>
    </w:p>
    <w:p>
      <w:pPr>
        <w:pStyle w:val="18"/>
        <w:numPr>
          <w:ilvl w:val="2"/>
          <w:numId w:val="32"/>
        </w:numPr>
        <w:kinsoku w:val="0"/>
        <w:spacing w:line="360" w:lineRule="auto"/>
        <w:ind w:left="0" w:firstLine="480" w:firstLineChars="200"/>
        <w:jc w:val="both"/>
        <w:rPr>
          <w:rFonts w:hAnsi="宋体"/>
          <w:color w:val="auto"/>
          <w:spacing w:val="-3"/>
        </w:rPr>
      </w:pPr>
      <w:r>
        <w:rPr>
          <w:rFonts w:hint="eastAsia"/>
          <w:color w:val="auto"/>
        </w:rPr>
        <w:t>中标单位的在合同签订后退还。</w:t>
      </w:r>
    </w:p>
    <w:p>
      <w:pPr>
        <w:pStyle w:val="18"/>
        <w:numPr>
          <w:ilvl w:val="2"/>
          <w:numId w:val="31"/>
        </w:numPr>
        <w:kinsoku w:val="0"/>
        <w:snapToGrid w:val="0"/>
        <w:spacing w:line="360" w:lineRule="auto"/>
        <w:ind w:left="0" w:firstLine="480" w:firstLineChars="200"/>
        <w:jc w:val="both"/>
        <w:rPr>
          <w:rFonts w:hAnsi="宋体"/>
          <w:color w:val="auto"/>
        </w:rPr>
      </w:pPr>
      <w:r>
        <w:rPr>
          <w:rFonts w:hint="eastAsia" w:hAnsi="宋体"/>
          <w:color w:val="auto"/>
        </w:rPr>
        <w:t>有下列情形之一的，投标保证金将不予退还：</w:t>
      </w:r>
    </w:p>
    <w:p>
      <w:pPr>
        <w:pStyle w:val="18"/>
        <w:numPr>
          <w:ilvl w:val="0"/>
          <w:numId w:val="33"/>
        </w:numPr>
        <w:kinsoku w:val="0"/>
        <w:snapToGrid w:val="0"/>
        <w:spacing w:line="360" w:lineRule="auto"/>
        <w:ind w:left="0" w:firstLine="476" w:firstLineChars="200"/>
        <w:rPr>
          <w:rFonts w:hAnsi="宋体"/>
          <w:color w:val="auto"/>
        </w:rPr>
      </w:pPr>
      <w:r>
        <w:rPr>
          <w:rFonts w:hint="eastAsia" w:hAnsi="宋体"/>
          <w:color w:val="auto"/>
          <w:spacing w:val="-1"/>
        </w:rPr>
        <w:t>在提交投标文件截止时间后到招标文件规定的投标有效期终止之前，投标人撤销其投标文件的</w:t>
      </w:r>
      <w:r>
        <w:rPr>
          <w:rFonts w:hAnsi="宋体"/>
          <w:color w:val="auto"/>
          <w:spacing w:val="-1"/>
        </w:rPr>
        <w:t>;</w:t>
      </w:r>
    </w:p>
    <w:p>
      <w:pPr>
        <w:pStyle w:val="18"/>
        <w:numPr>
          <w:ilvl w:val="0"/>
          <w:numId w:val="33"/>
        </w:numPr>
        <w:kinsoku w:val="0"/>
        <w:snapToGrid w:val="0"/>
        <w:spacing w:line="360" w:lineRule="auto"/>
        <w:ind w:left="0" w:firstLine="476" w:firstLineChars="200"/>
        <w:rPr>
          <w:rFonts w:hAnsi="宋体"/>
          <w:color w:val="auto"/>
        </w:rPr>
      </w:pPr>
      <w:r>
        <w:rPr>
          <w:rFonts w:hint="eastAsia" w:hAnsi="宋体"/>
          <w:color w:val="auto"/>
          <w:spacing w:val="-1"/>
        </w:rPr>
        <w:t>中标人在收到中标通知书后，无正当理由不与招标人订立合同，在签订合同时向招标</w:t>
      </w:r>
      <w:r>
        <w:rPr>
          <w:rFonts w:hint="eastAsia" w:hAnsi="宋体"/>
          <w:color w:val="auto"/>
        </w:rPr>
        <w:t>人提出附加条件，或者不按照招标文件要求提交履约担保；</w:t>
      </w:r>
    </w:p>
    <w:p>
      <w:pPr>
        <w:pStyle w:val="18"/>
        <w:numPr>
          <w:ilvl w:val="0"/>
          <w:numId w:val="33"/>
        </w:numPr>
        <w:kinsoku w:val="0"/>
        <w:snapToGrid w:val="0"/>
        <w:spacing w:line="360" w:lineRule="auto"/>
        <w:ind w:left="0" w:firstLine="480" w:firstLineChars="200"/>
        <w:rPr>
          <w:rFonts w:hAnsi="宋体"/>
          <w:color w:val="auto"/>
        </w:rPr>
      </w:pPr>
      <w:r>
        <w:rPr>
          <w:rFonts w:hint="eastAsia" w:hAnsi="宋体"/>
          <w:color w:val="auto"/>
        </w:rPr>
        <w:t>投标人须知前附表规定的其他情形。</w:t>
      </w:r>
    </w:p>
    <w:p>
      <w:pPr>
        <w:spacing w:line="360" w:lineRule="auto"/>
        <w:ind w:firstLine="273" w:firstLineChars="97"/>
        <w:rPr>
          <w:rFonts w:ascii="宋体" w:hAnsi="宋体" w:eastAsia="宋体"/>
          <w:b/>
          <w:color w:val="auto"/>
          <w:sz w:val="28"/>
        </w:rPr>
      </w:pPr>
      <w:bookmarkStart w:id="142" w:name="bookmark45"/>
      <w:bookmarkEnd w:id="142"/>
      <w:r>
        <w:rPr>
          <w:rFonts w:ascii="宋体" w:hAnsi="宋体" w:eastAsia="宋体"/>
          <w:b/>
          <w:color w:val="auto"/>
          <w:sz w:val="28"/>
        </w:rPr>
        <w:t>3.5资格审查证明资料</w:t>
      </w:r>
    </w:p>
    <w:p>
      <w:pPr>
        <w:pStyle w:val="18"/>
        <w:kinsoku w:val="0"/>
        <w:spacing w:line="360" w:lineRule="auto"/>
        <w:ind w:left="0" w:firstLine="480" w:firstLineChars="200"/>
        <w:rPr>
          <w:rFonts w:ascii="宋体" w:hAnsi="宋体" w:eastAsia="宋体"/>
          <w:color w:val="auto"/>
        </w:rPr>
      </w:pPr>
      <w:r>
        <w:rPr>
          <w:rFonts w:ascii="宋体" w:hAnsi="宋体" w:eastAsia="宋体"/>
          <w:color w:val="auto"/>
        </w:rPr>
        <w:t>3.5.1</w:t>
      </w:r>
      <w:r>
        <w:rPr>
          <w:rFonts w:ascii="宋体" w:hAnsi="宋体" w:eastAsia="宋体"/>
          <w:color w:val="auto"/>
          <w:spacing w:val="-4"/>
        </w:rPr>
        <w:t>“</w:t>
      </w:r>
      <w:r>
        <w:rPr>
          <w:rFonts w:hint="eastAsia" w:ascii="宋体" w:hAnsi="宋体" w:eastAsia="宋体"/>
          <w:color w:val="auto"/>
          <w:spacing w:val="-4"/>
        </w:rPr>
        <w:t>投标人基本情况表</w:t>
      </w:r>
      <w:r>
        <w:rPr>
          <w:rFonts w:ascii="宋体" w:hAnsi="宋体" w:eastAsia="宋体"/>
          <w:color w:val="auto"/>
          <w:spacing w:val="-4"/>
        </w:rPr>
        <w:t>”</w:t>
      </w:r>
      <w:r>
        <w:rPr>
          <w:rFonts w:hint="eastAsia" w:ascii="宋体" w:hAnsi="宋体" w:eastAsia="宋体"/>
          <w:color w:val="auto"/>
          <w:spacing w:val="-4"/>
        </w:rPr>
        <w:t>应附投标人营业执照和组织机构代码证的复制件（按照</w:t>
      </w:r>
      <w:r>
        <w:rPr>
          <w:rFonts w:ascii="宋体" w:hAnsi="宋体" w:eastAsia="宋体"/>
          <w:color w:val="auto"/>
          <w:spacing w:val="-4"/>
        </w:rPr>
        <w:t>“</w:t>
      </w:r>
      <w:r>
        <w:rPr>
          <w:rFonts w:hint="eastAsia" w:ascii="宋体" w:hAnsi="宋体" w:eastAsia="宋体"/>
          <w:color w:val="auto"/>
          <w:spacing w:val="-4"/>
        </w:rPr>
        <w:t>三证合一</w:t>
      </w:r>
      <w:r>
        <w:rPr>
          <w:rFonts w:ascii="宋体" w:hAnsi="宋体" w:eastAsia="宋体"/>
          <w:color w:val="auto"/>
          <w:spacing w:val="-4"/>
        </w:rPr>
        <w:t>”</w:t>
      </w:r>
      <w:r>
        <w:rPr>
          <w:rFonts w:hint="eastAsia" w:ascii="宋体" w:hAnsi="宋体" w:eastAsia="宋体"/>
          <w:color w:val="auto"/>
          <w:spacing w:val="-6"/>
        </w:rPr>
        <w:t>或</w:t>
      </w:r>
      <w:r>
        <w:rPr>
          <w:rFonts w:ascii="宋体" w:hAnsi="宋体" w:eastAsia="宋体"/>
          <w:color w:val="auto"/>
          <w:spacing w:val="-6"/>
        </w:rPr>
        <w:t>“</w:t>
      </w:r>
      <w:r>
        <w:rPr>
          <w:rFonts w:hint="eastAsia" w:ascii="宋体" w:hAnsi="宋体" w:eastAsia="宋体"/>
          <w:color w:val="auto"/>
          <w:spacing w:val="-6"/>
        </w:rPr>
        <w:t>五证合一</w:t>
      </w:r>
      <w:r>
        <w:rPr>
          <w:rFonts w:ascii="宋体" w:hAnsi="宋体" w:eastAsia="宋体"/>
          <w:color w:val="auto"/>
          <w:spacing w:val="-6"/>
        </w:rPr>
        <w:t>”</w:t>
      </w:r>
      <w:r>
        <w:rPr>
          <w:rFonts w:hint="eastAsia" w:ascii="宋体" w:hAnsi="宋体" w:eastAsia="宋体"/>
          <w:color w:val="auto"/>
          <w:spacing w:val="-6"/>
        </w:rPr>
        <w:t>登记制度进行登记的，可仅提供营业执照复制件）、投标人资质证书、安全生产许可证副本等材</w:t>
      </w:r>
      <w:r>
        <w:rPr>
          <w:rFonts w:hint="eastAsia" w:ascii="宋体" w:hAnsi="宋体" w:eastAsia="宋体"/>
          <w:color w:val="auto"/>
        </w:rPr>
        <w:t>料的复制件。</w:t>
      </w:r>
    </w:p>
    <w:p>
      <w:pPr>
        <w:pStyle w:val="18"/>
        <w:shd w:val="clear" w:color="auto" w:fill="FFFFFF"/>
        <w:kinsoku w:val="0"/>
        <w:spacing w:line="360" w:lineRule="auto"/>
        <w:ind w:left="0" w:firstLine="480" w:firstLineChars="200"/>
        <w:jc w:val="both"/>
        <w:rPr>
          <w:rFonts w:ascii="宋体" w:hAnsi="宋体" w:eastAsia="宋体"/>
          <w:bCs/>
          <w:color w:val="auto"/>
        </w:rPr>
      </w:pPr>
      <w:r>
        <w:rPr>
          <w:rFonts w:ascii="宋体" w:hAnsi="宋体" w:eastAsia="宋体"/>
          <w:color w:val="auto"/>
        </w:rPr>
        <w:t>3.5.2</w:t>
      </w:r>
      <w:r>
        <w:rPr>
          <w:rFonts w:ascii="宋体" w:hAnsi="宋体" w:eastAsia="宋体"/>
          <w:bCs/>
          <w:color w:val="auto"/>
        </w:rPr>
        <w:t>企业主要负责人（法定代表人、企业经理、企业分管安全生产的副经理、企业技术负责人）</w:t>
      </w:r>
      <w:r>
        <w:rPr>
          <w:rFonts w:hint="eastAsia" w:ascii="宋体" w:hAnsi="宋体" w:eastAsia="宋体"/>
          <w:bCs/>
          <w:color w:val="auto"/>
        </w:rPr>
        <w:t>专职安全生产管理人员</w:t>
      </w:r>
      <w:r>
        <w:rPr>
          <w:rFonts w:ascii="宋体" w:hAnsi="宋体" w:eastAsia="宋体"/>
          <w:bCs/>
          <w:color w:val="auto"/>
        </w:rPr>
        <w:t>A类证书</w:t>
      </w:r>
      <w:r>
        <w:rPr>
          <w:rFonts w:hint="eastAsia" w:ascii="宋体" w:hAnsi="宋体" w:eastAsia="宋体"/>
          <w:bCs/>
          <w:color w:val="auto"/>
        </w:rPr>
        <w:t>和</w:t>
      </w:r>
      <w:r>
        <w:rPr>
          <w:rFonts w:ascii="宋体" w:hAnsi="宋体" w:eastAsia="宋体"/>
          <w:bCs/>
          <w:color w:val="auto"/>
        </w:rPr>
        <w:t>企业分管安全生产副经理企业的任命书</w:t>
      </w:r>
      <w:r>
        <w:rPr>
          <w:rFonts w:hint="eastAsia" w:ascii="宋体" w:hAnsi="宋体" w:eastAsia="宋体"/>
          <w:bCs/>
          <w:color w:val="auto"/>
        </w:rPr>
        <w:t>复制件。□企业经理、技术负责人任命书复制件。</w:t>
      </w:r>
    </w:p>
    <w:p>
      <w:pPr>
        <w:pStyle w:val="18"/>
        <w:kinsoku w:val="0"/>
        <w:spacing w:line="360" w:lineRule="auto"/>
        <w:ind w:left="0" w:firstLine="480" w:firstLineChars="200"/>
        <w:jc w:val="both"/>
        <w:rPr>
          <w:rFonts w:ascii="宋体" w:hAnsi="宋体" w:eastAsia="宋体"/>
          <w:color w:val="auto"/>
        </w:rPr>
      </w:pPr>
      <w:r>
        <w:rPr>
          <w:rFonts w:ascii="宋体" w:hAnsi="宋体" w:eastAsia="宋体"/>
          <w:color w:val="auto"/>
        </w:rPr>
        <w:t>3.5.3</w:t>
      </w:r>
      <w:r>
        <w:rPr>
          <w:rFonts w:hint="eastAsia" w:ascii="宋体" w:hAnsi="宋体" w:eastAsia="宋体"/>
          <w:color w:val="auto"/>
        </w:rPr>
        <w:t>拟派</w:t>
      </w:r>
      <w:r>
        <w:rPr>
          <w:rFonts w:hint="eastAsia" w:ascii="宋体" w:hAnsi="宋体"/>
          <w:color w:val="auto"/>
        </w:rPr>
        <w:t>项目负责人</w:t>
      </w:r>
      <w:r>
        <w:rPr>
          <w:rFonts w:ascii="宋体" w:hAnsi="宋体" w:eastAsia="宋体"/>
          <w:color w:val="auto"/>
        </w:rPr>
        <w:t>建造师执业资格</w:t>
      </w:r>
      <w:r>
        <w:rPr>
          <w:rFonts w:hint="eastAsia" w:ascii="宋体" w:hAnsi="宋体" w:eastAsia="宋体"/>
          <w:color w:val="auto"/>
        </w:rPr>
        <w:t>，</w:t>
      </w:r>
      <w:r>
        <w:rPr>
          <w:rFonts w:ascii="宋体" w:hAnsi="宋体" w:eastAsia="宋体"/>
          <w:color w:val="auto"/>
        </w:rPr>
        <w:t>同时具有</w:t>
      </w:r>
      <w:r>
        <w:rPr>
          <w:rFonts w:hint="eastAsia" w:ascii="宋体" w:hAnsi="宋体" w:eastAsia="宋体"/>
          <w:bCs/>
          <w:color w:val="auto"/>
        </w:rPr>
        <w:t>专职</w:t>
      </w:r>
      <w:r>
        <w:rPr>
          <w:rFonts w:hint="eastAsia" w:ascii="宋体" w:hAnsi="宋体" w:eastAsia="宋体"/>
          <w:color w:val="auto"/>
        </w:rPr>
        <w:t>安全生产管理人员</w:t>
      </w:r>
      <w:r>
        <w:rPr>
          <w:rFonts w:ascii="宋体" w:hAnsi="宋体" w:eastAsia="宋体"/>
          <w:color w:val="auto"/>
        </w:rPr>
        <w:t>B</w:t>
      </w:r>
      <w:r>
        <w:rPr>
          <w:rFonts w:hint="eastAsia" w:ascii="宋体" w:hAnsi="宋体" w:eastAsia="宋体"/>
          <w:color w:val="auto"/>
        </w:rPr>
        <w:t>类证书复制件。</w:t>
      </w:r>
    </w:p>
    <w:p>
      <w:pPr>
        <w:pStyle w:val="18"/>
        <w:spacing w:line="360" w:lineRule="auto"/>
        <w:ind w:left="0" w:firstLine="480" w:firstLineChars="200"/>
        <w:rPr>
          <w:rFonts w:ascii="宋体" w:hAnsi="宋体" w:eastAsia="宋体"/>
          <w:color w:val="auto"/>
        </w:rPr>
      </w:pPr>
      <w:r>
        <w:rPr>
          <w:rFonts w:ascii="宋体" w:hAnsi="宋体" w:eastAsia="宋体"/>
          <w:color w:val="auto"/>
        </w:rPr>
        <w:t>3.5.4</w:t>
      </w:r>
      <w:r>
        <w:rPr>
          <w:rFonts w:ascii="宋体" w:hAnsi="宋体" w:eastAsia="宋体"/>
          <w:bCs/>
          <w:color w:val="auto"/>
        </w:rPr>
        <w:t>施工现场专职安全生产管理人员有效的</w:t>
      </w:r>
      <w:r>
        <w:rPr>
          <w:rFonts w:hint="eastAsia" w:ascii="宋体" w:hAnsi="宋体" w:eastAsia="宋体"/>
          <w:bCs/>
          <w:color w:val="auto"/>
        </w:rPr>
        <w:t>专职安全生产管理人员</w:t>
      </w:r>
      <w:r>
        <w:rPr>
          <w:rFonts w:ascii="宋体" w:hAnsi="宋体" w:eastAsia="宋体"/>
          <w:bCs/>
          <w:color w:val="auto"/>
        </w:rPr>
        <w:t>C类证书</w:t>
      </w:r>
      <w:r>
        <w:rPr>
          <w:rFonts w:hint="eastAsia" w:ascii="宋体" w:hAnsi="宋体" w:eastAsia="宋体"/>
          <w:bCs/>
          <w:color w:val="auto"/>
        </w:rPr>
        <w:t>复制件。</w:t>
      </w:r>
    </w:p>
    <w:p>
      <w:pPr>
        <w:pStyle w:val="18"/>
        <w:kinsoku w:val="0"/>
        <w:spacing w:line="360" w:lineRule="auto"/>
        <w:ind w:left="0" w:firstLine="480" w:firstLineChars="200"/>
        <w:jc w:val="both"/>
        <w:rPr>
          <w:rFonts w:ascii="宋体" w:hAnsi="宋体" w:eastAsia="宋体"/>
          <w:color w:val="auto"/>
        </w:rPr>
      </w:pPr>
      <w:r>
        <w:rPr>
          <w:rFonts w:ascii="宋体" w:hAnsi="宋体" w:eastAsia="宋体"/>
          <w:color w:val="auto"/>
        </w:rPr>
        <w:t>3.5.5</w:t>
      </w:r>
      <w:r>
        <w:rPr>
          <w:rFonts w:hint="eastAsia" w:ascii="宋体" w:hAnsi="宋体" w:eastAsia="宋体"/>
          <w:color w:val="auto"/>
          <w:spacing w:val="-5"/>
        </w:rPr>
        <w:t>投标人须知前附表规定接受联合体投标的，本章第</w:t>
      </w:r>
      <w:r>
        <w:rPr>
          <w:rFonts w:ascii="宋体" w:hAnsi="宋体" w:eastAsia="宋体"/>
          <w:color w:val="auto"/>
        </w:rPr>
        <w:t>3.5.1</w:t>
      </w:r>
      <w:r>
        <w:rPr>
          <w:rFonts w:hint="eastAsia" w:ascii="宋体" w:hAnsi="宋体" w:eastAsia="宋体"/>
          <w:color w:val="auto"/>
        </w:rPr>
        <w:t>项至第</w:t>
      </w:r>
      <w:r>
        <w:rPr>
          <w:rFonts w:ascii="宋体" w:hAnsi="宋体" w:eastAsia="宋体"/>
          <w:color w:val="auto"/>
        </w:rPr>
        <w:t>3.5.2</w:t>
      </w:r>
      <w:r>
        <w:rPr>
          <w:rFonts w:hint="eastAsia" w:ascii="宋体" w:hAnsi="宋体" w:eastAsia="宋体"/>
          <w:color w:val="auto"/>
        </w:rPr>
        <w:t>项规定的表格和资料应包括联合体各方相关情况。</w:t>
      </w:r>
    </w:p>
    <w:p>
      <w:pPr>
        <w:pStyle w:val="18"/>
        <w:kinsoku w:val="0"/>
        <w:spacing w:line="360" w:lineRule="auto"/>
        <w:ind w:left="0" w:firstLine="480" w:firstLineChars="200"/>
        <w:jc w:val="both"/>
        <w:rPr>
          <w:rFonts w:ascii="宋体" w:hAnsi="宋体" w:eastAsia="宋体"/>
          <w:color w:val="auto"/>
          <w:sz w:val="14"/>
          <w:szCs w:val="14"/>
        </w:rPr>
      </w:pPr>
      <w:r>
        <w:rPr>
          <w:rFonts w:ascii="宋体" w:hAnsi="宋体" w:eastAsia="宋体"/>
          <w:color w:val="auto"/>
        </w:rPr>
        <w:t>3.5.6</w:t>
      </w:r>
      <w:r>
        <w:rPr>
          <w:rFonts w:hint="eastAsia" w:ascii="宋体" w:hAnsi="宋体" w:eastAsia="宋体"/>
          <w:color w:val="auto"/>
        </w:rPr>
        <w:t>其他见须知前附表。</w:t>
      </w:r>
    </w:p>
    <w:p>
      <w:pPr>
        <w:spacing w:line="360" w:lineRule="auto"/>
        <w:ind w:firstLine="273" w:firstLineChars="97"/>
        <w:rPr>
          <w:rFonts w:ascii="宋体" w:hAnsi="宋体" w:eastAsia="宋体"/>
          <w:b/>
          <w:color w:val="auto"/>
          <w:sz w:val="28"/>
        </w:rPr>
      </w:pPr>
      <w:bookmarkStart w:id="143" w:name="bookmark47"/>
      <w:bookmarkEnd w:id="143"/>
      <w:r>
        <w:rPr>
          <w:rFonts w:ascii="宋体" w:hAnsi="宋体" w:eastAsia="宋体"/>
          <w:b/>
          <w:color w:val="auto"/>
          <w:sz w:val="28"/>
        </w:rPr>
        <w:t>3.6备选投标方案</w:t>
      </w:r>
    </w:p>
    <w:p>
      <w:pPr>
        <w:pStyle w:val="18"/>
        <w:kinsoku w:val="0"/>
        <w:spacing w:line="360" w:lineRule="auto"/>
        <w:ind w:left="0" w:firstLine="480" w:firstLineChars="200"/>
        <w:jc w:val="both"/>
        <w:rPr>
          <w:rFonts w:ascii="宋体" w:hAnsi="宋体" w:eastAsia="宋体"/>
          <w:color w:val="auto"/>
        </w:rPr>
      </w:pPr>
      <w:r>
        <w:rPr>
          <w:rFonts w:ascii="宋体" w:hAnsi="宋体" w:eastAsia="宋体"/>
          <w:color w:val="auto"/>
        </w:rPr>
        <w:t>3.6.1</w:t>
      </w:r>
      <w:r>
        <w:rPr>
          <w:rFonts w:hint="eastAsia" w:ascii="宋体" w:hAnsi="宋体" w:eastAsia="宋体"/>
          <w:color w:val="auto"/>
        </w:rPr>
        <w:t>投标人不得递交备选投标方案，否则其投标将被否决。</w:t>
      </w:r>
    </w:p>
    <w:p>
      <w:pPr>
        <w:spacing w:line="360" w:lineRule="auto"/>
        <w:ind w:firstLine="273" w:firstLineChars="97"/>
        <w:rPr>
          <w:rFonts w:ascii="宋体" w:hAnsi="宋体" w:eastAsia="宋体"/>
          <w:b/>
          <w:color w:val="auto"/>
          <w:sz w:val="28"/>
        </w:rPr>
      </w:pPr>
      <w:bookmarkStart w:id="144" w:name="bookmark48"/>
      <w:bookmarkEnd w:id="144"/>
      <w:r>
        <w:rPr>
          <w:rFonts w:ascii="宋体" w:hAnsi="宋体" w:eastAsia="宋体"/>
          <w:b/>
          <w:color w:val="auto"/>
          <w:sz w:val="28"/>
        </w:rPr>
        <w:t>3.7投标文件的编制</w:t>
      </w:r>
    </w:p>
    <w:p>
      <w:pPr>
        <w:pStyle w:val="18"/>
        <w:kinsoku w:val="0"/>
        <w:spacing w:line="360" w:lineRule="auto"/>
        <w:ind w:left="0" w:firstLine="480" w:firstLineChars="200"/>
        <w:jc w:val="both"/>
        <w:rPr>
          <w:rFonts w:ascii="宋体" w:hAnsi="宋体"/>
          <w:color w:val="auto"/>
        </w:rPr>
      </w:pPr>
      <w:r>
        <w:rPr>
          <w:rFonts w:ascii="宋体" w:hAnsi="宋体"/>
          <w:color w:val="auto"/>
        </w:rPr>
        <w:t>3.7.1</w:t>
      </w:r>
      <w:r>
        <w:rPr>
          <w:rFonts w:hint="eastAsia" w:ascii="宋体" w:hAnsi="宋体"/>
          <w:color w:val="auto"/>
        </w:rPr>
        <w:t>投标文件应按第八章“投标文件格式”进行编写，如有必要，可以增加附页，作为投标文件的组成部分。其中，投标函附录在满足招标文件实质性要求的基础上，可以提出比招标文件要求更有利于招标人的承诺。投标文件应尽量避免涂改、行间插字或删除。</w:t>
      </w:r>
    </w:p>
    <w:p>
      <w:pPr>
        <w:pStyle w:val="18"/>
        <w:kinsoku w:val="0"/>
        <w:spacing w:line="360" w:lineRule="auto"/>
        <w:ind w:left="0" w:firstLine="480" w:firstLineChars="200"/>
        <w:jc w:val="both"/>
        <w:rPr>
          <w:rFonts w:ascii="宋体" w:hAnsi="宋体"/>
          <w:color w:val="auto"/>
        </w:rPr>
      </w:pPr>
      <w:r>
        <w:rPr>
          <w:rFonts w:ascii="宋体" w:hAnsi="宋体"/>
          <w:color w:val="auto"/>
        </w:rPr>
        <w:t>3.7.2</w:t>
      </w:r>
      <w:r>
        <w:rPr>
          <w:rFonts w:hint="eastAsia" w:ascii="宋体" w:hAnsi="宋体"/>
          <w:color w:val="auto"/>
        </w:rPr>
        <w:t>投标文件应当对招标文件有关工期、投标有效期、质量要求、技术标准和要求、招标范围等实质性内容作出响应。</w:t>
      </w:r>
    </w:p>
    <w:p>
      <w:pPr>
        <w:pStyle w:val="18"/>
        <w:kinsoku w:val="0"/>
        <w:spacing w:line="360" w:lineRule="auto"/>
        <w:ind w:left="0" w:firstLine="480" w:firstLineChars="200"/>
        <w:jc w:val="both"/>
        <w:rPr>
          <w:rFonts w:ascii="宋体" w:hAnsi="宋体"/>
          <w:color w:val="auto"/>
        </w:rPr>
      </w:pPr>
      <w:r>
        <w:rPr>
          <w:rFonts w:ascii="宋体" w:hAnsi="宋体"/>
          <w:color w:val="auto"/>
        </w:rPr>
        <w:t>3.7.3</w:t>
      </w:r>
      <w:r>
        <w:rPr>
          <w:rFonts w:hint="eastAsia" w:ascii="宋体" w:hAnsi="宋体"/>
          <w:color w:val="auto"/>
        </w:rPr>
        <w:t>电子投标的要求</w:t>
      </w:r>
    </w:p>
    <w:p>
      <w:pPr>
        <w:pStyle w:val="18"/>
        <w:kinsoku w:val="0"/>
        <w:spacing w:line="360" w:lineRule="auto"/>
        <w:ind w:left="0" w:firstLine="480" w:firstLineChars="200"/>
        <w:jc w:val="both"/>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）电子投标文件签字或盖章的具体要求见投标人须知前附表。</w:t>
      </w:r>
    </w:p>
    <w:p>
      <w:pPr>
        <w:pStyle w:val="18"/>
        <w:kinsoku w:val="0"/>
        <w:spacing w:line="360" w:lineRule="auto"/>
        <w:ind w:left="0" w:firstLine="480" w:firstLineChars="200"/>
        <w:jc w:val="both"/>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）电子投标文件制作要求见投标人须知前附表。</w:t>
      </w:r>
    </w:p>
    <w:p>
      <w:pPr>
        <w:pStyle w:val="18"/>
        <w:kinsoku w:val="0"/>
        <w:spacing w:line="360" w:lineRule="auto"/>
        <w:ind w:left="0" w:firstLine="480" w:firstLineChars="200"/>
        <w:jc w:val="both"/>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）电子投标文件所附证书证件及业绩证明文件要求见投标人须知前附表规定。</w:t>
      </w:r>
    </w:p>
    <w:p>
      <w:pPr>
        <w:pStyle w:val="18"/>
        <w:kinsoku w:val="0"/>
        <w:spacing w:line="360" w:lineRule="auto"/>
        <w:ind w:left="0" w:firstLine="480" w:firstLineChars="200"/>
        <w:jc w:val="both"/>
        <w:rPr>
          <w:rFonts w:ascii="宋体" w:hAnsi="宋体"/>
          <w:color w:val="auto"/>
        </w:rPr>
      </w:pPr>
      <w:r>
        <w:rPr>
          <w:rFonts w:ascii="宋体" w:hAnsi="宋体"/>
          <w:color w:val="auto"/>
        </w:rPr>
        <w:t>3.7.4</w:t>
      </w:r>
      <w:r>
        <w:rPr>
          <w:rFonts w:hint="eastAsia" w:ascii="宋体" w:hAnsi="宋体"/>
          <w:color w:val="auto"/>
        </w:rPr>
        <w:t>投标文件格式</w:t>
      </w:r>
    </w:p>
    <w:p>
      <w:pPr>
        <w:pStyle w:val="18"/>
        <w:kinsoku w:val="0"/>
        <w:spacing w:line="360" w:lineRule="auto"/>
        <w:ind w:left="0" w:firstLine="480" w:firstLineChars="200"/>
        <w:jc w:val="both"/>
        <w:rPr>
          <w:rFonts w:ascii="宋体" w:hAnsi="宋体"/>
          <w:color w:val="auto"/>
        </w:rPr>
      </w:pPr>
      <w:r>
        <w:rPr>
          <w:rFonts w:hint="eastAsia" w:ascii="宋体" w:hAnsi="宋体"/>
          <w:color w:val="auto"/>
        </w:rPr>
        <w:t>投标文件包括本须知第</w:t>
      </w:r>
      <w:r>
        <w:rPr>
          <w:rFonts w:ascii="宋体" w:hAnsi="宋体"/>
          <w:color w:val="auto"/>
        </w:rPr>
        <w:t>3.1</w:t>
      </w:r>
      <w:r>
        <w:rPr>
          <w:rFonts w:hint="eastAsia" w:ascii="宋体" w:hAnsi="宋体"/>
          <w:color w:val="auto"/>
        </w:rPr>
        <w:t>条中规定的内容，投标人提交的投标文件应使用招标文件所提供的投标文件全部格式</w:t>
      </w:r>
      <w:r>
        <w:rPr>
          <w:rFonts w:ascii="宋体" w:hAnsi="宋体"/>
          <w:color w:val="auto"/>
        </w:rPr>
        <w:t>(</w:t>
      </w:r>
      <w:r>
        <w:rPr>
          <w:rFonts w:hint="eastAsia" w:ascii="宋体" w:hAnsi="宋体"/>
          <w:color w:val="auto"/>
        </w:rPr>
        <w:t>表格可以按同样格式扩展</w:t>
      </w:r>
      <w:r>
        <w:rPr>
          <w:rFonts w:ascii="宋体" w:hAnsi="宋体"/>
          <w:color w:val="auto"/>
        </w:rPr>
        <w:t>)</w:t>
      </w:r>
      <w:r>
        <w:rPr>
          <w:rFonts w:hint="eastAsia" w:ascii="宋体" w:hAnsi="宋体"/>
          <w:color w:val="auto"/>
        </w:rPr>
        <w:t>。</w:t>
      </w:r>
    </w:p>
    <w:p>
      <w:pPr>
        <w:spacing w:line="360" w:lineRule="auto"/>
        <w:rPr>
          <w:rFonts w:ascii="宋体" w:hAnsi="宋体" w:eastAsia="宋体"/>
          <w:b/>
          <w:color w:val="auto"/>
          <w:sz w:val="32"/>
          <w:szCs w:val="32"/>
        </w:rPr>
      </w:pPr>
      <w:bookmarkStart w:id="145" w:name="bookmark49"/>
      <w:bookmarkEnd w:id="145"/>
      <w:bookmarkStart w:id="146" w:name="_Toc45697235"/>
      <w:bookmarkStart w:id="147" w:name="_Toc22828071"/>
      <w:bookmarkStart w:id="148" w:name="_Toc9226"/>
      <w:r>
        <w:rPr>
          <w:rFonts w:ascii="宋体" w:hAnsi="宋体" w:eastAsia="宋体"/>
          <w:b/>
          <w:color w:val="auto"/>
          <w:sz w:val="32"/>
          <w:szCs w:val="32"/>
        </w:rPr>
        <w:t>4.投标</w:t>
      </w:r>
      <w:bookmarkEnd w:id="146"/>
      <w:bookmarkEnd w:id="147"/>
      <w:bookmarkEnd w:id="148"/>
    </w:p>
    <w:p>
      <w:pPr>
        <w:numPr>
          <w:ilvl w:val="1"/>
          <w:numId w:val="34"/>
        </w:numPr>
        <w:spacing w:line="360" w:lineRule="auto"/>
        <w:ind w:left="0" w:firstLine="275" w:firstLineChars="98"/>
        <w:rPr>
          <w:rFonts w:ascii="宋体" w:hAnsi="宋体" w:eastAsia="宋体"/>
          <w:b/>
          <w:color w:val="auto"/>
          <w:sz w:val="28"/>
        </w:rPr>
      </w:pPr>
      <w:bookmarkStart w:id="149" w:name="bookmark50"/>
      <w:bookmarkEnd w:id="149"/>
      <w:r>
        <w:rPr>
          <w:rFonts w:hint="eastAsia" w:ascii="宋体" w:hAnsi="宋体" w:eastAsia="宋体"/>
          <w:b/>
          <w:color w:val="auto"/>
          <w:sz w:val="28"/>
        </w:rPr>
        <w:t>投标文件的密封和标记</w:t>
      </w:r>
    </w:p>
    <w:p>
      <w:pPr>
        <w:pStyle w:val="18"/>
        <w:kinsoku w:val="0"/>
        <w:snapToGrid w:val="0"/>
        <w:spacing w:line="360" w:lineRule="auto"/>
        <w:ind w:left="0" w:firstLine="480" w:firstLineChars="200"/>
        <w:rPr>
          <w:rFonts w:ascii="宋体" w:hAnsi="宋体"/>
          <w:color w:val="auto"/>
        </w:rPr>
      </w:pPr>
      <w:r>
        <w:rPr>
          <w:rFonts w:ascii="宋体" w:hAnsi="宋体"/>
          <w:color w:val="auto"/>
        </w:rPr>
        <w:t>4.1.1</w:t>
      </w:r>
      <w:r>
        <w:rPr>
          <w:rFonts w:hint="eastAsia" w:ascii="宋体" w:hAnsi="宋体"/>
          <w:color w:val="auto"/>
          <w:spacing w:val="-2"/>
        </w:rPr>
        <w:t>投标文件的密封、标记和电子投标加密要求</w:t>
      </w:r>
      <w:r>
        <w:rPr>
          <w:rFonts w:hint="eastAsia" w:ascii="宋体" w:hAnsi="宋体"/>
          <w:color w:val="auto"/>
        </w:rPr>
        <w:t>见投标人须知前附表。</w:t>
      </w:r>
    </w:p>
    <w:p>
      <w:pPr>
        <w:numPr>
          <w:ilvl w:val="1"/>
          <w:numId w:val="34"/>
        </w:numPr>
        <w:spacing w:line="360" w:lineRule="auto"/>
        <w:ind w:left="0" w:firstLine="275" w:firstLineChars="98"/>
        <w:rPr>
          <w:rFonts w:ascii="宋体" w:hAnsi="宋体" w:eastAsia="宋体"/>
          <w:b/>
          <w:color w:val="auto"/>
          <w:sz w:val="28"/>
        </w:rPr>
      </w:pPr>
      <w:r>
        <w:rPr>
          <w:rFonts w:hint="eastAsia" w:ascii="宋体" w:hAnsi="宋体" w:eastAsia="宋体"/>
          <w:b/>
          <w:color w:val="auto"/>
          <w:sz w:val="28"/>
        </w:rPr>
        <w:t>投标文件的递交</w:t>
      </w:r>
    </w:p>
    <w:p>
      <w:pPr>
        <w:pStyle w:val="18"/>
        <w:kinsoku w:val="0"/>
        <w:snapToGrid w:val="0"/>
        <w:spacing w:line="360" w:lineRule="auto"/>
        <w:ind w:left="0" w:firstLine="480" w:firstLineChars="200"/>
        <w:rPr>
          <w:rFonts w:ascii="宋体" w:hAnsi="宋体"/>
          <w:color w:val="auto"/>
        </w:rPr>
      </w:pPr>
      <w:r>
        <w:rPr>
          <w:rFonts w:ascii="宋体" w:hAnsi="宋体"/>
          <w:color w:val="auto"/>
        </w:rPr>
        <w:t>4.2.1</w:t>
      </w:r>
      <w:r>
        <w:rPr>
          <w:rFonts w:hint="eastAsia" w:ascii="宋体" w:hAnsi="宋体"/>
          <w:color w:val="auto"/>
        </w:rPr>
        <w:t>投标人应在投标人须知前附表规定的投标截止时间前递交投标文件。</w:t>
      </w:r>
    </w:p>
    <w:p>
      <w:pPr>
        <w:pStyle w:val="18"/>
        <w:kinsoku w:val="0"/>
        <w:snapToGrid w:val="0"/>
        <w:spacing w:line="360" w:lineRule="auto"/>
        <w:ind w:left="0" w:firstLine="480" w:firstLineChars="200"/>
        <w:rPr>
          <w:rFonts w:ascii="宋体" w:hAnsi="宋体"/>
          <w:color w:val="auto"/>
        </w:rPr>
      </w:pPr>
      <w:r>
        <w:rPr>
          <w:rFonts w:ascii="宋体" w:hAnsi="宋体"/>
          <w:color w:val="auto"/>
        </w:rPr>
        <w:t>4.2.2</w:t>
      </w:r>
      <w:r>
        <w:rPr>
          <w:rFonts w:hint="eastAsia" w:ascii="宋体" w:hAnsi="宋体"/>
          <w:color w:val="auto"/>
        </w:rPr>
        <w:t>投标人通过下载招标文件的电子招标投标交易平台递交电子投标文件。</w:t>
      </w:r>
    </w:p>
    <w:p>
      <w:pPr>
        <w:pStyle w:val="18"/>
        <w:kinsoku w:val="0"/>
        <w:snapToGrid w:val="0"/>
        <w:spacing w:line="360" w:lineRule="auto"/>
        <w:ind w:left="0" w:firstLine="480" w:firstLineChars="200"/>
        <w:rPr>
          <w:rFonts w:ascii="宋体" w:hAnsi="宋体"/>
          <w:color w:val="auto"/>
        </w:rPr>
      </w:pPr>
      <w:r>
        <w:rPr>
          <w:rFonts w:ascii="宋体" w:hAnsi="宋体"/>
          <w:color w:val="auto"/>
        </w:rPr>
        <w:t>4.2.3</w:t>
      </w:r>
      <w:r>
        <w:rPr>
          <w:rFonts w:hint="eastAsia" w:ascii="宋体" w:hAnsi="宋体"/>
          <w:color w:val="auto"/>
        </w:rPr>
        <w:t>除投标人须知前附表另有规定外，投标人所递交的投标文件不予退还。</w:t>
      </w:r>
    </w:p>
    <w:p>
      <w:pPr>
        <w:pStyle w:val="18"/>
        <w:kinsoku w:val="0"/>
        <w:snapToGrid w:val="0"/>
        <w:spacing w:line="360" w:lineRule="auto"/>
        <w:ind w:left="0" w:firstLine="480" w:firstLineChars="200"/>
        <w:rPr>
          <w:rFonts w:ascii="宋体" w:hAnsi="宋体"/>
          <w:color w:val="auto"/>
        </w:rPr>
      </w:pPr>
      <w:r>
        <w:rPr>
          <w:rFonts w:ascii="宋体" w:hAnsi="宋体"/>
          <w:color w:val="auto"/>
        </w:rPr>
        <w:t>4.2.4</w:t>
      </w:r>
      <w:r>
        <w:rPr>
          <w:rFonts w:hint="eastAsia" w:ascii="宋体" w:hAnsi="宋体"/>
          <w:color w:val="auto"/>
        </w:rPr>
        <w:t>投标人完成电子投标文件上传后，电子招标投标交易平台即时向投标人发出递交回执通知。递交时间以递交回执通知载明的传输完成时间为准。</w:t>
      </w:r>
    </w:p>
    <w:p>
      <w:pPr>
        <w:pStyle w:val="18"/>
        <w:kinsoku w:val="0"/>
        <w:snapToGrid w:val="0"/>
        <w:spacing w:line="360" w:lineRule="auto"/>
        <w:ind w:left="0" w:firstLine="480" w:firstLineChars="200"/>
        <w:rPr>
          <w:rFonts w:ascii="宋体" w:hAnsi="宋体"/>
          <w:color w:val="auto"/>
          <w:sz w:val="19"/>
          <w:szCs w:val="19"/>
        </w:rPr>
      </w:pPr>
      <w:r>
        <w:rPr>
          <w:rFonts w:ascii="宋体" w:hAnsi="宋体"/>
          <w:color w:val="auto"/>
        </w:rPr>
        <w:t>4.2.5</w:t>
      </w:r>
      <w:r>
        <w:rPr>
          <w:rFonts w:hint="eastAsia" w:ascii="宋体" w:hAnsi="宋体"/>
          <w:color w:val="auto"/>
        </w:rPr>
        <w:t>电子投标文件的拒收情形：见投标须知前附表。</w:t>
      </w:r>
    </w:p>
    <w:p>
      <w:pPr>
        <w:numPr>
          <w:ilvl w:val="1"/>
          <w:numId w:val="34"/>
        </w:numPr>
        <w:spacing w:line="360" w:lineRule="auto"/>
        <w:ind w:left="0" w:firstLine="275" w:firstLineChars="98"/>
        <w:rPr>
          <w:rFonts w:ascii="宋体" w:hAnsi="宋体" w:eastAsia="宋体"/>
          <w:b/>
          <w:color w:val="auto"/>
          <w:sz w:val="28"/>
        </w:rPr>
      </w:pPr>
      <w:bookmarkStart w:id="150" w:name="bookmark52"/>
      <w:bookmarkEnd w:id="150"/>
      <w:r>
        <w:rPr>
          <w:rFonts w:hint="eastAsia" w:ascii="宋体" w:hAnsi="宋体" w:eastAsia="宋体"/>
          <w:b/>
          <w:color w:val="auto"/>
          <w:sz w:val="28"/>
        </w:rPr>
        <w:t>投标文件的修改与撤回</w:t>
      </w:r>
    </w:p>
    <w:p>
      <w:pPr>
        <w:pStyle w:val="18"/>
        <w:kinsoku w:val="0"/>
        <w:spacing w:line="360" w:lineRule="auto"/>
        <w:ind w:left="0" w:firstLine="480" w:firstLineChars="200"/>
        <w:rPr>
          <w:rFonts w:ascii="宋体" w:hAnsi="宋体"/>
          <w:color w:val="auto"/>
          <w:spacing w:val="-4"/>
        </w:rPr>
      </w:pPr>
      <w:r>
        <w:rPr>
          <w:rFonts w:ascii="宋体" w:hAnsi="宋体"/>
          <w:color w:val="auto"/>
        </w:rPr>
        <w:t>4.3.1</w:t>
      </w:r>
      <w:r>
        <w:rPr>
          <w:rFonts w:hint="eastAsia" w:ascii="宋体" w:hAnsi="宋体"/>
          <w:color w:val="auto"/>
        </w:rPr>
        <w:t>在本章第</w:t>
      </w:r>
      <w:r>
        <w:rPr>
          <w:rFonts w:ascii="宋体" w:hAnsi="宋体"/>
          <w:color w:val="auto"/>
        </w:rPr>
        <w:t>4.2.1</w:t>
      </w:r>
      <w:r>
        <w:rPr>
          <w:rFonts w:hint="eastAsia" w:ascii="宋体" w:hAnsi="宋体"/>
          <w:color w:val="auto"/>
          <w:spacing w:val="-4"/>
        </w:rPr>
        <w:t>项规定的投标截止时间前，投标人可以修改或撤回已递交的投标文件，</w:t>
      </w:r>
      <w:r>
        <w:rPr>
          <w:rFonts w:hint="eastAsia" w:ascii="宋体" w:hAnsi="宋体"/>
          <w:color w:val="auto"/>
        </w:rPr>
        <w:t>但应以书面形式通知招标人。</w:t>
      </w:r>
      <w:r>
        <w:rPr>
          <w:rFonts w:hint="eastAsia" w:ascii="宋体" w:hAnsi="宋体"/>
          <w:color w:val="auto"/>
          <w:spacing w:val="-4"/>
        </w:rPr>
        <w:t>投标截止时间前未完成投标文件传输的，视为撤回投标文件。</w:t>
      </w:r>
    </w:p>
    <w:p>
      <w:pPr>
        <w:pStyle w:val="18"/>
        <w:kinsoku w:val="0"/>
        <w:spacing w:line="360" w:lineRule="auto"/>
        <w:ind w:left="0" w:firstLine="480" w:firstLineChars="200"/>
        <w:jc w:val="both"/>
        <w:rPr>
          <w:rFonts w:ascii="宋体" w:hAnsi="宋体"/>
          <w:color w:val="auto"/>
        </w:rPr>
      </w:pPr>
      <w:r>
        <w:rPr>
          <w:rFonts w:ascii="宋体" w:hAnsi="宋体"/>
          <w:color w:val="auto"/>
        </w:rPr>
        <w:t>4.3.2</w:t>
      </w:r>
      <w:r>
        <w:rPr>
          <w:rFonts w:hint="eastAsia" w:ascii="宋体" w:hAnsi="宋体"/>
          <w:color w:val="auto"/>
        </w:rPr>
        <w:t>投标人修改或撤回已递交投标文件的通知，应按照本章第</w:t>
      </w:r>
      <w:r>
        <w:rPr>
          <w:rFonts w:ascii="宋体" w:hAnsi="宋体"/>
          <w:color w:val="auto"/>
        </w:rPr>
        <w:t>3.7.3</w:t>
      </w:r>
      <w:r>
        <w:rPr>
          <w:rFonts w:hint="eastAsia" w:ascii="宋体" w:hAnsi="宋体"/>
          <w:color w:val="auto"/>
        </w:rPr>
        <w:t>项的要求加盖电子印章。电子招标投标交易平台收到通知后，即时向投标人发出确认回执通知。</w:t>
      </w:r>
    </w:p>
    <w:p>
      <w:pPr>
        <w:pStyle w:val="18"/>
        <w:kinsoku w:val="0"/>
        <w:spacing w:line="360" w:lineRule="auto"/>
        <w:ind w:left="0" w:firstLine="480" w:firstLineChars="200"/>
        <w:jc w:val="both"/>
        <w:rPr>
          <w:rFonts w:ascii="宋体" w:hAnsi="宋体"/>
          <w:color w:val="auto"/>
        </w:rPr>
      </w:pPr>
      <w:r>
        <w:rPr>
          <w:rFonts w:ascii="宋体" w:hAnsi="宋体"/>
          <w:color w:val="auto"/>
        </w:rPr>
        <w:t>4.3.3</w:t>
      </w:r>
      <w:r>
        <w:rPr>
          <w:rFonts w:hint="eastAsia" w:ascii="宋体" w:hAnsi="宋体"/>
          <w:color w:val="auto"/>
          <w:spacing w:val="-4"/>
        </w:rPr>
        <w:t>投标人撤回投标文件的，招标人自收到投标人书面撤回通知之日起</w:t>
      </w:r>
      <w:r>
        <w:rPr>
          <w:rFonts w:ascii="宋体" w:hAnsi="宋体"/>
          <w:color w:val="auto"/>
        </w:rPr>
        <w:t>5</w:t>
      </w:r>
      <w:r>
        <w:rPr>
          <w:rFonts w:hint="eastAsia" w:ascii="宋体" w:hAnsi="宋体"/>
          <w:color w:val="auto"/>
        </w:rPr>
        <w:t>日内退还已收取的投标保证金。</w:t>
      </w:r>
    </w:p>
    <w:p>
      <w:pPr>
        <w:pStyle w:val="18"/>
        <w:kinsoku w:val="0"/>
        <w:spacing w:line="360" w:lineRule="auto"/>
        <w:ind w:left="0" w:firstLine="480" w:firstLineChars="200"/>
        <w:jc w:val="both"/>
        <w:rPr>
          <w:rFonts w:ascii="宋体" w:hAnsi="宋体"/>
          <w:color w:val="auto"/>
        </w:rPr>
      </w:pPr>
      <w:r>
        <w:rPr>
          <w:rFonts w:ascii="宋体" w:hAnsi="宋体"/>
          <w:color w:val="auto"/>
        </w:rPr>
        <w:t>4.3.4</w:t>
      </w:r>
      <w:r>
        <w:rPr>
          <w:rFonts w:hint="eastAsia" w:ascii="宋体" w:hAnsi="宋体"/>
          <w:color w:val="auto"/>
          <w:spacing w:val="-3"/>
        </w:rPr>
        <w:t>修改的内容为投标文件的组成部分。修改的投标文件应按照本章第</w:t>
      </w:r>
      <w:r>
        <w:rPr>
          <w:rFonts w:ascii="宋体" w:hAnsi="宋体"/>
          <w:color w:val="auto"/>
        </w:rPr>
        <w:t>3</w:t>
      </w:r>
      <w:r>
        <w:rPr>
          <w:rFonts w:hint="eastAsia" w:ascii="宋体" w:hAnsi="宋体"/>
          <w:color w:val="auto"/>
          <w:spacing w:val="-14"/>
        </w:rPr>
        <w:t>条、第</w:t>
      </w:r>
      <w:r>
        <w:rPr>
          <w:rFonts w:ascii="宋体" w:hAnsi="宋体"/>
          <w:color w:val="auto"/>
        </w:rPr>
        <w:t>4</w:t>
      </w:r>
      <w:r>
        <w:rPr>
          <w:rFonts w:hint="eastAsia" w:ascii="宋体" w:hAnsi="宋体"/>
          <w:color w:val="auto"/>
        </w:rPr>
        <w:t>条的规定进行编制、密封、标记和递交，并标明</w:t>
      </w:r>
      <w:r>
        <w:rPr>
          <w:rFonts w:ascii="宋体" w:hAnsi="宋体"/>
          <w:color w:val="auto"/>
        </w:rPr>
        <w:t>“</w:t>
      </w:r>
      <w:r>
        <w:rPr>
          <w:rFonts w:hint="eastAsia" w:ascii="宋体" w:hAnsi="宋体"/>
          <w:color w:val="auto"/>
        </w:rPr>
        <w:t>修改</w:t>
      </w:r>
      <w:r>
        <w:rPr>
          <w:rFonts w:ascii="宋体" w:hAnsi="宋体"/>
          <w:color w:val="auto"/>
        </w:rPr>
        <w:t>”</w:t>
      </w:r>
      <w:r>
        <w:rPr>
          <w:rFonts w:hint="eastAsia" w:ascii="宋体" w:hAnsi="宋体"/>
          <w:color w:val="auto"/>
        </w:rPr>
        <w:t>字样。</w:t>
      </w:r>
    </w:p>
    <w:p>
      <w:pPr>
        <w:spacing w:line="360" w:lineRule="auto"/>
        <w:rPr>
          <w:rFonts w:ascii="宋体" w:hAnsi="宋体" w:eastAsia="宋体"/>
          <w:b/>
          <w:color w:val="auto"/>
          <w:sz w:val="32"/>
          <w:szCs w:val="32"/>
        </w:rPr>
      </w:pPr>
      <w:bookmarkStart w:id="151" w:name="bookmark53"/>
      <w:bookmarkEnd w:id="151"/>
      <w:bookmarkStart w:id="152" w:name="_Toc21471"/>
      <w:bookmarkStart w:id="153" w:name="_Toc22828072"/>
      <w:bookmarkStart w:id="154" w:name="_Toc45697236"/>
      <w:r>
        <w:rPr>
          <w:rFonts w:ascii="宋体" w:hAnsi="宋体" w:eastAsia="宋体"/>
          <w:b/>
          <w:color w:val="auto"/>
          <w:sz w:val="32"/>
          <w:szCs w:val="32"/>
        </w:rPr>
        <w:t>5.开标</w:t>
      </w:r>
      <w:bookmarkEnd w:id="152"/>
      <w:bookmarkEnd w:id="153"/>
      <w:bookmarkEnd w:id="154"/>
    </w:p>
    <w:p>
      <w:pPr>
        <w:numPr>
          <w:ilvl w:val="1"/>
          <w:numId w:val="35"/>
        </w:numPr>
        <w:spacing w:line="360" w:lineRule="auto"/>
        <w:ind w:left="0" w:firstLine="275" w:firstLineChars="98"/>
        <w:rPr>
          <w:rFonts w:ascii="宋体" w:hAnsi="宋体" w:eastAsia="宋体"/>
          <w:b/>
          <w:color w:val="auto"/>
          <w:sz w:val="28"/>
        </w:rPr>
      </w:pPr>
      <w:bookmarkStart w:id="155" w:name="bookmark54"/>
      <w:bookmarkEnd w:id="155"/>
      <w:r>
        <w:rPr>
          <w:rFonts w:hint="eastAsia" w:ascii="宋体" w:hAnsi="宋体" w:eastAsia="宋体"/>
          <w:b/>
          <w:color w:val="auto"/>
          <w:sz w:val="28"/>
        </w:rPr>
        <w:t>开标时间和地点</w:t>
      </w:r>
    </w:p>
    <w:p>
      <w:pPr>
        <w:pStyle w:val="18"/>
        <w:kinsoku w:val="0"/>
        <w:snapToGrid w:val="0"/>
        <w:spacing w:line="360" w:lineRule="auto"/>
        <w:ind w:left="0" w:firstLine="480" w:firstLineChars="200"/>
        <w:jc w:val="both"/>
        <w:rPr>
          <w:rFonts w:hAnsi="宋体"/>
          <w:color w:val="auto"/>
        </w:rPr>
      </w:pPr>
      <w:r>
        <w:rPr>
          <w:rFonts w:hint="eastAsia" w:hAnsi="宋体"/>
          <w:color w:val="auto"/>
        </w:rPr>
        <w:t>见投标人须知前附表。</w:t>
      </w:r>
    </w:p>
    <w:p>
      <w:pPr>
        <w:numPr>
          <w:ilvl w:val="1"/>
          <w:numId w:val="35"/>
        </w:numPr>
        <w:spacing w:line="360" w:lineRule="auto"/>
        <w:ind w:left="0" w:firstLine="275" w:firstLineChars="98"/>
        <w:rPr>
          <w:rFonts w:ascii="宋体" w:hAnsi="宋体" w:eastAsia="宋体"/>
          <w:b/>
          <w:color w:val="auto"/>
          <w:sz w:val="28"/>
        </w:rPr>
      </w:pPr>
      <w:bookmarkStart w:id="156" w:name="bookmark55"/>
      <w:bookmarkEnd w:id="156"/>
      <w:bookmarkStart w:id="157" w:name="bookmark56"/>
      <w:bookmarkEnd w:id="157"/>
      <w:r>
        <w:rPr>
          <w:rFonts w:hint="eastAsia" w:ascii="宋体" w:hAnsi="宋体" w:eastAsia="宋体"/>
          <w:b/>
          <w:color w:val="auto"/>
          <w:sz w:val="28"/>
        </w:rPr>
        <w:t>开标程序</w:t>
      </w:r>
    </w:p>
    <w:p>
      <w:pPr>
        <w:pStyle w:val="18"/>
        <w:kinsoku w:val="0"/>
        <w:snapToGrid w:val="0"/>
        <w:spacing w:line="360" w:lineRule="auto"/>
        <w:ind w:left="0" w:firstLine="480" w:firstLineChars="200"/>
        <w:jc w:val="both"/>
        <w:rPr>
          <w:rFonts w:hAnsi="宋体"/>
          <w:color w:val="auto"/>
        </w:rPr>
      </w:pPr>
      <w:r>
        <w:rPr>
          <w:rFonts w:hint="eastAsia" w:hAnsi="宋体"/>
          <w:color w:val="auto"/>
        </w:rPr>
        <w:t>见投标人须知前附表。</w:t>
      </w:r>
    </w:p>
    <w:p>
      <w:pPr>
        <w:numPr>
          <w:ilvl w:val="1"/>
          <w:numId w:val="35"/>
        </w:numPr>
        <w:spacing w:line="360" w:lineRule="auto"/>
        <w:ind w:left="0" w:firstLine="275" w:firstLineChars="98"/>
        <w:rPr>
          <w:rFonts w:ascii="宋体" w:hAnsi="宋体" w:eastAsia="宋体"/>
          <w:b/>
          <w:color w:val="auto"/>
          <w:sz w:val="28"/>
        </w:rPr>
      </w:pPr>
      <w:bookmarkStart w:id="158" w:name="bookmark57"/>
      <w:bookmarkEnd w:id="158"/>
      <w:r>
        <w:rPr>
          <w:rFonts w:hint="eastAsia" w:ascii="宋体" w:hAnsi="宋体" w:eastAsia="宋体"/>
          <w:b/>
          <w:color w:val="auto"/>
          <w:sz w:val="28"/>
        </w:rPr>
        <w:t>开标异议</w:t>
      </w:r>
    </w:p>
    <w:p>
      <w:pPr>
        <w:pStyle w:val="18"/>
        <w:kinsoku w:val="0"/>
        <w:snapToGrid w:val="0"/>
        <w:spacing w:line="360" w:lineRule="auto"/>
        <w:ind w:left="0" w:firstLine="480" w:firstLineChars="200"/>
        <w:jc w:val="both"/>
        <w:rPr>
          <w:rFonts w:hAnsi="宋体"/>
          <w:color w:val="auto"/>
        </w:rPr>
      </w:pPr>
      <w:r>
        <w:rPr>
          <w:rFonts w:hint="eastAsia" w:hAnsi="宋体"/>
          <w:color w:val="auto"/>
        </w:rPr>
        <w:t>投标人对开标有异议的，应当在开标时提出，招标人当场作出答复，并制作记录。</w:t>
      </w:r>
    </w:p>
    <w:p>
      <w:pPr>
        <w:numPr>
          <w:ilvl w:val="1"/>
          <w:numId w:val="35"/>
        </w:numPr>
        <w:spacing w:line="360" w:lineRule="auto"/>
        <w:ind w:left="0" w:firstLine="275" w:firstLineChars="98"/>
        <w:rPr>
          <w:rFonts w:ascii="宋体" w:hAnsi="宋体" w:eastAsia="宋体"/>
          <w:b/>
          <w:color w:val="auto"/>
          <w:sz w:val="28"/>
        </w:rPr>
      </w:pPr>
      <w:r>
        <w:rPr>
          <w:rFonts w:hint="eastAsia" w:ascii="宋体" w:hAnsi="宋体" w:eastAsia="宋体"/>
          <w:b/>
          <w:color w:val="auto"/>
          <w:sz w:val="28"/>
        </w:rPr>
        <w:t>特殊情况处置</w:t>
      </w:r>
    </w:p>
    <w:p>
      <w:pPr>
        <w:pStyle w:val="18"/>
        <w:kinsoku w:val="0"/>
        <w:snapToGrid w:val="0"/>
        <w:spacing w:line="360" w:lineRule="auto"/>
        <w:ind w:left="0" w:firstLine="480" w:firstLineChars="200"/>
        <w:jc w:val="both"/>
        <w:rPr>
          <w:rFonts w:hAnsi="宋体"/>
          <w:color w:val="auto"/>
        </w:rPr>
      </w:pPr>
      <w:r>
        <w:rPr>
          <w:rFonts w:hint="eastAsia" w:hAnsi="宋体"/>
          <w:color w:val="auto"/>
        </w:rPr>
        <w:t>见投标人须知前附表</w:t>
      </w:r>
    </w:p>
    <w:p>
      <w:pPr>
        <w:spacing w:line="360" w:lineRule="auto"/>
        <w:rPr>
          <w:rFonts w:ascii="宋体" w:hAnsi="宋体" w:eastAsia="宋体"/>
          <w:b/>
          <w:color w:val="auto"/>
          <w:sz w:val="32"/>
          <w:szCs w:val="32"/>
        </w:rPr>
      </w:pPr>
      <w:bookmarkStart w:id="159" w:name="bookmark58"/>
      <w:bookmarkEnd w:id="159"/>
      <w:r>
        <w:rPr>
          <w:rFonts w:ascii="宋体" w:hAnsi="宋体" w:eastAsia="宋体"/>
          <w:b/>
          <w:color w:val="auto"/>
          <w:sz w:val="32"/>
          <w:szCs w:val="32"/>
        </w:rPr>
        <w:t>6.</w:t>
      </w:r>
      <w:bookmarkStart w:id="160" w:name="_Toc6578"/>
      <w:bookmarkStart w:id="161" w:name="_Toc45697237"/>
      <w:bookmarkStart w:id="162" w:name="_Toc22828073"/>
      <w:r>
        <w:rPr>
          <w:rFonts w:hint="eastAsia" w:ascii="宋体" w:hAnsi="宋体" w:eastAsia="宋体"/>
          <w:b/>
          <w:color w:val="auto"/>
          <w:sz w:val="32"/>
          <w:szCs w:val="32"/>
        </w:rPr>
        <w:t>评标</w:t>
      </w:r>
      <w:bookmarkEnd w:id="160"/>
      <w:bookmarkEnd w:id="161"/>
      <w:bookmarkEnd w:id="162"/>
    </w:p>
    <w:p>
      <w:pPr>
        <w:numPr>
          <w:ilvl w:val="1"/>
          <w:numId w:val="36"/>
        </w:numPr>
        <w:spacing w:line="360" w:lineRule="auto"/>
        <w:ind w:left="0" w:firstLine="275" w:firstLineChars="98"/>
        <w:rPr>
          <w:rFonts w:ascii="宋体" w:hAnsi="宋体" w:eastAsia="宋体"/>
          <w:b/>
          <w:color w:val="auto"/>
          <w:sz w:val="28"/>
        </w:rPr>
      </w:pPr>
      <w:bookmarkStart w:id="163" w:name="bookmark59"/>
      <w:bookmarkEnd w:id="163"/>
      <w:r>
        <w:rPr>
          <w:rFonts w:hint="eastAsia" w:ascii="宋体" w:hAnsi="宋体" w:eastAsia="宋体"/>
          <w:b/>
          <w:color w:val="auto"/>
          <w:sz w:val="28"/>
        </w:rPr>
        <w:t>评标委员会</w:t>
      </w:r>
    </w:p>
    <w:p>
      <w:pPr>
        <w:pStyle w:val="18"/>
        <w:snapToGrid w:val="0"/>
        <w:spacing w:line="360" w:lineRule="auto"/>
        <w:ind w:left="0" w:firstLine="480" w:firstLineChars="200"/>
        <w:jc w:val="both"/>
        <w:rPr>
          <w:rFonts w:ascii="宋体" w:hAnsi="宋体" w:eastAsia="宋体"/>
          <w:color w:val="auto"/>
        </w:rPr>
      </w:pPr>
      <w:r>
        <w:rPr>
          <w:rFonts w:ascii="宋体" w:hAnsi="宋体" w:eastAsia="宋体"/>
          <w:color w:val="auto"/>
        </w:rPr>
        <w:t>6.1.1</w:t>
      </w:r>
      <w:r>
        <w:rPr>
          <w:rFonts w:hint="eastAsia" w:ascii="宋体" w:hAnsi="宋体" w:eastAsia="宋体"/>
          <w:color w:val="auto"/>
          <w:spacing w:val="-4"/>
        </w:rPr>
        <w:t>评标由招标人依法组建的评标委员会负责。评标委员会由招标人或其委托的招标代理</w:t>
      </w:r>
      <w:r>
        <w:rPr>
          <w:rFonts w:hint="eastAsia" w:ascii="宋体" w:hAnsi="宋体" w:eastAsia="宋体"/>
          <w:color w:val="auto"/>
          <w:spacing w:val="-1"/>
        </w:rPr>
        <w:t>机构熟悉相关业务的代表，以及有关技术、经济等方面的专家组成。评标委员会成员人数以及</w:t>
      </w:r>
      <w:r>
        <w:rPr>
          <w:rFonts w:hint="eastAsia" w:ascii="宋体" w:hAnsi="宋体" w:eastAsia="宋体"/>
          <w:color w:val="auto"/>
        </w:rPr>
        <w:t>技术、经济等方面专家的确定方式见投标人须知前附表。</w:t>
      </w:r>
    </w:p>
    <w:p>
      <w:pPr>
        <w:numPr>
          <w:ilvl w:val="1"/>
          <w:numId w:val="36"/>
        </w:numPr>
        <w:spacing w:line="360" w:lineRule="auto"/>
        <w:ind w:left="0" w:firstLine="275" w:firstLineChars="98"/>
        <w:rPr>
          <w:rFonts w:ascii="宋体" w:hAnsi="宋体" w:eastAsia="宋体"/>
          <w:b/>
          <w:color w:val="auto"/>
          <w:sz w:val="28"/>
        </w:rPr>
      </w:pPr>
      <w:bookmarkStart w:id="164" w:name="bookmark60"/>
      <w:bookmarkEnd w:id="164"/>
      <w:r>
        <w:rPr>
          <w:rFonts w:hint="eastAsia" w:ascii="宋体" w:hAnsi="宋体" w:eastAsia="宋体"/>
          <w:b/>
          <w:color w:val="auto"/>
          <w:sz w:val="28"/>
        </w:rPr>
        <w:t>评标原则</w:t>
      </w:r>
    </w:p>
    <w:p>
      <w:pPr>
        <w:pStyle w:val="18"/>
        <w:snapToGrid w:val="0"/>
        <w:spacing w:line="360" w:lineRule="auto"/>
        <w:ind w:left="0" w:firstLine="480" w:firstLineChars="200"/>
        <w:jc w:val="both"/>
        <w:rPr>
          <w:rFonts w:ascii="宋体" w:hAnsi="宋体" w:eastAsia="宋体"/>
          <w:color w:val="auto"/>
        </w:rPr>
      </w:pPr>
      <w:r>
        <w:rPr>
          <w:rFonts w:hint="eastAsia" w:ascii="宋体" w:hAnsi="宋体" w:eastAsia="宋体"/>
          <w:color w:val="auto"/>
        </w:rPr>
        <w:t>评标活动遵循公平、公正、科学和择优的原则。</w:t>
      </w:r>
    </w:p>
    <w:p>
      <w:pPr>
        <w:numPr>
          <w:ilvl w:val="1"/>
          <w:numId w:val="36"/>
        </w:numPr>
        <w:spacing w:line="360" w:lineRule="auto"/>
        <w:ind w:left="0" w:firstLine="275" w:firstLineChars="98"/>
        <w:rPr>
          <w:rFonts w:ascii="宋体" w:hAnsi="宋体" w:eastAsia="宋体"/>
          <w:b/>
          <w:color w:val="auto"/>
          <w:sz w:val="28"/>
        </w:rPr>
      </w:pPr>
      <w:bookmarkStart w:id="165" w:name="bookmark61"/>
      <w:bookmarkEnd w:id="165"/>
      <w:r>
        <w:rPr>
          <w:rFonts w:hint="eastAsia" w:ascii="宋体" w:hAnsi="宋体" w:eastAsia="宋体"/>
          <w:b/>
          <w:color w:val="auto"/>
          <w:sz w:val="28"/>
        </w:rPr>
        <w:t>评标</w:t>
      </w:r>
    </w:p>
    <w:p>
      <w:pPr>
        <w:pStyle w:val="18"/>
        <w:snapToGrid w:val="0"/>
        <w:spacing w:line="360" w:lineRule="auto"/>
        <w:ind w:left="0" w:firstLine="480" w:firstLineChars="200"/>
        <w:jc w:val="both"/>
        <w:rPr>
          <w:rFonts w:ascii="宋体" w:hAnsi="宋体" w:eastAsia="宋体"/>
          <w:color w:val="auto"/>
        </w:rPr>
      </w:pPr>
      <w:r>
        <w:rPr>
          <w:rFonts w:ascii="宋体" w:hAnsi="宋体" w:eastAsia="宋体"/>
          <w:color w:val="auto"/>
        </w:rPr>
        <w:t>6.3.1</w:t>
      </w:r>
      <w:r>
        <w:rPr>
          <w:rFonts w:hint="eastAsia" w:ascii="宋体" w:hAnsi="宋体" w:eastAsia="宋体"/>
          <w:color w:val="auto"/>
        </w:rPr>
        <w:t>评标委员会按照第三章</w:t>
      </w:r>
      <w:r>
        <w:rPr>
          <w:rFonts w:ascii="宋体" w:hAnsi="宋体" w:eastAsia="宋体"/>
          <w:color w:val="auto"/>
        </w:rPr>
        <w:t>“</w:t>
      </w:r>
      <w:r>
        <w:rPr>
          <w:rFonts w:hint="eastAsia" w:ascii="宋体" w:hAnsi="宋体" w:eastAsia="宋体"/>
          <w:color w:val="auto"/>
        </w:rPr>
        <w:t>评标办法</w:t>
      </w:r>
      <w:r>
        <w:rPr>
          <w:rFonts w:ascii="宋体" w:hAnsi="宋体" w:eastAsia="宋体"/>
          <w:color w:val="auto"/>
        </w:rPr>
        <w:t>”</w:t>
      </w:r>
      <w:r>
        <w:rPr>
          <w:rFonts w:hint="eastAsia" w:ascii="宋体" w:hAnsi="宋体" w:eastAsia="宋体"/>
          <w:color w:val="auto"/>
        </w:rPr>
        <w:t>规定的方法、评审因素、标准和程序对投标文件进行评审。第三章</w:t>
      </w:r>
      <w:r>
        <w:rPr>
          <w:rFonts w:ascii="宋体" w:hAnsi="宋体" w:eastAsia="宋体"/>
          <w:color w:val="auto"/>
        </w:rPr>
        <w:t>“</w:t>
      </w:r>
      <w:r>
        <w:rPr>
          <w:rFonts w:hint="eastAsia" w:ascii="宋体" w:hAnsi="宋体" w:eastAsia="宋体"/>
          <w:color w:val="auto"/>
        </w:rPr>
        <w:t>评标办法</w:t>
      </w:r>
      <w:r>
        <w:rPr>
          <w:rFonts w:ascii="宋体" w:hAnsi="宋体" w:eastAsia="宋体"/>
          <w:color w:val="auto"/>
        </w:rPr>
        <w:t>”</w:t>
      </w:r>
      <w:r>
        <w:rPr>
          <w:rFonts w:hint="eastAsia" w:ascii="宋体" w:hAnsi="宋体" w:eastAsia="宋体"/>
          <w:color w:val="auto"/>
        </w:rPr>
        <w:t>没有规定的方法、评审因素和标准，不作为评标依据。</w:t>
      </w:r>
    </w:p>
    <w:p>
      <w:pPr>
        <w:pStyle w:val="18"/>
        <w:snapToGrid w:val="0"/>
        <w:spacing w:line="360" w:lineRule="auto"/>
        <w:ind w:left="0" w:firstLine="480" w:firstLineChars="200"/>
        <w:jc w:val="both"/>
        <w:rPr>
          <w:rFonts w:ascii="宋体" w:hAnsi="宋体" w:eastAsia="宋体"/>
          <w:color w:val="auto"/>
        </w:rPr>
      </w:pPr>
      <w:r>
        <w:rPr>
          <w:rFonts w:ascii="宋体" w:hAnsi="宋体" w:eastAsia="宋体"/>
          <w:color w:val="auto"/>
        </w:rPr>
        <w:t>6.3.2</w:t>
      </w:r>
      <w:r>
        <w:rPr>
          <w:rFonts w:hint="eastAsia" w:ascii="宋体" w:hAnsi="宋体" w:eastAsia="宋体"/>
          <w:color w:val="auto"/>
        </w:rPr>
        <w:t>评标完成后，评标委员会应当向招标人提交书面评标报告和中标候选人名单。评标委员会推荐中标候选人的人数见投标人须知前附表。</w:t>
      </w:r>
    </w:p>
    <w:p>
      <w:pPr>
        <w:spacing w:line="360" w:lineRule="auto"/>
        <w:rPr>
          <w:rFonts w:ascii="宋体" w:hAnsi="宋体" w:eastAsia="宋体"/>
          <w:b/>
          <w:color w:val="auto"/>
          <w:sz w:val="32"/>
          <w:szCs w:val="32"/>
        </w:rPr>
      </w:pPr>
      <w:bookmarkStart w:id="166" w:name="bookmark62"/>
      <w:bookmarkEnd w:id="166"/>
      <w:bookmarkStart w:id="167" w:name="_Toc22898"/>
      <w:bookmarkStart w:id="168" w:name="_Toc22828074"/>
      <w:bookmarkStart w:id="169" w:name="_Toc45697238"/>
      <w:r>
        <w:rPr>
          <w:rFonts w:ascii="宋体" w:hAnsi="宋体" w:eastAsia="宋体"/>
          <w:b/>
          <w:color w:val="auto"/>
          <w:sz w:val="32"/>
          <w:szCs w:val="32"/>
        </w:rPr>
        <w:t>7.合同授予</w:t>
      </w:r>
      <w:bookmarkEnd w:id="167"/>
      <w:bookmarkEnd w:id="168"/>
      <w:bookmarkEnd w:id="169"/>
    </w:p>
    <w:p>
      <w:pPr>
        <w:numPr>
          <w:ilvl w:val="1"/>
          <w:numId w:val="37"/>
        </w:numPr>
        <w:spacing w:line="360" w:lineRule="auto"/>
        <w:ind w:left="0" w:firstLine="275" w:firstLineChars="98"/>
        <w:rPr>
          <w:rFonts w:ascii="宋体" w:hAnsi="宋体" w:eastAsia="宋体"/>
          <w:b/>
          <w:color w:val="auto"/>
          <w:sz w:val="28"/>
        </w:rPr>
      </w:pPr>
      <w:bookmarkStart w:id="170" w:name="bookmark66"/>
      <w:bookmarkEnd w:id="170"/>
      <w:bookmarkStart w:id="171" w:name="bookmark63"/>
      <w:bookmarkEnd w:id="171"/>
      <w:r>
        <w:rPr>
          <w:rFonts w:hint="eastAsia" w:ascii="宋体" w:hAnsi="宋体" w:eastAsia="宋体"/>
          <w:b/>
          <w:color w:val="auto"/>
          <w:sz w:val="28"/>
        </w:rPr>
        <w:t>中标候选人公示媒介及期限</w:t>
      </w:r>
    </w:p>
    <w:p>
      <w:pPr>
        <w:pStyle w:val="18"/>
        <w:kinsoku w:val="0"/>
        <w:snapToGrid w:val="0"/>
        <w:spacing w:line="360" w:lineRule="auto"/>
        <w:ind w:left="0" w:firstLine="480" w:firstLineChars="200"/>
        <w:rPr>
          <w:rFonts w:hAnsi="宋体"/>
          <w:color w:val="auto"/>
          <w:sz w:val="20"/>
          <w:szCs w:val="20"/>
        </w:rPr>
      </w:pPr>
      <w:r>
        <w:rPr>
          <w:rFonts w:hint="eastAsia" w:hAnsi="宋体"/>
          <w:color w:val="auto"/>
        </w:rPr>
        <w:t>中标候选人公示媒介及期限见投标人须知前附表。</w:t>
      </w:r>
    </w:p>
    <w:p>
      <w:pPr>
        <w:numPr>
          <w:ilvl w:val="1"/>
          <w:numId w:val="37"/>
        </w:numPr>
        <w:spacing w:line="360" w:lineRule="auto"/>
        <w:ind w:left="0" w:firstLine="275" w:firstLineChars="98"/>
        <w:rPr>
          <w:rFonts w:ascii="宋体" w:hAnsi="宋体" w:eastAsia="宋体"/>
          <w:b/>
          <w:color w:val="auto"/>
          <w:sz w:val="28"/>
        </w:rPr>
      </w:pPr>
      <w:bookmarkStart w:id="172" w:name="bookmark67"/>
      <w:bookmarkEnd w:id="172"/>
      <w:r>
        <w:rPr>
          <w:rFonts w:hint="eastAsia" w:ascii="宋体" w:hAnsi="宋体" w:eastAsia="宋体"/>
          <w:b/>
          <w:color w:val="auto"/>
          <w:sz w:val="28"/>
        </w:rPr>
        <w:t>定标方式</w:t>
      </w:r>
    </w:p>
    <w:p>
      <w:pPr>
        <w:pStyle w:val="18"/>
        <w:kinsoku w:val="0"/>
        <w:snapToGrid w:val="0"/>
        <w:spacing w:line="360" w:lineRule="auto"/>
        <w:ind w:left="0" w:firstLine="480" w:firstLineChars="200"/>
        <w:rPr>
          <w:rFonts w:hAnsi="宋体"/>
          <w:color w:val="auto"/>
        </w:rPr>
      </w:pPr>
      <w:r>
        <w:rPr>
          <w:rFonts w:hint="eastAsia" w:hAnsi="宋体"/>
          <w:color w:val="auto"/>
        </w:rPr>
        <w:t>除投标人须知前附表规定评标委员会直接确定中标人外，招标人依据评标委员会推荐的中标候选人确定中标人。</w:t>
      </w:r>
    </w:p>
    <w:p>
      <w:pPr>
        <w:snapToGrid w:val="0"/>
        <w:spacing w:line="360" w:lineRule="auto"/>
        <w:ind w:firstLine="480" w:firstLineChars="200"/>
        <w:rPr>
          <w:rFonts w:ascii="宋体" w:hAnsi="宋体" w:eastAsia="宋体"/>
          <w:color w:val="auto"/>
        </w:rPr>
      </w:pPr>
      <w:r>
        <w:rPr>
          <w:rFonts w:hint="eastAsia" w:ascii="宋体" w:hAnsi="宋体" w:eastAsia="宋体"/>
          <w:color w:val="auto"/>
        </w:rPr>
        <w:t>国有资金占控股或者主导地位的依法必须进行招标的项目，</w:t>
      </w:r>
      <w:r>
        <w:rPr>
          <w:rFonts w:ascii="宋体" w:hAnsi="宋体" w:eastAsia="宋体"/>
          <w:color w:val="auto"/>
        </w:rPr>
        <w:t>招标人</w:t>
      </w:r>
      <w:r>
        <w:rPr>
          <w:rFonts w:hint="eastAsia" w:ascii="宋体" w:hAnsi="宋体" w:eastAsia="宋体"/>
          <w:color w:val="auto"/>
        </w:rPr>
        <w:t>应当</w:t>
      </w:r>
      <w:r>
        <w:rPr>
          <w:rFonts w:ascii="宋体" w:hAnsi="宋体" w:eastAsia="宋体"/>
          <w:color w:val="auto"/>
        </w:rPr>
        <w:t>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numPr>
          <w:ilvl w:val="1"/>
          <w:numId w:val="37"/>
        </w:numPr>
        <w:spacing w:line="360" w:lineRule="auto"/>
        <w:ind w:left="0" w:firstLine="275" w:firstLineChars="98"/>
        <w:rPr>
          <w:rFonts w:ascii="宋体" w:hAnsi="宋体" w:eastAsia="宋体"/>
          <w:b/>
          <w:color w:val="auto"/>
          <w:sz w:val="28"/>
        </w:rPr>
      </w:pPr>
      <w:r>
        <w:rPr>
          <w:rFonts w:hint="eastAsia" w:ascii="宋体" w:hAnsi="宋体" w:eastAsia="宋体"/>
          <w:b/>
          <w:color w:val="auto"/>
          <w:sz w:val="28"/>
        </w:rPr>
        <w:t>中标通知</w:t>
      </w:r>
    </w:p>
    <w:p>
      <w:pPr>
        <w:pStyle w:val="18"/>
        <w:kinsoku w:val="0"/>
        <w:snapToGrid w:val="0"/>
        <w:spacing w:line="360" w:lineRule="auto"/>
        <w:ind w:left="0" w:firstLine="480" w:firstLineChars="200"/>
        <w:rPr>
          <w:rFonts w:hAnsi="宋体"/>
          <w:color w:val="auto"/>
        </w:rPr>
      </w:pPr>
      <w:r>
        <w:rPr>
          <w:rFonts w:hint="eastAsia" w:hAnsi="宋体"/>
          <w:color w:val="auto"/>
        </w:rPr>
        <w:t>在本章第</w:t>
      </w:r>
      <w:r>
        <w:rPr>
          <w:rFonts w:hAnsi="宋体"/>
          <w:color w:val="auto"/>
        </w:rPr>
        <w:t>3.3</w:t>
      </w:r>
      <w:r>
        <w:rPr>
          <w:rFonts w:hint="eastAsia" w:hAnsi="宋体"/>
          <w:color w:val="auto"/>
        </w:rPr>
        <w:t>款规定的投标有效期内，招标人以书面形式向中标人发出中标通知书，同时将中标结果通知未中标的投标人。</w:t>
      </w:r>
    </w:p>
    <w:p>
      <w:pPr>
        <w:numPr>
          <w:ilvl w:val="1"/>
          <w:numId w:val="37"/>
        </w:numPr>
        <w:spacing w:line="360" w:lineRule="auto"/>
        <w:ind w:left="0" w:firstLine="275" w:firstLineChars="98"/>
        <w:rPr>
          <w:rFonts w:ascii="宋体" w:hAnsi="宋体" w:eastAsia="宋体"/>
          <w:b/>
          <w:color w:val="auto"/>
          <w:sz w:val="28"/>
        </w:rPr>
      </w:pPr>
      <w:bookmarkStart w:id="173" w:name="bookmark69"/>
      <w:bookmarkEnd w:id="173"/>
      <w:bookmarkStart w:id="174" w:name="bookmark68"/>
      <w:bookmarkEnd w:id="174"/>
      <w:r>
        <w:rPr>
          <w:rFonts w:hint="eastAsia" w:ascii="宋体" w:hAnsi="宋体" w:eastAsia="宋体"/>
          <w:b/>
          <w:color w:val="auto"/>
          <w:sz w:val="28"/>
        </w:rPr>
        <w:t>履约担保</w:t>
      </w:r>
    </w:p>
    <w:p>
      <w:pPr>
        <w:pStyle w:val="18"/>
        <w:kinsoku w:val="0"/>
        <w:snapToGrid w:val="0"/>
        <w:spacing w:line="360" w:lineRule="auto"/>
        <w:ind w:left="0" w:firstLine="480" w:firstLineChars="200"/>
        <w:rPr>
          <w:rFonts w:ascii="宋体" w:hAnsi="宋体" w:eastAsia="宋体"/>
          <w:color w:val="auto"/>
        </w:rPr>
      </w:pPr>
      <w:r>
        <w:rPr>
          <w:rFonts w:ascii="宋体" w:hAnsi="宋体" w:eastAsia="宋体"/>
          <w:color w:val="auto"/>
        </w:rPr>
        <w:t>7.4.1</w:t>
      </w:r>
      <w:r>
        <w:rPr>
          <w:rFonts w:hint="eastAsia" w:ascii="宋体" w:hAnsi="宋体" w:eastAsia="宋体"/>
          <w:color w:val="auto"/>
        </w:rPr>
        <w:t>在签订合同前，中标人应按投标人须知前附表规定的金额、银行保函或保险公司保函和招标文件第四章“合同条款及格式”规定的履约担保形式向招标人提交履约担保。联合体中标的，其履约担保由牵头人递交，并应符合投标人须知前附表规定的金额、担保形式和招标文件第四章“合同条款及格式”规定的履约担保要求。</w:t>
      </w:r>
    </w:p>
    <w:p>
      <w:pPr>
        <w:pStyle w:val="18"/>
        <w:kinsoku w:val="0"/>
        <w:snapToGrid w:val="0"/>
        <w:spacing w:line="360" w:lineRule="auto"/>
        <w:ind w:left="0" w:firstLine="480" w:firstLineChars="200"/>
        <w:rPr>
          <w:rFonts w:ascii="宋体" w:hAnsi="宋体" w:eastAsia="宋体"/>
          <w:color w:val="auto"/>
          <w:sz w:val="14"/>
          <w:szCs w:val="14"/>
        </w:rPr>
      </w:pPr>
      <w:r>
        <w:rPr>
          <w:rFonts w:ascii="宋体" w:hAnsi="宋体" w:eastAsia="宋体"/>
          <w:color w:val="auto"/>
        </w:rPr>
        <w:t>7.4.2</w:t>
      </w:r>
      <w:r>
        <w:rPr>
          <w:rFonts w:hint="eastAsia" w:ascii="宋体" w:hAnsi="宋体" w:eastAsia="宋体"/>
          <w:color w:val="auto"/>
        </w:rPr>
        <w:t>中标人不能按本章第</w:t>
      </w:r>
      <w:r>
        <w:rPr>
          <w:rFonts w:ascii="宋体" w:hAnsi="宋体" w:eastAsia="宋体"/>
          <w:color w:val="auto"/>
        </w:rPr>
        <w:t>7.4.1</w:t>
      </w:r>
      <w:r>
        <w:rPr>
          <w:rFonts w:hint="eastAsia" w:ascii="宋体" w:hAnsi="宋体" w:eastAsia="宋体"/>
          <w:color w:val="auto"/>
        </w:rPr>
        <w:t>项要求提交履约担保的，视为放弃中标，其投标保证金不予退还，给招标人造成的损失超过投标保证金数额的，中标人还应当对超过部分予以赔偿。</w:t>
      </w:r>
    </w:p>
    <w:p>
      <w:pPr>
        <w:numPr>
          <w:ilvl w:val="1"/>
          <w:numId w:val="37"/>
        </w:numPr>
        <w:spacing w:line="360" w:lineRule="auto"/>
        <w:ind w:left="0" w:firstLine="275" w:firstLineChars="98"/>
        <w:rPr>
          <w:rFonts w:ascii="宋体" w:hAnsi="宋体" w:eastAsia="宋体"/>
          <w:b/>
          <w:color w:val="auto"/>
          <w:sz w:val="28"/>
        </w:rPr>
      </w:pPr>
      <w:bookmarkStart w:id="175" w:name="bookmark70"/>
      <w:bookmarkEnd w:id="175"/>
      <w:r>
        <w:rPr>
          <w:rFonts w:hint="eastAsia" w:ascii="宋体" w:hAnsi="宋体" w:eastAsia="宋体"/>
          <w:b/>
          <w:color w:val="auto"/>
          <w:sz w:val="28"/>
        </w:rPr>
        <w:t>签订合同</w:t>
      </w:r>
    </w:p>
    <w:p>
      <w:pPr>
        <w:pStyle w:val="18"/>
        <w:kinsoku w:val="0"/>
        <w:snapToGrid w:val="0"/>
        <w:spacing w:line="360" w:lineRule="auto"/>
        <w:ind w:left="0" w:firstLine="480" w:firstLineChars="200"/>
        <w:rPr>
          <w:rFonts w:ascii="宋体" w:hAnsi="宋体" w:eastAsia="宋体"/>
          <w:color w:val="auto"/>
        </w:rPr>
      </w:pPr>
      <w:r>
        <w:rPr>
          <w:rFonts w:ascii="宋体" w:hAnsi="宋体" w:eastAsia="宋体"/>
          <w:color w:val="auto"/>
        </w:rPr>
        <w:t>7.5.1</w:t>
      </w:r>
      <w:r>
        <w:rPr>
          <w:rFonts w:hint="eastAsia" w:ascii="宋体" w:hAnsi="宋体" w:eastAsia="宋体"/>
          <w:color w:val="auto"/>
        </w:rPr>
        <w:t>招标人和中标人应当在中标通知书发出之日起</w:t>
      </w:r>
      <w:r>
        <w:rPr>
          <w:rFonts w:ascii="宋体" w:hAnsi="宋体" w:eastAsia="宋体"/>
          <w:color w:val="auto"/>
        </w:rPr>
        <w:t>30</w:t>
      </w:r>
      <w:r>
        <w:rPr>
          <w:rFonts w:hint="eastAsia" w:ascii="宋体" w:hAnsi="宋体" w:eastAsia="宋体"/>
          <w:color w:val="auto"/>
        </w:rPr>
        <w:t>日内，根据招标文件和中标人的投标文件订立书面合同。中标人无正当理由拒签合同，或者不按照招标文件要求提交履约担保的，招标人有权取消其中标资格，其投标保证金不予退还；给招标人造成的损失超过投标保证金数额的，中标人还应当对超过部分予以赔偿。</w:t>
      </w:r>
    </w:p>
    <w:p>
      <w:pPr>
        <w:pStyle w:val="18"/>
        <w:kinsoku w:val="0"/>
        <w:snapToGrid w:val="0"/>
        <w:spacing w:line="360" w:lineRule="auto"/>
        <w:ind w:left="0" w:firstLine="480" w:firstLineChars="200"/>
        <w:rPr>
          <w:rFonts w:ascii="宋体" w:hAnsi="宋体" w:eastAsia="宋体"/>
          <w:color w:val="auto"/>
        </w:rPr>
      </w:pPr>
      <w:r>
        <w:rPr>
          <w:rFonts w:ascii="宋体" w:hAnsi="宋体" w:eastAsia="宋体"/>
          <w:color w:val="auto"/>
        </w:rPr>
        <w:t>7.5.2</w:t>
      </w:r>
      <w:r>
        <w:rPr>
          <w:rFonts w:hint="eastAsia" w:ascii="宋体" w:hAnsi="宋体" w:eastAsia="宋体"/>
          <w:color w:val="auto"/>
        </w:rPr>
        <w:t>发出中标通知书后，招标人无正当理由拒签合同，招标人向中标人退还投标保证金；给中标人造成损失的，还应当赔偿损失。</w:t>
      </w:r>
    </w:p>
    <w:p>
      <w:pPr>
        <w:pStyle w:val="18"/>
        <w:kinsoku w:val="0"/>
        <w:snapToGrid w:val="0"/>
        <w:spacing w:line="360" w:lineRule="auto"/>
        <w:ind w:left="0" w:firstLine="480" w:firstLineChars="200"/>
        <w:rPr>
          <w:rFonts w:ascii="宋体" w:hAnsi="宋体" w:eastAsia="宋体"/>
          <w:color w:val="auto"/>
        </w:rPr>
      </w:pPr>
      <w:r>
        <w:rPr>
          <w:rFonts w:ascii="宋体" w:hAnsi="宋体" w:eastAsia="宋体"/>
          <w:color w:val="auto"/>
        </w:rPr>
        <w:t>7.5.3</w:t>
      </w:r>
      <w:r>
        <w:rPr>
          <w:rFonts w:hint="eastAsia" w:ascii="宋体" w:hAnsi="宋体" w:eastAsia="宋体"/>
          <w:color w:val="auto"/>
        </w:rPr>
        <w:t>联合体中标的，联合体各方应当共同与招标人签订合同，就中标项目向招标人承担连带责任。</w:t>
      </w:r>
    </w:p>
    <w:p>
      <w:pPr>
        <w:spacing w:line="360" w:lineRule="auto"/>
        <w:rPr>
          <w:rFonts w:ascii="宋体" w:hAnsi="宋体" w:eastAsia="宋体"/>
          <w:b/>
          <w:color w:val="auto"/>
          <w:sz w:val="32"/>
          <w:szCs w:val="32"/>
        </w:rPr>
      </w:pPr>
      <w:bookmarkStart w:id="176" w:name="bookmark71"/>
      <w:bookmarkEnd w:id="176"/>
      <w:bookmarkStart w:id="177" w:name="_Toc494121485"/>
      <w:bookmarkStart w:id="178" w:name="_Toc45697239"/>
      <w:bookmarkStart w:id="179" w:name="_Toc29433"/>
      <w:bookmarkStart w:id="180" w:name="_Toc22828075"/>
      <w:r>
        <w:rPr>
          <w:rFonts w:ascii="宋体" w:hAnsi="宋体" w:eastAsia="宋体"/>
          <w:b/>
          <w:color w:val="auto"/>
          <w:sz w:val="32"/>
          <w:szCs w:val="32"/>
        </w:rPr>
        <w:t>8.重新招标和不再招标</w:t>
      </w:r>
      <w:bookmarkEnd w:id="177"/>
      <w:bookmarkEnd w:id="178"/>
      <w:bookmarkEnd w:id="179"/>
    </w:p>
    <w:p>
      <w:pPr>
        <w:numPr>
          <w:ilvl w:val="1"/>
          <w:numId w:val="38"/>
        </w:numPr>
        <w:spacing w:line="360" w:lineRule="auto"/>
        <w:ind w:left="0" w:firstLine="275" w:firstLineChars="98"/>
        <w:rPr>
          <w:rFonts w:ascii="宋体" w:hAnsi="宋体" w:eastAsia="宋体"/>
          <w:b/>
          <w:color w:val="auto"/>
          <w:sz w:val="28"/>
        </w:rPr>
      </w:pPr>
      <w:r>
        <w:rPr>
          <w:rFonts w:hint="eastAsia" w:ascii="宋体" w:hAnsi="宋体" w:eastAsia="宋体"/>
          <w:b/>
          <w:color w:val="auto"/>
          <w:sz w:val="28"/>
        </w:rPr>
        <w:t>重新招标</w:t>
      </w:r>
    </w:p>
    <w:p>
      <w:pPr>
        <w:snapToGrid w:val="0"/>
        <w:spacing w:line="360" w:lineRule="auto"/>
        <w:ind w:firstLine="480" w:firstLineChars="200"/>
        <w:rPr>
          <w:rFonts w:ascii="宋体" w:hAnsi="宋体"/>
          <w:color w:val="auto"/>
        </w:rPr>
      </w:pPr>
      <w:r>
        <w:rPr>
          <w:rFonts w:hint="eastAsia" w:ascii="宋体" w:hAnsi="宋体"/>
          <w:color w:val="auto"/>
        </w:rPr>
        <w:t>有下列情形之一的，招标人将重新招标：</w:t>
      </w:r>
    </w:p>
    <w:p>
      <w:pPr>
        <w:snapToGrid w:val="0"/>
        <w:spacing w:line="360" w:lineRule="auto"/>
        <w:ind w:firstLine="480" w:firstLineChars="200"/>
        <w:rPr>
          <w:rFonts w:ascii="宋体" w:hAnsi="宋体"/>
          <w:color w:val="auto"/>
        </w:rPr>
      </w:pPr>
      <w:r>
        <w:rPr>
          <w:rFonts w:hint="eastAsia" w:ascii="宋体" w:hAnsi="宋体"/>
          <w:color w:val="auto"/>
        </w:rPr>
        <w:t>（</w:t>
      </w:r>
      <w:r>
        <w:rPr>
          <w:rFonts w:ascii="宋体" w:hAnsi="宋体"/>
          <w:color w:val="auto"/>
        </w:rPr>
        <w:t>1）</w:t>
      </w:r>
      <w:r>
        <w:rPr>
          <w:rFonts w:hint="eastAsia" w:ascii="宋体" w:hAnsi="宋体"/>
          <w:color w:val="auto"/>
        </w:rPr>
        <w:t>投标截止时间止，投标人少于</w:t>
      </w:r>
      <w:r>
        <w:rPr>
          <w:rFonts w:ascii="宋体" w:hAnsi="宋体"/>
          <w:color w:val="auto"/>
        </w:rPr>
        <w:t>3个的</w:t>
      </w:r>
      <w:r>
        <w:rPr>
          <w:rFonts w:hint="eastAsia" w:ascii="宋体" w:hAnsi="宋体"/>
          <w:color w:val="auto"/>
        </w:rPr>
        <w:t>；</w:t>
      </w:r>
    </w:p>
    <w:p>
      <w:pPr>
        <w:snapToGrid w:val="0"/>
        <w:spacing w:line="360" w:lineRule="auto"/>
        <w:ind w:firstLine="480" w:firstLineChars="200"/>
        <w:rPr>
          <w:rFonts w:ascii="宋体" w:hAnsi="宋体"/>
          <w:color w:val="auto"/>
        </w:rPr>
      </w:pPr>
      <w:r>
        <w:rPr>
          <w:rFonts w:hint="eastAsia" w:ascii="宋体" w:hAnsi="宋体"/>
          <w:color w:val="auto"/>
        </w:rPr>
        <w:t>（</w:t>
      </w:r>
      <w:r>
        <w:rPr>
          <w:rFonts w:ascii="宋体" w:hAnsi="宋体"/>
          <w:color w:val="auto"/>
        </w:rPr>
        <w:t>2</w:t>
      </w:r>
      <w:r>
        <w:rPr>
          <w:rFonts w:hint="eastAsia" w:ascii="宋体" w:hAnsi="宋体"/>
          <w:color w:val="auto"/>
        </w:rPr>
        <w:t>）经评标委员会评审后否决所有投标的；</w:t>
      </w:r>
    </w:p>
    <w:p>
      <w:pPr>
        <w:snapToGrid w:val="0"/>
        <w:spacing w:line="360" w:lineRule="auto"/>
        <w:ind w:firstLine="480" w:firstLineChars="200"/>
        <w:rPr>
          <w:rFonts w:ascii="宋体" w:hAnsi="宋体"/>
          <w:color w:val="auto"/>
        </w:rPr>
      </w:pPr>
      <w:r>
        <w:rPr>
          <w:rFonts w:hint="eastAsia" w:ascii="宋体" w:hAnsi="宋体"/>
          <w:color w:val="auto"/>
        </w:rPr>
        <w:t>（</w:t>
      </w:r>
      <w:r>
        <w:rPr>
          <w:rFonts w:ascii="宋体" w:hAnsi="宋体"/>
          <w:color w:val="auto"/>
        </w:rPr>
        <w:t>3</w:t>
      </w:r>
      <w:r>
        <w:rPr>
          <w:rFonts w:hint="eastAsia" w:ascii="宋体" w:hAnsi="宋体"/>
          <w:color w:val="auto"/>
        </w:rPr>
        <w:t>）其他情形见须知前附表。</w:t>
      </w:r>
    </w:p>
    <w:p>
      <w:pPr>
        <w:numPr>
          <w:ilvl w:val="1"/>
          <w:numId w:val="38"/>
        </w:numPr>
        <w:spacing w:line="360" w:lineRule="auto"/>
        <w:ind w:left="0" w:firstLine="275" w:firstLineChars="98"/>
        <w:rPr>
          <w:rFonts w:ascii="宋体" w:hAnsi="宋体" w:eastAsia="宋体"/>
          <w:b/>
          <w:color w:val="auto"/>
          <w:sz w:val="28"/>
        </w:rPr>
      </w:pPr>
      <w:r>
        <w:rPr>
          <w:rFonts w:hint="eastAsia" w:ascii="宋体" w:hAnsi="宋体" w:eastAsia="宋体"/>
          <w:b/>
          <w:color w:val="auto"/>
          <w:sz w:val="28"/>
        </w:rPr>
        <w:t>不再招标</w:t>
      </w:r>
    </w:p>
    <w:p>
      <w:pPr>
        <w:snapToGrid w:val="0"/>
        <w:spacing w:line="360" w:lineRule="auto"/>
        <w:ind w:firstLine="480" w:firstLineChars="200"/>
        <w:rPr>
          <w:rFonts w:ascii="宋体" w:hAnsi="宋体"/>
          <w:color w:val="auto"/>
        </w:rPr>
      </w:pPr>
      <w:r>
        <w:rPr>
          <w:rFonts w:hint="eastAsia" w:ascii="宋体" w:hAnsi="宋体"/>
          <w:color w:val="auto"/>
        </w:rPr>
        <w:t>见须知前附表。</w:t>
      </w:r>
    </w:p>
    <w:bookmarkEnd w:id="180"/>
    <w:p>
      <w:pPr>
        <w:spacing w:line="360" w:lineRule="auto"/>
        <w:rPr>
          <w:rFonts w:ascii="宋体" w:hAnsi="宋体" w:eastAsia="宋体"/>
          <w:b/>
          <w:color w:val="auto"/>
          <w:sz w:val="32"/>
          <w:szCs w:val="32"/>
        </w:rPr>
      </w:pPr>
      <w:bookmarkStart w:id="181" w:name="bookmark77"/>
      <w:bookmarkEnd w:id="181"/>
      <w:bookmarkStart w:id="182" w:name="_Toc494121486"/>
      <w:bookmarkStart w:id="183" w:name="_Toc14014"/>
      <w:bookmarkStart w:id="184" w:name="_Toc45697240"/>
      <w:bookmarkStart w:id="185" w:name="_Toc22828076"/>
      <w:r>
        <w:rPr>
          <w:rFonts w:ascii="宋体" w:hAnsi="宋体" w:eastAsia="宋体"/>
          <w:b/>
          <w:color w:val="auto"/>
          <w:sz w:val="32"/>
          <w:szCs w:val="32"/>
        </w:rPr>
        <w:t>9.纪律和监督</w:t>
      </w:r>
      <w:bookmarkEnd w:id="182"/>
      <w:bookmarkEnd w:id="183"/>
      <w:bookmarkEnd w:id="184"/>
    </w:p>
    <w:p>
      <w:pPr>
        <w:numPr>
          <w:ilvl w:val="1"/>
          <w:numId w:val="39"/>
        </w:numPr>
        <w:spacing w:line="360" w:lineRule="auto"/>
        <w:ind w:left="0" w:firstLine="275" w:firstLineChars="98"/>
        <w:rPr>
          <w:rFonts w:ascii="宋体" w:hAnsi="宋体" w:eastAsia="宋体"/>
          <w:b/>
          <w:color w:val="auto"/>
          <w:sz w:val="28"/>
        </w:rPr>
      </w:pPr>
      <w:r>
        <w:rPr>
          <w:rFonts w:hint="eastAsia" w:ascii="宋体" w:hAnsi="宋体" w:eastAsia="宋体"/>
          <w:b/>
          <w:color w:val="auto"/>
          <w:sz w:val="28"/>
        </w:rPr>
        <w:t>对招标人的纪律要求</w:t>
      </w:r>
    </w:p>
    <w:p>
      <w:pPr>
        <w:snapToGrid w:val="0"/>
        <w:spacing w:line="360" w:lineRule="auto"/>
        <w:ind w:firstLine="480" w:firstLineChars="200"/>
        <w:rPr>
          <w:rFonts w:ascii="宋体" w:hAnsi="宋体"/>
          <w:color w:val="auto"/>
        </w:rPr>
      </w:pPr>
      <w:r>
        <w:rPr>
          <w:rFonts w:hint="eastAsia" w:ascii="宋体" w:hAnsi="宋体"/>
          <w:color w:val="auto"/>
        </w:rPr>
        <w:t>招标人不得泄漏招标投标活动中应当保密的情况和资料，不得与投标人串通损害国家利益、社会公共利益或者他人合法权益。</w:t>
      </w:r>
    </w:p>
    <w:p>
      <w:pPr>
        <w:numPr>
          <w:ilvl w:val="1"/>
          <w:numId w:val="39"/>
        </w:numPr>
        <w:spacing w:line="360" w:lineRule="auto"/>
        <w:ind w:left="0" w:firstLine="275" w:firstLineChars="98"/>
        <w:rPr>
          <w:rFonts w:ascii="宋体" w:hAnsi="宋体" w:eastAsia="宋体"/>
          <w:b/>
          <w:color w:val="auto"/>
          <w:sz w:val="28"/>
        </w:rPr>
      </w:pPr>
      <w:r>
        <w:rPr>
          <w:rFonts w:hint="eastAsia" w:ascii="宋体" w:hAnsi="宋体" w:eastAsia="宋体"/>
          <w:b/>
          <w:color w:val="auto"/>
          <w:sz w:val="28"/>
        </w:rPr>
        <w:t>对投标人的纪律要求</w:t>
      </w:r>
    </w:p>
    <w:p>
      <w:pPr>
        <w:snapToGrid w:val="0"/>
        <w:spacing w:line="360" w:lineRule="auto"/>
        <w:ind w:firstLine="480" w:firstLineChars="200"/>
        <w:rPr>
          <w:rFonts w:ascii="宋体" w:hAnsi="宋体"/>
          <w:color w:val="auto"/>
        </w:rPr>
      </w:pPr>
      <w:r>
        <w:rPr>
          <w:rFonts w:hint="eastAsia" w:ascii="宋体" w:hAnsi="宋体"/>
          <w:color w:val="auto"/>
        </w:rPr>
        <w:t>投标人不得相互串通投标或者与招标人串通投标，不得向招标人或者评标委员会成员行贿谋取中标，不得以他人名义投标或者以其他方式弄虚作假骗取中标；投标人不得以任何方式干扰、影响评标工作。</w:t>
      </w:r>
    </w:p>
    <w:p>
      <w:pPr>
        <w:numPr>
          <w:ilvl w:val="1"/>
          <w:numId w:val="39"/>
        </w:numPr>
        <w:spacing w:line="360" w:lineRule="auto"/>
        <w:ind w:left="0" w:firstLine="275" w:firstLineChars="98"/>
        <w:rPr>
          <w:rFonts w:ascii="宋体" w:hAnsi="宋体" w:eastAsia="宋体"/>
          <w:b/>
          <w:color w:val="auto"/>
          <w:sz w:val="28"/>
        </w:rPr>
      </w:pPr>
      <w:r>
        <w:rPr>
          <w:rFonts w:hint="eastAsia" w:ascii="宋体" w:hAnsi="宋体" w:eastAsia="宋体"/>
          <w:b/>
          <w:color w:val="auto"/>
          <w:sz w:val="28"/>
        </w:rPr>
        <w:t>对评标委员会成员的纪律要求</w:t>
      </w:r>
    </w:p>
    <w:p>
      <w:pPr>
        <w:snapToGrid w:val="0"/>
        <w:spacing w:line="360" w:lineRule="auto"/>
        <w:ind w:firstLine="480" w:firstLineChars="200"/>
        <w:rPr>
          <w:rFonts w:ascii="宋体" w:hAnsi="宋体"/>
          <w:color w:val="auto"/>
        </w:rPr>
      </w:pPr>
      <w:r>
        <w:rPr>
          <w:rFonts w:hint="eastAsia" w:ascii="宋体" w:hAnsi="宋体"/>
          <w:color w:val="auto"/>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numPr>
          <w:ilvl w:val="1"/>
          <w:numId w:val="39"/>
        </w:numPr>
        <w:spacing w:line="360" w:lineRule="auto"/>
        <w:ind w:left="0" w:firstLine="275" w:firstLineChars="98"/>
        <w:rPr>
          <w:rFonts w:ascii="宋体" w:hAnsi="宋体" w:eastAsia="宋体"/>
          <w:b/>
          <w:color w:val="auto"/>
          <w:sz w:val="28"/>
        </w:rPr>
      </w:pPr>
      <w:r>
        <w:rPr>
          <w:rFonts w:hint="eastAsia" w:ascii="宋体" w:hAnsi="宋体" w:eastAsia="宋体"/>
          <w:b/>
          <w:color w:val="auto"/>
          <w:sz w:val="28"/>
        </w:rPr>
        <w:t>对与评标活动有关的工作人员的纪律要求</w:t>
      </w:r>
    </w:p>
    <w:p>
      <w:pPr>
        <w:snapToGrid w:val="0"/>
        <w:spacing w:line="360" w:lineRule="auto"/>
        <w:ind w:firstLine="480" w:firstLineChars="200"/>
        <w:rPr>
          <w:rFonts w:ascii="宋体" w:hAnsi="宋体"/>
          <w:color w:val="auto"/>
        </w:rPr>
      </w:pPr>
      <w:r>
        <w:rPr>
          <w:rFonts w:hint="eastAsia" w:ascii="宋体" w:hAnsi="宋体"/>
          <w:color w:val="auto"/>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1"/>
          <w:numId w:val="39"/>
        </w:numPr>
        <w:spacing w:line="360" w:lineRule="auto"/>
        <w:ind w:left="0" w:firstLine="275" w:firstLineChars="98"/>
        <w:rPr>
          <w:rFonts w:ascii="宋体" w:hAnsi="宋体" w:eastAsia="宋体"/>
          <w:b/>
          <w:color w:val="auto"/>
          <w:sz w:val="28"/>
        </w:rPr>
      </w:pPr>
      <w:r>
        <w:rPr>
          <w:rFonts w:hint="eastAsia" w:ascii="宋体" w:hAnsi="宋体" w:eastAsia="宋体"/>
          <w:b/>
          <w:color w:val="auto"/>
          <w:sz w:val="28"/>
        </w:rPr>
        <w:t>异议和投诉</w:t>
      </w:r>
    </w:p>
    <w:p>
      <w:pPr>
        <w:snapToGrid w:val="0"/>
        <w:spacing w:line="360" w:lineRule="auto"/>
        <w:ind w:firstLine="480" w:firstLineChars="200"/>
        <w:rPr>
          <w:rFonts w:ascii="宋体" w:hAnsi="宋体"/>
          <w:color w:val="auto"/>
        </w:rPr>
      </w:pPr>
      <w:r>
        <w:rPr>
          <w:rFonts w:ascii="宋体" w:hAnsi="宋体"/>
          <w:color w:val="auto"/>
        </w:rPr>
        <w:t>9.5.1异议</w:t>
      </w:r>
    </w:p>
    <w:p>
      <w:pPr>
        <w:snapToGrid w:val="0"/>
        <w:spacing w:line="360" w:lineRule="auto"/>
        <w:ind w:firstLine="480" w:firstLineChars="200"/>
        <w:rPr>
          <w:rFonts w:ascii="宋体" w:hAnsi="宋体"/>
          <w:color w:val="auto"/>
        </w:rPr>
      </w:pPr>
      <w:r>
        <w:rPr>
          <w:rFonts w:hint="eastAsia" w:ascii="宋体" w:hAnsi="宋体"/>
          <w:color w:val="auto"/>
        </w:rPr>
        <w:t>（</w:t>
      </w:r>
      <w:r>
        <w:rPr>
          <w:rFonts w:ascii="宋体" w:hAnsi="宋体"/>
          <w:color w:val="auto"/>
        </w:rPr>
        <w:t>1）潜在投标人或者其他利害关系人对招标文件有异议的，应当在投标截止时间10</w:t>
      </w:r>
      <w:r>
        <w:rPr>
          <w:rFonts w:hint="eastAsia" w:ascii="宋体" w:hAnsi="宋体"/>
          <w:color w:val="auto"/>
        </w:rPr>
        <w:t>日前以书面形式向招标人提出。招标人将在收到异议之日起</w:t>
      </w:r>
      <w:r>
        <w:rPr>
          <w:rFonts w:ascii="宋体" w:hAnsi="宋体"/>
          <w:color w:val="auto"/>
        </w:rPr>
        <w:t>3</w:t>
      </w:r>
      <w:r>
        <w:rPr>
          <w:rFonts w:hint="eastAsia" w:ascii="宋体" w:hAnsi="宋体"/>
          <w:color w:val="auto"/>
        </w:rPr>
        <w:t>日内作出书面答复；作出答复前，暂停招标投标活动。</w:t>
      </w:r>
    </w:p>
    <w:p>
      <w:pPr>
        <w:snapToGrid w:val="0"/>
        <w:spacing w:line="360" w:lineRule="auto"/>
        <w:ind w:firstLine="480" w:firstLineChars="200"/>
        <w:rPr>
          <w:rFonts w:ascii="宋体" w:hAnsi="宋体"/>
          <w:color w:val="auto"/>
        </w:rPr>
      </w:pPr>
      <w:r>
        <w:rPr>
          <w:rFonts w:hint="eastAsia" w:ascii="宋体" w:hAnsi="宋体"/>
          <w:color w:val="auto"/>
        </w:rPr>
        <w:t>（</w:t>
      </w:r>
      <w:r>
        <w:rPr>
          <w:rFonts w:ascii="宋体" w:hAnsi="宋体"/>
          <w:color w:val="auto"/>
        </w:rPr>
        <w:t>2）投标人认为开标不符合有关规定的，应当在开标</w:t>
      </w:r>
      <w:r>
        <w:rPr>
          <w:rFonts w:hint="eastAsia" w:ascii="宋体" w:hAnsi="宋体"/>
          <w:color w:val="auto"/>
        </w:rPr>
        <w:t>时</w:t>
      </w:r>
      <w:r>
        <w:rPr>
          <w:rFonts w:ascii="宋体" w:hAnsi="宋体"/>
          <w:color w:val="auto"/>
        </w:rPr>
        <w:t>提出异议。招标人将当场对异议给</w:t>
      </w:r>
      <w:r>
        <w:rPr>
          <w:rFonts w:hint="eastAsia" w:ascii="宋体" w:hAnsi="宋体"/>
          <w:color w:val="auto"/>
        </w:rPr>
        <w:t>予处理或者告知处理的办法。异议和答复应记入开标记录或者制作专门记录以存档备查。</w:t>
      </w:r>
    </w:p>
    <w:p>
      <w:pPr>
        <w:snapToGrid w:val="0"/>
        <w:spacing w:line="360" w:lineRule="auto"/>
        <w:ind w:firstLine="480" w:firstLineChars="200"/>
        <w:rPr>
          <w:rFonts w:ascii="宋体" w:hAnsi="宋体"/>
          <w:color w:val="auto"/>
        </w:rPr>
      </w:pPr>
      <w:r>
        <w:rPr>
          <w:rFonts w:hint="eastAsia" w:ascii="宋体" w:hAnsi="宋体"/>
          <w:color w:val="auto"/>
        </w:rPr>
        <w:t>（</w:t>
      </w:r>
      <w:r>
        <w:rPr>
          <w:rFonts w:ascii="宋体" w:hAnsi="宋体"/>
          <w:color w:val="auto"/>
        </w:rPr>
        <w:t>3）投标人及其他利害关系人对评标结果有异议的，应当在中标候选人公示期内以书面形式向招标人提出。招标人将在收到异议之日起3</w:t>
      </w:r>
      <w:r>
        <w:rPr>
          <w:rFonts w:hint="eastAsia" w:ascii="宋体" w:hAnsi="宋体"/>
          <w:color w:val="auto"/>
        </w:rPr>
        <w:t>日内作出书面答复；作出答复前，暂停招标投标活动。</w:t>
      </w:r>
    </w:p>
    <w:p>
      <w:pPr>
        <w:snapToGrid w:val="0"/>
        <w:spacing w:line="360" w:lineRule="auto"/>
        <w:ind w:firstLine="480" w:firstLineChars="200"/>
        <w:rPr>
          <w:rFonts w:ascii="宋体" w:hAnsi="宋体"/>
          <w:color w:val="auto"/>
        </w:rPr>
      </w:pPr>
      <w:r>
        <w:rPr>
          <w:rFonts w:ascii="宋体" w:hAnsi="宋体"/>
          <w:color w:val="auto"/>
        </w:rPr>
        <w:t>9.5.2投诉</w:t>
      </w:r>
    </w:p>
    <w:p>
      <w:pPr>
        <w:snapToGrid w:val="0"/>
        <w:spacing w:line="360" w:lineRule="auto"/>
        <w:ind w:firstLine="480" w:firstLineChars="200"/>
        <w:rPr>
          <w:rFonts w:ascii="宋体" w:hAnsi="宋体"/>
          <w:color w:val="auto"/>
        </w:rPr>
      </w:pPr>
      <w:r>
        <w:rPr>
          <w:rFonts w:hint="eastAsia" w:ascii="宋体" w:hAnsi="宋体"/>
          <w:color w:val="auto"/>
        </w:rPr>
        <w:t>投标人或者其他利害关系人认为招标投标活动不符合法律、行政法规和招标文件规定的，可以自知道或者应当知道之日起</w:t>
      </w:r>
      <w:r>
        <w:rPr>
          <w:rFonts w:ascii="宋体" w:hAnsi="宋体"/>
          <w:color w:val="auto"/>
        </w:rPr>
        <w:t>10日内向有关行政监督部门投诉。投诉应当有明确的请求和必要的证明资料，具体要求按国家、省及</w:t>
      </w:r>
      <w:r>
        <w:rPr>
          <w:rFonts w:hint="eastAsia" w:ascii="宋体" w:hAnsi="宋体"/>
          <w:color w:val="auto"/>
        </w:rPr>
        <w:t>当地招投标主管部门制定的规定。就招标文件、开标和评标结果投诉的，应当先向招标人提出异议，异议答复期不计算在前款规定的期限内。</w:t>
      </w:r>
    </w:p>
    <w:p>
      <w:pPr>
        <w:snapToGrid w:val="0"/>
        <w:spacing w:line="360" w:lineRule="auto"/>
        <w:ind w:firstLine="480" w:firstLineChars="200"/>
        <w:rPr>
          <w:rFonts w:ascii="宋体" w:hAnsi="宋体"/>
          <w:color w:val="auto"/>
        </w:rPr>
      </w:pPr>
      <w:r>
        <w:rPr>
          <w:rFonts w:hint="eastAsia" w:ascii="宋体" w:hAnsi="宋体"/>
          <w:color w:val="auto"/>
        </w:rPr>
        <w:t>上述时限最后一日如遇国家法定休假日的，顺延至法定休假日后的第一个工作日。</w:t>
      </w:r>
    </w:p>
    <w:bookmarkEnd w:id="185"/>
    <w:p>
      <w:pPr>
        <w:spacing w:line="360" w:lineRule="auto"/>
        <w:rPr>
          <w:rFonts w:ascii="宋体" w:hAnsi="宋体" w:eastAsia="宋体"/>
          <w:b/>
          <w:color w:val="auto"/>
          <w:sz w:val="32"/>
          <w:szCs w:val="32"/>
        </w:rPr>
      </w:pPr>
      <w:bookmarkStart w:id="186" w:name="bookmark78"/>
      <w:bookmarkEnd w:id="186"/>
      <w:bookmarkStart w:id="187" w:name="_Toc819"/>
      <w:bookmarkStart w:id="188" w:name="_Toc45697241"/>
      <w:bookmarkStart w:id="189" w:name="_Toc22828077"/>
      <w:r>
        <w:rPr>
          <w:rFonts w:ascii="宋体" w:hAnsi="宋体" w:eastAsia="宋体"/>
          <w:b/>
          <w:color w:val="auto"/>
          <w:sz w:val="32"/>
          <w:szCs w:val="32"/>
        </w:rPr>
        <w:t>10.需要补充的其他内容</w:t>
      </w:r>
      <w:bookmarkEnd w:id="187"/>
      <w:bookmarkEnd w:id="188"/>
      <w:bookmarkEnd w:id="189"/>
    </w:p>
    <w:p>
      <w:pPr>
        <w:snapToGrid w:val="0"/>
        <w:spacing w:line="360" w:lineRule="auto"/>
        <w:ind w:firstLine="480" w:firstLineChars="200"/>
        <w:rPr>
          <w:rFonts w:ascii="宋体" w:hAnsi="宋体"/>
          <w:color w:val="auto"/>
        </w:rPr>
      </w:pPr>
      <w:r>
        <w:rPr>
          <w:rFonts w:hint="eastAsia" w:ascii="宋体" w:hAnsi="宋体"/>
          <w:color w:val="auto"/>
        </w:rPr>
        <w:t>需要补充的其他内容：见投标人须知前附表。</w:t>
      </w:r>
    </w:p>
    <w:p>
      <w:pPr>
        <w:spacing w:line="400" w:lineRule="exact"/>
        <w:ind w:firstLine="120" w:firstLineChars="50"/>
        <w:rPr>
          <w:rFonts w:ascii="黑体" w:eastAsia="黑体"/>
          <w:color w:val="auto"/>
        </w:rPr>
      </w:pPr>
      <w:bookmarkStart w:id="190" w:name="bookmark79"/>
      <w:bookmarkEnd w:id="190"/>
    </w:p>
    <w:p>
      <w:pPr>
        <w:spacing w:line="400" w:lineRule="exact"/>
        <w:ind w:firstLine="120" w:firstLineChars="50"/>
        <w:rPr>
          <w:rFonts w:ascii="黑体" w:eastAsia="黑体"/>
          <w:color w:val="auto"/>
        </w:rPr>
      </w:pPr>
    </w:p>
    <w:p>
      <w:pPr>
        <w:pStyle w:val="19"/>
        <w:ind w:firstLine="240"/>
        <w:rPr>
          <w:rFonts w:ascii="黑体" w:eastAsia="黑体"/>
          <w:color w:val="auto"/>
          <w:sz w:val="24"/>
        </w:rPr>
      </w:pPr>
    </w:p>
    <w:p>
      <w:pPr>
        <w:pStyle w:val="20"/>
        <w:ind w:left="2400"/>
        <w:rPr>
          <w:color w:val="auto"/>
        </w:rPr>
      </w:pPr>
    </w:p>
    <w:p>
      <w:pPr>
        <w:spacing w:line="400" w:lineRule="exact"/>
        <w:ind w:firstLine="120" w:firstLineChars="50"/>
        <w:rPr>
          <w:rFonts w:ascii="黑体" w:eastAsia="黑体"/>
          <w:color w:val="auto"/>
        </w:rPr>
      </w:pPr>
    </w:p>
    <w:p>
      <w:pPr>
        <w:pStyle w:val="2"/>
        <w:spacing w:line="400" w:lineRule="exact"/>
        <w:ind w:firstLine="110" w:firstLineChars="50"/>
        <w:rPr>
          <w:color w:val="auto"/>
        </w:rPr>
      </w:pPr>
    </w:p>
    <w:p>
      <w:pPr>
        <w:rPr>
          <w:color w:val="auto"/>
        </w:rPr>
      </w:pPr>
    </w:p>
    <w:p>
      <w:pPr>
        <w:pStyle w:val="2"/>
        <w:spacing w:line="400" w:lineRule="exact"/>
        <w:ind w:firstLine="110" w:firstLineChars="50"/>
        <w:rPr>
          <w:color w:val="auto"/>
        </w:rPr>
      </w:pPr>
    </w:p>
    <w:p>
      <w:pPr>
        <w:rPr>
          <w:color w:val="auto"/>
        </w:rPr>
      </w:pPr>
    </w:p>
    <w:p>
      <w:pPr>
        <w:pStyle w:val="2"/>
        <w:spacing w:line="400" w:lineRule="exact"/>
        <w:ind w:firstLine="110" w:firstLineChars="50"/>
        <w:rPr>
          <w:rFonts w:ascii="黑体" w:eastAsia="黑体"/>
          <w:color w:val="auto"/>
        </w:rPr>
      </w:pPr>
    </w:p>
    <w:p>
      <w:pPr>
        <w:spacing w:line="400" w:lineRule="exact"/>
        <w:ind w:firstLine="120" w:firstLineChars="50"/>
        <w:rPr>
          <w:rFonts w:ascii="黑体" w:eastAsia="黑体"/>
          <w:color w:val="auto"/>
        </w:rPr>
      </w:pPr>
      <w:r>
        <w:rPr>
          <w:rFonts w:hint="eastAsia" w:ascii="黑体" w:eastAsia="黑体"/>
          <w:color w:val="auto"/>
        </w:rPr>
        <w:t>附表一：开标记录表</w:t>
      </w:r>
    </w:p>
    <w:p>
      <w:pPr>
        <w:spacing w:before="240" w:beforeLines="100" w:after="240" w:afterLines="100" w:line="400" w:lineRule="exact"/>
        <w:ind w:firstLine="1960" w:firstLineChars="700"/>
        <w:rPr>
          <w:rFonts w:ascii="黑体" w:eastAsia="黑体"/>
          <w:color w:val="auto"/>
          <w:sz w:val="28"/>
          <w:szCs w:val="28"/>
        </w:rPr>
      </w:pPr>
      <w:r>
        <w:rPr>
          <w:rFonts w:hint="eastAsia" w:ascii="黑体" w:eastAsia="黑体"/>
          <w:color w:val="auto"/>
          <w:sz w:val="28"/>
          <w:szCs w:val="28"/>
          <w:u w:val="single"/>
        </w:rPr>
        <w:t xml:space="preserve">       （项目名称）   </w:t>
      </w:r>
      <w:r>
        <w:rPr>
          <w:rFonts w:hint="eastAsia" w:ascii="黑体" w:eastAsia="黑体"/>
          <w:color w:val="auto"/>
          <w:sz w:val="28"/>
          <w:szCs w:val="28"/>
        </w:rPr>
        <w:t>标段施工开标记录表</w:t>
      </w:r>
    </w:p>
    <w:p>
      <w:pPr>
        <w:spacing w:line="400" w:lineRule="exact"/>
        <w:ind w:firstLine="120" w:firstLineChars="50"/>
        <w:rPr>
          <w:rFonts w:ascii="黑体" w:eastAsia="黑体"/>
          <w:color w:val="auto"/>
        </w:rPr>
      </w:pPr>
      <w:r>
        <w:rPr>
          <w:rFonts w:hint="eastAsia" w:ascii="黑体" w:eastAsia="黑体"/>
          <w:color w:val="auto"/>
        </w:rPr>
        <w:t>开标时间：</w:t>
      </w:r>
      <w:r>
        <w:rPr>
          <w:rFonts w:ascii="黑体" w:eastAsia="黑体"/>
          <w:color w:val="auto"/>
          <w:u w:val="single"/>
        </w:rPr>
        <w:t xml:space="preserve">      </w:t>
      </w:r>
      <w:r>
        <w:rPr>
          <w:rFonts w:hint="eastAsia" w:ascii="黑体" w:eastAsia="黑体"/>
          <w:color w:val="auto"/>
        </w:rPr>
        <w:t>年</w:t>
      </w:r>
      <w:r>
        <w:rPr>
          <w:rFonts w:ascii="黑体" w:eastAsia="黑体"/>
          <w:color w:val="auto"/>
          <w:u w:val="single"/>
        </w:rPr>
        <w:t xml:space="preserve">    </w:t>
      </w:r>
      <w:r>
        <w:rPr>
          <w:rFonts w:hint="eastAsia" w:ascii="黑体" w:eastAsia="黑体"/>
          <w:color w:val="auto"/>
        </w:rPr>
        <w:t>月</w:t>
      </w:r>
      <w:r>
        <w:rPr>
          <w:rFonts w:ascii="黑体" w:eastAsia="黑体"/>
          <w:color w:val="auto"/>
          <w:u w:val="single"/>
        </w:rPr>
        <w:t xml:space="preserve">    </w:t>
      </w:r>
      <w:r>
        <w:rPr>
          <w:rFonts w:hint="eastAsia" w:ascii="黑体" w:eastAsia="黑体"/>
          <w:color w:val="auto"/>
        </w:rPr>
        <w:t>日</w:t>
      </w:r>
      <w:r>
        <w:rPr>
          <w:rFonts w:ascii="黑体" w:eastAsia="黑体"/>
          <w:color w:val="auto"/>
          <w:u w:val="single"/>
        </w:rPr>
        <w:t xml:space="preserve">    </w:t>
      </w:r>
      <w:r>
        <w:rPr>
          <w:rFonts w:hint="eastAsia" w:ascii="黑体" w:eastAsia="黑体"/>
          <w:color w:val="auto"/>
        </w:rPr>
        <w:t>时</w:t>
      </w:r>
      <w:r>
        <w:rPr>
          <w:rFonts w:ascii="黑体" w:eastAsia="黑体"/>
          <w:color w:val="auto"/>
          <w:u w:val="single"/>
        </w:rPr>
        <w:t xml:space="preserve">    </w:t>
      </w:r>
      <w:r>
        <w:rPr>
          <w:rFonts w:hint="eastAsia" w:ascii="黑体" w:eastAsia="黑体"/>
          <w:color w:val="auto"/>
        </w:rPr>
        <w:t>分</w:t>
      </w:r>
    </w:p>
    <w:p>
      <w:pPr>
        <w:spacing w:line="400" w:lineRule="exact"/>
        <w:ind w:firstLine="120" w:firstLineChars="50"/>
        <w:rPr>
          <w:rFonts w:ascii="黑体" w:eastAsia="黑体"/>
          <w:color w:val="auto"/>
        </w:rPr>
      </w:pPr>
      <w:r>
        <w:rPr>
          <w:rFonts w:hint="eastAsia" w:ascii="黑体" w:eastAsia="黑体"/>
          <w:color w:val="auto"/>
        </w:rPr>
        <w:t>开标地点：</w:t>
      </w:r>
      <w:r>
        <w:rPr>
          <w:rFonts w:ascii="黑体" w:eastAsia="黑体"/>
          <w:color w:val="auto"/>
          <w:u w:val="single"/>
        </w:rPr>
        <w:t xml:space="preserve">                                </w:t>
      </w:r>
    </w:p>
    <w:p>
      <w:pPr>
        <w:spacing w:line="400" w:lineRule="exact"/>
        <w:ind w:firstLine="120" w:firstLineChars="50"/>
        <w:rPr>
          <w:rFonts w:ascii="黑体" w:eastAsia="黑体"/>
          <w:color w:val="auto"/>
        </w:rPr>
      </w:pPr>
      <w:r>
        <w:rPr>
          <w:rFonts w:hint="eastAsia" w:ascii="黑体" w:eastAsia="黑体"/>
          <w:color w:val="auto"/>
        </w:rPr>
        <w:t>（一）唱标记录</w:t>
      </w:r>
    </w:p>
    <w:tbl>
      <w:tblPr>
        <w:tblStyle w:val="41"/>
        <w:tblW w:w="90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6"/>
        <w:gridCol w:w="922"/>
        <w:gridCol w:w="1078"/>
        <w:gridCol w:w="1262"/>
        <w:gridCol w:w="1390"/>
        <w:gridCol w:w="1105"/>
        <w:gridCol w:w="748"/>
        <w:gridCol w:w="750"/>
        <w:gridCol w:w="1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6" w:type="dxa"/>
            <w:noWrap w:val="0"/>
            <w:tcMar>
              <w:left w:w="28" w:type="dxa"/>
              <w:right w:w="28" w:type="dxa"/>
            </w:tcMar>
            <w:vAlign w:val="center"/>
          </w:tcPr>
          <w:p>
            <w:pPr>
              <w:jc w:val="center"/>
              <w:rPr>
                <w:rFonts w:ascii="黑体" w:eastAsia="黑体"/>
                <w:color w:val="auto"/>
              </w:rPr>
            </w:pPr>
            <w:r>
              <w:rPr>
                <w:rFonts w:hint="eastAsia" w:ascii="黑体" w:eastAsia="黑体"/>
                <w:color w:val="auto"/>
              </w:rPr>
              <w:t>序号</w:t>
            </w:r>
          </w:p>
        </w:tc>
        <w:tc>
          <w:tcPr>
            <w:tcW w:w="922" w:type="dxa"/>
            <w:noWrap w:val="0"/>
            <w:tcMar>
              <w:left w:w="28" w:type="dxa"/>
              <w:right w:w="28" w:type="dxa"/>
            </w:tcMar>
            <w:vAlign w:val="center"/>
          </w:tcPr>
          <w:p>
            <w:pPr>
              <w:jc w:val="center"/>
              <w:rPr>
                <w:rFonts w:ascii="黑体" w:eastAsia="黑体"/>
                <w:color w:val="auto"/>
              </w:rPr>
            </w:pPr>
            <w:r>
              <w:rPr>
                <w:rFonts w:hint="eastAsia" w:ascii="黑体" w:eastAsia="黑体"/>
                <w:color w:val="auto"/>
              </w:rPr>
              <w:t>投标人</w:t>
            </w:r>
          </w:p>
        </w:tc>
        <w:tc>
          <w:tcPr>
            <w:tcW w:w="1078" w:type="dxa"/>
            <w:noWrap w:val="0"/>
            <w:tcMar>
              <w:left w:w="28" w:type="dxa"/>
              <w:right w:w="28" w:type="dxa"/>
            </w:tcMar>
            <w:vAlign w:val="center"/>
          </w:tcPr>
          <w:p>
            <w:pPr>
              <w:jc w:val="center"/>
              <w:rPr>
                <w:rFonts w:ascii="黑体" w:eastAsia="黑体"/>
                <w:color w:val="auto"/>
              </w:rPr>
            </w:pPr>
            <w:r>
              <w:rPr>
                <w:rFonts w:hint="eastAsia" w:ascii="黑体" w:eastAsia="黑体"/>
                <w:color w:val="auto"/>
                <w:lang w:eastAsia="zh-CN"/>
              </w:rPr>
              <w:t>加、解密（</w:t>
            </w:r>
            <w:r>
              <w:rPr>
                <w:rFonts w:hint="eastAsia" w:ascii="黑体" w:eastAsia="黑体"/>
                <w:color w:val="auto"/>
              </w:rPr>
              <w:t>密封</w:t>
            </w:r>
            <w:r>
              <w:rPr>
                <w:rFonts w:hint="eastAsia" w:ascii="黑体" w:eastAsia="黑体"/>
                <w:color w:val="auto"/>
                <w:lang w:eastAsia="zh-CN"/>
              </w:rPr>
              <w:t>）</w:t>
            </w:r>
            <w:r>
              <w:rPr>
                <w:rFonts w:hint="eastAsia" w:ascii="黑体" w:eastAsia="黑体"/>
                <w:color w:val="auto"/>
              </w:rPr>
              <w:t>情况</w:t>
            </w:r>
          </w:p>
        </w:tc>
        <w:tc>
          <w:tcPr>
            <w:tcW w:w="1262" w:type="dxa"/>
            <w:noWrap w:val="0"/>
            <w:tcMar>
              <w:left w:w="28" w:type="dxa"/>
              <w:right w:w="28" w:type="dxa"/>
            </w:tcMar>
            <w:vAlign w:val="center"/>
          </w:tcPr>
          <w:p>
            <w:pPr>
              <w:jc w:val="center"/>
              <w:rPr>
                <w:rFonts w:ascii="黑体" w:eastAsia="黑体"/>
                <w:color w:val="auto"/>
              </w:rPr>
            </w:pPr>
            <w:r>
              <w:rPr>
                <w:rFonts w:hint="eastAsia" w:ascii="黑体" w:eastAsia="黑体"/>
                <w:color w:val="auto"/>
              </w:rPr>
              <w:t>投标保证金</w:t>
            </w:r>
          </w:p>
        </w:tc>
        <w:tc>
          <w:tcPr>
            <w:tcW w:w="1390" w:type="dxa"/>
            <w:noWrap w:val="0"/>
            <w:tcMar>
              <w:left w:w="28" w:type="dxa"/>
              <w:right w:w="28" w:type="dxa"/>
            </w:tcMar>
            <w:vAlign w:val="center"/>
          </w:tcPr>
          <w:p>
            <w:pPr>
              <w:jc w:val="center"/>
              <w:rPr>
                <w:rFonts w:ascii="黑体" w:eastAsia="黑体"/>
                <w:color w:val="auto"/>
              </w:rPr>
            </w:pPr>
            <w:r>
              <w:rPr>
                <w:rFonts w:hint="eastAsia" w:ascii="黑体" w:eastAsia="黑体"/>
                <w:color w:val="auto"/>
              </w:rPr>
              <w:t>投标报价（元）</w:t>
            </w:r>
          </w:p>
        </w:tc>
        <w:tc>
          <w:tcPr>
            <w:tcW w:w="1105" w:type="dxa"/>
            <w:noWrap w:val="0"/>
            <w:tcMar>
              <w:left w:w="28" w:type="dxa"/>
              <w:right w:w="28" w:type="dxa"/>
            </w:tcMar>
            <w:vAlign w:val="center"/>
          </w:tcPr>
          <w:p>
            <w:pPr>
              <w:jc w:val="center"/>
              <w:rPr>
                <w:rFonts w:ascii="黑体" w:eastAsia="黑体"/>
                <w:color w:val="auto"/>
              </w:rPr>
            </w:pPr>
            <w:r>
              <w:rPr>
                <w:rFonts w:hint="eastAsia" w:ascii="黑体" w:eastAsia="黑体"/>
                <w:color w:val="auto"/>
              </w:rPr>
              <w:t>质量目标</w:t>
            </w:r>
          </w:p>
        </w:tc>
        <w:tc>
          <w:tcPr>
            <w:tcW w:w="748" w:type="dxa"/>
            <w:noWrap w:val="0"/>
            <w:tcMar>
              <w:left w:w="28" w:type="dxa"/>
              <w:right w:w="28" w:type="dxa"/>
            </w:tcMar>
            <w:vAlign w:val="center"/>
          </w:tcPr>
          <w:p>
            <w:pPr>
              <w:jc w:val="center"/>
              <w:rPr>
                <w:rFonts w:ascii="黑体" w:eastAsia="黑体"/>
                <w:color w:val="auto"/>
              </w:rPr>
            </w:pPr>
            <w:r>
              <w:rPr>
                <w:rFonts w:hint="eastAsia" w:ascii="黑体" w:eastAsia="黑体"/>
                <w:color w:val="auto"/>
              </w:rPr>
              <w:t>工期</w:t>
            </w:r>
          </w:p>
        </w:tc>
        <w:tc>
          <w:tcPr>
            <w:tcW w:w="750" w:type="dxa"/>
            <w:noWrap w:val="0"/>
            <w:tcMar>
              <w:left w:w="28" w:type="dxa"/>
              <w:right w:w="28" w:type="dxa"/>
            </w:tcMar>
            <w:vAlign w:val="center"/>
          </w:tcPr>
          <w:p>
            <w:pPr>
              <w:jc w:val="center"/>
              <w:rPr>
                <w:rFonts w:ascii="黑体" w:eastAsia="黑体"/>
                <w:color w:val="auto"/>
              </w:rPr>
            </w:pPr>
            <w:r>
              <w:rPr>
                <w:rFonts w:hint="eastAsia" w:ascii="黑体" w:eastAsia="黑体"/>
                <w:color w:val="auto"/>
              </w:rPr>
              <w:t>备注</w:t>
            </w:r>
          </w:p>
        </w:tc>
        <w:tc>
          <w:tcPr>
            <w:tcW w:w="1094" w:type="dxa"/>
            <w:noWrap w:val="0"/>
            <w:tcMar>
              <w:left w:w="28" w:type="dxa"/>
              <w:right w:w="28" w:type="dxa"/>
            </w:tcMar>
            <w:vAlign w:val="center"/>
          </w:tcPr>
          <w:p>
            <w:pPr>
              <w:jc w:val="center"/>
              <w:rPr>
                <w:rFonts w:hint="eastAsia" w:ascii="黑体" w:eastAsia="黑体"/>
                <w:color w:val="auto"/>
              </w:rPr>
            </w:pPr>
            <w:r>
              <w:rPr>
                <w:rFonts w:hint="eastAsia" w:ascii="黑体" w:eastAsia="黑体"/>
                <w:color w:val="auto"/>
              </w:rPr>
              <w:t>签字</w:t>
            </w:r>
          </w:p>
          <w:p>
            <w:pPr>
              <w:jc w:val="center"/>
              <w:rPr>
                <w:rFonts w:hint="eastAsia" w:ascii="黑体" w:eastAsia="黑体"/>
                <w:color w:val="auto"/>
                <w:lang w:eastAsia="zh-CN"/>
              </w:rPr>
            </w:pPr>
            <w:r>
              <w:rPr>
                <w:rFonts w:hint="eastAsia" w:ascii="黑体" w:eastAsia="黑体"/>
                <w:color w:val="auto"/>
                <w:sz w:val="18"/>
                <w:szCs w:val="18"/>
                <w:lang w:eastAsia="zh-CN"/>
              </w:rPr>
              <w:t>（不见面开标不作要求）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666" w:type="dxa"/>
            <w:noWrap w:val="0"/>
            <w:tcMar>
              <w:left w:w="28" w:type="dxa"/>
              <w:right w:w="28" w:type="dxa"/>
            </w:tcMar>
            <w:vAlign w:val="center"/>
          </w:tcPr>
          <w:p>
            <w:pPr>
              <w:jc w:val="center"/>
              <w:rPr>
                <w:rFonts w:ascii="黑体" w:eastAsia="黑体"/>
                <w:color w:val="auto"/>
              </w:rPr>
            </w:pPr>
          </w:p>
        </w:tc>
        <w:tc>
          <w:tcPr>
            <w:tcW w:w="922" w:type="dxa"/>
            <w:noWrap w:val="0"/>
            <w:tcMar>
              <w:left w:w="28" w:type="dxa"/>
              <w:right w:w="28" w:type="dxa"/>
            </w:tcMar>
            <w:vAlign w:val="center"/>
          </w:tcPr>
          <w:p>
            <w:pPr>
              <w:jc w:val="center"/>
              <w:rPr>
                <w:rFonts w:ascii="黑体" w:eastAsia="黑体"/>
                <w:color w:val="auto"/>
              </w:rPr>
            </w:pPr>
          </w:p>
        </w:tc>
        <w:tc>
          <w:tcPr>
            <w:tcW w:w="1078" w:type="dxa"/>
            <w:noWrap w:val="0"/>
            <w:tcMar>
              <w:left w:w="28" w:type="dxa"/>
              <w:right w:w="28" w:type="dxa"/>
            </w:tcMar>
            <w:vAlign w:val="center"/>
          </w:tcPr>
          <w:p>
            <w:pPr>
              <w:jc w:val="center"/>
              <w:rPr>
                <w:rFonts w:ascii="黑体" w:eastAsia="黑体"/>
                <w:color w:val="auto"/>
              </w:rPr>
            </w:pPr>
          </w:p>
        </w:tc>
        <w:tc>
          <w:tcPr>
            <w:tcW w:w="1262" w:type="dxa"/>
            <w:noWrap w:val="0"/>
            <w:tcMar>
              <w:left w:w="28" w:type="dxa"/>
              <w:right w:w="28" w:type="dxa"/>
            </w:tcMar>
            <w:vAlign w:val="center"/>
          </w:tcPr>
          <w:p>
            <w:pPr>
              <w:jc w:val="center"/>
              <w:rPr>
                <w:rFonts w:ascii="黑体" w:eastAsia="黑体"/>
                <w:color w:val="auto"/>
              </w:rPr>
            </w:pPr>
          </w:p>
        </w:tc>
        <w:tc>
          <w:tcPr>
            <w:tcW w:w="1390" w:type="dxa"/>
            <w:noWrap w:val="0"/>
            <w:tcMar>
              <w:left w:w="28" w:type="dxa"/>
              <w:right w:w="28" w:type="dxa"/>
            </w:tcMar>
            <w:vAlign w:val="center"/>
          </w:tcPr>
          <w:p>
            <w:pPr>
              <w:jc w:val="center"/>
              <w:rPr>
                <w:rFonts w:ascii="黑体" w:eastAsia="黑体"/>
                <w:color w:val="auto"/>
              </w:rPr>
            </w:pPr>
          </w:p>
        </w:tc>
        <w:tc>
          <w:tcPr>
            <w:tcW w:w="1105" w:type="dxa"/>
            <w:noWrap w:val="0"/>
            <w:tcMar>
              <w:left w:w="28" w:type="dxa"/>
              <w:right w:w="28" w:type="dxa"/>
            </w:tcMar>
            <w:vAlign w:val="center"/>
          </w:tcPr>
          <w:p>
            <w:pPr>
              <w:jc w:val="center"/>
              <w:rPr>
                <w:rFonts w:ascii="黑体" w:eastAsia="黑体"/>
                <w:color w:val="auto"/>
              </w:rPr>
            </w:pPr>
          </w:p>
        </w:tc>
        <w:tc>
          <w:tcPr>
            <w:tcW w:w="748" w:type="dxa"/>
            <w:noWrap w:val="0"/>
            <w:tcMar>
              <w:left w:w="28" w:type="dxa"/>
              <w:right w:w="28" w:type="dxa"/>
            </w:tcMar>
            <w:vAlign w:val="center"/>
          </w:tcPr>
          <w:p>
            <w:pPr>
              <w:jc w:val="center"/>
              <w:rPr>
                <w:rFonts w:ascii="黑体" w:eastAsia="黑体"/>
                <w:color w:val="auto"/>
              </w:rPr>
            </w:pPr>
          </w:p>
        </w:tc>
        <w:tc>
          <w:tcPr>
            <w:tcW w:w="750" w:type="dxa"/>
            <w:noWrap w:val="0"/>
            <w:tcMar>
              <w:left w:w="28" w:type="dxa"/>
              <w:right w:w="28" w:type="dxa"/>
            </w:tcMar>
            <w:vAlign w:val="center"/>
          </w:tcPr>
          <w:p>
            <w:pPr>
              <w:jc w:val="center"/>
              <w:rPr>
                <w:rFonts w:ascii="黑体" w:eastAsia="黑体"/>
                <w:color w:val="auto"/>
              </w:rPr>
            </w:pPr>
          </w:p>
        </w:tc>
        <w:tc>
          <w:tcPr>
            <w:tcW w:w="1094" w:type="dxa"/>
            <w:noWrap w:val="0"/>
            <w:tcMar>
              <w:left w:w="28" w:type="dxa"/>
              <w:right w:w="28" w:type="dxa"/>
            </w:tcMar>
            <w:vAlign w:val="center"/>
          </w:tcPr>
          <w:p>
            <w:pPr>
              <w:jc w:val="center"/>
              <w:rPr>
                <w:rFonts w:ascii="黑体" w:eastAsia="黑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noWrap w:val="0"/>
            <w:tcMar>
              <w:left w:w="28" w:type="dxa"/>
              <w:right w:w="28" w:type="dxa"/>
            </w:tcMar>
            <w:vAlign w:val="center"/>
          </w:tcPr>
          <w:p>
            <w:pPr>
              <w:spacing w:line="400" w:lineRule="exact"/>
              <w:jc w:val="center"/>
              <w:rPr>
                <w:color w:val="auto"/>
              </w:rPr>
            </w:pPr>
          </w:p>
        </w:tc>
        <w:tc>
          <w:tcPr>
            <w:tcW w:w="922" w:type="dxa"/>
            <w:noWrap w:val="0"/>
            <w:tcMar>
              <w:left w:w="28" w:type="dxa"/>
              <w:right w:w="28" w:type="dxa"/>
            </w:tcMar>
            <w:vAlign w:val="center"/>
          </w:tcPr>
          <w:p>
            <w:pPr>
              <w:spacing w:line="400" w:lineRule="exact"/>
              <w:jc w:val="center"/>
              <w:rPr>
                <w:color w:val="auto"/>
              </w:rPr>
            </w:pPr>
          </w:p>
        </w:tc>
        <w:tc>
          <w:tcPr>
            <w:tcW w:w="1078" w:type="dxa"/>
            <w:noWrap w:val="0"/>
            <w:tcMar>
              <w:left w:w="28" w:type="dxa"/>
              <w:right w:w="28" w:type="dxa"/>
            </w:tcMar>
            <w:vAlign w:val="center"/>
          </w:tcPr>
          <w:p>
            <w:pPr>
              <w:spacing w:line="400" w:lineRule="exact"/>
              <w:jc w:val="center"/>
              <w:rPr>
                <w:color w:val="auto"/>
              </w:rPr>
            </w:pPr>
          </w:p>
        </w:tc>
        <w:tc>
          <w:tcPr>
            <w:tcW w:w="1262" w:type="dxa"/>
            <w:noWrap w:val="0"/>
            <w:tcMar>
              <w:left w:w="28" w:type="dxa"/>
              <w:right w:w="28" w:type="dxa"/>
            </w:tcMar>
            <w:vAlign w:val="center"/>
          </w:tcPr>
          <w:p>
            <w:pPr>
              <w:spacing w:line="400" w:lineRule="exact"/>
              <w:jc w:val="center"/>
              <w:rPr>
                <w:color w:val="auto"/>
              </w:rPr>
            </w:pPr>
          </w:p>
        </w:tc>
        <w:tc>
          <w:tcPr>
            <w:tcW w:w="1390" w:type="dxa"/>
            <w:noWrap w:val="0"/>
            <w:tcMar>
              <w:left w:w="28" w:type="dxa"/>
              <w:right w:w="28" w:type="dxa"/>
            </w:tcMar>
            <w:vAlign w:val="center"/>
          </w:tcPr>
          <w:p>
            <w:pPr>
              <w:spacing w:line="400" w:lineRule="exact"/>
              <w:jc w:val="center"/>
              <w:rPr>
                <w:color w:val="auto"/>
              </w:rPr>
            </w:pPr>
          </w:p>
        </w:tc>
        <w:tc>
          <w:tcPr>
            <w:tcW w:w="1105" w:type="dxa"/>
            <w:noWrap w:val="0"/>
            <w:tcMar>
              <w:left w:w="28" w:type="dxa"/>
              <w:right w:w="28" w:type="dxa"/>
            </w:tcMar>
            <w:vAlign w:val="center"/>
          </w:tcPr>
          <w:p>
            <w:pPr>
              <w:spacing w:line="400" w:lineRule="exact"/>
              <w:jc w:val="center"/>
              <w:rPr>
                <w:color w:val="auto"/>
              </w:rPr>
            </w:pPr>
          </w:p>
        </w:tc>
        <w:tc>
          <w:tcPr>
            <w:tcW w:w="748" w:type="dxa"/>
            <w:noWrap w:val="0"/>
            <w:tcMar>
              <w:left w:w="28" w:type="dxa"/>
              <w:right w:w="28" w:type="dxa"/>
            </w:tcMar>
            <w:vAlign w:val="center"/>
          </w:tcPr>
          <w:p>
            <w:pPr>
              <w:spacing w:line="400" w:lineRule="exact"/>
              <w:jc w:val="center"/>
              <w:rPr>
                <w:color w:val="auto"/>
              </w:rPr>
            </w:pPr>
          </w:p>
        </w:tc>
        <w:tc>
          <w:tcPr>
            <w:tcW w:w="750" w:type="dxa"/>
            <w:noWrap w:val="0"/>
            <w:tcMar>
              <w:left w:w="28" w:type="dxa"/>
              <w:right w:w="28" w:type="dxa"/>
            </w:tcMar>
            <w:vAlign w:val="center"/>
          </w:tcPr>
          <w:p>
            <w:pPr>
              <w:spacing w:line="400" w:lineRule="exact"/>
              <w:jc w:val="center"/>
              <w:rPr>
                <w:color w:val="auto"/>
              </w:rPr>
            </w:pPr>
          </w:p>
        </w:tc>
        <w:tc>
          <w:tcPr>
            <w:tcW w:w="1094" w:type="dxa"/>
            <w:noWrap w:val="0"/>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noWrap w:val="0"/>
            <w:tcMar>
              <w:left w:w="28" w:type="dxa"/>
              <w:right w:w="28" w:type="dxa"/>
            </w:tcMar>
            <w:vAlign w:val="center"/>
          </w:tcPr>
          <w:p>
            <w:pPr>
              <w:spacing w:line="400" w:lineRule="exact"/>
              <w:jc w:val="center"/>
              <w:rPr>
                <w:color w:val="auto"/>
              </w:rPr>
            </w:pPr>
          </w:p>
        </w:tc>
        <w:tc>
          <w:tcPr>
            <w:tcW w:w="922" w:type="dxa"/>
            <w:noWrap w:val="0"/>
            <w:tcMar>
              <w:left w:w="28" w:type="dxa"/>
              <w:right w:w="28" w:type="dxa"/>
            </w:tcMar>
            <w:vAlign w:val="center"/>
          </w:tcPr>
          <w:p>
            <w:pPr>
              <w:spacing w:line="400" w:lineRule="exact"/>
              <w:jc w:val="center"/>
              <w:rPr>
                <w:color w:val="auto"/>
              </w:rPr>
            </w:pPr>
          </w:p>
        </w:tc>
        <w:tc>
          <w:tcPr>
            <w:tcW w:w="1078" w:type="dxa"/>
            <w:noWrap w:val="0"/>
            <w:tcMar>
              <w:left w:w="28" w:type="dxa"/>
              <w:right w:w="28" w:type="dxa"/>
            </w:tcMar>
            <w:vAlign w:val="center"/>
          </w:tcPr>
          <w:p>
            <w:pPr>
              <w:spacing w:line="400" w:lineRule="exact"/>
              <w:jc w:val="center"/>
              <w:rPr>
                <w:color w:val="auto"/>
              </w:rPr>
            </w:pPr>
          </w:p>
        </w:tc>
        <w:tc>
          <w:tcPr>
            <w:tcW w:w="1262" w:type="dxa"/>
            <w:noWrap w:val="0"/>
            <w:tcMar>
              <w:left w:w="28" w:type="dxa"/>
              <w:right w:w="28" w:type="dxa"/>
            </w:tcMar>
            <w:vAlign w:val="center"/>
          </w:tcPr>
          <w:p>
            <w:pPr>
              <w:spacing w:line="400" w:lineRule="exact"/>
              <w:jc w:val="center"/>
              <w:rPr>
                <w:color w:val="auto"/>
              </w:rPr>
            </w:pPr>
          </w:p>
        </w:tc>
        <w:tc>
          <w:tcPr>
            <w:tcW w:w="1390" w:type="dxa"/>
            <w:noWrap w:val="0"/>
            <w:tcMar>
              <w:left w:w="28" w:type="dxa"/>
              <w:right w:w="28" w:type="dxa"/>
            </w:tcMar>
            <w:vAlign w:val="center"/>
          </w:tcPr>
          <w:p>
            <w:pPr>
              <w:spacing w:line="400" w:lineRule="exact"/>
              <w:jc w:val="center"/>
              <w:rPr>
                <w:color w:val="auto"/>
              </w:rPr>
            </w:pPr>
          </w:p>
        </w:tc>
        <w:tc>
          <w:tcPr>
            <w:tcW w:w="1105" w:type="dxa"/>
            <w:noWrap w:val="0"/>
            <w:tcMar>
              <w:left w:w="28" w:type="dxa"/>
              <w:right w:w="28" w:type="dxa"/>
            </w:tcMar>
            <w:vAlign w:val="center"/>
          </w:tcPr>
          <w:p>
            <w:pPr>
              <w:spacing w:line="400" w:lineRule="exact"/>
              <w:jc w:val="center"/>
              <w:rPr>
                <w:color w:val="auto"/>
              </w:rPr>
            </w:pPr>
          </w:p>
        </w:tc>
        <w:tc>
          <w:tcPr>
            <w:tcW w:w="748" w:type="dxa"/>
            <w:noWrap w:val="0"/>
            <w:tcMar>
              <w:left w:w="28" w:type="dxa"/>
              <w:right w:w="28" w:type="dxa"/>
            </w:tcMar>
            <w:vAlign w:val="center"/>
          </w:tcPr>
          <w:p>
            <w:pPr>
              <w:spacing w:line="400" w:lineRule="exact"/>
              <w:jc w:val="center"/>
              <w:rPr>
                <w:color w:val="auto"/>
              </w:rPr>
            </w:pPr>
          </w:p>
        </w:tc>
        <w:tc>
          <w:tcPr>
            <w:tcW w:w="750" w:type="dxa"/>
            <w:noWrap w:val="0"/>
            <w:tcMar>
              <w:left w:w="28" w:type="dxa"/>
              <w:right w:w="28" w:type="dxa"/>
            </w:tcMar>
            <w:vAlign w:val="center"/>
          </w:tcPr>
          <w:p>
            <w:pPr>
              <w:spacing w:line="400" w:lineRule="exact"/>
              <w:jc w:val="center"/>
              <w:rPr>
                <w:color w:val="auto"/>
              </w:rPr>
            </w:pPr>
          </w:p>
        </w:tc>
        <w:tc>
          <w:tcPr>
            <w:tcW w:w="1094" w:type="dxa"/>
            <w:noWrap w:val="0"/>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noWrap w:val="0"/>
            <w:tcMar>
              <w:left w:w="28" w:type="dxa"/>
              <w:right w:w="28" w:type="dxa"/>
            </w:tcMar>
            <w:vAlign w:val="center"/>
          </w:tcPr>
          <w:p>
            <w:pPr>
              <w:spacing w:line="400" w:lineRule="exact"/>
              <w:jc w:val="center"/>
              <w:rPr>
                <w:color w:val="auto"/>
              </w:rPr>
            </w:pPr>
          </w:p>
        </w:tc>
        <w:tc>
          <w:tcPr>
            <w:tcW w:w="922" w:type="dxa"/>
            <w:noWrap w:val="0"/>
            <w:tcMar>
              <w:left w:w="28" w:type="dxa"/>
              <w:right w:w="28" w:type="dxa"/>
            </w:tcMar>
            <w:vAlign w:val="center"/>
          </w:tcPr>
          <w:p>
            <w:pPr>
              <w:spacing w:line="400" w:lineRule="exact"/>
              <w:jc w:val="center"/>
              <w:rPr>
                <w:color w:val="auto"/>
              </w:rPr>
            </w:pPr>
          </w:p>
        </w:tc>
        <w:tc>
          <w:tcPr>
            <w:tcW w:w="1078" w:type="dxa"/>
            <w:noWrap w:val="0"/>
            <w:tcMar>
              <w:left w:w="28" w:type="dxa"/>
              <w:right w:w="28" w:type="dxa"/>
            </w:tcMar>
            <w:vAlign w:val="center"/>
          </w:tcPr>
          <w:p>
            <w:pPr>
              <w:spacing w:line="400" w:lineRule="exact"/>
              <w:jc w:val="center"/>
              <w:rPr>
                <w:color w:val="auto"/>
              </w:rPr>
            </w:pPr>
          </w:p>
        </w:tc>
        <w:tc>
          <w:tcPr>
            <w:tcW w:w="1262" w:type="dxa"/>
            <w:noWrap w:val="0"/>
            <w:tcMar>
              <w:left w:w="28" w:type="dxa"/>
              <w:right w:w="28" w:type="dxa"/>
            </w:tcMar>
            <w:vAlign w:val="center"/>
          </w:tcPr>
          <w:p>
            <w:pPr>
              <w:spacing w:line="400" w:lineRule="exact"/>
              <w:jc w:val="center"/>
              <w:rPr>
                <w:color w:val="auto"/>
              </w:rPr>
            </w:pPr>
          </w:p>
        </w:tc>
        <w:tc>
          <w:tcPr>
            <w:tcW w:w="1390" w:type="dxa"/>
            <w:noWrap w:val="0"/>
            <w:tcMar>
              <w:left w:w="28" w:type="dxa"/>
              <w:right w:w="28" w:type="dxa"/>
            </w:tcMar>
            <w:vAlign w:val="center"/>
          </w:tcPr>
          <w:p>
            <w:pPr>
              <w:spacing w:line="400" w:lineRule="exact"/>
              <w:jc w:val="center"/>
              <w:rPr>
                <w:color w:val="auto"/>
              </w:rPr>
            </w:pPr>
          </w:p>
        </w:tc>
        <w:tc>
          <w:tcPr>
            <w:tcW w:w="1105" w:type="dxa"/>
            <w:noWrap w:val="0"/>
            <w:tcMar>
              <w:left w:w="28" w:type="dxa"/>
              <w:right w:w="28" w:type="dxa"/>
            </w:tcMar>
            <w:vAlign w:val="center"/>
          </w:tcPr>
          <w:p>
            <w:pPr>
              <w:spacing w:line="400" w:lineRule="exact"/>
              <w:jc w:val="center"/>
              <w:rPr>
                <w:color w:val="auto"/>
              </w:rPr>
            </w:pPr>
          </w:p>
        </w:tc>
        <w:tc>
          <w:tcPr>
            <w:tcW w:w="748" w:type="dxa"/>
            <w:noWrap w:val="0"/>
            <w:tcMar>
              <w:left w:w="28" w:type="dxa"/>
              <w:right w:w="28" w:type="dxa"/>
            </w:tcMar>
            <w:vAlign w:val="center"/>
          </w:tcPr>
          <w:p>
            <w:pPr>
              <w:spacing w:line="400" w:lineRule="exact"/>
              <w:jc w:val="center"/>
              <w:rPr>
                <w:color w:val="auto"/>
              </w:rPr>
            </w:pPr>
          </w:p>
        </w:tc>
        <w:tc>
          <w:tcPr>
            <w:tcW w:w="750" w:type="dxa"/>
            <w:noWrap w:val="0"/>
            <w:tcMar>
              <w:left w:w="28" w:type="dxa"/>
              <w:right w:w="28" w:type="dxa"/>
            </w:tcMar>
            <w:vAlign w:val="center"/>
          </w:tcPr>
          <w:p>
            <w:pPr>
              <w:spacing w:line="400" w:lineRule="exact"/>
              <w:jc w:val="center"/>
              <w:rPr>
                <w:color w:val="auto"/>
              </w:rPr>
            </w:pPr>
          </w:p>
        </w:tc>
        <w:tc>
          <w:tcPr>
            <w:tcW w:w="1094" w:type="dxa"/>
            <w:noWrap w:val="0"/>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noWrap w:val="0"/>
            <w:tcMar>
              <w:left w:w="28" w:type="dxa"/>
              <w:right w:w="28" w:type="dxa"/>
            </w:tcMar>
            <w:vAlign w:val="center"/>
          </w:tcPr>
          <w:p>
            <w:pPr>
              <w:spacing w:line="400" w:lineRule="exact"/>
              <w:jc w:val="center"/>
              <w:rPr>
                <w:color w:val="auto"/>
              </w:rPr>
            </w:pPr>
          </w:p>
        </w:tc>
        <w:tc>
          <w:tcPr>
            <w:tcW w:w="922" w:type="dxa"/>
            <w:noWrap w:val="0"/>
            <w:tcMar>
              <w:left w:w="28" w:type="dxa"/>
              <w:right w:w="28" w:type="dxa"/>
            </w:tcMar>
            <w:vAlign w:val="center"/>
          </w:tcPr>
          <w:p>
            <w:pPr>
              <w:spacing w:line="400" w:lineRule="exact"/>
              <w:jc w:val="center"/>
              <w:rPr>
                <w:color w:val="auto"/>
              </w:rPr>
            </w:pPr>
          </w:p>
        </w:tc>
        <w:tc>
          <w:tcPr>
            <w:tcW w:w="1078" w:type="dxa"/>
            <w:noWrap w:val="0"/>
            <w:tcMar>
              <w:left w:w="28" w:type="dxa"/>
              <w:right w:w="28" w:type="dxa"/>
            </w:tcMar>
            <w:vAlign w:val="center"/>
          </w:tcPr>
          <w:p>
            <w:pPr>
              <w:spacing w:line="400" w:lineRule="exact"/>
              <w:jc w:val="center"/>
              <w:rPr>
                <w:color w:val="auto"/>
              </w:rPr>
            </w:pPr>
          </w:p>
        </w:tc>
        <w:tc>
          <w:tcPr>
            <w:tcW w:w="1262" w:type="dxa"/>
            <w:noWrap w:val="0"/>
            <w:tcMar>
              <w:left w:w="28" w:type="dxa"/>
              <w:right w:w="28" w:type="dxa"/>
            </w:tcMar>
            <w:vAlign w:val="center"/>
          </w:tcPr>
          <w:p>
            <w:pPr>
              <w:spacing w:line="400" w:lineRule="exact"/>
              <w:jc w:val="center"/>
              <w:rPr>
                <w:color w:val="auto"/>
              </w:rPr>
            </w:pPr>
          </w:p>
        </w:tc>
        <w:tc>
          <w:tcPr>
            <w:tcW w:w="1390" w:type="dxa"/>
            <w:noWrap w:val="0"/>
            <w:tcMar>
              <w:left w:w="28" w:type="dxa"/>
              <w:right w:w="28" w:type="dxa"/>
            </w:tcMar>
            <w:vAlign w:val="center"/>
          </w:tcPr>
          <w:p>
            <w:pPr>
              <w:spacing w:line="400" w:lineRule="exact"/>
              <w:jc w:val="center"/>
              <w:rPr>
                <w:color w:val="auto"/>
              </w:rPr>
            </w:pPr>
          </w:p>
        </w:tc>
        <w:tc>
          <w:tcPr>
            <w:tcW w:w="1105" w:type="dxa"/>
            <w:noWrap w:val="0"/>
            <w:tcMar>
              <w:left w:w="28" w:type="dxa"/>
              <w:right w:w="28" w:type="dxa"/>
            </w:tcMar>
            <w:vAlign w:val="center"/>
          </w:tcPr>
          <w:p>
            <w:pPr>
              <w:spacing w:line="400" w:lineRule="exact"/>
              <w:jc w:val="center"/>
              <w:rPr>
                <w:color w:val="auto"/>
              </w:rPr>
            </w:pPr>
          </w:p>
        </w:tc>
        <w:tc>
          <w:tcPr>
            <w:tcW w:w="748" w:type="dxa"/>
            <w:noWrap w:val="0"/>
            <w:tcMar>
              <w:left w:w="28" w:type="dxa"/>
              <w:right w:w="28" w:type="dxa"/>
            </w:tcMar>
            <w:vAlign w:val="center"/>
          </w:tcPr>
          <w:p>
            <w:pPr>
              <w:spacing w:line="400" w:lineRule="exact"/>
              <w:jc w:val="center"/>
              <w:rPr>
                <w:color w:val="auto"/>
              </w:rPr>
            </w:pPr>
          </w:p>
        </w:tc>
        <w:tc>
          <w:tcPr>
            <w:tcW w:w="750" w:type="dxa"/>
            <w:noWrap w:val="0"/>
            <w:tcMar>
              <w:left w:w="28" w:type="dxa"/>
              <w:right w:w="28" w:type="dxa"/>
            </w:tcMar>
            <w:vAlign w:val="center"/>
          </w:tcPr>
          <w:p>
            <w:pPr>
              <w:spacing w:line="400" w:lineRule="exact"/>
              <w:jc w:val="center"/>
              <w:rPr>
                <w:color w:val="auto"/>
              </w:rPr>
            </w:pPr>
          </w:p>
        </w:tc>
        <w:tc>
          <w:tcPr>
            <w:tcW w:w="1094" w:type="dxa"/>
            <w:noWrap w:val="0"/>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noWrap w:val="0"/>
            <w:tcMar>
              <w:left w:w="28" w:type="dxa"/>
              <w:right w:w="28" w:type="dxa"/>
            </w:tcMar>
            <w:vAlign w:val="center"/>
          </w:tcPr>
          <w:p>
            <w:pPr>
              <w:spacing w:line="400" w:lineRule="exact"/>
              <w:jc w:val="center"/>
              <w:rPr>
                <w:color w:val="auto"/>
              </w:rPr>
            </w:pPr>
          </w:p>
        </w:tc>
        <w:tc>
          <w:tcPr>
            <w:tcW w:w="922" w:type="dxa"/>
            <w:noWrap w:val="0"/>
            <w:tcMar>
              <w:left w:w="28" w:type="dxa"/>
              <w:right w:w="28" w:type="dxa"/>
            </w:tcMar>
            <w:vAlign w:val="center"/>
          </w:tcPr>
          <w:p>
            <w:pPr>
              <w:spacing w:line="400" w:lineRule="exact"/>
              <w:jc w:val="center"/>
              <w:rPr>
                <w:color w:val="auto"/>
              </w:rPr>
            </w:pPr>
          </w:p>
        </w:tc>
        <w:tc>
          <w:tcPr>
            <w:tcW w:w="1078" w:type="dxa"/>
            <w:noWrap w:val="0"/>
            <w:tcMar>
              <w:left w:w="28" w:type="dxa"/>
              <w:right w:w="28" w:type="dxa"/>
            </w:tcMar>
            <w:vAlign w:val="center"/>
          </w:tcPr>
          <w:p>
            <w:pPr>
              <w:spacing w:line="400" w:lineRule="exact"/>
              <w:jc w:val="center"/>
              <w:rPr>
                <w:color w:val="auto"/>
              </w:rPr>
            </w:pPr>
          </w:p>
        </w:tc>
        <w:tc>
          <w:tcPr>
            <w:tcW w:w="1262" w:type="dxa"/>
            <w:noWrap w:val="0"/>
            <w:tcMar>
              <w:left w:w="28" w:type="dxa"/>
              <w:right w:w="28" w:type="dxa"/>
            </w:tcMar>
            <w:vAlign w:val="center"/>
          </w:tcPr>
          <w:p>
            <w:pPr>
              <w:spacing w:line="400" w:lineRule="exact"/>
              <w:jc w:val="center"/>
              <w:rPr>
                <w:color w:val="auto"/>
              </w:rPr>
            </w:pPr>
          </w:p>
        </w:tc>
        <w:tc>
          <w:tcPr>
            <w:tcW w:w="1390" w:type="dxa"/>
            <w:noWrap w:val="0"/>
            <w:tcMar>
              <w:left w:w="28" w:type="dxa"/>
              <w:right w:w="28" w:type="dxa"/>
            </w:tcMar>
            <w:vAlign w:val="center"/>
          </w:tcPr>
          <w:p>
            <w:pPr>
              <w:spacing w:line="400" w:lineRule="exact"/>
              <w:jc w:val="center"/>
              <w:rPr>
                <w:color w:val="auto"/>
              </w:rPr>
            </w:pPr>
          </w:p>
        </w:tc>
        <w:tc>
          <w:tcPr>
            <w:tcW w:w="1105" w:type="dxa"/>
            <w:noWrap w:val="0"/>
            <w:tcMar>
              <w:left w:w="28" w:type="dxa"/>
              <w:right w:w="28" w:type="dxa"/>
            </w:tcMar>
            <w:vAlign w:val="center"/>
          </w:tcPr>
          <w:p>
            <w:pPr>
              <w:spacing w:line="400" w:lineRule="exact"/>
              <w:jc w:val="center"/>
              <w:rPr>
                <w:color w:val="auto"/>
              </w:rPr>
            </w:pPr>
          </w:p>
        </w:tc>
        <w:tc>
          <w:tcPr>
            <w:tcW w:w="748" w:type="dxa"/>
            <w:noWrap w:val="0"/>
            <w:tcMar>
              <w:left w:w="28" w:type="dxa"/>
              <w:right w:w="28" w:type="dxa"/>
            </w:tcMar>
            <w:vAlign w:val="center"/>
          </w:tcPr>
          <w:p>
            <w:pPr>
              <w:spacing w:line="400" w:lineRule="exact"/>
              <w:jc w:val="center"/>
              <w:rPr>
                <w:color w:val="auto"/>
              </w:rPr>
            </w:pPr>
          </w:p>
        </w:tc>
        <w:tc>
          <w:tcPr>
            <w:tcW w:w="750" w:type="dxa"/>
            <w:noWrap w:val="0"/>
            <w:tcMar>
              <w:left w:w="28" w:type="dxa"/>
              <w:right w:w="28" w:type="dxa"/>
            </w:tcMar>
            <w:vAlign w:val="center"/>
          </w:tcPr>
          <w:p>
            <w:pPr>
              <w:spacing w:line="400" w:lineRule="exact"/>
              <w:jc w:val="center"/>
              <w:rPr>
                <w:color w:val="auto"/>
              </w:rPr>
            </w:pPr>
          </w:p>
        </w:tc>
        <w:tc>
          <w:tcPr>
            <w:tcW w:w="1094" w:type="dxa"/>
            <w:noWrap w:val="0"/>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noWrap w:val="0"/>
            <w:tcMar>
              <w:left w:w="28" w:type="dxa"/>
              <w:right w:w="28" w:type="dxa"/>
            </w:tcMar>
            <w:vAlign w:val="center"/>
          </w:tcPr>
          <w:p>
            <w:pPr>
              <w:spacing w:line="400" w:lineRule="exact"/>
              <w:jc w:val="center"/>
              <w:rPr>
                <w:color w:val="auto"/>
              </w:rPr>
            </w:pPr>
          </w:p>
        </w:tc>
        <w:tc>
          <w:tcPr>
            <w:tcW w:w="922" w:type="dxa"/>
            <w:noWrap w:val="0"/>
            <w:tcMar>
              <w:left w:w="28" w:type="dxa"/>
              <w:right w:w="28" w:type="dxa"/>
            </w:tcMar>
            <w:vAlign w:val="center"/>
          </w:tcPr>
          <w:p>
            <w:pPr>
              <w:spacing w:line="400" w:lineRule="exact"/>
              <w:jc w:val="center"/>
              <w:rPr>
                <w:color w:val="auto"/>
              </w:rPr>
            </w:pPr>
          </w:p>
        </w:tc>
        <w:tc>
          <w:tcPr>
            <w:tcW w:w="1078" w:type="dxa"/>
            <w:noWrap w:val="0"/>
            <w:tcMar>
              <w:left w:w="28" w:type="dxa"/>
              <w:right w:w="28" w:type="dxa"/>
            </w:tcMar>
            <w:vAlign w:val="center"/>
          </w:tcPr>
          <w:p>
            <w:pPr>
              <w:spacing w:line="400" w:lineRule="exact"/>
              <w:jc w:val="center"/>
              <w:rPr>
                <w:color w:val="auto"/>
              </w:rPr>
            </w:pPr>
          </w:p>
        </w:tc>
        <w:tc>
          <w:tcPr>
            <w:tcW w:w="1262" w:type="dxa"/>
            <w:noWrap w:val="0"/>
            <w:tcMar>
              <w:left w:w="28" w:type="dxa"/>
              <w:right w:w="28" w:type="dxa"/>
            </w:tcMar>
            <w:vAlign w:val="center"/>
          </w:tcPr>
          <w:p>
            <w:pPr>
              <w:spacing w:line="400" w:lineRule="exact"/>
              <w:jc w:val="center"/>
              <w:rPr>
                <w:color w:val="auto"/>
              </w:rPr>
            </w:pPr>
          </w:p>
        </w:tc>
        <w:tc>
          <w:tcPr>
            <w:tcW w:w="1390" w:type="dxa"/>
            <w:noWrap w:val="0"/>
            <w:tcMar>
              <w:left w:w="28" w:type="dxa"/>
              <w:right w:w="28" w:type="dxa"/>
            </w:tcMar>
            <w:vAlign w:val="center"/>
          </w:tcPr>
          <w:p>
            <w:pPr>
              <w:spacing w:line="400" w:lineRule="exact"/>
              <w:jc w:val="center"/>
              <w:rPr>
                <w:color w:val="auto"/>
              </w:rPr>
            </w:pPr>
          </w:p>
        </w:tc>
        <w:tc>
          <w:tcPr>
            <w:tcW w:w="1105" w:type="dxa"/>
            <w:noWrap w:val="0"/>
            <w:tcMar>
              <w:left w:w="28" w:type="dxa"/>
              <w:right w:w="28" w:type="dxa"/>
            </w:tcMar>
            <w:vAlign w:val="center"/>
          </w:tcPr>
          <w:p>
            <w:pPr>
              <w:spacing w:line="400" w:lineRule="exact"/>
              <w:jc w:val="center"/>
              <w:rPr>
                <w:color w:val="auto"/>
              </w:rPr>
            </w:pPr>
          </w:p>
        </w:tc>
        <w:tc>
          <w:tcPr>
            <w:tcW w:w="748" w:type="dxa"/>
            <w:noWrap w:val="0"/>
            <w:tcMar>
              <w:left w:w="28" w:type="dxa"/>
              <w:right w:w="28" w:type="dxa"/>
            </w:tcMar>
            <w:vAlign w:val="center"/>
          </w:tcPr>
          <w:p>
            <w:pPr>
              <w:spacing w:line="400" w:lineRule="exact"/>
              <w:jc w:val="center"/>
              <w:rPr>
                <w:color w:val="auto"/>
              </w:rPr>
            </w:pPr>
          </w:p>
        </w:tc>
        <w:tc>
          <w:tcPr>
            <w:tcW w:w="750" w:type="dxa"/>
            <w:noWrap w:val="0"/>
            <w:tcMar>
              <w:left w:w="28" w:type="dxa"/>
              <w:right w:w="28" w:type="dxa"/>
            </w:tcMar>
            <w:vAlign w:val="center"/>
          </w:tcPr>
          <w:p>
            <w:pPr>
              <w:spacing w:line="400" w:lineRule="exact"/>
              <w:jc w:val="center"/>
              <w:rPr>
                <w:color w:val="auto"/>
              </w:rPr>
            </w:pPr>
          </w:p>
        </w:tc>
        <w:tc>
          <w:tcPr>
            <w:tcW w:w="1094" w:type="dxa"/>
            <w:noWrap w:val="0"/>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666" w:type="dxa"/>
            <w:noWrap w:val="0"/>
            <w:tcMar>
              <w:left w:w="28" w:type="dxa"/>
              <w:right w:w="28" w:type="dxa"/>
            </w:tcMar>
            <w:vAlign w:val="center"/>
          </w:tcPr>
          <w:p>
            <w:pPr>
              <w:spacing w:line="400" w:lineRule="exact"/>
              <w:jc w:val="center"/>
              <w:rPr>
                <w:color w:val="auto"/>
              </w:rPr>
            </w:pPr>
          </w:p>
        </w:tc>
        <w:tc>
          <w:tcPr>
            <w:tcW w:w="922" w:type="dxa"/>
            <w:noWrap w:val="0"/>
            <w:tcMar>
              <w:left w:w="28" w:type="dxa"/>
              <w:right w:w="28" w:type="dxa"/>
            </w:tcMar>
            <w:vAlign w:val="center"/>
          </w:tcPr>
          <w:p>
            <w:pPr>
              <w:spacing w:line="400" w:lineRule="exact"/>
              <w:jc w:val="center"/>
              <w:rPr>
                <w:color w:val="auto"/>
              </w:rPr>
            </w:pPr>
          </w:p>
        </w:tc>
        <w:tc>
          <w:tcPr>
            <w:tcW w:w="1078" w:type="dxa"/>
            <w:noWrap w:val="0"/>
            <w:tcMar>
              <w:left w:w="28" w:type="dxa"/>
              <w:right w:w="28" w:type="dxa"/>
            </w:tcMar>
            <w:vAlign w:val="center"/>
          </w:tcPr>
          <w:p>
            <w:pPr>
              <w:spacing w:line="400" w:lineRule="exact"/>
              <w:jc w:val="center"/>
              <w:rPr>
                <w:color w:val="auto"/>
              </w:rPr>
            </w:pPr>
          </w:p>
        </w:tc>
        <w:tc>
          <w:tcPr>
            <w:tcW w:w="1262" w:type="dxa"/>
            <w:noWrap w:val="0"/>
            <w:tcMar>
              <w:left w:w="28" w:type="dxa"/>
              <w:right w:w="28" w:type="dxa"/>
            </w:tcMar>
            <w:vAlign w:val="center"/>
          </w:tcPr>
          <w:p>
            <w:pPr>
              <w:spacing w:line="400" w:lineRule="exact"/>
              <w:jc w:val="center"/>
              <w:rPr>
                <w:color w:val="auto"/>
              </w:rPr>
            </w:pPr>
          </w:p>
        </w:tc>
        <w:tc>
          <w:tcPr>
            <w:tcW w:w="1390" w:type="dxa"/>
            <w:noWrap w:val="0"/>
            <w:tcMar>
              <w:left w:w="28" w:type="dxa"/>
              <w:right w:w="28" w:type="dxa"/>
            </w:tcMar>
            <w:vAlign w:val="center"/>
          </w:tcPr>
          <w:p>
            <w:pPr>
              <w:spacing w:line="400" w:lineRule="exact"/>
              <w:jc w:val="center"/>
              <w:rPr>
                <w:color w:val="auto"/>
              </w:rPr>
            </w:pPr>
          </w:p>
        </w:tc>
        <w:tc>
          <w:tcPr>
            <w:tcW w:w="1105" w:type="dxa"/>
            <w:noWrap w:val="0"/>
            <w:tcMar>
              <w:left w:w="28" w:type="dxa"/>
              <w:right w:w="28" w:type="dxa"/>
            </w:tcMar>
            <w:vAlign w:val="center"/>
          </w:tcPr>
          <w:p>
            <w:pPr>
              <w:spacing w:line="400" w:lineRule="exact"/>
              <w:jc w:val="center"/>
              <w:rPr>
                <w:color w:val="auto"/>
              </w:rPr>
            </w:pPr>
          </w:p>
        </w:tc>
        <w:tc>
          <w:tcPr>
            <w:tcW w:w="748" w:type="dxa"/>
            <w:noWrap w:val="0"/>
            <w:tcMar>
              <w:left w:w="28" w:type="dxa"/>
              <w:right w:w="28" w:type="dxa"/>
            </w:tcMar>
            <w:vAlign w:val="center"/>
          </w:tcPr>
          <w:p>
            <w:pPr>
              <w:spacing w:line="400" w:lineRule="exact"/>
              <w:jc w:val="center"/>
              <w:rPr>
                <w:color w:val="auto"/>
              </w:rPr>
            </w:pPr>
          </w:p>
        </w:tc>
        <w:tc>
          <w:tcPr>
            <w:tcW w:w="750" w:type="dxa"/>
            <w:noWrap w:val="0"/>
            <w:tcMar>
              <w:left w:w="28" w:type="dxa"/>
              <w:right w:w="28" w:type="dxa"/>
            </w:tcMar>
            <w:vAlign w:val="center"/>
          </w:tcPr>
          <w:p>
            <w:pPr>
              <w:spacing w:line="400" w:lineRule="exact"/>
              <w:jc w:val="center"/>
              <w:rPr>
                <w:color w:val="auto"/>
              </w:rPr>
            </w:pPr>
          </w:p>
        </w:tc>
        <w:tc>
          <w:tcPr>
            <w:tcW w:w="1094" w:type="dxa"/>
            <w:noWrap w:val="0"/>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666" w:type="dxa"/>
            <w:noWrap w:val="0"/>
            <w:tcMar>
              <w:left w:w="28" w:type="dxa"/>
              <w:right w:w="28" w:type="dxa"/>
            </w:tcMar>
            <w:vAlign w:val="center"/>
          </w:tcPr>
          <w:p>
            <w:pPr>
              <w:spacing w:line="400" w:lineRule="exact"/>
              <w:jc w:val="center"/>
              <w:rPr>
                <w:color w:val="auto"/>
              </w:rPr>
            </w:pPr>
          </w:p>
        </w:tc>
        <w:tc>
          <w:tcPr>
            <w:tcW w:w="922" w:type="dxa"/>
            <w:noWrap w:val="0"/>
            <w:tcMar>
              <w:left w:w="28" w:type="dxa"/>
              <w:right w:w="28" w:type="dxa"/>
            </w:tcMar>
            <w:vAlign w:val="center"/>
          </w:tcPr>
          <w:p>
            <w:pPr>
              <w:spacing w:line="400" w:lineRule="exact"/>
              <w:jc w:val="center"/>
              <w:rPr>
                <w:color w:val="auto"/>
              </w:rPr>
            </w:pPr>
          </w:p>
        </w:tc>
        <w:tc>
          <w:tcPr>
            <w:tcW w:w="1078" w:type="dxa"/>
            <w:noWrap w:val="0"/>
            <w:tcMar>
              <w:left w:w="28" w:type="dxa"/>
              <w:right w:w="28" w:type="dxa"/>
            </w:tcMar>
            <w:vAlign w:val="center"/>
          </w:tcPr>
          <w:p>
            <w:pPr>
              <w:spacing w:line="400" w:lineRule="exact"/>
              <w:jc w:val="center"/>
              <w:rPr>
                <w:color w:val="auto"/>
              </w:rPr>
            </w:pPr>
          </w:p>
        </w:tc>
        <w:tc>
          <w:tcPr>
            <w:tcW w:w="1262" w:type="dxa"/>
            <w:noWrap w:val="0"/>
            <w:tcMar>
              <w:left w:w="28" w:type="dxa"/>
              <w:right w:w="28" w:type="dxa"/>
            </w:tcMar>
            <w:vAlign w:val="center"/>
          </w:tcPr>
          <w:p>
            <w:pPr>
              <w:spacing w:line="400" w:lineRule="exact"/>
              <w:jc w:val="center"/>
              <w:rPr>
                <w:color w:val="auto"/>
              </w:rPr>
            </w:pPr>
          </w:p>
        </w:tc>
        <w:tc>
          <w:tcPr>
            <w:tcW w:w="1390" w:type="dxa"/>
            <w:noWrap w:val="0"/>
            <w:tcMar>
              <w:left w:w="28" w:type="dxa"/>
              <w:right w:w="28" w:type="dxa"/>
            </w:tcMar>
            <w:vAlign w:val="center"/>
          </w:tcPr>
          <w:p>
            <w:pPr>
              <w:spacing w:line="400" w:lineRule="exact"/>
              <w:jc w:val="center"/>
              <w:rPr>
                <w:color w:val="auto"/>
              </w:rPr>
            </w:pPr>
          </w:p>
        </w:tc>
        <w:tc>
          <w:tcPr>
            <w:tcW w:w="1105" w:type="dxa"/>
            <w:noWrap w:val="0"/>
            <w:tcMar>
              <w:left w:w="28" w:type="dxa"/>
              <w:right w:w="28" w:type="dxa"/>
            </w:tcMar>
            <w:vAlign w:val="center"/>
          </w:tcPr>
          <w:p>
            <w:pPr>
              <w:spacing w:line="400" w:lineRule="exact"/>
              <w:jc w:val="center"/>
              <w:rPr>
                <w:color w:val="auto"/>
              </w:rPr>
            </w:pPr>
          </w:p>
        </w:tc>
        <w:tc>
          <w:tcPr>
            <w:tcW w:w="748" w:type="dxa"/>
            <w:noWrap w:val="0"/>
            <w:tcMar>
              <w:left w:w="28" w:type="dxa"/>
              <w:right w:w="28" w:type="dxa"/>
            </w:tcMar>
            <w:vAlign w:val="center"/>
          </w:tcPr>
          <w:p>
            <w:pPr>
              <w:spacing w:line="400" w:lineRule="exact"/>
              <w:jc w:val="center"/>
              <w:rPr>
                <w:color w:val="auto"/>
              </w:rPr>
            </w:pPr>
          </w:p>
        </w:tc>
        <w:tc>
          <w:tcPr>
            <w:tcW w:w="750" w:type="dxa"/>
            <w:noWrap w:val="0"/>
            <w:tcMar>
              <w:left w:w="28" w:type="dxa"/>
              <w:right w:w="28" w:type="dxa"/>
            </w:tcMar>
            <w:vAlign w:val="center"/>
          </w:tcPr>
          <w:p>
            <w:pPr>
              <w:spacing w:line="400" w:lineRule="exact"/>
              <w:jc w:val="center"/>
              <w:rPr>
                <w:color w:val="auto"/>
              </w:rPr>
            </w:pPr>
          </w:p>
        </w:tc>
        <w:tc>
          <w:tcPr>
            <w:tcW w:w="1094" w:type="dxa"/>
            <w:noWrap w:val="0"/>
            <w:tcMar>
              <w:left w:w="28" w:type="dxa"/>
              <w:right w:w="28" w:type="dxa"/>
            </w:tcMar>
            <w:vAlign w:val="center"/>
          </w:tcPr>
          <w:p>
            <w:pPr>
              <w:spacing w:line="400" w:lineRule="exact"/>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2666" w:type="dxa"/>
            <w:gridSpan w:val="3"/>
            <w:noWrap w:val="0"/>
            <w:tcMar>
              <w:left w:w="28" w:type="dxa"/>
              <w:right w:w="28" w:type="dxa"/>
            </w:tcMar>
            <w:vAlign w:val="center"/>
          </w:tcPr>
          <w:p>
            <w:pPr>
              <w:spacing w:line="400" w:lineRule="exact"/>
              <w:jc w:val="center"/>
              <w:rPr>
                <w:color w:val="auto"/>
              </w:rPr>
            </w:pPr>
            <w:r>
              <w:rPr>
                <w:rFonts w:hint="eastAsia"/>
                <w:color w:val="auto"/>
              </w:rPr>
              <w:t>招标人编制的招标控制价</w:t>
            </w:r>
          </w:p>
        </w:tc>
        <w:tc>
          <w:tcPr>
            <w:tcW w:w="6349" w:type="dxa"/>
            <w:gridSpan w:val="6"/>
            <w:noWrap w:val="0"/>
            <w:tcMar>
              <w:left w:w="28" w:type="dxa"/>
              <w:right w:w="28" w:type="dxa"/>
            </w:tcMar>
            <w:vAlign w:val="center"/>
          </w:tcPr>
          <w:p>
            <w:pPr>
              <w:spacing w:line="400" w:lineRule="exact"/>
              <w:jc w:val="center"/>
              <w:rPr>
                <w:color w:val="auto"/>
              </w:rPr>
            </w:pPr>
          </w:p>
        </w:tc>
      </w:tr>
    </w:tbl>
    <w:p>
      <w:pPr>
        <w:spacing w:line="400" w:lineRule="exact"/>
        <w:rPr>
          <w:rFonts w:ascii="黑体" w:eastAsia="黑体"/>
          <w:color w:val="auto"/>
        </w:rPr>
      </w:pPr>
      <w:r>
        <w:rPr>
          <w:rFonts w:hint="eastAsia" w:ascii="黑体" w:eastAsia="黑体"/>
          <w:color w:val="auto"/>
        </w:rPr>
        <w:t xml:space="preserve"> （二）开标过程中的其他事项记录</w:t>
      </w:r>
    </w:p>
    <w:p>
      <w:pPr>
        <w:spacing w:line="400" w:lineRule="exact"/>
        <w:rPr>
          <w:rFonts w:ascii="黑体" w:eastAsia="黑体"/>
          <w:color w:val="auto"/>
          <w:u w:val="single"/>
        </w:rPr>
      </w:pPr>
      <w:r>
        <w:rPr>
          <w:rFonts w:ascii="黑体" w:eastAsia="黑体"/>
          <w:color w:val="auto"/>
          <w:u w:val="single"/>
        </w:rPr>
        <w:t xml:space="preserve">                                                                             </w:t>
      </w:r>
    </w:p>
    <w:p>
      <w:pPr>
        <w:spacing w:line="400" w:lineRule="exact"/>
        <w:rPr>
          <w:rFonts w:ascii="黑体" w:eastAsia="黑体"/>
          <w:color w:val="auto"/>
          <w:u w:val="single"/>
        </w:rPr>
      </w:pPr>
      <w:r>
        <w:rPr>
          <w:rFonts w:ascii="黑体" w:eastAsia="黑体"/>
          <w:color w:val="auto"/>
          <w:u w:val="single"/>
        </w:rPr>
        <w:t xml:space="preserve">                                                                             </w:t>
      </w:r>
    </w:p>
    <w:p>
      <w:pPr>
        <w:spacing w:line="400" w:lineRule="exact"/>
        <w:rPr>
          <w:rFonts w:ascii="黑体" w:eastAsia="黑体"/>
          <w:color w:val="auto"/>
          <w:u w:val="single"/>
        </w:rPr>
      </w:pPr>
      <w:r>
        <w:rPr>
          <w:rFonts w:ascii="黑体" w:eastAsia="黑体"/>
          <w:color w:val="auto"/>
          <w:u w:val="single"/>
        </w:rPr>
        <w:t xml:space="preserve">                                                                             </w:t>
      </w:r>
    </w:p>
    <w:p>
      <w:pPr>
        <w:spacing w:line="400" w:lineRule="exact"/>
        <w:rPr>
          <w:rFonts w:ascii="黑体" w:eastAsia="黑体"/>
          <w:color w:val="auto"/>
          <w:u w:val="single"/>
        </w:rPr>
      </w:pPr>
      <w:r>
        <w:rPr>
          <w:rFonts w:ascii="黑体" w:eastAsia="黑体"/>
          <w:color w:val="auto"/>
          <w:u w:val="single"/>
        </w:rPr>
        <w:t xml:space="preserve">                                                                             </w:t>
      </w:r>
    </w:p>
    <w:p>
      <w:pPr>
        <w:spacing w:line="400" w:lineRule="exact"/>
        <w:rPr>
          <w:rFonts w:ascii="宋体" w:hAnsi="宋体"/>
          <w:color w:val="auto"/>
          <w:u w:val="single"/>
        </w:rPr>
      </w:pPr>
      <w:r>
        <w:rPr>
          <w:rFonts w:ascii="黑体" w:eastAsia="黑体"/>
          <w:color w:val="auto"/>
          <w:u w:val="single"/>
        </w:rPr>
        <w:t xml:space="preserve">                                         </w:t>
      </w:r>
      <w:r>
        <w:rPr>
          <w:rFonts w:ascii="宋体" w:hAnsi="宋体"/>
          <w:color w:val="auto"/>
          <w:u w:val="single"/>
        </w:rPr>
        <w:t xml:space="preserve">                                    </w:t>
      </w:r>
    </w:p>
    <w:p>
      <w:pPr>
        <w:spacing w:line="400" w:lineRule="exact"/>
        <w:rPr>
          <w:color w:val="auto"/>
        </w:rPr>
      </w:pPr>
      <w:r>
        <w:rPr>
          <w:rFonts w:hint="eastAsia"/>
          <w:color w:val="auto"/>
        </w:rPr>
        <w:t xml:space="preserve"> （三）出席开标会的单位和人员（附签到表）</w:t>
      </w:r>
    </w:p>
    <w:p>
      <w:pPr>
        <w:spacing w:line="400" w:lineRule="exact"/>
        <w:rPr>
          <w:color w:val="auto"/>
        </w:rPr>
      </w:pPr>
    </w:p>
    <w:p>
      <w:pPr>
        <w:spacing w:line="400" w:lineRule="exact"/>
        <w:rPr>
          <w:color w:val="auto"/>
        </w:rPr>
      </w:pPr>
    </w:p>
    <w:p>
      <w:pPr>
        <w:spacing w:line="400" w:lineRule="exact"/>
        <w:rPr>
          <w:rFonts w:ascii="黑体" w:eastAsia="黑体"/>
          <w:color w:val="auto"/>
          <w:u w:val="single"/>
        </w:rPr>
      </w:pPr>
      <w:r>
        <w:rPr>
          <w:rFonts w:hint="eastAsia" w:ascii="黑体" w:eastAsia="黑体"/>
          <w:color w:val="auto"/>
        </w:rPr>
        <w:t>招标人代表：</w:t>
      </w:r>
      <w:r>
        <w:rPr>
          <w:rFonts w:ascii="黑体" w:eastAsia="黑体"/>
          <w:color w:val="auto"/>
          <w:u w:val="single"/>
        </w:rPr>
        <w:t xml:space="preserve">                </w:t>
      </w:r>
      <w:r>
        <w:rPr>
          <w:rFonts w:hint="eastAsia" w:ascii="黑体" w:eastAsia="黑体"/>
          <w:color w:val="auto"/>
        </w:rPr>
        <w:t>记录人：</w:t>
      </w:r>
      <w:r>
        <w:rPr>
          <w:rFonts w:ascii="黑体" w:eastAsia="黑体"/>
          <w:color w:val="auto"/>
          <w:u w:val="single"/>
        </w:rPr>
        <w:t xml:space="preserve">                 </w:t>
      </w:r>
      <w:r>
        <w:rPr>
          <w:rFonts w:hint="eastAsia" w:ascii="黑体" w:eastAsia="黑体"/>
          <w:color w:val="auto"/>
        </w:rPr>
        <w:t>监标人：</w:t>
      </w:r>
      <w:r>
        <w:rPr>
          <w:rFonts w:ascii="黑体" w:eastAsia="黑体"/>
          <w:color w:val="auto"/>
          <w:u w:val="single"/>
        </w:rPr>
        <w:t xml:space="preserve">               </w:t>
      </w:r>
    </w:p>
    <w:p>
      <w:pPr>
        <w:spacing w:line="400" w:lineRule="exact"/>
        <w:rPr>
          <w:color w:val="auto"/>
        </w:rPr>
      </w:pPr>
    </w:p>
    <w:p>
      <w:pPr>
        <w:spacing w:line="400" w:lineRule="exact"/>
        <w:ind w:firstLine="6480" w:firstLineChars="2700"/>
        <w:rPr>
          <w:color w:val="auto"/>
        </w:rPr>
      </w:pP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spacing w:line="400" w:lineRule="exact"/>
        <w:ind w:firstLine="4320" w:firstLineChars="1800"/>
        <w:rPr>
          <w:color w:val="auto"/>
        </w:rPr>
      </w:pPr>
    </w:p>
    <w:p>
      <w:pPr>
        <w:spacing w:line="400" w:lineRule="exact"/>
        <w:rPr>
          <w:rFonts w:ascii="黑体" w:eastAsia="黑体"/>
          <w:color w:val="auto"/>
        </w:rPr>
      </w:pPr>
      <w:r>
        <w:rPr>
          <w:rFonts w:hint="eastAsia" w:ascii="黑体" w:eastAsia="黑体"/>
          <w:color w:val="auto"/>
        </w:rPr>
        <w:t>附表二：问题澄清通知</w:t>
      </w:r>
    </w:p>
    <w:p>
      <w:pPr>
        <w:spacing w:before="240" w:beforeLines="100" w:after="240" w:afterLines="100" w:line="400" w:lineRule="exact"/>
        <w:jc w:val="center"/>
        <w:rPr>
          <w:rFonts w:ascii="黑体" w:eastAsia="黑体"/>
          <w:color w:val="auto"/>
          <w:sz w:val="28"/>
          <w:szCs w:val="28"/>
        </w:rPr>
      </w:pPr>
      <w:r>
        <w:rPr>
          <w:rFonts w:hint="eastAsia" w:ascii="黑体" w:eastAsia="黑体"/>
          <w:color w:val="auto"/>
          <w:sz w:val="28"/>
          <w:szCs w:val="28"/>
        </w:rPr>
        <w:t>问题澄清通知</w:t>
      </w:r>
    </w:p>
    <w:p>
      <w:pPr>
        <w:spacing w:line="400" w:lineRule="exact"/>
        <w:ind w:firstLine="6120" w:firstLineChars="2550"/>
        <w:rPr>
          <w:color w:val="auto"/>
          <w:u w:val="single"/>
        </w:rPr>
      </w:pPr>
      <w:r>
        <w:rPr>
          <w:rFonts w:hint="eastAsia"/>
          <w:color w:val="auto"/>
        </w:rPr>
        <w:t>编号：</w:t>
      </w:r>
      <w:r>
        <w:rPr>
          <w:color w:val="auto"/>
          <w:u w:val="single"/>
        </w:rPr>
        <w:t xml:space="preserve">                  </w:t>
      </w:r>
    </w:p>
    <w:p>
      <w:pPr>
        <w:spacing w:line="480" w:lineRule="exact"/>
        <w:ind w:firstLine="480" w:firstLineChars="200"/>
        <w:rPr>
          <w:color w:val="auto"/>
        </w:rPr>
      </w:pPr>
      <w:r>
        <w:rPr>
          <w:color w:val="auto"/>
          <w:u w:val="single"/>
        </w:rPr>
        <w:t xml:space="preserve">            </w:t>
      </w:r>
      <w:r>
        <w:rPr>
          <w:rFonts w:ascii="宋体" w:hAnsi="宋体"/>
          <w:color w:val="auto"/>
          <w:u w:val="single"/>
        </w:rPr>
        <w:t xml:space="preserve">         </w:t>
      </w:r>
      <w:r>
        <w:rPr>
          <w:color w:val="auto"/>
          <w:u w:val="single"/>
        </w:rPr>
        <w:t xml:space="preserve">      </w:t>
      </w:r>
      <w:r>
        <w:rPr>
          <w:rFonts w:hint="eastAsia"/>
          <w:color w:val="auto"/>
        </w:rPr>
        <w:t>（投标人名称）：</w:t>
      </w:r>
    </w:p>
    <w:p>
      <w:pPr>
        <w:spacing w:line="480" w:lineRule="exact"/>
        <w:ind w:firstLine="480" w:firstLineChars="200"/>
        <w:rPr>
          <w:color w:val="auto"/>
        </w:rPr>
      </w:pPr>
      <w:r>
        <w:rPr>
          <w:rFonts w:hint="eastAsia"/>
          <w:color w:val="auto"/>
          <w:u w:val="single"/>
        </w:rPr>
        <w:t xml:space="preserve">             （项目名称）        标</w:t>
      </w:r>
      <w:r>
        <w:rPr>
          <w:rFonts w:hint="eastAsia"/>
          <w:color w:val="auto"/>
        </w:rPr>
        <w:t>段施工招标的评标委员会，对你方的投标文件进行了仔细的审查，现需你方对本通知所附的问题以书面形式予以澄清、说明或者补正。</w:t>
      </w:r>
    </w:p>
    <w:p>
      <w:pPr>
        <w:spacing w:line="480" w:lineRule="exact"/>
        <w:rPr>
          <w:color w:val="auto"/>
        </w:rPr>
      </w:pPr>
      <w:r>
        <w:rPr>
          <w:rFonts w:hint="eastAsia"/>
          <w:color w:val="auto"/>
        </w:rPr>
        <w:t>请将上述问题的澄清、说明或者补正于</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r>
        <w:rPr>
          <w:color w:val="auto"/>
          <w:u w:val="single"/>
        </w:rPr>
        <w:t xml:space="preserve">     </w:t>
      </w:r>
      <w:r>
        <w:rPr>
          <w:rFonts w:hint="eastAsia"/>
          <w:color w:val="auto"/>
        </w:rPr>
        <w:t>时前密封递交至</w:t>
      </w:r>
      <w:r>
        <w:rPr>
          <w:color w:val="auto"/>
          <w:u w:val="single"/>
        </w:rPr>
        <w:t xml:space="preserve">              </w:t>
      </w:r>
      <w:r>
        <w:rPr>
          <w:rFonts w:hint="eastAsia"/>
          <w:color w:val="auto"/>
        </w:rPr>
        <w:t>。</w:t>
      </w:r>
    </w:p>
    <w:p>
      <w:pPr>
        <w:spacing w:line="480" w:lineRule="exact"/>
        <w:rPr>
          <w:color w:val="auto"/>
        </w:rPr>
      </w:pPr>
    </w:p>
    <w:p>
      <w:pPr>
        <w:spacing w:line="480" w:lineRule="exact"/>
        <w:rPr>
          <w:color w:val="auto"/>
        </w:rPr>
      </w:pPr>
      <w:r>
        <w:rPr>
          <w:rFonts w:ascii="Times New Roman" w:hAnsi="Times New Roman"/>
          <w:color w:val="auto"/>
          <w:sz w:val="21"/>
        </w:rPr>
        <w:t xml:space="preserve">  </w:t>
      </w:r>
      <w:r>
        <w:rPr>
          <w:rFonts w:hint="eastAsia"/>
          <w:color w:val="auto"/>
        </w:rPr>
        <w:t>问题：1、</w:t>
      </w:r>
    </w:p>
    <w:p>
      <w:pPr>
        <w:spacing w:line="480" w:lineRule="exact"/>
        <w:rPr>
          <w:color w:val="auto"/>
        </w:rPr>
      </w:pPr>
      <w:r>
        <w:rPr>
          <w:color w:val="auto"/>
        </w:rPr>
        <w:t xml:space="preserve">  </w:t>
      </w:r>
      <w:r>
        <w:rPr>
          <w:rFonts w:hint="eastAsia"/>
          <w:color w:val="auto"/>
        </w:rPr>
        <w:t>问题：2、</w:t>
      </w:r>
    </w:p>
    <w:p>
      <w:pPr>
        <w:spacing w:line="480" w:lineRule="exact"/>
        <w:rPr>
          <w:color w:val="auto"/>
        </w:rPr>
      </w:pPr>
      <w:r>
        <w:rPr>
          <w:color w:val="auto"/>
        </w:rPr>
        <w:t>.......</w:t>
      </w:r>
    </w:p>
    <w:p>
      <w:pPr>
        <w:spacing w:line="480" w:lineRule="exact"/>
        <w:ind w:firstLine="3360" w:firstLineChars="1400"/>
        <w:rPr>
          <w:color w:val="auto"/>
        </w:rPr>
      </w:pPr>
      <w:r>
        <w:rPr>
          <w:rFonts w:hint="eastAsia"/>
          <w:color w:val="auto"/>
          <w:u w:val="single"/>
        </w:rPr>
        <w:t xml:space="preserve">              （工程名称）                  </w:t>
      </w:r>
      <w:r>
        <w:rPr>
          <w:rFonts w:hint="eastAsia"/>
          <w:color w:val="auto"/>
        </w:rPr>
        <w:t>评标委员会</w:t>
      </w:r>
    </w:p>
    <w:p>
      <w:pPr>
        <w:spacing w:line="480" w:lineRule="exact"/>
        <w:ind w:firstLine="5280" w:firstLineChars="2200"/>
        <w:rPr>
          <w:color w:val="auto"/>
          <w:u w:val="single"/>
        </w:rPr>
      </w:pPr>
    </w:p>
    <w:p>
      <w:pPr>
        <w:spacing w:line="480" w:lineRule="exact"/>
        <w:ind w:firstLine="5280" w:firstLineChars="2200"/>
        <w:rPr>
          <w:color w:val="auto"/>
        </w:rPr>
      </w:pP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spacing w:line="480" w:lineRule="exact"/>
        <w:rPr>
          <w:rFonts w:ascii="黑体" w:eastAsia="黑体"/>
          <w:color w:val="auto"/>
        </w:rPr>
      </w:pPr>
      <w:r>
        <w:rPr>
          <w:color w:val="auto"/>
        </w:rPr>
        <w:br w:type="page"/>
      </w:r>
      <w:r>
        <w:rPr>
          <w:rFonts w:hint="eastAsia" w:ascii="黑体" w:eastAsia="黑体"/>
          <w:color w:val="auto"/>
        </w:rPr>
        <w:t>附表三：问题的澄清</w:t>
      </w:r>
    </w:p>
    <w:p>
      <w:pPr>
        <w:spacing w:before="240" w:beforeLines="100" w:after="240" w:afterLines="100" w:line="480" w:lineRule="exact"/>
        <w:jc w:val="center"/>
        <w:rPr>
          <w:rFonts w:ascii="黑体" w:eastAsia="黑体"/>
          <w:color w:val="auto"/>
          <w:sz w:val="28"/>
          <w:szCs w:val="28"/>
        </w:rPr>
      </w:pPr>
      <w:r>
        <w:rPr>
          <w:rFonts w:hint="eastAsia" w:ascii="黑体" w:eastAsia="黑体"/>
          <w:color w:val="auto"/>
          <w:sz w:val="28"/>
          <w:szCs w:val="28"/>
        </w:rPr>
        <w:t>问题的澄清、说明或补正</w:t>
      </w:r>
    </w:p>
    <w:p>
      <w:pPr>
        <w:spacing w:line="400" w:lineRule="exact"/>
        <w:ind w:firstLine="6120" w:firstLineChars="2550"/>
        <w:rPr>
          <w:color w:val="auto"/>
          <w:u w:val="single"/>
        </w:rPr>
      </w:pPr>
      <w:r>
        <w:rPr>
          <w:rFonts w:hint="eastAsia"/>
          <w:color w:val="auto"/>
        </w:rPr>
        <w:t>编号：</w:t>
      </w:r>
      <w:r>
        <w:rPr>
          <w:color w:val="auto"/>
          <w:u w:val="single"/>
        </w:rPr>
        <w:t xml:space="preserve">                  </w:t>
      </w:r>
    </w:p>
    <w:p>
      <w:pPr>
        <w:spacing w:line="480" w:lineRule="exact"/>
        <w:rPr>
          <w:color w:val="auto"/>
        </w:rPr>
      </w:pPr>
      <w:r>
        <w:rPr>
          <w:color w:val="auto"/>
          <w:u w:val="single"/>
        </w:rPr>
        <w:t xml:space="preserve">  </w:t>
      </w:r>
      <w:r>
        <w:rPr>
          <w:rFonts w:hint="eastAsia"/>
          <w:color w:val="auto"/>
          <w:u w:val="single"/>
        </w:rPr>
        <w:t xml:space="preserve">            （项目名称）      </w:t>
      </w:r>
      <w:r>
        <w:rPr>
          <w:rFonts w:hint="eastAsia"/>
          <w:color w:val="auto"/>
        </w:rPr>
        <w:t>标段施工招标评标委员会：</w:t>
      </w:r>
    </w:p>
    <w:p>
      <w:pPr>
        <w:spacing w:line="480" w:lineRule="exact"/>
        <w:ind w:firstLine="480" w:firstLineChars="200"/>
        <w:rPr>
          <w:color w:val="auto"/>
        </w:rPr>
      </w:pPr>
      <w:r>
        <w:rPr>
          <w:rFonts w:hint="eastAsia"/>
          <w:color w:val="auto"/>
        </w:rPr>
        <w:t>问题澄清通知（编号：</w:t>
      </w:r>
      <w:r>
        <w:rPr>
          <w:color w:val="auto"/>
          <w:u w:val="single"/>
        </w:rPr>
        <w:t xml:space="preserve">      </w:t>
      </w:r>
      <w:r>
        <w:rPr>
          <w:rFonts w:hint="eastAsia"/>
          <w:color w:val="auto"/>
        </w:rPr>
        <w:t>）已收悉，现澄清、说明或者补正如下：</w:t>
      </w:r>
    </w:p>
    <w:p>
      <w:pPr>
        <w:spacing w:line="480" w:lineRule="exact"/>
        <w:ind w:firstLine="480" w:firstLineChars="200"/>
        <w:rPr>
          <w:color w:val="auto"/>
        </w:rPr>
      </w:pPr>
      <w:r>
        <w:rPr>
          <w:color w:val="auto"/>
        </w:rPr>
        <w:t>1.</w:t>
      </w:r>
    </w:p>
    <w:p>
      <w:pPr>
        <w:spacing w:line="480" w:lineRule="exact"/>
        <w:ind w:firstLine="480" w:firstLineChars="200"/>
        <w:rPr>
          <w:color w:val="auto"/>
        </w:rPr>
      </w:pPr>
      <w:r>
        <w:rPr>
          <w:color w:val="auto"/>
        </w:rPr>
        <w:t>2.</w:t>
      </w:r>
    </w:p>
    <w:p>
      <w:pPr>
        <w:spacing w:line="480" w:lineRule="exact"/>
        <w:ind w:firstLine="480" w:firstLineChars="200"/>
        <w:rPr>
          <w:color w:val="auto"/>
        </w:rPr>
      </w:pPr>
    </w:p>
    <w:p>
      <w:pPr>
        <w:spacing w:line="480" w:lineRule="exact"/>
        <w:ind w:firstLine="480" w:firstLineChars="200"/>
        <w:rPr>
          <w:color w:val="auto"/>
        </w:rPr>
      </w:pPr>
      <w:r>
        <w:rPr>
          <w:rFonts w:hint="eastAsia"/>
          <w:color w:val="auto"/>
        </w:rPr>
        <w:t>……</w:t>
      </w: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jc w:val="center"/>
        <w:rPr>
          <w:color w:val="auto"/>
        </w:rPr>
      </w:pPr>
      <w:r>
        <w:rPr>
          <w:rFonts w:hint="eastAsia" w:ascii="黑体" w:eastAsia="黑体"/>
          <w:color w:val="auto"/>
        </w:rPr>
        <w:t xml:space="preserve">          投标人:</w:t>
      </w:r>
      <w:r>
        <w:rPr>
          <w:rFonts w:hint="eastAsia" w:ascii="黑体" w:eastAsia="黑体"/>
          <w:color w:val="auto"/>
          <w:u w:val="single"/>
        </w:rPr>
        <w:t xml:space="preserve">   （单位名称）            </w:t>
      </w:r>
      <w:r>
        <w:rPr>
          <w:color w:val="auto"/>
        </w:rPr>
        <w:t xml:space="preserve"> </w:t>
      </w:r>
    </w:p>
    <w:p>
      <w:pPr>
        <w:spacing w:before="120" w:beforeLines="50" w:after="120" w:afterLines="50" w:line="480" w:lineRule="exact"/>
        <w:ind w:right="210"/>
        <w:jc w:val="right"/>
        <w:rPr>
          <w:color w:val="auto"/>
        </w:rPr>
      </w:pPr>
      <w:r>
        <w:rPr>
          <w:rFonts w:hint="eastAsia" w:ascii="黑体" w:eastAsia="黑体"/>
          <w:color w:val="auto"/>
        </w:rPr>
        <w:t>法定代表人或其委托代理人：</w:t>
      </w:r>
      <w:r>
        <w:rPr>
          <w:color w:val="auto"/>
          <w:u w:val="single"/>
        </w:rPr>
        <w:t xml:space="preserve">      </w:t>
      </w:r>
      <w:r>
        <w:rPr>
          <w:rFonts w:hint="eastAsia"/>
          <w:color w:val="auto"/>
        </w:rPr>
        <w:t xml:space="preserve">（签字或盖章）      </w:t>
      </w:r>
    </w:p>
    <w:p>
      <w:pPr>
        <w:spacing w:line="480" w:lineRule="exact"/>
        <w:ind w:firstLine="6600" w:firstLineChars="2750"/>
        <w:rPr>
          <w:color w:val="auto"/>
        </w:rPr>
      </w:pP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spacing w:line="480" w:lineRule="exact"/>
        <w:rPr>
          <w:rFonts w:ascii="黑体" w:eastAsia="黑体"/>
          <w:color w:val="auto"/>
        </w:rPr>
      </w:pPr>
      <w:r>
        <w:rPr>
          <w:color w:val="auto"/>
        </w:rPr>
        <w:br w:type="page"/>
      </w:r>
      <w:r>
        <w:rPr>
          <w:rFonts w:hint="eastAsia" w:ascii="黑体" w:eastAsia="黑体"/>
          <w:color w:val="auto"/>
        </w:rPr>
        <w:t>附表四：中标通知书</w:t>
      </w:r>
    </w:p>
    <w:p>
      <w:pPr>
        <w:spacing w:before="240" w:beforeLines="100" w:after="240" w:afterLines="100" w:line="480" w:lineRule="exact"/>
        <w:jc w:val="center"/>
        <w:rPr>
          <w:rFonts w:ascii="黑体" w:eastAsia="黑体"/>
          <w:color w:val="auto"/>
          <w:sz w:val="28"/>
          <w:szCs w:val="28"/>
        </w:rPr>
      </w:pPr>
      <w:r>
        <w:rPr>
          <w:rFonts w:hint="eastAsia" w:ascii="黑体" w:eastAsia="黑体"/>
          <w:color w:val="auto"/>
          <w:sz w:val="28"/>
          <w:szCs w:val="28"/>
        </w:rPr>
        <w:t>中标通知书</w:t>
      </w:r>
    </w:p>
    <w:p>
      <w:pPr>
        <w:spacing w:line="480" w:lineRule="exact"/>
        <w:rPr>
          <w:color w:val="auto"/>
        </w:rPr>
      </w:pPr>
      <w:r>
        <w:rPr>
          <w:rFonts w:hint="eastAsia"/>
          <w:color w:val="auto"/>
          <w:u w:val="single"/>
        </w:rPr>
        <w:t xml:space="preserve">               （中标人名称）</w:t>
      </w:r>
      <w:r>
        <w:rPr>
          <w:rFonts w:hint="eastAsia"/>
          <w:color w:val="auto"/>
        </w:rPr>
        <w:t>：</w:t>
      </w:r>
    </w:p>
    <w:p>
      <w:pPr>
        <w:spacing w:line="480" w:lineRule="exact"/>
        <w:rPr>
          <w:color w:val="auto"/>
        </w:rPr>
      </w:pPr>
    </w:p>
    <w:p>
      <w:pPr>
        <w:spacing w:line="480" w:lineRule="exact"/>
        <w:ind w:firstLine="480" w:firstLineChars="200"/>
        <w:rPr>
          <w:color w:val="auto"/>
        </w:rPr>
      </w:pPr>
      <w:r>
        <w:rPr>
          <w:rFonts w:hint="eastAsia"/>
          <w:color w:val="auto"/>
        </w:rPr>
        <w:t>你方于</w:t>
      </w:r>
      <w:r>
        <w:rPr>
          <w:rFonts w:hint="eastAsia"/>
          <w:color w:val="auto"/>
          <w:u w:val="single"/>
        </w:rPr>
        <w:t xml:space="preserve">             （投标日期）</w:t>
      </w:r>
      <w:r>
        <w:rPr>
          <w:rFonts w:hint="eastAsia"/>
          <w:color w:val="auto"/>
        </w:rPr>
        <w:t>所递交的</w:t>
      </w:r>
      <w:r>
        <w:rPr>
          <w:rFonts w:hint="eastAsia"/>
          <w:color w:val="auto"/>
          <w:u w:val="single"/>
        </w:rPr>
        <w:t xml:space="preserve">          （项目名称）       </w:t>
      </w:r>
      <w:r>
        <w:rPr>
          <w:rFonts w:hint="eastAsia"/>
          <w:color w:val="auto"/>
        </w:rPr>
        <w:t>标段施工投标文件已被我方接受，被确定为中标人。</w:t>
      </w:r>
    </w:p>
    <w:p>
      <w:pPr>
        <w:spacing w:line="360" w:lineRule="auto"/>
        <w:ind w:firstLine="480" w:firstLineChars="200"/>
        <w:rPr>
          <w:color w:val="auto"/>
        </w:rPr>
      </w:pPr>
    </w:p>
    <w:p>
      <w:pPr>
        <w:spacing w:line="360" w:lineRule="auto"/>
        <w:ind w:firstLine="480" w:firstLineChars="200"/>
        <w:rPr>
          <w:color w:val="auto"/>
        </w:rPr>
      </w:pPr>
      <w:r>
        <w:rPr>
          <w:rFonts w:hint="eastAsia"/>
          <w:color w:val="auto"/>
        </w:rPr>
        <w:t>中</w:t>
      </w:r>
      <w:r>
        <w:rPr>
          <w:color w:val="auto"/>
        </w:rPr>
        <w:t xml:space="preserve">       </w:t>
      </w:r>
      <w:r>
        <w:rPr>
          <w:rFonts w:hint="eastAsia"/>
          <w:color w:val="auto"/>
        </w:rPr>
        <w:t>标</w:t>
      </w:r>
      <w:r>
        <w:rPr>
          <w:color w:val="auto"/>
        </w:rPr>
        <w:t xml:space="preserve">      </w:t>
      </w:r>
      <w:r>
        <w:rPr>
          <w:rFonts w:hint="eastAsia"/>
          <w:color w:val="auto"/>
        </w:rPr>
        <w:t>价：</w:t>
      </w:r>
      <w:r>
        <w:rPr>
          <w:color w:val="auto"/>
          <w:u w:val="single"/>
        </w:rPr>
        <w:t xml:space="preserve">                                                                         </w:t>
      </w:r>
      <w:r>
        <w:rPr>
          <w:rFonts w:hint="eastAsia"/>
          <w:color w:val="auto"/>
        </w:rPr>
        <w:t>元。</w:t>
      </w:r>
    </w:p>
    <w:p>
      <w:pPr>
        <w:spacing w:line="360" w:lineRule="auto"/>
        <w:ind w:firstLine="480" w:firstLineChars="200"/>
        <w:rPr>
          <w:color w:val="auto"/>
        </w:rPr>
      </w:pPr>
      <w:r>
        <w:rPr>
          <w:rFonts w:hint="eastAsia"/>
          <w:color w:val="auto"/>
        </w:rPr>
        <w:t>工</w:t>
      </w:r>
      <w:r>
        <w:rPr>
          <w:color w:val="auto"/>
        </w:rPr>
        <w:t xml:space="preserve">                 </w:t>
      </w:r>
      <w:r>
        <w:rPr>
          <w:rFonts w:hint="eastAsia"/>
          <w:color w:val="auto"/>
        </w:rPr>
        <w:t>期：</w:t>
      </w:r>
      <w:r>
        <w:rPr>
          <w:color w:val="auto"/>
          <w:u w:val="single"/>
        </w:rPr>
        <w:t xml:space="preserve">                                                                </w:t>
      </w:r>
      <w:r>
        <w:rPr>
          <w:rFonts w:hint="eastAsia"/>
          <w:color w:val="auto"/>
        </w:rPr>
        <w:t>日历天。</w:t>
      </w:r>
    </w:p>
    <w:p>
      <w:pPr>
        <w:spacing w:line="360" w:lineRule="auto"/>
        <w:ind w:firstLine="480" w:firstLineChars="200"/>
        <w:rPr>
          <w:color w:val="auto"/>
        </w:rPr>
      </w:pPr>
      <w:r>
        <w:rPr>
          <w:rFonts w:hint="eastAsia"/>
          <w:color w:val="auto"/>
        </w:rPr>
        <w:t>工</w:t>
      </w:r>
      <w:r>
        <w:rPr>
          <w:color w:val="auto"/>
        </w:rPr>
        <w:t xml:space="preserve">   </w:t>
      </w:r>
      <w:r>
        <w:rPr>
          <w:rFonts w:hint="eastAsia"/>
          <w:color w:val="auto"/>
        </w:rPr>
        <w:t>程</w:t>
      </w:r>
      <w:r>
        <w:rPr>
          <w:color w:val="auto"/>
        </w:rPr>
        <w:t xml:space="preserve">   </w:t>
      </w:r>
      <w:r>
        <w:rPr>
          <w:rFonts w:hint="eastAsia"/>
          <w:color w:val="auto"/>
        </w:rPr>
        <w:t>质</w:t>
      </w:r>
      <w:r>
        <w:rPr>
          <w:color w:val="auto"/>
        </w:rPr>
        <w:t xml:space="preserve">   </w:t>
      </w:r>
      <w:r>
        <w:rPr>
          <w:rFonts w:hint="eastAsia"/>
          <w:color w:val="auto"/>
        </w:rPr>
        <w:t>量：符合</w:t>
      </w:r>
      <w:r>
        <w:rPr>
          <w:color w:val="auto"/>
          <w:u w:val="single"/>
        </w:rPr>
        <w:t xml:space="preserve">                                                           </w:t>
      </w:r>
      <w:r>
        <w:rPr>
          <w:rFonts w:hint="eastAsia"/>
          <w:color w:val="auto"/>
        </w:rPr>
        <w:t>标准。</w:t>
      </w:r>
    </w:p>
    <w:p>
      <w:pPr>
        <w:spacing w:line="360" w:lineRule="auto"/>
        <w:ind w:firstLine="480" w:firstLineChars="200"/>
        <w:rPr>
          <w:color w:val="auto"/>
        </w:rPr>
      </w:pPr>
      <w:r>
        <w:rPr>
          <w:rFonts w:hint="eastAsia"/>
          <w:color w:val="auto"/>
        </w:rPr>
        <w:t>项</w:t>
      </w:r>
      <w:r>
        <w:rPr>
          <w:color w:val="auto"/>
        </w:rPr>
        <w:t xml:space="preserve"> </w:t>
      </w:r>
      <w:r>
        <w:rPr>
          <w:rFonts w:hint="eastAsia"/>
          <w:color w:val="auto"/>
        </w:rPr>
        <w:t>目</w:t>
      </w:r>
      <w:r>
        <w:rPr>
          <w:color w:val="auto"/>
        </w:rPr>
        <w:t xml:space="preserve"> </w:t>
      </w:r>
      <w:r>
        <w:rPr>
          <w:rFonts w:hint="eastAsia"/>
          <w:color w:val="auto"/>
        </w:rPr>
        <w:t>负</w:t>
      </w:r>
      <w:r>
        <w:rPr>
          <w:color w:val="auto"/>
        </w:rPr>
        <w:t xml:space="preserve"> </w:t>
      </w:r>
      <w:r>
        <w:rPr>
          <w:rFonts w:hint="eastAsia"/>
          <w:color w:val="auto"/>
        </w:rPr>
        <w:t>责</w:t>
      </w:r>
      <w:r>
        <w:rPr>
          <w:color w:val="auto"/>
        </w:rPr>
        <w:t xml:space="preserve"> </w:t>
      </w:r>
      <w:r>
        <w:rPr>
          <w:rFonts w:hint="eastAsia"/>
          <w:color w:val="auto"/>
        </w:rPr>
        <w:t>人：</w:t>
      </w:r>
      <w:r>
        <w:rPr>
          <w:color w:val="auto"/>
          <w:u w:val="single"/>
        </w:rPr>
        <w:t xml:space="preserve">                         </w:t>
      </w:r>
      <w:r>
        <w:rPr>
          <w:rFonts w:hint="eastAsia"/>
          <w:color w:val="auto"/>
          <w:u w:val="single"/>
        </w:rPr>
        <w:t>（姓</w:t>
      </w:r>
      <w:r>
        <w:rPr>
          <w:color w:val="auto"/>
          <w:u w:val="single"/>
        </w:rPr>
        <w:t xml:space="preserve">   </w:t>
      </w:r>
      <w:r>
        <w:rPr>
          <w:rFonts w:hint="eastAsia"/>
          <w:color w:val="auto"/>
          <w:u w:val="single"/>
        </w:rPr>
        <w:t>名）</w:t>
      </w:r>
      <w:r>
        <w:rPr>
          <w:color w:val="auto"/>
          <w:u w:val="single"/>
        </w:rPr>
        <w:t xml:space="preserve">                               </w:t>
      </w:r>
      <w:r>
        <w:rPr>
          <w:rFonts w:hint="eastAsia"/>
          <w:color w:val="auto"/>
        </w:rPr>
        <w:t>。</w:t>
      </w:r>
    </w:p>
    <w:p>
      <w:pPr>
        <w:pStyle w:val="2"/>
        <w:spacing w:line="360" w:lineRule="auto"/>
        <w:ind w:firstLine="480" w:firstLineChars="200"/>
        <w:rPr>
          <w:rFonts w:ascii="Calibri" w:hAnsi="Calibri" w:eastAsia="宋体"/>
          <w:color w:val="auto"/>
          <w:sz w:val="24"/>
          <w:szCs w:val="24"/>
          <w:u w:val="single"/>
        </w:rPr>
      </w:pPr>
      <w:r>
        <w:rPr>
          <w:rFonts w:hint="eastAsia" w:ascii="Calibri" w:hAnsi="Calibri" w:eastAsia="宋体"/>
          <w:color w:val="auto"/>
          <w:sz w:val="24"/>
          <w:szCs w:val="24"/>
        </w:rPr>
        <w:t>中标内容范围：</w:t>
      </w:r>
      <w:r>
        <w:rPr>
          <w:rFonts w:hint="eastAsia" w:ascii="Calibri" w:hAnsi="Calibri" w:eastAsia="宋体"/>
          <w:color w:val="auto"/>
          <w:sz w:val="24"/>
          <w:szCs w:val="24"/>
          <w:u w:val="single"/>
        </w:rPr>
        <w:t xml:space="preserve">（应与招标公告、招标文件内容一致） </w:t>
      </w:r>
      <w:r>
        <w:rPr>
          <w:rFonts w:hint="eastAsia" w:ascii="Calibri" w:hAnsi="Calibri" w:eastAsia="宋体"/>
          <w:color w:val="auto"/>
          <w:sz w:val="24"/>
          <w:szCs w:val="24"/>
        </w:rPr>
        <w:t>。</w:t>
      </w:r>
    </w:p>
    <w:p>
      <w:pPr>
        <w:spacing w:line="480" w:lineRule="exact"/>
        <w:ind w:firstLine="480" w:firstLineChars="200"/>
        <w:rPr>
          <w:color w:val="auto"/>
        </w:rPr>
      </w:pPr>
    </w:p>
    <w:p>
      <w:pPr>
        <w:spacing w:line="480" w:lineRule="exact"/>
        <w:ind w:firstLine="480" w:firstLineChars="200"/>
        <w:rPr>
          <w:color w:val="auto"/>
        </w:rPr>
      </w:pPr>
      <w:r>
        <w:rPr>
          <w:rFonts w:hint="eastAsia"/>
          <w:color w:val="auto"/>
        </w:rPr>
        <w:t>请你方在接到本通知书后的</w:t>
      </w:r>
      <w:r>
        <w:rPr>
          <w:color w:val="auto"/>
          <w:u w:val="single"/>
        </w:rPr>
        <w:t xml:space="preserve">      </w:t>
      </w:r>
      <w:r>
        <w:rPr>
          <w:rFonts w:hint="eastAsia"/>
          <w:color w:val="auto"/>
        </w:rPr>
        <w:t>日内到</w:t>
      </w:r>
      <w:r>
        <w:rPr>
          <w:color w:val="auto"/>
          <w:u w:val="single"/>
        </w:rPr>
        <w:t xml:space="preserve">                         </w:t>
      </w:r>
      <w:r>
        <w:rPr>
          <w:rFonts w:hint="eastAsia"/>
          <w:color w:val="auto"/>
        </w:rPr>
        <w:t>（指定地点）与我方签订施工承包合同，在此之前按招标文件第二章“投标人须知”第7.4款规定向我方提交履约担保。</w:t>
      </w:r>
    </w:p>
    <w:p>
      <w:pPr>
        <w:spacing w:line="480" w:lineRule="exact"/>
        <w:ind w:firstLine="480" w:firstLineChars="200"/>
        <w:rPr>
          <w:color w:val="auto"/>
        </w:rPr>
      </w:pPr>
      <w:r>
        <w:rPr>
          <w:rFonts w:hint="eastAsia"/>
          <w:color w:val="auto"/>
        </w:rPr>
        <w:t>特此通知。</w:t>
      </w:r>
    </w:p>
    <w:p>
      <w:pPr>
        <w:spacing w:line="480" w:lineRule="exact"/>
        <w:ind w:firstLine="480" w:firstLineChars="200"/>
        <w:rPr>
          <w:color w:val="auto"/>
        </w:rPr>
      </w:pPr>
    </w:p>
    <w:p>
      <w:pPr>
        <w:spacing w:line="480" w:lineRule="exact"/>
        <w:ind w:left="3586" w:leftChars="1494" w:firstLine="480" w:firstLineChars="200"/>
        <w:rPr>
          <w:color w:val="auto"/>
          <w:u w:val="single"/>
        </w:rPr>
      </w:pPr>
      <w:r>
        <w:rPr>
          <w:rFonts w:hint="eastAsia" w:ascii="黑体" w:eastAsia="黑体"/>
          <w:color w:val="auto"/>
        </w:rPr>
        <w:t xml:space="preserve">                                      招  标  人：</w:t>
      </w:r>
      <w:r>
        <w:rPr>
          <w:rFonts w:hint="eastAsia"/>
          <w:color w:val="auto"/>
          <w:u w:val="single"/>
        </w:rPr>
        <w:t xml:space="preserve">                  （单位盖章） </w:t>
      </w:r>
    </w:p>
    <w:p>
      <w:pPr>
        <w:spacing w:line="480" w:lineRule="exact"/>
        <w:ind w:firstLine="3600" w:firstLineChars="1500"/>
        <w:jc w:val="both"/>
        <w:rPr>
          <w:rFonts w:ascii="宋体" w:hAnsi="宋体" w:eastAsia="宋体"/>
          <w:color w:val="auto"/>
        </w:rPr>
      </w:pPr>
      <w:r>
        <w:rPr>
          <w:rFonts w:hint="eastAsia" w:ascii="黑体" w:eastAsia="黑体"/>
          <w:color w:val="auto"/>
        </w:rPr>
        <w:t>法定代表人：</w:t>
      </w:r>
      <w:r>
        <w:rPr>
          <w:rFonts w:hint="eastAsia"/>
          <w:color w:val="auto"/>
          <w:u w:val="single"/>
        </w:rPr>
        <w:t xml:space="preserve">               （签字或盖章</w:t>
      </w:r>
      <w:r>
        <w:rPr>
          <w:rFonts w:hint="eastAsia" w:ascii="宋体" w:hAnsi="宋体" w:eastAsia="宋体"/>
          <w:color w:val="auto"/>
          <w:u w:val="single"/>
        </w:rPr>
        <w:t>）</w:t>
      </w:r>
    </w:p>
    <w:p>
      <w:pPr>
        <w:spacing w:line="480" w:lineRule="exact"/>
        <w:ind w:firstLine="3614" w:firstLineChars="1500"/>
        <w:rPr>
          <w:rFonts w:ascii="宋体" w:hAnsi="宋体" w:eastAsia="宋体"/>
          <w:b/>
          <w:bCs/>
          <w:color w:val="auto"/>
          <w:u w:val="single"/>
        </w:rPr>
      </w:pPr>
      <w:r>
        <w:rPr>
          <w:rFonts w:hint="eastAsia" w:ascii="宋体" w:hAnsi="宋体" w:eastAsia="宋体"/>
          <w:b/>
          <w:bCs/>
          <w:color w:val="auto"/>
        </w:rPr>
        <w:t>联</w:t>
      </w:r>
      <w:r>
        <w:rPr>
          <w:rFonts w:ascii="宋体" w:hAnsi="宋体" w:eastAsia="宋体"/>
          <w:b/>
          <w:bCs/>
          <w:color w:val="auto"/>
        </w:rPr>
        <w:t xml:space="preserve">  </w:t>
      </w:r>
      <w:r>
        <w:rPr>
          <w:rFonts w:hint="eastAsia" w:ascii="宋体" w:hAnsi="宋体" w:eastAsia="宋体"/>
          <w:b/>
          <w:bCs/>
          <w:color w:val="auto"/>
        </w:rPr>
        <w:t>系</w:t>
      </w:r>
      <w:r>
        <w:rPr>
          <w:rFonts w:ascii="宋体" w:hAnsi="宋体" w:eastAsia="宋体"/>
          <w:b/>
          <w:bCs/>
          <w:color w:val="auto"/>
        </w:rPr>
        <w:t xml:space="preserve">  </w:t>
      </w:r>
      <w:r>
        <w:rPr>
          <w:rFonts w:hint="eastAsia" w:ascii="宋体" w:hAnsi="宋体" w:eastAsia="宋体"/>
          <w:b/>
          <w:bCs/>
          <w:color w:val="auto"/>
        </w:rPr>
        <w:t>人：</w:t>
      </w:r>
      <w:r>
        <w:rPr>
          <w:rFonts w:ascii="宋体" w:hAnsi="宋体" w:eastAsia="宋体"/>
          <w:b/>
          <w:bCs/>
          <w:color w:val="auto"/>
          <w:u w:val="single"/>
        </w:rPr>
        <w:t xml:space="preserve">                     </w:t>
      </w:r>
    </w:p>
    <w:p>
      <w:pPr>
        <w:spacing w:line="480" w:lineRule="exact"/>
        <w:ind w:firstLine="3614" w:firstLineChars="1500"/>
        <w:rPr>
          <w:rFonts w:ascii="宋体" w:hAnsi="宋体" w:eastAsia="宋体"/>
          <w:b/>
          <w:bCs/>
          <w:color w:val="auto"/>
        </w:rPr>
      </w:pPr>
      <w:r>
        <w:rPr>
          <w:rFonts w:hint="eastAsia" w:ascii="宋体" w:hAnsi="宋体" w:eastAsia="宋体"/>
          <w:b/>
          <w:bCs/>
          <w:color w:val="auto"/>
        </w:rPr>
        <w:t>联</w:t>
      </w:r>
      <w:r>
        <w:rPr>
          <w:rFonts w:ascii="宋体" w:hAnsi="宋体" w:eastAsia="宋体"/>
          <w:b/>
          <w:bCs/>
          <w:color w:val="auto"/>
        </w:rPr>
        <w:t xml:space="preserve"> </w:t>
      </w:r>
      <w:r>
        <w:rPr>
          <w:rFonts w:hint="eastAsia" w:ascii="宋体" w:hAnsi="宋体" w:eastAsia="宋体"/>
          <w:b/>
          <w:bCs/>
          <w:color w:val="auto"/>
        </w:rPr>
        <w:t>系</w:t>
      </w:r>
      <w:r>
        <w:rPr>
          <w:rFonts w:ascii="宋体" w:hAnsi="宋体" w:eastAsia="宋体"/>
          <w:b/>
          <w:bCs/>
          <w:color w:val="auto"/>
        </w:rPr>
        <w:t xml:space="preserve"> </w:t>
      </w:r>
      <w:r>
        <w:rPr>
          <w:rFonts w:hint="eastAsia" w:ascii="宋体" w:hAnsi="宋体" w:eastAsia="宋体"/>
          <w:b/>
          <w:bCs/>
          <w:color w:val="auto"/>
        </w:rPr>
        <w:t>电</w:t>
      </w:r>
      <w:r>
        <w:rPr>
          <w:rFonts w:ascii="宋体" w:hAnsi="宋体" w:eastAsia="宋体"/>
          <w:b/>
          <w:bCs/>
          <w:color w:val="auto"/>
        </w:rPr>
        <w:t xml:space="preserve"> </w:t>
      </w:r>
      <w:r>
        <w:rPr>
          <w:rFonts w:hint="eastAsia" w:ascii="宋体" w:hAnsi="宋体" w:eastAsia="宋体"/>
          <w:b/>
          <w:bCs/>
          <w:color w:val="auto"/>
        </w:rPr>
        <w:t>话：</w:t>
      </w:r>
      <w:r>
        <w:rPr>
          <w:rFonts w:ascii="宋体" w:hAnsi="宋体" w:eastAsia="宋体"/>
          <w:b/>
          <w:bCs/>
          <w:color w:val="auto"/>
          <w:u w:val="single"/>
        </w:rPr>
        <w:t xml:space="preserve">                    </w:t>
      </w:r>
      <w:r>
        <w:rPr>
          <w:rFonts w:ascii="宋体" w:hAnsi="宋体" w:eastAsia="宋体"/>
          <w:b/>
          <w:bCs/>
          <w:color w:val="auto"/>
        </w:rPr>
        <w:t xml:space="preserve">     </w:t>
      </w:r>
    </w:p>
    <w:p>
      <w:pPr>
        <w:spacing w:line="480" w:lineRule="exact"/>
        <w:ind w:firstLine="5040" w:firstLineChars="2100"/>
        <w:rPr>
          <w:color w:val="auto"/>
        </w:rPr>
      </w:pPr>
      <w:r>
        <w:rPr>
          <w:color w:val="auto"/>
        </w:rPr>
        <w:t xml:space="preserve"> </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spacing w:line="480" w:lineRule="exact"/>
        <w:ind w:firstLine="5359" w:firstLineChars="2233"/>
        <w:rPr>
          <w:color w:val="auto"/>
        </w:rPr>
      </w:pPr>
      <w:r>
        <w:rPr>
          <w:color w:val="auto"/>
        </w:rPr>
        <w:br w:type="page"/>
      </w:r>
    </w:p>
    <w:p>
      <w:pPr>
        <w:spacing w:line="480" w:lineRule="exact"/>
        <w:rPr>
          <w:rFonts w:ascii="黑体" w:eastAsia="黑体"/>
          <w:color w:val="auto"/>
        </w:rPr>
      </w:pPr>
      <w:r>
        <w:rPr>
          <w:rFonts w:hint="eastAsia" w:ascii="黑体" w:eastAsia="黑体"/>
          <w:color w:val="auto"/>
        </w:rPr>
        <w:t>附表五：确认通知</w:t>
      </w:r>
    </w:p>
    <w:p>
      <w:pPr>
        <w:spacing w:before="240" w:beforeLines="100" w:after="240" w:afterLines="100" w:line="480" w:lineRule="exact"/>
        <w:jc w:val="center"/>
        <w:rPr>
          <w:rFonts w:ascii="黑体" w:eastAsia="黑体"/>
          <w:color w:val="auto"/>
          <w:sz w:val="28"/>
          <w:szCs w:val="28"/>
        </w:rPr>
      </w:pPr>
      <w:r>
        <w:rPr>
          <w:rFonts w:hint="eastAsia" w:ascii="黑体" w:eastAsia="黑体"/>
          <w:color w:val="auto"/>
          <w:sz w:val="28"/>
          <w:szCs w:val="28"/>
        </w:rPr>
        <w:t>确认通知</w:t>
      </w:r>
    </w:p>
    <w:p>
      <w:pPr>
        <w:spacing w:line="480" w:lineRule="exact"/>
        <w:rPr>
          <w:color w:val="auto"/>
        </w:rPr>
      </w:pPr>
      <w:r>
        <w:rPr>
          <w:color w:val="auto"/>
          <w:u w:val="single"/>
        </w:rPr>
        <w:t xml:space="preserve">            </w:t>
      </w:r>
      <w:r>
        <w:rPr>
          <w:rFonts w:hint="eastAsia"/>
          <w:color w:val="auto"/>
        </w:rPr>
        <w:t>（招标人名称）：</w:t>
      </w:r>
    </w:p>
    <w:p>
      <w:pPr>
        <w:spacing w:line="480" w:lineRule="exact"/>
        <w:rPr>
          <w:color w:val="auto"/>
        </w:rPr>
      </w:pPr>
    </w:p>
    <w:p>
      <w:pPr>
        <w:spacing w:line="480" w:lineRule="exact"/>
        <w:ind w:firstLine="480" w:firstLineChars="200"/>
        <w:rPr>
          <w:color w:val="auto"/>
        </w:rPr>
      </w:pPr>
      <w:r>
        <w:rPr>
          <w:rFonts w:hint="eastAsia"/>
          <w:color w:val="auto"/>
        </w:rPr>
        <w:t>你方</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日发出的</w:t>
      </w:r>
      <w:r>
        <w:rPr>
          <w:rFonts w:hint="eastAsia"/>
          <w:color w:val="auto"/>
          <w:u w:val="single"/>
        </w:rPr>
        <w:t xml:space="preserve">        （项目名称）     </w:t>
      </w:r>
      <w:r>
        <w:rPr>
          <w:rFonts w:hint="eastAsia"/>
          <w:color w:val="auto"/>
        </w:rPr>
        <w:t>标段施工招标关于</w:t>
      </w:r>
    </w:p>
    <w:p>
      <w:pPr>
        <w:spacing w:line="480" w:lineRule="exact"/>
        <w:rPr>
          <w:color w:val="auto"/>
        </w:rPr>
      </w:pPr>
      <w:r>
        <w:rPr>
          <w:color w:val="auto"/>
          <w:u w:val="single"/>
        </w:rPr>
        <w:t xml:space="preserve">                         </w:t>
      </w:r>
      <w:r>
        <w:rPr>
          <w:rFonts w:hint="eastAsia"/>
          <w:color w:val="auto"/>
        </w:rPr>
        <w:t>的通知，我方已于</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日收到。</w:t>
      </w:r>
    </w:p>
    <w:p>
      <w:pPr>
        <w:spacing w:line="480" w:lineRule="exact"/>
        <w:ind w:firstLine="480" w:firstLineChars="200"/>
        <w:rPr>
          <w:color w:val="auto"/>
        </w:rPr>
      </w:pPr>
    </w:p>
    <w:p>
      <w:pPr>
        <w:spacing w:line="480" w:lineRule="exact"/>
        <w:ind w:firstLine="480" w:firstLineChars="200"/>
        <w:rPr>
          <w:color w:val="auto"/>
        </w:rPr>
      </w:pPr>
      <w:r>
        <w:rPr>
          <w:rFonts w:hint="eastAsia"/>
          <w:color w:val="auto"/>
        </w:rPr>
        <w:t>特此确认。</w:t>
      </w: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rPr>
          <w:color w:val="auto"/>
        </w:rPr>
      </w:pPr>
    </w:p>
    <w:p>
      <w:pPr>
        <w:spacing w:line="480" w:lineRule="exact"/>
        <w:ind w:firstLine="480" w:firstLineChars="200"/>
        <w:jc w:val="right"/>
        <w:rPr>
          <w:color w:val="auto"/>
        </w:rPr>
      </w:pPr>
      <w:r>
        <w:rPr>
          <w:rFonts w:hint="eastAsia" w:ascii="黑体" w:eastAsia="黑体"/>
          <w:color w:val="auto"/>
        </w:rPr>
        <w:t>投标人：</w:t>
      </w:r>
      <w:r>
        <w:rPr>
          <w:rFonts w:hint="eastAsia"/>
          <w:color w:val="auto"/>
          <w:u w:val="single"/>
        </w:rPr>
        <w:t xml:space="preserve">               （单位盖章）</w:t>
      </w:r>
      <w:r>
        <w:rPr>
          <w:color w:val="auto"/>
        </w:rPr>
        <w:t xml:space="preserve">     </w:t>
      </w:r>
    </w:p>
    <w:p>
      <w:pPr>
        <w:spacing w:line="480" w:lineRule="exact"/>
        <w:jc w:val="right"/>
        <w:rPr>
          <w:color w:val="auto"/>
        </w:rPr>
      </w:pP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 xml:space="preserve">日      </w:t>
      </w:r>
    </w:p>
    <w:p>
      <w:pPr>
        <w:pStyle w:val="3"/>
        <w:rPr>
          <w:rFonts w:ascii="黑体" w:hAnsi="黑体" w:cs="黑体"/>
          <w:color w:val="auto"/>
        </w:rPr>
      </w:pPr>
      <w:r>
        <w:rPr>
          <w:color w:val="auto"/>
        </w:rPr>
        <w:br w:type="page"/>
      </w:r>
      <w:bookmarkStart w:id="191" w:name="_Toc67589034"/>
      <w:bookmarkStart w:id="192" w:name="_Toc22828078"/>
      <w:bookmarkStart w:id="193" w:name="_Toc19767"/>
      <w:bookmarkStart w:id="194" w:name="_Toc45697242"/>
      <w:r>
        <w:rPr>
          <w:rFonts w:hint="eastAsia"/>
          <w:color w:val="auto"/>
        </w:rPr>
        <w:t>第三章</w:t>
      </w:r>
      <w:r>
        <w:rPr>
          <w:color w:val="auto"/>
        </w:rPr>
        <w:t xml:space="preserve"> </w:t>
      </w:r>
      <w:r>
        <w:rPr>
          <w:rFonts w:hint="eastAsia"/>
          <w:color w:val="auto"/>
        </w:rPr>
        <w:t>评标办法</w:t>
      </w:r>
      <w:bookmarkEnd w:id="191"/>
      <w:bookmarkEnd w:id="192"/>
      <w:bookmarkEnd w:id="193"/>
      <w:bookmarkEnd w:id="194"/>
    </w:p>
    <w:p>
      <w:pPr>
        <w:spacing w:line="360" w:lineRule="auto"/>
        <w:rPr>
          <w:rFonts w:eastAsia="等线"/>
          <w:color w:val="auto"/>
        </w:rPr>
      </w:pPr>
      <w:bookmarkStart w:id="195" w:name="bookmark94"/>
      <w:bookmarkEnd w:id="195"/>
      <w:r>
        <w:rPr>
          <w:color w:val="auto"/>
          <w:sz w:val="28"/>
          <w:szCs w:val="28"/>
        </w:rPr>
        <w:sym w:font="Wingdings 2" w:char="00A3"/>
      </w:r>
      <w:r>
        <w:rPr>
          <w:rFonts w:hint="eastAsia" w:ascii="宋体" w:hAnsi="宋体"/>
          <w:b/>
          <w:color w:val="auto"/>
        </w:rPr>
        <w:t>评标办法（一）</w:t>
      </w:r>
    </w:p>
    <w:p>
      <w:pPr>
        <w:pStyle w:val="19"/>
        <w:ind w:firstLine="210"/>
        <w:rPr>
          <w:color w:val="auto"/>
        </w:rPr>
      </w:pPr>
    </w:p>
    <w:p>
      <w:pPr>
        <w:jc w:val="center"/>
        <w:rPr>
          <w:rFonts w:ascii="宋体" w:hAnsi="宋体" w:eastAsia="宋体"/>
          <w:color w:val="auto"/>
        </w:rPr>
      </w:pPr>
      <w:r>
        <w:rPr>
          <w:rFonts w:hint="eastAsia" w:ascii="宋体" w:hAnsi="宋体" w:eastAsia="宋体"/>
          <w:b/>
          <w:color w:val="auto"/>
        </w:rPr>
        <w:t>经评审的最低投标价法</w:t>
      </w:r>
    </w:p>
    <w:p>
      <w:pPr>
        <w:rPr>
          <w:rFonts w:ascii="宋体" w:hAnsi="宋体" w:eastAsia="宋体"/>
          <w:color w:val="auto"/>
        </w:rPr>
      </w:pPr>
    </w:p>
    <w:p>
      <w:pPr>
        <w:spacing w:line="360" w:lineRule="auto"/>
        <w:ind w:firstLine="480" w:firstLineChars="200"/>
        <w:rPr>
          <w:rFonts w:ascii="宋体" w:hAnsi="宋体" w:eastAsia="宋体" w:cs="宋体"/>
          <w:color w:val="auto"/>
          <w:lang w:val="zh-CN"/>
        </w:rPr>
      </w:pPr>
      <w:r>
        <w:rPr>
          <w:rFonts w:hint="eastAsia" w:ascii="宋体" w:hAnsi="宋体" w:eastAsia="宋体" w:cs="宋体"/>
          <w:color w:val="auto"/>
          <w:lang w:val="zh-CN"/>
        </w:rPr>
        <w:t>经评审的最低投标价法，适用于具有通用技术、性能标准或者招标人对其技术、性能没有特殊要求的一般</w:t>
      </w:r>
      <w:r>
        <w:rPr>
          <w:rFonts w:hint="eastAsia" w:ascii="宋体" w:hAnsi="宋体"/>
          <w:color w:val="auto"/>
        </w:rPr>
        <w:t>房屋建筑和市政基础设施工程</w:t>
      </w:r>
      <w:r>
        <w:rPr>
          <w:rFonts w:hint="eastAsia" w:ascii="宋体" w:hAnsi="宋体" w:eastAsia="宋体" w:cs="宋体"/>
          <w:color w:val="auto"/>
          <w:lang w:val="zh-CN"/>
        </w:rPr>
        <w:t>施工招标。评标应遵循公平、公正、科学、择优的原则。</w:t>
      </w:r>
    </w:p>
    <w:p>
      <w:pPr>
        <w:pStyle w:val="150"/>
        <w:spacing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经评审的最低投标价法应先对投标人进行资格审查，</w:t>
      </w:r>
      <w:r>
        <w:rPr>
          <w:rFonts w:hint="eastAsia" w:ascii="宋体" w:hAnsi="宋体" w:eastAsia="宋体" w:cs="宋体"/>
          <w:color w:val="auto"/>
          <w:szCs w:val="24"/>
          <w:lang w:val="en-US"/>
        </w:rPr>
        <w:t>已</w:t>
      </w:r>
      <w:r>
        <w:rPr>
          <w:rFonts w:hint="eastAsia" w:ascii="宋体" w:hAnsi="宋体" w:eastAsia="宋体" w:cs="宋体"/>
          <w:color w:val="auto"/>
          <w:szCs w:val="24"/>
        </w:rPr>
        <w:t>通过资格审查的投标人</w:t>
      </w:r>
      <w:r>
        <w:rPr>
          <w:rFonts w:hint="eastAsia" w:ascii="宋体" w:hAnsi="宋体" w:eastAsia="宋体" w:cs="宋体"/>
          <w:color w:val="auto"/>
          <w:szCs w:val="24"/>
          <w:lang w:val="en-US"/>
        </w:rPr>
        <w:t>经过</w:t>
      </w:r>
      <w:r>
        <w:rPr>
          <w:rFonts w:hint="eastAsia" w:ascii="宋体" w:hAnsi="宋体" w:eastAsia="宋体" w:cs="宋体"/>
          <w:color w:val="auto"/>
          <w:szCs w:val="24"/>
        </w:rPr>
        <w:t>评审</w:t>
      </w:r>
      <w:r>
        <w:rPr>
          <w:rFonts w:hint="eastAsia" w:ascii="宋体" w:hAnsi="宋体" w:eastAsia="宋体" w:cs="宋体"/>
          <w:color w:val="auto"/>
          <w:szCs w:val="24"/>
          <w:lang w:val="en-US"/>
        </w:rPr>
        <w:t>区间确定</w:t>
      </w:r>
      <w:r>
        <w:rPr>
          <w:rFonts w:hint="eastAsia" w:ascii="宋体" w:hAnsi="宋体" w:eastAsia="宋体" w:cs="宋体"/>
          <w:color w:val="auto"/>
          <w:szCs w:val="24"/>
        </w:rPr>
        <w:t>、符合性评审、商务评审</w:t>
      </w:r>
      <w:r>
        <w:rPr>
          <w:rFonts w:hint="eastAsia" w:ascii="宋体" w:hAnsi="宋体" w:eastAsia="宋体" w:cs="宋体"/>
          <w:color w:val="auto"/>
          <w:szCs w:val="24"/>
          <w:lang w:val="en-US"/>
        </w:rPr>
        <w:t>的评标程序</w:t>
      </w:r>
      <w:r>
        <w:rPr>
          <w:rFonts w:hint="eastAsia" w:ascii="宋体" w:hAnsi="宋体" w:eastAsia="宋体" w:cs="宋体"/>
          <w:color w:val="auto"/>
          <w:szCs w:val="24"/>
        </w:rPr>
        <w:t>后报价最低的投标人推荐为中标候选人。</w:t>
      </w:r>
    </w:p>
    <w:p>
      <w:pPr>
        <w:pStyle w:val="150"/>
        <w:adjustRightInd w:val="0"/>
        <w:snapToGrid w:val="0"/>
        <w:spacing w:line="360" w:lineRule="auto"/>
        <w:ind w:firstLine="480" w:firstLineChars="200"/>
        <w:rPr>
          <w:rFonts w:ascii="宋体" w:hAnsi="宋体" w:eastAsia="宋体" w:cs="宋体"/>
          <w:color w:val="auto"/>
          <w:szCs w:val="24"/>
          <w:u w:val="single"/>
        </w:rPr>
      </w:pPr>
      <w:r>
        <w:rPr>
          <w:rFonts w:hint="eastAsia" w:ascii="宋体" w:hAnsi="宋体" w:eastAsia="宋体" w:cs="宋体"/>
          <w:color w:val="auto"/>
          <w:szCs w:val="24"/>
        </w:rPr>
        <w:t>评标工作由招标人依法组建的评标委员会负责，评标委员会成员为</w:t>
      </w:r>
      <w:r>
        <w:rPr>
          <w:rFonts w:ascii="宋体" w:hAnsi="宋体" w:eastAsia="宋体" w:cs="宋体"/>
          <w:color w:val="auto"/>
          <w:szCs w:val="24"/>
          <w:u w:val="single"/>
        </w:rPr>
        <w:t xml:space="preserve">   （</w:t>
      </w:r>
      <w:r>
        <w:rPr>
          <w:rFonts w:hint="eastAsia" w:ascii="宋体" w:hAnsi="宋体" w:eastAsia="宋体" w:cs="宋体"/>
          <w:color w:val="auto"/>
          <w:szCs w:val="24"/>
          <w:u w:val="single"/>
          <w:lang w:val="en-US"/>
        </w:rPr>
        <w:t>应根据法律法规及相关文件要求填写</w:t>
      </w:r>
      <w:r>
        <w:rPr>
          <w:rFonts w:hint="eastAsia" w:ascii="宋体" w:hAnsi="宋体" w:eastAsia="宋体" w:cs="宋体"/>
          <w:color w:val="auto"/>
          <w:szCs w:val="24"/>
          <w:u w:val="single"/>
        </w:rPr>
        <w:t>）。</w:t>
      </w:r>
    </w:p>
    <w:p>
      <w:pPr>
        <w:pStyle w:val="150"/>
        <w:spacing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pStyle w:val="150"/>
        <w:spacing w:line="360" w:lineRule="auto"/>
        <w:ind w:firstLine="482" w:firstLineChars="200"/>
        <w:rPr>
          <w:rFonts w:ascii="宋体" w:hAnsi="宋体" w:eastAsia="宋体" w:cs="宋体"/>
          <w:b/>
          <w:bCs/>
          <w:color w:val="auto"/>
          <w:szCs w:val="24"/>
        </w:rPr>
      </w:pPr>
      <w:r>
        <w:rPr>
          <w:rFonts w:hint="eastAsia" w:ascii="宋体" w:hAnsi="宋体" w:eastAsia="宋体" w:cs="宋体"/>
          <w:b/>
          <w:bCs/>
          <w:color w:val="auto"/>
          <w:szCs w:val="24"/>
        </w:rPr>
        <w:t>一、评标程序</w:t>
      </w:r>
    </w:p>
    <w:p>
      <w:pPr>
        <w:pStyle w:val="150"/>
        <w:spacing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（一）</w:t>
      </w:r>
      <w:r>
        <w:rPr>
          <w:rFonts w:hint="eastAsia" w:ascii="宋体" w:hAnsi="宋体" w:eastAsia="宋体" w:cs="宋体"/>
          <w:color w:val="auto"/>
          <w:szCs w:val="24"/>
          <w:lang w:val="en-US"/>
        </w:rPr>
        <w:t>评审区间确定</w:t>
      </w:r>
    </w:p>
    <w:p>
      <w:pPr>
        <w:pStyle w:val="150"/>
        <w:spacing w:line="360" w:lineRule="auto"/>
        <w:ind w:firstLine="480" w:firstLineChars="200"/>
        <w:rPr>
          <w:rFonts w:ascii="宋体" w:hAnsi="宋体" w:eastAsia="宋体" w:cs="宋体"/>
          <w:color w:val="auto"/>
          <w:szCs w:val="24"/>
          <w:lang w:val="en-US"/>
        </w:rPr>
      </w:pPr>
      <w:r>
        <w:rPr>
          <w:rFonts w:hint="eastAsia" w:ascii="宋体" w:hAnsi="宋体" w:eastAsia="宋体" w:cs="宋体"/>
          <w:color w:val="auto"/>
          <w:szCs w:val="24"/>
        </w:rPr>
        <w:t>（二）资格审查</w:t>
      </w:r>
    </w:p>
    <w:p>
      <w:pPr>
        <w:pStyle w:val="150"/>
        <w:spacing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（三）符合性评审</w:t>
      </w:r>
    </w:p>
    <w:p>
      <w:pPr>
        <w:pStyle w:val="150"/>
        <w:spacing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（四）商务评审</w:t>
      </w:r>
    </w:p>
    <w:p>
      <w:pPr>
        <w:pStyle w:val="150"/>
        <w:spacing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（五）推荐中标候选人</w:t>
      </w:r>
    </w:p>
    <w:p>
      <w:pPr>
        <w:pStyle w:val="150"/>
        <w:numPr>
          <w:ilvl w:val="-1"/>
          <w:numId w:val="0"/>
        </w:numPr>
        <w:spacing w:line="360" w:lineRule="auto"/>
        <w:ind w:firstLine="482" w:firstLineChars="200"/>
        <w:rPr>
          <w:rFonts w:ascii="宋体" w:hAnsi="宋体" w:eastAsia="宋体" w:cs="宋体"/>
          <w:b/>
          <w:bCs/>
          <w:color w:val="auto"/>
          <w:szCs w:val="24"/>
          <w:lang w:val="en-US"/>
        </w:rPr>
      </w:pPr>
      <w:r>
        <w:rPr>
          <w:rFonts w:ascii="宋体" w:hAnsi="宋体" w:eastAsia="宋体" w:cs="宋体"/>
          <w:b/>
          <w:bCs/>
          <w:color w:val="auto"/>
          <w:szCs w:val="24"/>
        </w:rPr>
        <w:t xml:space="preserve"> </w:t>
      </w:r>
      <w:r>
        <w:rPr>
          <w:rFonts w:hint="eastAsia" w:cs="宋体"/>
          <w:b/>
          <w:bCs/>
          <w:color w:val="auto"/>
          <w:szCs w:val="24"/>
          <w:lang w:val="en-US" w:eastAsia="zh-CN"/>
        </w:rPr>
        <w:t>二、</w:t>
      </w:r>
      <w:r>
        <w:rPr>
          <w:rFonts w:hint="eastAsia" w:ascii="宋体" w:hAnsi="宋体" w:eastAsia="宋体" w:cs="宋体"/>
          <w:b/>
          <w:bCs/>
          <w:color w:val="auto"/>
          <w:szCs w:val="24"/>
          <w:lang w:val="en-US"/>
        </w:rPr>
        <w:t>评审区间确定</w:t>
      </w:r>
    </w:p>
    <w:p>
      <w:pPr>
        <w:pStyle w:val="150"/>
        <w:spacing w:line="360" w:lineRule="auto"/>
        <w:ind w:firstLine="480" w:firstLineChars="200"/>
        <w:rPr>
          <w:rFonts w:hint="eastAsia" w:ascii="宋体" w:hAnsi="宋体" w:eastAsia="宋体" w:cs="宋体"/>
          <w:color w:val="auto"/>
          <w:szCs w:val="24"/>
          <w:lang w:val="en-US"/>
        </w:rPr>
      </w:pPr>
      <w:r>
        <w:rPr>
          <w:rFonts w:hint="eastAsia"/>
          <w:color w:val="auto"/>
          <w:lang w:val="en-US" w:eastAsia="zh-CN"/>
        </w:rPr>
        <w:t xml:space="preserve"> </w:t>
      </w:r>
      <w:r>
        <w:rPr>
          <w:rFonts w:hint="eastAsia" w:ascii="宋体" w:hAnsi="宋体" w:eastAsia="宋体" w:cs="宋体"/>
          <w:color w:val="auto"/>
          <w:szCs w:val="24"/>
          <w:lang w:val="en-US"/>
        </w:rPr>
        <w:t>当投标截止时间止前递交的投标文件</w:t>
      </w:r>
      <w:r>
        <w:rPr>
          <w:rFonts w:hint="eastAsia" w:ascii="宋体" w:hAnsi="宋体" w:eastAsia="宋体" w:cs="宋体"/>
          <w:b w:val="0"/>
          <w:bCs w:val="0"/>
          <w:color w:val="auto"/>
          <w:sz w:val="24"/>
          <w:szCs w:val="24"/>
          <w:lang w:val="en-US" w:eastAsia="zh-CN" w:bidi="ar-SA"/>
        </w:rPr>
        <w:t>去掉报价超过最高投标限价和未缴纳投标保证金的投标文件后，其数量</w:t>
      </w:r>
      <w:r>
        <w:rPr>
          <w:rFonts w:hint="eastAsia" w:cs="宋体"/>
          <w:color w:val="auto"/>
          <w:szCs w:val="24"/>
          <w:lang w:val="en-US" w:eastAsia="zh-CN"/>
        </w:rPr>
        <w:t>&lt;11家时，全部进入资格审查，其数量</w:t>
      </w:r>
      <w:r>
        <w:rPr>
          <w:rFonts w:hint="eastAsia" w:cs="宋体"/>
          <w:color w:val="auto"/>
          <w:szCs w:val="24"/>
          <w:lang w:val="en-US"/>
        </w:rPr>
        <w:t>≥</w:t>
      </w:r>
      <w:r>
        <w:rPr>
          <w:rFonts w:hint="eastAsia" w:ascii="宋体" w:hAnsi="宋体" w:eastAsia="宋体" w:cs="宋体"/>
          <w:color w:val="auto"/>
          <w:szCs w:val="24"/>
          <w:u w:val="none"/>
          <w:lang w:val="en-US"/>
        </w:rPr>
        <w:t xml:space="preserve">  </w:t>
      </w:r>
      <w:r>
        <w:rPr>
          <w:rFonts w:hint="eastAsia" w:cs="宋体"/>
          <w:color w:val="auto"/>
          <w:szCs w:val="24"/>
          <w:u w:val="none"/>
          <w:lang w:val="en-US" w:eastAsia="zh-CN"/>
        </w:rPr>
        <w:t>11</w:t>
      </w:r>
      <w:r>
        <w:rPr>
          <w:rFonts w:hint="eastAsia" w:ascii="宋体" w:hAnsi="宋体" w:eastAsia="宋体" w:cs="宋体"/>
          <w:color w:val="auto"/>
          <w:szCs w:val="24"/>
          <w:lang w:val="en-US"/>
        </w:rPr>
        <w:t>家时，启用评审区间。</w:t>
      </w:r>
    </w:p>
    <w:p>
      <w:pPr>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480" w:firstLineChars="200"/>
        <w:textAlignment w:val="auto"/>
        <w:rPr>
          <w:rFonts w:hint="eastAsia" w:ascii="宋体" w:hAnsi="宋体" w:eastAsia="宋体" w:cs="宋体"/>
          <w:b w:val="0"/>
          <w:bCs w:val="0"/>
          <w:color w:val="auto"/>
          <w:sz w:val="24"/>
          <w:szCs w:val="24"/>
          <w:lang w:val="en-US" w:eastAsia="zh-CN" w:bidi="ar-SA"/>
        </w:rPr>
      </w:pPr>
      <w:r>
        <w:rPr>
          <w:rFonts w:hint="eastAsia" w:ascii="宋体" w:hAnsi="宋体" w:cs="宋体"/>
          <w:b w:val="0"/>
          <w:bCs w:val="0"/>
          <w:color w:val="auto"/>
          <w:sz w:val="24"/>
          <w:szCs w:val="24"/>
          <w:lang w:val="en-US" w:eastAsia="zh-CN" w:bidi="ar-SA"/>
        </w:rPr>
        <w:t>评审区间的具体办法为：</w:t>
      </w:r>
    </w:p>
    <w:p>
      <w:pPr>
        <w:pStyle w:val="150"/>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480" w:firstLineChars="200"/>
        <w:jc w:val="both"/>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1.确定投标报价评审区间最低价。在所有投标报价中去掉超过最高报价限价和未缴纳投标保证金的投标后，再去掉最高和最低的报价各20%个（按去掉超过最高报价限价和未缴纳投标保证金的投标后的投标人数量为基数；不为整数的，按四舍五入取整）后进行算术平均并进行下浮（下浮比例K暂定为３％～８％，抽取值均匀分布数量不少于11个，由招标人在开标时随机抽取），确定投标报价评审区间最低价。</w:t>
      </w:r>
    </w:p>
    <w:p>
      <w:pPr>
        <w:pStyle w:val="150"/>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480" w:firstLineChars="200"/>
        <w:jc w:val="both"/>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投标报价评审区间最低价计算精度保留到分，除计算差错外，评标过程中投标报价评审区间最低价保持不变。</w:t>
      </w:r>
    </w:p>
    <w:p>
      <w:pPr>
        <w:pStyle w:val="150"/>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480" w:firstLineChars="200"/>
        <w:jc w:val="both"/>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计算差错，仅限于以下两种情况：（1）纯算术性四则运算差错；（2）未按约定的计算方法，多计或者少计投标人报价的。由于评标差错，导致否决投标错误，重新评标纠正等其他情况，不属于计算差错。</w:t>
      </w:r>
    </w:p>
    <w:p>
      <w:pPr>
        <w:pStyle w:val="150"/>
        <w:keepNext w:val="0"/>
        <w:keepLines w:val="0"/>
        <w:pageBreakBefore w:val="0"/>
        <w:numPr>
          <w:ilvl w:val="0"/>
          <w:numId w:val="0"/>
        </w:numPr>
        <w:kinsoku/>
        <w:wordWrap/>
        <w:overflowPunct/>
        <w:topLinePunct w:val="0"/>
        <w:autoSpaceDE/>
        <w:autoSpaceDN/>
        <w:bidi w:val="0"/>
        <w:adjustRightInd/>
        <w:snapToGrid/>
        <w:spacing w:line="560" w:lineRule="exact"/>
        <w:ind w:left="0" w:leftChars="0" w:firstLine="480" w:firstLineChars="200"/>
        <w:jc w:val="both"/>
        <w:textAlignment w:val="auto"/>
        <w:rPr>
          <w:rFonts w:hint="eastAsia" w:ascii="宋体" w:hAnsi="宋体" w:eastAsia="宋体" w:cs="宋体"/>
          <w:b w:val="0"/>
          <w:bCs w:val="0"/>
          <w:color w:val="auto"/>
          <w:sz w:val="24"/>
          <w:szCs w:val="24"/>
          <w:lang w:val="en-US" w:eastAsia="zh-CN" w:bidi="ar-SA"/>
        </w:rPr>
      </w:pPr>
      <w:r>
        <w:rPr>
          <w:rFonts w:hint="eastAsia" w:ascii="宋体" w:hAnsi="宋体" w:eastAsia="宋体" w:cs="宋体"/>
          <w:b w:val="0"/>
          <w:bCs w:val="0"/>
          <w:color w:val="auto"/>
          <w:sz w:val="24"/>
          <w:szCs w:val="24"/>
          <w:lang w:val="en-US" w:eastAsia="zh-CN" w:bidi="ar-SA"/>
        </w:rPr>
        <w:t>2.确定评审区间：投标报价≥投标报价评审区间最低价的投标，按投标报价从低至高的次序进行排序进入评审区间；投标报价＜投标报价评审区间最低价的投标，按无效投标处理，不进入（补充进入）资格审查。</w:t>
      </w:r>
    </w:p>
    <w:p>
      <w:pPr>
        <w:pStyle w:val="150"/>
        <w:numPr>
          <w:ilvl w:val="0"/>
          <w:numId w:val="0"/>
        </w:numPr>
        <w:spacing w:line="560" w:lineRule="exact"/>
        <w:ind w:firstLine="480" w:firstLineChars="200"/>
        <w:jc w:val="both"/>
        <w:rPr>
          <w:rFonts w:hint="eastAsia" w:cs="宋体"/>
          <w:b w:val="0"/>
          <w:bCs w:val="0"/>
          <w:color w:val="auto"/>
          <w:szCs w:val="24"/>
          <w:lang w:val="en-US" w:eastAsia="zh-CN"/>
        </w:rPr>
      </w:pPr>
      <w:r>
        <w:rPr>
          <w:rFonts w:hint="eastAsia" w:ascii="宋体" w:hAnsi="宋体" w:eastAsia="宋体" w:cs="宋体"/>
          <w:b w:val="0"/>
          <w:bCs w:val="0"/>
          <w:color w:val="auto"/>
          <w:sz w:val="24"/>
          <w:szCs w:val="24"/>
          <w:lang w:val="en-US" w:eastAsia="zh-CN" w:bidi="ar-SA"/>
        </w:rPr>
        <w:t>3.确定进入资格审查的投标人。根据排序，在进入评审区间的投标中按报价从低到高的次序确定5家投标进行资格审查，报价相同的投标可同时进入资格审查。评标委员会在资格审查和评审时否决有关投标，导致进入评审的有效投标不足3家的，应在进入评审区间的其他投标中按报价低到高的次序补充确定进入资格审查的投标，报价相同的投标可同时补充进入资格审查。按以上办法，最终确定3家有效投标。</w:t>
      </w:r>
    </w:p>
    <w:p>
      <w:pPr>
        <w:pStyle w:val="150"/>
        <w:spacing w:line="360" w:lineRule="auto"/>
        <w:ind w:firstLine="241" w:firstLineChars="100"/>
        <w:rPr>
          <w:rFonts w:hint="eastAsia" w:cs="宋体"/>
          <w:b/>
          <w:bCs/>
          <w:color w:val="auto"/>
          <w:szCs w:val="24"/>
          <w:lang w:val="en-US" w:eastAsia="zh-CN"/>
        </w:rPr>
      </w:pPr>
    </w:p>
    <w:p>
      <w:pPr>
        <w:pStyle w:val="150"/>
        <w:spacing w:line="360" w:lineRule="auto"/>
        <w:ind w:firstLine="241" w:firstLineChars="100"/>
        <w:rPr>
          <w:rFonts w:ascii="宋体" w:hAnsi="宋体" w:eastAsia="宋体" w:cs="宋体"/>
          <w:b/>
          <w:bCs/>
          <w:color w:val="auto"/>
          <w:szCs w:val="24"/>
        </w:rPr>
      </w:pPr>
      <w:r>
        <w:rPr>
          <w:rFonts w:hint="eastAsia" w:cs="宋体"/>
          <w:b/>
          <w:bCs/>
          <w:color w:val="auto"/>
          <w:szCs w:val="24"/>
          <w:lang w:eastAsia="zh-CN"/>
        </w:rPr>
        <w:t>三</w:t>
      </w:r>
      <w:r>
        <w:rPr>
          <w:rFonts w:ascii="宋体" w:hAnsi="宋体" w:eastAsia="宋体" w:cs="宋体"/>
          <w:b/>
          <w:bCs/>
          <w:color w:val="auto"/>
          <w:szCs w:val="24"/>
        </w:rPr>
        <w:t>、资格审查</w:t>
      </w:r>
    </w:p>
    <w:p>
      <w:pPr>
        <w:pStyle w:val="150"/>
        <w:spacing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投标人存在</w:t>
      </w:r>
      <w:r>
        <w:rPr>
          <w:rFonts w:hint="eastAsia" w:eastAsia="宋体"/>
          <w:color w:val="auto"/>
          <w:lang w:val="en-US"/>
        </w:rPr>
        <w:t>投标须知前附表</w:t>
      </w:r>
      <w:r>
        <w:rPr>
          <w:rFonts w:eastAsia="宋体"/>
          <w:color w:val="auto"/>
          <w:lang w:val="en-US"/>
        </w:rPr>
        <w:t>10.5</w:t>
      </w:r>
      <w:r>
        <w:rPr>
          <w:rFonts w:hint="eastAsia" w:ascii="宋体" w:hAnsi="宋体" w:eastAsia="宋体" w:cs="宋体"/>
          <w:color w:val="auto"/>
          <w:szCs w:val="24"/>
        </w:rPr>
        <w:t>情形之一的，评标委员会组织投标人询问核实后，情况属实的，资格审查不予通过，否决其投标。</w:t>
      </w:r>
    </w:p>
    <w:p>
      <w:pPr>
        <w:pStyle w:val="150"/>
        <w:spacing w:line="360" w:lineRule="auto"/>
        <w:ind w:firstLine="480" w:firstLineChars="200"/>
        <w:rPr>
          <w:rFonts w:hint="eastAsia" w:ascii="宋体" w:hAnsi="宋体" w:eastAsia="宋体" w:cs="宋体"/>
          <w:color w:val="auto"/>
          <w:szCs w:val="24"/>
          <w:lang w:val="en-US"/>
        </w:rPr>
      </w:pPr>
    </w:p>
    <w:p>
      <w:pPr>
        <w:pStyle w:val="150"/>
        <w:spacing w:line="360" w:lineRule="auto"/>
        <w:ind w:firstLine="482" w:firstLineChars="200"/>
        <w:rPr>
          <w:rFonts w:ascii="宋体" w:hAnsi="宋体" w:eastAsia="宋体" w:cs="宋体"/>
          <w:b/>
          <w:bCs/>
          <w:color w:val="auto"/>
          <w:szCs w:val="24"/>
        </w:rPr>
      </w:pPr>
      <w:r>
        <w:rPr>
          <w:rFonts w:hint="eastAsia" w:ascii="宋体" w:hAnsi="宋体" w:eastAsia="宋体" w:cs="宋体"/>
          <w:b/>
          <w:bCs/>
          <w:color w:val="auto"/>
          <w:szCs w:val="24"/>
        </w:rPr>
        <w:t>四、符合性评审</w:t>
      </w:r>
    </w:p>
    <w:p>
      <w:pPr>
        <w:pStyle w:val="150"/>
        <w:spacing w:line="360" w:lineRule="auto"/>
        <w:ind w:firstLine="420"/>
        <w:rPr>
          <w:rFonts w:ascii="宋体" w:hAnsi="宋体" w:eastAsia="宋体" w:cs="宋体"/>
          <w:color w:val="auto"/>
          <w:szCs w:val="24"/>
        </w:rPr>
      </w:pPr>
      <w:r>
        <w:rPr>
          <w:rFonts w:hint="eastAsia" w:ascii="宋体" w:hAnsi="宋体" w:eastAsia="宋体" w:cs="宋体"/>
          <w:color w:val="auto"/>
          <w:szCs w:val="24"/>
        </w:rPr>
        <w:t>根据排序对投标文件依次进行符合性评审。投标人存在</w:t>
      </w:r>
      <w:r>
        <w:rPr>
          <w:rFonts w:hint="eastAsia" w:eastAsia="宋体"/>
          <w:color w:val="auto"/>
          <w:lang w:val="en-US"/>
        </w:rPr>
        <w:t>投标须知前附表</w:t>
      </w:r>
      <w:r>
        <w:rPr>
          <w:rFonts w:eastAsia="宋体"/>
          <w:color w:val="auto"/>
          <w:lang w:val="en-US"/>
        </w:rPr>
        <w:t>10.5</w:t>
      </w:r>
      <w:r>
        <w:rPr>
          <w:rFonts w:hint="eastAsia" w:ascii="宋体" w:hAnsi="宋体" w:eastAsia="宋体" w:cs="宋体"/>
          <w:color w:val="auto"/>
          <w:szCs w:val="24"/>
        </w:rPr>
        <w:t>情形之一的，评标委员会组织投标人询问核实后，情况属实的，符合性评审不予通过，否决其投标。</w:t>
      </w:r>
    </w:p>
    <w:p>
      <w:pPr>
        <w:pStyle w:val="150"/>
        <w:spacing w:line="360" w:lineRule="auto"/>
        <w:ind w:firstLine="482" w:firstLineChars="200"/>
        <w:rPr>
          <w:rFonts w:ascii="宋体" w:hAnsi="宋体" w:eastAsia="宋体" w:cs="宋体"/>
          <w:b/>
          <w:bCs/>
          <w:color w:val="auto"/>
          <w:szCs w:val="24"/>
        </w:rPr>
      </w:pPr>
      <w:r>
        <w:rPr>
          <w:rFonts w:hint="eastAsia" w:ascii="宋体" w:hAnsi="宋体" w:eastAsia="宋体" w:cs="宋体"/>
          <w:b/>
          <w:bCs/>
          <w:color w:val="auto"/>
          <w:szCs w:val="24"/>
        </w:rPr>
        <w:t>五、商务评审</w:t>
      </w:r>
    </w:p>
    <w:p>
      <w:pPr>
        <w:pStyle w:val="150"/>
        <w:spacing w:line="360" w:lineRule="auto"/>
        <w:rPr>
          <w:rFonts w:ascii="宋体" w:hAnsi="宋体" w:eastAsia="宋体" w:cs="宋体"/>
          <w:color w:val="auto"/>
          <w:szCs w:val="24"/>
        </w:rPr>
      </w:pPr>
      <w:r>
        <w:rPr>
          <w:rFonts w:ascii="宋体" w:hAnsi="宋体" w:eastAsia="宋体" w:cs="宋体"/>
          <w:color w:val="auto"/>
        </w:rPr>
        <w:t xml:space="preserve">    通过资格审查</w:t>
      </w:r>
      <w:r>
        <w:rPr>
          <w:rFonts w:hint="eastAsia" w:ascii="宋体" w:hAnsi="宋体" w:eastAsia="宋体" w:cs="宋体"/>
          <w:color w:val="auto"/>
        </w:rPr>
        <w:t>、评审区间确定、符合性评审，对进入商务评审阶段的投标人进行商务评审。投标人存在</w:t>
      </w:r>
      <w:r>
        <w:rPr>
          <w:rFonts w:hint="eastAsia" w:eastAsia="宋体"/>
          <w:color w:val="auto"/>
        </w:rPr>
        <w:t>投标须知前附表</w:t>
      </w:r>
      <w:r>
        <w:rPr>
          <w:rFonts w:eastAsia="宋体"/>
          <w:color w:val="auto"/>
        </w:rPr>
        <w:t>10.5</w:t>
      </w:r>
      <w:r>
        <w:rPr>
          <w:rFonts w:hint="eastAsia" w:ascii="宋体" w:hAnsi="宋体" w:eastAsia="宋体" w:cs="宋体"/>
          <w:color w:val="auto"/>
        </w:rPr>
        <w:t>情形之一的，评标委员会组织投标人询问核实后，情况属实的，</w:t>
      </w:r>
      <w:r>
        <w:rPr>
          <w:rFonts w:ascii="宋体" w:hAnsi="宋体" w:eastAsia="宋体" w:cs="宋体"/>
          <w:color w:val="auto"/>
        </w:rPr>
        <w:t>商务评审不予通过，否决其投标</w:t>
      </w:r>
      <w:r>
        <w:rPr>
          <w:rFonts w:hint="eastAsia" w:ascii="宋体" w:hAnsi="宋体" w:eastAsia="宋体" w:cs="宋体"/>
          <w:color w:val="auto"/>
        </w:rPr>
        <w:t>。</w:t>
      </w:r>
    </w:p>
    <w:p>
      <w:pPr>
        <w:pStyle w:val="150"/>
        <w:spacing w:line="360" w:lineRule="auto"/>
        <w:rPr>
          <w:rFonts w:ascii="宋体" w:hAnsi="宋体" w:eastAsia="宋体" w:cs="宋体"/>
          <w:b/>
          <w:bCs/>
          <w:color w:val="auto"/>
          <w:szCs w:val="24"/>
        </w:rPr>
      </w:pPr>
      <w:r>
        <w:rPr>
          <w:rFonts w:ascii="宋体" w:hAnsi="宋体" w:eastAsia="宋体" w:cs="宋体"/>
          <w:color w:val="auto"/>
          <w:szCs w:val="24"/>
        </w:rPr>
        <w:t xml:space="preserve">  </w:t>
      </w:r>
      <w:r>
        <w:rPr>
          <w:rFonts w:ascii="宋体" w:hAnsi="宋体" w:eastAsia="宋体" w:cs="宋体"/>
          <w:color w:val="auto"/>
          <w:szCs w:val="24"/>
          <w:lang w:val="en-US"/>
        </w:rPr>
        <w:t xml:space="preserve"> </w:t>
      </w:r>
      <w:r>
        <w:rPr>
          <w:rFonts w:ascii="宋体" w:hAnsi="宋体" w:eastAsia="宋体" w:cs="宋体"/>
          <w:color w:val="auto"/>
          <w:szCs w:val="24"/>
        </w:rPr>
        <w:t xml:space="preserve"> </w:t>
      </w:r>
      <w:r>
        <w:rPr>
          <w:rFonts w:hint="eastAsia" w:ascii="宋体" w:hAnsi="宋体" w:eastAsia="宋体" w:cs="宋体"/>
          <w:b/>
          <w:bCs/>
          <w:color w:val="auto"/>
          <w:szCs w:val="24"/>
        </w:rPr>
        <w:t>六、推荐中标候选人</w:t>
      </w:r>
    </w:p>
    <w:p>
      <w:pPr>
        <w:snapToGrid w:val="0"/>
        <w:spacing w:line="360" w:lineRule="auto"/>
        <w:ind w:firstLine="480" w:firstLineChars="200"/>
        <w:rPr>
          <w:rFonts w:ascii="宋体" w:hAnsi="宋体"/>
          <w:color w:val="auto"/>
        </w:rPr>
      </w:pPr>
      <w:r>
        <w:rPr>
          <w:rFonts w:hint="eastAsia" w:ascii="宋体" w:hAnsi="宋体"/>
          <w:color w:val="auto"/>
        </w:rPr>
        <w:t>评标委员会对通过</w:t>
      </w:r>
      <w:r>
        <w:rPr>
          <w:rFonts w:hint="eastAsia" w:ascii="宋体" w:hAnsi="宋体" w:eastAsia="宋体" w:cs="宋体"/>
          <w:color w:val="auto"/>
        </w:rPr>
        <w:t>商务评审的</w:t>
      </w:r>
      <w:r>
        <w:rPr>
          <w:rFonts w:hint="eastAsia" w:ascii="宋体" w:hAnsi="宋体"/>
          <w:color w:val="auto"/>
        </w:rPr>
        <w:t>投标人按投标报价从低到高进行排序，并按照排序推荐中标候选人。</w:t>
      </w:r>
      <w:r>
        <w:rPr>
          <w:rFonts w:ascii="宋体" w:hAnsi="宋体"/>
          <w:color w:val="auto"/>
        </w:rPr>
        <w:t>如投标报价相同的</w:t>
      </w:r>
      <w:r>
        <w:rPr>
          <w:rFonts w:ascii="宋体" w:hAnsi="宋体"/>
          <w:color w:val="auto"/>
          <w:u w:val="single"/>
        </w:rPr>
        <w:t xml:space="preserve">  (在招标文件中明确确定方式)   </w:t>
      </w:r>
      <w:r>
        <w:rPr>
          <w:rFonts w:ascii="宋体" w:hAnsi="宋体"/>
          <w:color w:val="auto"/>
        </w:rPr>
        <w:t>。</w:t>
      </w:r>
    </w:p>
    <w:p>
      <w:pPr>
        <w:pStyle w:val="150"/>
        <w:spacing w:line="360" w:lineRule="auto"/>
        <w:ind w:firstLine="480" w:firstLineChars="200"/>
        <w:rPr>
          <w:color w:val="auto"/>
          <w:szCs w:val="24"/>
          <w:lang w:val="en-US"/>
        </w:rPr>
      </w:pPr>
      <w:r>
        <w:rPr>
          <w:rFonts w:hint="eastAsia"/>
          <w:color w:val="auto"/>
          <w:szCs w:val="24"/>
          <w:u w:val="none"/>
          <w:lang w:val="en-US"/>
        </w:rPr>
        <w:t>招标人</w:t>
      </w:r>
      <w:r>
        <w:rPr>
          <w:rFonts w:hint="eastAsia"/>
          <w:color w:val="auto"/>
          <w:szCs w:val="24"/>
          <w:lang w:val="en-US"/>
        </w:rPr>
        <w:t>对拟确定的推荐中标候选人和其拟派项目负责人，是否列入失信被执行人名单以及</w:t>
      </w:r>
      <w:r>
        <w:rPr>
          <w:rFonts w:hint="eastAsia" w:ascii="宋体" w:hAnsi="宋体" w:eastAsia="宋体"/>
          <w:color w:val="auto"/>
          <w:szCs w:val="24"/>
          <w:lang w:val="en-US"/>
        </w:rPr>
        <w:t>在本招标文件（招标公告）规定时间范围内</w:t>
      </w:r>
      <w:r>
        <w:rPr>
          <w:rFonts w:hint="eastAsia"/>
          <w:color w:val="auto"/>
          <w:szCs w:val="24"/>
          <w:lang w:val="en-US"/>
        </w:rPr>
        <w:t>是否有行贿犯罪记录进行查验。如查实存在行贿犯罪记录情况（以行贿罪判决为准）或被列入失信被执行人名单的，则取消其中标候选资格。</w:t>
      </w:r>
    </w:p>
    <w:p>
      <w:pPr>
        <w:pStyle w:val="150"/>
        <w:spacing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当有效投标人＜</w:t>
      </w:r>
      <w:r>
        <w:rPr>
          <w:rFonts w:ascii="宋体" w:hAnsi="宋体" w:eastAsia="宋体" w:cs="宋体"/>
          <w:color w:val="auto"/>
          <w:szCs w:val="24"/>
        </w:rPr>
        <w:t>3个时，评标委员会应判定本次投标是否具有竞争力。若评标委员会认为本次投标明显缺乏竞争的，可以否决全部投标。</w:t>
      </w:r>
    </w:p>
    <w:p>
      <w:pPr>
        <w:widowControl/>
        <w:autoSpaceDE/>
        <w:autoSpaceDN/>
        <w:adjustRightInd/>
        <w:rPr>
          <w:color w:val="auto"/>
          <w:sz w:val="28"/>
          <w:szCs w:val="28"/>
        </w:rPr>
      </w:pPr>
    </w:p>
    <w:p>
      <w:pPr>
        <w:widowControl/>
        <w:autoSpaceDE/>
        <w:autoSpaceDN/>
        <w:adjustRightInd/>
        <w:rPr>
          <w:color w:val="auto"/>
          <w:sz w:val="28"/>
          <w:szCs w:val="28"/>
        </w:rPr>
      </w:pPr>
    </w:p>
    <w:p>
      <w:pPr>
        <w:widowControl/>
        <w:autoSpaceDE/>
        <w:autoSpaceDN/>
        <w:adjustRightInd/>
        <w:rPr>
          <w:color w:val="auto"/>
          <w:sz w:val="28"/>
          <w:szCs w:val="28"/>
        </w:rPr>
      </w:pPr>
    </w:p>
    <w:p>
      <w:pPr>
        <w:widowControl/>
        <w:autoSpaceDE/>
        <w:autoSpaceDN/>
        <w:adjustRightInd/>
        <w:rPr>
          <w:color w:val="auto"/>
          <w:sz w:val="28"/>
          <w:szCs w:val="28"/>
        </w:rPr>
      </w:pPr>
    </w:p>
    <w:p>
      <w:pPr>
        <w:widowControl/>
        <w:autoSpaceDE/>
        <w:autoSpaceDN/>
        <w:adjustRightInd/>
        <w:rPr>
          <w:color w:val="auto"/>
          <w:sz w:val="28"/>
          <w:szCs w:val="28"/>
        </w:rPr>
      </w:pPr>
    </w:p>
    <w:p>
      <w:pPr>
        <w:widowControl/>
        <w:autoSpaceDE/>
        <w:autoSpaceDN/>
        <w:adjustRightInd/>
        <w:rPr>
          <w:color w:val="auto"/>
          <w:sz w:val="28"/>
          <w:szCs w:val="28"/>
        </w:rPr>
      </w:pPr>
    </w:p>
    <w:p>
      <w:pPr>
        <w:widowControl/>
        <w:autoSpaceDE/>
        <w:autoSpaceDN/>
        <w:adjustRightInd/>
        <w:rPr>
          <w:color w:val="auto"/>
          <w:sz w:val="28"/>
          <w:szCs w:val="28"/>
        </w:rPr>
      </w:pPr>
    </w:p>
    <w:p>
      <w:pPr>
        <w:pStyle w:val="2"/>
        <w:rPr>
          <w:color w:val="auto"/>
          <w:sz w:val="28"/>
          <w:szCs w:val="28"/>
        </w:rPr>
      </w:pPr>
    </w:p>
    <w:p>
      <w:pPr>
        <w:rPr>
          <w:color w:val="auto"/>
          <w:sz w:val="28"/>
          <w:szCs w:val="28"/>
        </w:rPr>
      </w:pPr>
    </w:p>
    <w:p>
      <w:pPr>
        <w:pStyle w:val="2"/>
        <w:rPr>
          <w:color w:val="auto"/>
        </w:rPr>
      </w:pPr>
    </w:p>
    <w:p>
      <w:pPr>
        <w:pStyle w:val="2"/>
        <w:rPr>
          <w:color w:val="auto"/>
          <w:sz w:val="28"/>
          <w:szCs w:val="28"/>
        </w:rPr>
      </w:pPr>
    </w:p>
    <w:p>
      <w:pPr>
        <w:rPr>
          <w:color w:val="auto"/>
        </w:rPr>
      </w:pPr>
    </w:p>
    <w:p>
      <w:pPr>
        <w:widowControl/>
        <w:autoSpaceDE/>
        <w:autoSpaceDN/>
        <w:adjustRightInd/>
        <w:rPr>
          <w:rFonts w:ascii="宋体" w:hAnsi="宋体"/>
          <w:b/>
          <w:color w:val="auto"/>
        </w:rPr>
      </w:pPr>
      <w:r>
        <w:rPr>
          <w:color w:val="auto"/>
          <w:sz w:val="28"/>
          <w:szCs w:val="28"/>
        </w:rPr>
        <w:sym w:font="Wingdings 2" w:char="00A3"/>
      </w:r>
      <w:r>
        <w:rPr>
          <w:rFonts w:hint="eastAsia" w:ascii="宋体" w:hAnsi="宋体"/>
          <w:b/>
          <w:color w:val="auto"/>
        </w:rPr>
        <w:t>评标办法（二）</w:t>
      </w:r>
    </w:p>
    <w:p>
      <w:pPr>
        <w:spacing w:line="360" w:lineRule="auto"/>
        <w:ind w:firstLine="480" w:firstLineChars="200"/>
        <w:rPr>
          <w:rFonts w:ascii="宋体" w:hAnsi="宋体"/>
          <w:color w:val="auto"/>
        </w:rPr>
      </w:pPr>
    </w:p>
    <w:p>
      <w:pPr>
        <w:pStyle w:val="2"/>
        <w:jc w:val="center"/>
        <w:rPr>
          <w:rFonts w:ascii="宋体" w:hAnsi="宋体"/>
          <w:b/>
          <w:color w:val="auto"/>
          <w:sz w:val="24"/>
          <w:szCs w:val="24"/>
        </w:rPr>
      </w:pPr>
      <w:r>
        <w:rPr>
          <w:rFonts w:hint="eastAsia" w:ascii="宋体" w:hAnsi="宋体" w:eastAsia="宋体"/>
          <w:b/>
          <w:color w:val="auto"/>
          <w:sz w:val="24"/>
          <w:szCs w:val="24"/>
        </w:rPr>
        <w:t>技术标通过制的综合评估法</w:t>
      </w:r>
    </w:p>
    <w:p>
      <w:pPr>
        <w:spacing w:line="360" w:lineRule="auto"/>
        <w:ind w:firstLine="482" w:firstLineChars="200"/>
        <w:rPr>
          <w:rFonts w:ascii="宋体" w:hAnsi="宋体"/>
          <w:b/>
          <w:color w:val="auto"/>
        </w:rPr>
      </w:pPr>
    </w:p>
    <w:p>
      <w:pPr>
        <w:snapToGrid w:val="0"/>
        <w:spacing w:line="360" w:lineRule="auto"/>
        <w:ind w:firstLine="480" w:firstLineChars="200"/>
        <w:rPr>
          <w:rFonts w:ascii="宋体" w:hAnsi="宋体"/>
          <w:bCs/>
          <w:color w:val="auto"/>
        </w:rPr>
      </w:pPr>
      <w:r>
        <w:rPr>
          <w:rFonts w:hint="eastAsia" w:ascii="宋体" w:hAnsi="宋体"/>
          <w:bCs/>
          <w:color w:val="auto"/>
        </w:rPr>
        <w:t>技术标通过制的综合评估法，适用于一般</w:t>
      </w:r>
      <w:r>
        <w:rPr>
          <w:rFonts w:hint="eastAsia" w:ascii="宋体" w:hAnsi="宋体"/>
          <w:color w:val="auto"/>
        </w:rPr>
        <w:t>房屋建筑和市政基础设施工程</w:t>
      </w:r>
      <w:r>
        <w:rPr>
          <w:rFonts w:hint="eastAsia" w:ascii="宋体" w:hAnsi="宋体"/>
          <w:bCs/>
          <w:color w:val="auto"/>
        </w:rPr>
        <w:t>施工招标（包括适用于经评审的最低投标价法的工程）。评标应遵循公平、公正、科学、择优的原则。</w:t>
      </w:r>
    </w:p>
    <w:p>
      <w:pPr>
        <w:snapToGrid w:val="0"/>
        <w:spacing w:line="360" w:lineRule="auto"/>
        <w:ind w:firstLine="480" w:firstLineChars="200"/>
        <w:rPr>
          <w:rFonts w:ascii="宋体" w:hAnsi="宋体"/>
          <w:bCs/>
          <w:color w:val="auto"/>
        </w:rPr>
      </w:pPr>
      <w:r>
        <w:rPr>
          <w:rFonts w:hint="eastAsia" w:ascii="宋体" w:hAnsi="宋体"/>
          <w:bCs/>
          <w:color w:val="auto"/>
        </w:rPr>
        <w:t>技术标通过制的综合评估法应先对投标人进行资格审查，已通过资格审查的投标人报价按规定的方法进入评审区间，对评审区间内的投标人进行初步评审、技术标评审、商务标评审、综合评审。综合评审得分最高的投标人推荐为中标候选人。</w:t>
      </w:r>
    </w:p>
    <w:p>
      <w:pPr>
        <w:pStyle w:val="150"/>
        <w:adjustRightInd w:val="0"/>
        <w:snapToGrid w:val="0"/>
        <w:spacing w:line="360" w:lineRule="auto"/>
        <w:ind w:firstLine="480" w:firstLineChars="200"/>
        <w:rPr>
          <w:rFonts w:ascii="宋体" w:hAnsi="宋体" w:eastAsia="宋体" w:cs="宋体"/>
          <w:color w:val="auto"/>
          <w:szCs w:val="24"/>
        </w:rPr>
      </w:pPr>
      <w:r>
        <w:rPr>
          <w:rFonts w:hint="eastAsia" w:ascii="宋体" w:hAnsi="宋体" w:eastAsia="宋体" w:cs="宋体"/>
          <w:color w:val="auto"/>
          <w:szCs w:val="24"/>
        </w:rPr>
        <w:t>评标工作由招标人依法组建的评标委员会负责，评标委员会成员为</w:t>
      </w:r>
      <w:r>
        <w:rPr>
          <w:rFonts w:ascii="宋体" w:hAnsi="宋体" w:eastAsia="宋体" w:cs="宋体"/>
          <w:color w:val="auto"/>
          <w:szCs w:val="24"/>
          <w:u w:val="single"/>
        </w:rPr>
        <w:t xml:space="preserve"> </w:t>
      </w:r>
      <w:r>
        <w:rPr>
          <w:rFonts w:ascii="宋体" w:hAnsi="宋体" w:eastAsia="宋体" w:cs="宋体"/>
          <w:color w:val="auto"/>
          <w:szCs w:val="24"/>
          <w:u w:val="single"/>
          <w:lang w:val="en-US"/>
        </w:rPr>
        <w:t xml:space="preserve">  </w:t>
      </w:r>
      <w:r>
        <w:rPr>
          <w:rFonts w:hint="eastAsia" w:ascii="宋体" w:hAnsi="宋体" w:eastAsia="宋体" w:cs="宋体"/>
          <w:color w:val="auto"/>
          <w:szCs w:val="24"/>
          <w:u w:val="single"/>
        </w:rPr>
        <w:t>（</w:t>
      </w:r>
      <w:r>
        <w:rPr>
          <w:rFonts w:hint="eastAsia" w:ascii="宋体" w:hAnsi="宋体" w:eastAsia="宋体" w:cs="宋体"/>
          <w:color w:val="auto"/>
          <w:szCs w:val="24"/>
          <w:u w:val="single"/>
          <w:lang w:val="en-US"/>
        </w:rPr>
        <w:t>应根据法律法规及相关文件要求填写</w:t>
      </w:r>
      <w:r>
        <w:rPr>
          <w:rFonts w:hint="eastAsia" w:ascii="宋体" w:hAnsi="宋体" w:eastAsia="宋体" w:cs="宋体"/>
          <w:color w:val="auto"/>
          <w:szCs w:val="24"/>
          <w:u w:val="single"/>
        </w:rPr>
        <w:t>）</w:t>
      </w:r>
      <w:r>
        <w:rPr>
          <w:rFonts w:hint="eastAsia" w:ascii="宋体" w:hAnsi="宋体" w:eastAsia="宋体" w:cs="宋体"/>
          <w:color w:val="auto"/>
          <w:szCs w:val="24"/>
        </w:rPr>
        <w:t>。</w:t>
      </w:r>
    </w:p>
    <w:p>
      <w:pPr>
        <w:pStyle w:val="150"/>
        <w:tabs>
          <w:tab w:val="left" w:pos="9360"/>
        </w:tabs>
        <w:spacing w:line="360" w:lineRule="auto"/>
        <w:ind w:firstLine="480" w:firstLineChars="200"/>
        <w:rPr>
          <w:color w:val="auto"/>
        </w:rPr>
      </w:pPr>
      <w:r>
        <w:rPr>
          <w:rFonts w:hint="eastAsia" w:ascii="宋体" w:hAnsi="宋体" w:eastAsia="宋体" w:cs="宋体"/>
          <w:color w:val="auto"/>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snapToGrid w:val="0"/>
        <w:spacing w:line="360" w:lineRule="auto"/>
        <w:ind w:firstLine="482" w:firstLineChars="200"/>
        <w:rPr>
          <w:rFonts w:ascii="宋体" w:hAnsi="宋体"/>
          <w:b/>
          <w:color w:val="auto"/>
        </w:rPr>
      </w:pPr>
      <w:r>
        <w:rPr>
          <w:rFonts w:ascii="宋体" w:hAnsi="宋体"/>
          <w:b/>
          <w:color w:val="auto"/>
        </w:rPr>
        <w:t>一、评标程序</w:t>
      </w:r>
    </w:p>
    <w:p>
      <w:pPr>
        <w:snapToGrid w:val="0"/>
        <w:spacing w:line="360" w:lineRule="auto"/>
        <w:ind w:firstLine="480" w:firstLineChars="200"/>
        <w:rPr>
          <w:rFonts w:ascii="宋体" w:hAnsi="宋体"/>
          <w:color w:val="auto"/>
        </w:rPr>
      </w:pPr>
      <w:r>
        <w:rPr>
          <w:rFonts w:ascii="宋体" w:hAnsi="宋体"/>
          <w:color w:val="auto"/>
        </w:rPr>
        <w:t>（一）评审区间确定</w:t>
      </w:r>
    </w:p>
    <w:p>
      <w:pPr>
        <w:snapToGrid w:val="0"/>
        <w:spacing w:line="360" w:lineRule="auto"/>
        <w:ind w:firstLine="480" w:firstLineChars="200"/>
        <w:rPr>
          <w:rFonts w:ascii="宋体" w:hAnsi="宋体"/>
          <w:color w:val="auto"/>
        </w:rPr>
      </w:pPr>
      <w:r>
        <w:rPr>
          <w:rFonts w:ascii="宋体" w:hAnsi="宋体"/>
          <w:color w:val="auto"/>
        </w:rPr>
        <w:t>（二）资格审查</w:t>
      </w:r>
    </w:p>
    <w:p>
      <w:pPr>
        <w:snapToGrid w:val="0"/>
        <w:spacing w:line="360" w:lineRule="auto"/>
        <w:ind w:firstLine="480" w:firstLineChars="200"/>
        <w:rPr>
          <w:rFonts w:ascii="宋体" w:hAnsi="宋体"/>
          <w:color w:val="auto"/>
        </w:rPr>
      </w:pPr>
      <w:r>
        <w:rPr>
          <w:rFonts w:ascii="宋体" w:hAnsi="宋体"/>
          <w:color w:val="auto"/>
        </w:rPr>
        <w:t>（三）</w:t>
      </w:r>
      <w:r>
        <w:rPr>
          <w:rFonts w:hint="eastAsia" w:ascii="宋体" w:hAnsi="宋体"/>
          <w:color w:val="auto"/>
        </w:rPr>
        <w:t>初步</w:t>
      </w:r>
      <w:r>
        <w:rPr>
          <w:rFonts w:ascii="宋体" w:hAnsi="宋体"/>
          <w:color w:val="auto"/>
        </w:rPr>
        <w:t>评审</w:t>
      </w:r>
    </w:p>
    <w:p>
      <w:pPr>
        <w:snapToGrid w:val="0"/>
        <w:spacing w:line="360" w:lineRule="auto"/>
        <w:ind w:firstLine="480" w:firstLineChars="200"/>
        <w:rPr>
          <w:rFonts w:ascii="宋体" w:hAnsi="宋体"/>
          <w:color w:val="auto"/>
        </w:rPr>
      </w:pPr>
      <w:r>
        <w:rPr>
          <w:rFonts w:ascii="宋体" w:hAnsi="宋体"/>
          <w:color w:val="auto"/>
        </w:rPr>
        <w:t>（四）</w:t>
      </w:r>
      <w:r>
        <w:rPr>
          <w:rFonts w:hint="eastAsia" w:ascii="宋体" w:hAnsi="宋体"/>
          <w:color w:val="auto"/>
        </w:rPr>
        <w:t>技术</w:t>
      </w:r>
      <w:r>
        <w:rPr>
          <w:rFonts w:ascii="宋体" w:hAnsi="宋体"/>
          <w:color w:val="auto"/>
        </w:rPr>
        <w:t>评审</w:t>
      </w:r>
    </w:p>
    <w:p>
      <w:pPr>
        <w:snapToGrid w:val="0"/>
        <w:spacing w:line="360" w:lineRule="auto"/>
        <w:ind w:firstLine="480" w:firstLineChars="200"/>
        <w:rPr>
          <w:rFonts w:ascii="宋体" w:hAnsi="宋体"/>
          <w:color w:val="auto"/>
        </w:rPr>
      </w:pPr>
      <w:r>
        <w:rPr>
          <w:rFonts w:hint="eastAsia" w:ascii="宋体" w:hAnsi="宋体"/>
          <w:color w:val="auto"/>
        </w:rPr>
        <w:t>（五）商务评审</w:t>
      </w:r>
    </w:p>
    <w:p>
      <w:pPr>
        <w:snapToGrid w:val="0"/>
        <w:spacing w:line="360" w:lineRule="auto"/>
        <w:ind w:firstLine="480" w:firstLineChars="200"/>
        <w:rPr>
          <w:rFonts w:ascii="宋体" w:hAnsi="宋体"/>
          <w:color w:val="auto"/>
        </w:rPr>
      </w:pPr>
      <w:r>
        <w:rPr>
          <w:rFonts w:ascii="宋体" w:hAnsi="宋体"/>
          <w:color w:val="auto"/>
        </w:rPr>
        <w:t>（六）</w:t>
      </w:r>
      <w:r>
        <w:rPr>
          <w:rFonts w:hint="eastAsia" w:ascii="宋体" w:hAnsi="宋体"/>
          <w:color w:val="auto"/>
        </w:rPr>
        <w:t>综合</w:t>
      </w:r>
      <w:r>
        <w:rPr>
          <w:rFonts w:ascii="宋体" w:hAnsi="宋体"/>
          <w:color w:val="auto"/>
        </w:rPr>
        <w:t>评审</w:t>
      </w:r>
    </w:p>
    <w:p>
      <w:pPr>
        <w:snapToGrid w:val="0"/>
        <w:spacing w:line="360" w:lineRule="auto"/>
        <w:ind w:firstLine="480" w:firstLineChars="200"/>
        <w:rPr>
          <w:rFonts w:ascii="宋体" w:hAnsi="宋体"/>
          <w:color w:val="auto"/>
        </w:rPr>
      </w:pPr>
      <w:r>
        <w:rPr>
          <w:rFonts w:ascii="宋体" w:hAnsi="宋体"/>
          <w:color w:val="auto"/>
        </w:rPr>
        <w:t>（七）推荐中标候选人</w:t>
      </w:r>
    </w:p>
    <w:p>
      <w:pPr>
        <w:pStyle w:val="150"/>
        <w:spacing w:line="360" w:lineRule="auto"/>
        <w:ind w:firstLine="480" w:firstLineChars="200"/>
        <w:rPr>
          <w:rFonts w:cs="宋体"/>
          <w:b w:val="0"/>
          <w:color w:val="auto"/>
          <w:szCs w:val="24"/>
        </w:rPr>
      </w:pPr>
      <w:r>
        <w:rPr>
          <w:rFonts w:hint="default" w:cs="宋体"/>
          <w:b w:val="0"/>
          <w:color w:val="auto"/>
          <w:szCs w:val="24"/>
          <w:lang w:eastAsia="zh-CN"/>
        </w:rPr>
        <w:t>二</w:t>
      </w:r>
      <w:r>
        <w:rPr>
          <w:rFonts w:cs="宋体"/>
          <w:b w:val="0"/>
          <w:color w:val="auto"/>
          <w:szCs w:val="24"/>
        </w:rPr>
        <w:t>、</w:t>
      </w:r>
      <w:r>
        <w:rPr>
          <w:rFonts w:hint="default" w:cs="宋体"/>
          <w:b w:val="0"/>
          <w:color w:val="auto"/>
          <w:szCs w:val="24"/>
        </w:rPr>
        <w:t>评审区间确定</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80" w:firstLineChars="200"/>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当投标截止时间止前递交的投标文件在去掉报价超过最高报价限价和未缴纳投标保证金的投标后＞</w:t>
      </w:r>
      <w:r>
        <w:rPr>
          <w:rFonts w:hint="default" w:ascii="宋体" w:hAnsi="宋体" w:eastAsia="宋体" w:cs="宋体"/>
          <w:b w:val="0"/>
          <w:bCs w:val="0"/>
          <w:color w:val="auto"/>
          <w:kern w:val="0"/>
          <w:sz w:val="24"/>
          <w:szCs w:val="24"/>
          <w:u w:val="none"/>
          <w:lang w:val="zh-CN" w:eastAsia="zh-CN" w:bidi="ar-SA"/>
        </w:rPr>
        <w:t>15</w:t>
      </w:r>
      <w:r>
        <w:rPr>
          <w:rFonts w:hint="default" w:ascii="宋体" w:hAnsi="宋体" w:eastAsia="宋体" w:cs="宋体"/>
          <w:b w:val="0"/>
          <w:bCs w:val="0"/>
          <w:color w:val="auto"/>
          <w:kern w:val="0"/>
          <w:sz w:val="24"/>
          <w:szCs w:val="24"/>
          <w:lang w:val="zh-CN" w:eastAsia="zh-CN" w:bidi="ar-SA"/>
        </w:rPr>
        <w:t>家时，可启用评审区间；≤15家时，所有投标人进入评审区间。</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80" w:firstLineChars="200"/>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评审区间的具体办法为：</w:t>
      </w:r>
    </w:p>
    <w:p>
      <w:pPr>
        <w:pStyle w:val="2"/>
        <w:keepNext w:val="0"/>
        <w:keepLines w:val="0"/>
        <w:pageBreakBefore w:val="0"/>
        <w:kinsoku/>
        <w:wordWrap/>
        <w:overflowPunct/>
        <w:topLinePunct w:val="0"/>
        <w:autoSpaceDE/>
        <w:autoSpaceDN/>
        <w:bidi w:val="0"/>
        <w:adjustRightInd/>
        <w:spacing w:after="0" w:line="560" w:lineRule="exact"/>
        <w:ind w:left="0" w:leftChars="0"/>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 xml:space="preserve">       （一）在未超过最高报价限价且已缴纳投标保证金的投标人中取投标报价与评审区间评标基准价之差绝对值最小的前15家投标人进入评审区间，绝对值相同时取报价低的，报价也相同的并列进入评审区间。</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（二）计算进入评审区间基准价D</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Ｄ1=Ｋ１*Ａ+（１-Ｋ１）*Ｂ*Ｋ２</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Ｄ2=Ｋ１*Ａ+（１-Ｋ１）*Ｂ*（Ｋ２-2%）</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Ｄ3=Ｋ１*Ａ+（１-Ｋ１）*Ｂ*（Ｋ２+2%）</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Ｋ１（权重系数），由招标人在开标现场随机抽取确定，，抽取值为            （在0.4～0.6，确定均匀分布，数量不少于５个的抽取值）；</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jc w:val="both"/>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Ａ（投标报价算术平均值）：在所有投标报价中去掉超过最高报价限价和未缴纳投标保证金的投标后，再去除报价最高和最低各20％个（按去掉超过最高报价限价和未缴纳投标保证金的投标后的投标人数量为基数；不为整数的，按四舍五入取整）后进行算术平均。</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jc w:val="both"/>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Ｂ＝最高报价限价。</w:t>
      </w:r>
    </w:p>
    <w:p>
      <w:pPr>
        <w:keepNext w:val="0"/>
        <w:keepLines w:val="0"/>
        <w:pageBreakBefore w:val="0"/>
        <w:widowControl/>
        <w:kinsoku/>
        <w:wordWrap/>
        <w:overflowPunct/>
        <w:topLinePunct w:val="0"/>
        <w:autoSpaceDE/>
        <w:autoSpaceDN/>
        <w:bidi w:val="0"/>
        <w:adjustRightInd/>
        <w:snapToGrid w:val="0"/>
        <w:spacing w:line="560" w:lineRule="exact"/>
        <w:ind w:left="0" w:leftChars="0" w:firstLine="480" w:firstLineChars="200"/>
        <w:jc w:val="both"/>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Ｋ２（平均浮动系数），抽取范围为：</w:t>
      </w:r>
      <w:r>
        <w:rPr>
          <w:rFonts w:hint="default" w:ascii="宋体" w:hAnsi="宋体" w:eastAsia="宋体" w:cs="宋体"/>
          <w:b w:val="0"/>
          <w:bCs w:val="0"/>
          <w:color w:val="auto"/>
          <w:kern w:val="0"/>
          <w:sz w:val="24"/>
          <w:szCs w:val="24"/>
          <w:u w:val="single"/>
          <w:lang w:val="zh-CN" w:eastAsia="zh-CN" w:bidi="ar-SA"/>
        </w:rPr>
        <w:t xml:space="preserve"> </w:t>
      </w:r>
      <w:r>
        <w:rPr>
          <w:rFonts w:hint="eastAsia" w:ascii="宋体" w:hAnsi="宋体" w:cs="宋体"/>
          <w:b w:val="0"/>
          <w:bCs w:val="0"/>
          <w:color w:val="auto"/>
          <w:kern w:val="0"/>
          <w:sz w:val="24"/>
          <w:szCs w:val="24"/>
          <w:u w:val="single"/>
          <w:lang w:val="en-US" w:eastAsia="zh-CN" w:bidi="ar-SA"/>
        </w:rPr>
        <w:t xml:space="preserve">        </w:t>
      </w:r>
      <w:r>
        <w:rPr>
          <w:rFonts w:hint="default" w:ascii="宋体" w:hAnsi="宋体" w:eastAsia="宋体" w:cs="宋体"/>
          <w:b w:val="0"/>
          <w:bCs w:val="0"/>
          <w:color w:val="auto"/>
          <w:kern w:val="0"/>
          <w:sz w:val="24"/>
          <w:szCs w:val="24"/>
          <w:u w:val="single"/>
          <w:lang w:val="zh-CN" w:eastAsia="zh-CN" w:bidi="ar-SA"/>
        </w:rPr>
        <w:t xml:space="preserve"> </w:t>
      </w:r>
      <w:r>
        <w:rPr>
          <w:rFonts w:hint="default" w:ascii="宋体" w:hAnsi="宋体" w:eastAsia="宋体" w:cs="宋体"/>
          <w:b w:val="0"/>
          <w:bCs w:val="0"/>
          <w:color w:val="auto"/>
          <w:kern w:val="0"/>
          <w:sz w:val="24"/>
          <w:szCs w:val="24"/>
          <w:lang w:val="zh-CN" w:eastAsia="zh-CN" w:bidi="ar-SA"/>
        </w:rPr>
        <w:t>% 至</w:t>
      </w:r>
      <w:r>
        <w:rPr>
          <w:rFonts w:hint="default" w:ascii="宋体" w:hAnsi="宋体" w:eastAsia="宋体" w:cs="宋体"/>
          <w:b w:val="0"/>
          <w:bCs w:val="0"/>
          <w:color w:val="auto"/>
          <w:kern w:val="0"/>
          <w:sz w:val="24"/>
          <w:szCs w:val="24"/>
          <w:u w:val="single"/>
          <w:lang w:val="zh-CN" w:eastAsia="zh-CN" w:bidi="ar-SA"/>
        </w:rPr>
        <w:t xml:space="preserve"> </w:t>
      </w:r>
      <w:r>
        <w:rPr>
          <w:rFonts w:hint="eastAsia" w:ascii="宋体" w:hAnsi="宋体" w:cs="宋体"/>
          <w:b w:val="0"/>
          <w:bCs w:val="0"/>
          <w:color w:val="auto"/>
          <w:kern w:val="0"/>
          <w:sz w:val="24"/>
          <w:szCs w:val="24"/>
          <w:u w:val="single"/>
          <w:lang w:val="en-US" w:eastAsia="zh-CN" w:bidi="ar-SA"/>
        </w:rPr>
        <w:t xml:space="preserve">      </w:t>
      </w:r>
      <w:r>
        <w:rPr>
          <w:rFonts w:hint="default" w:ascii="宋体" w:hAnsi="宋体" w:eastAsia="宋体" w:cs="宋体"/>
          <w:b w:val="0"/>
          <w:bCs w:val="0"/>
          <w:color w:val="auto"/>
          <w:kern w:val="0"/>
          <w:sz w:val="24"/>
          <w:szCs w:val="24"/>
          <w:u w:val="single"/>
          <w:lang w:val="zh-CN" w:eastAsia="zh-CN" w:bidi="ar-SA"/>
        </w:rPr>
        <w:t xml:space="preserve"> </w:t>
      </w:r>
      <w:r>
        <w:rPr>
          <w:rFonts w:hint="default" w:ascii="宋体" w:hAnsi="宋体" w:eastAsia="宋体" w:cs="宋体"/>
          <w:b w:val="0"/>
          <w:bCs w:val="0"/>
          <w:color w:val="auto"/>
          <w:kern w:val="0"/>
          <w:sz w:val="24"/>
          <w:szCs w:val="24"/>
          <w:lang w:val="zh-CN" w:eastAsia="zh-CN" w:bidi="ar-SA"/>
        </w:rPr>
        <w:t>% （招标文件中设定具体范围，上下区间的均值应小于90%，幅度为6个百分点），抽取值具体为：</w:t>
      </w:r>
      <w:r>
        <w:rPr>
          <w:rFonts w:hint="eastAsia" w:ascii="宋体" w:hAnsi="宋体" w:cs="宋体"/>
          <w:b w:val="0"/>
          <w:bCs w:val="0"/>
          <w:color w:val="auto"/>
          <w:kern w:val="0"/>
          <w:sz w:val="24"/>
          <w:szCs w:val="24"/>
          <w:u w:val="single"/>
          <w:lang w:val="en-US" w:eastAsia="zh-CN" w:bidi="ar-SA"/>
        </w:rPr>
        <w:t xml:space="preserve">                                                   </w:t>
      </w:r>
      <w:r>
        <w:rPr>
          <w:rFonts w:hint="default" w:ascii="宋体" w:hAnsi="宋体" w:eastAsia="宋体" w:cs="宋体"/>
          <w:b w:val="0"/>
          <w:bCs w:val="0"/>
          <w:color w:val="auto"/>
          <w:kern w:val="0"/>
          <w:sz w:val="24"/>
          <w:szCs w:val="24"/>
          <w:lang w:val="zh-CN" w:eastAsia="zh-CN" w:bidi="ar-SA"/>
        </w:rPr>
        <w:t>（均匀分布且数量不少于10个），由招标人在开标会现场随机抽取确定。</w:t>
      </w:r>
    </w:p>
    <w:p>
      <w:pPr>
        <w:keepNext w:val="0"/>
        <w:keepLines w:val="0"/>
        <w:pageBreakBefore w:val="0"/>
        <w:kinsoku/>
        <w:wordWrap/>
        <w:overflowPunct/>
        <w:topLinePunct w:val="0"/>
        <w:autoSpaceDE/>
        <w:autoSpaceDN/>
        <w:bidi w:val="0"/>
        <w:adjustRightInd/>
        <w:spacing w:line="560" w:lineRule="exact"/>
        <w:ind w:firstLine="480" w:firstLineChars="200"/>
        <w:jc w:val="both"/>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分三阶段确定15家投标人进入评审区间：</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jc w:val="both"/>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1.先以Ｄ2为基准确定6家投标人（绝对值相同时取报价低的，报价也相同的并列进入评审区间）</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jc w:val="both"/>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2.再以Ｄ1为基准确定5家投标人（经（1）确定投标人后，可进入评审区间投标人数量已不足5家的，按实际数量计；绝对值相同时取报价低的，报价也相同的并列进入评审区间）</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jc w:val="both"/>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3.最后以Ｄ3为基准确定4家投标人（经（1）、（2）确定投标人后，可进入评审区间投标人数量已不足4家的，按实际数量计；绝对值相同时取报价低的，报价也相同的并列进入评审区间）</w:t>
      </w:r>
    </w:p>
    <w:p>
      <w:pPr>
        <w:ind w:firstLine="480" w:firstLineChars="200"/>
        <w:rPr>
          <w:rFonts w:hint="default" w:ascii="宋体" w:hAnsi="宋体" w:cs="宋体"/>
          <w:color w:val="auto"/>
          <w:lang w:val="zh-CN" w:eastAsia="zh-CN"/>
        </w:rPr>
      </w:pPr>
      <w:r>
        <w:rPr>
          <w:rFonts w:hint="default" w:ascii="宋体" w:hAnsi="宋体" w:eastAsia="宋体" w:cs="宋体"/>
          <w:b w:val="0"/>
          <w:bCs w:val="0"/>
          <w:color w:val="auto"/>
          <w:kern w:val="0"/>
          <w:sz w:val="24"/>
          <w:szCs w:val="24"/>
          <w:lang w:val="zh-CN" w:eastAsia="zh-CN" w:bidi="ar-SA"/>
        </w:rPr>
        <w:t>进入评审区间的投标人经评审后，有效标不足3家的，以Ｄ2为基准补充确定进入评审区间的投标人，直至有效标数量满足3家（绝对值相同时取报价低的，报价也相同的并列进入评审区间）。</w:t>
      </w:r>
    </w:p>
    <w:p>
      <w:pPr>
        <w:pStyle w:val="2"/>
        <w:keepNext w:val="0"/>
        <w:keepLines w:val="0"/>
        <w:pageBreakBefore w:val="0"/>
        <w:kinsoku/>
        <w:wordWrap/>
        <w:overflowPunct/>
        <w:topLinePunct w:val="0"/>
        <w:autoSpaceDE/>
        <w:autoSpaceDN/>
        <w:bidi w:val="0"/>
        <w:adjustRightInd/>
        <w:spacing w:after="0" w:line="560" w:lineRule="exact"/>
        <w:ind w:left="0" w:leftChars="0" w:firstLine="480" w:firstLineChars="200"/>
        <w:jc w:val="both"/>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评审区间基准价D计算精度保留到分，除计算差错外，评标过程中基准价保持不变。</w:t>
      </w:r>
    </w:p>
    <w:p>
      <w:pPr>
        <w:pStyle w:val="150"/>
        <w:keepNext w:val="0"/>
        <w:keepLines w:val="0"/>
        <w:pageBreakBefore w:val="0"/>
        <w:numPr>
          <w:ilvl w:val="0"/>
          <w:numId w:val="0"/>
        </w:numPr>
        <w:kinsoku/>
        <w:wordWrap/>
        <w:overflowPunct/>
        <w:topLinePunct w:val="0"/>
        <w:autoSpaceDE/>
        <w:autoSpaceDN/>
        <w:bidi w:val="0"/>
        <w:adjustRightInd/>
        <w:spacing w:line="560" w:lineRule="exact"/>
        <w:ind w:left="0" w:leftChars="0" w:firstLine="480" w:firstLineChars="200"/>
        <w:jc w:val="both"/>
        <w:textAlignment w:val="auto"/>
        <w:rPr>
          <w:rFonts w:hint="default" w:ascii="宋体" w:hAnsi="宋体" w:eastAsia="宋体" w:cs="宋体"/>
          <w:b w:val="0"/>
          <w:bCs w:val="0"/>
          <w:color w:val="auto"/>
          <w:kern w:val="0"/>
          <w:sz w:val="24"/>
          <w:szCs w:val="24"/>
          <w:lang w:val="zh-CN" w:eastAsia="zh-CN" w:bidi="ar-SA"/>
        </w:rPr>
      </w:pPr>
      <w:r>
        <w:rPr>
          <w:rFonts w:hint="default" w:ascii="宋体" w:hAnsi="宋体" w:eastAsia="宋体" w:cs="宋体"/>
          <w:b w:val="0"/>
          <w:bCs w:val="0"/>
          <w:color w:val="auto"/>
          <w:kern w:val="0"/>
          <w:sz w:val="24"/>
          <w:szCs w:val="24"/>
          <w:lang w:val="zh-CN" w:eastAsia="zh-CN" w:bidi="ar-SA"/>
        </w:rPr>
        <w:t>计算差错，仅限于以下两种情况：（1）纯算术性四则运算差错；（2）未按约定的计算方法，多计或者少计投标人报价的。由于评标差错，导致否决投标错误，重新评标纠正等其他情况，不属于计算差错。</w:t>
      </w:r>
    </w:p>
    <w:p>
      <w:pPr>
        <w:pStyle w:val="2"/>
        <w:rPr>
          <w:rFonts w:hint="default" w:ascii="宋体" w:hAnsi="宋体" w:eastAsia="宋体" w:cs="宋体"/>
          <w:color w:val="auto"/>
          <w:sz w:val="24"/>
          <w:szCs w:val="24"/>
          <w:lang w:val="zh-CN" w:eastAsia="zh-CN"/>
        </w:rPr>
      </w:pPr>
    </w:p>
    <w:p>
      <w:pPr>
        <w:snapToGrid w:val="0"/>
        <w:spacing w:line="360" w:lineRule="auto"/>
        <w:ind w:firstLine="482" w:firstLineChars="200"/>
        <w:rPr>
          <w:rFonts w:ascii="宋体" w:hAnsi="宋体"/>
          <w:b/>
          <w:color w:val="auto"/>
        </w:rPr>
      </w:pPr>
      <w:r>
        <w:rPr>
          <w:rFonts w:hint="eastAsia" w:ascii="宋体" w:hAnsi="宋体"/>
          <w:b/>
          <w:color w:val="auto"/>
          <w:lang w:eastAsia="zh-CN"/>
        </w:rPr>
        <w:t>三</w:t>
      </w:r>
      <w:r>
        <w:rPr>
          <w:rFonts w:hint="eastAsia" w:ascii="宋体" w:hAnsi="宋体"/>
          <w:b/>
          <w:color w:val="auto"/>
        </w:rPr>
        <w:t>、资格审查</w:t>
      </w:r>
    </w:p>
    <w:p>
      <w:pPr>
        <w:pStyle w:val="150"/>
        <w:spacing w:line="360" w:lineRule="auto"/>
        <w:ind w:firstLine="480" w:firstLineChars="200"/>
        <w:rPr>
          <w:rFonts w:eastAsia="宋体"/>
          <w:color w:val="auto"/>
          <w:lang w:val="en-US"/>
        </w:rPr>
      </w:pPr>
      <w:r>
        <w:rPr>
          <w:rFonts w:hint="eastAsia" w:ascii="宋体" w:hAnsi="宋体" w:eastAsia="宋体" w:cs="宋体"/>
          <w:color w:val="auto"/>
          <w:szCs w:val="24"/>
        </w:rPr>
        <w:t>投标人存在</w:t>
      </w:r>
      <w:r>
        <w:rPr>
          <w:rFonts w:hint="eastAsia" w:eastAsia="宋体"/>
          <w:color w:val="auto"/>
          <w:lang w:val="en-US"/>
        </w:rPr>
        <w:t>投标须知前附表</w:t>
      </w:r>
      <w:r>
        <w:rPr>
          <w:rFonts w:eastAsia="宋体"/>
          <w:color w:val="auto"/>
          <w:lang w:val="en-US"/>
        </w:rPr>
        <w:t>10.5</w:t>
      </w:r>
      <w:r>
        <w:rPr>
          <w:rFonts w:hint="eastAsia" w:ascii="宋体" w:hAnsi="宋体" w:eastAsia="宋体" w:cs="宋体"/>
          <w:color w:val="auto"/>
          <w:szCs w:val="24"/>
        </w:rPr>
        <w:t>情形之一的，评标委员会组织投标人询问核实后，情况属实的，</w:t>
      </w:r>
      <w:r>
        <w:rPr>
          <w:rFonts w:hint="eastAsia" w:cs="宋体"/>
          <w:color w:val="auto"/>
        </w:rPr>
        <w:t>资格审查不予通过，否决其投标</w:t>
      </w:r>
      <w:r>
        <w:rPr>
          <w:rFonts w:hint="eastAsia" w:eastAsia="宋体"/>
          <w:color w:val="auto"/>
        </w:rPr>
        <w:t>。</w:t>
      </w:r>
    </w:p>
    <w:p>
      <w:pPr>
        <w:snapToGrid w:val="0"/>
        <w:spacing w:line="360" w:lineRule="auto"/>
        <w:ind w:firstLine="482" w:firstLineChars="200"/>
        <w:rPr>
          <w:rFonts w:ascii="宋体" w:hAnsi="宋体"/>
          <w:b/>
          <w:color w:val="auto"/>
        </w:rPr>
      </w:pPr>
      <w:r>
        <w:rPr>
          <w:rFonts w:hint="eastAsia" w:ascii="宋体" w:hAnsi="宋体"/>
          <w:b/>
          <w:color w:val="auto"/>
        </w:rPr>
        <w:t>四、初步评审</w:t>
      </w:r>
    </w:p>
    <w:p>
      <w:pPr>
        <w:snapToGrid w:val="0"/>
        <w:spacing w:line="360" w:lineRule="auto"/>
        <w:ind w:firstLine="480" w:firstLineChars="200"/>
        <w:rPr>
          <w:rFonts w:ascii="宋体" w:hAnsi="宋体"/>
          <w:color w:val="auto"/>
        </w:rPr>
      </w:pPr>
      <w:r>
        <w:rPr>
          <w:rFonts w:hint="eastAsia" w:ascii="宋体" w:hAnsi="宋体"/>
          <w:color w:val="auto"/>
        </w:rPr>
        <w:t>评标委员会对</w:t>
      </w:r>
      <w:r>
        <w:rPr>
          <w:rFonts w:hint="eastAsia" w:ascii="宋体" w:hAnsi="宋体"/>
          <w:color w:val="auto"/>
          <w:lang w:eastAsia="zh-CN"/>
        </w:rPr>
        <w:t>通过资格审查</w:t>
      </w:r>
      <w:r>
        <w:rPr>
          <w:rFonts w:hint="eastAsia" w:ascii="宋体" w:hAnsi="宋体"/>
          <w:color w:val="auto"/>
        </w:rPr>
        <w:t>的投标文件进行初步评审。</w:t>
      </w:r>
      <w:r>
        <w:rPr>
          <w:rFonts w:hint="eastAsia" w:ascii="宋体" w:hAnsi="宋体" w:eastAsia="宋体" w:cs="宋体"/>
          <w:color w:val="auto"/>
        </w:rPr>
        <w:t>投标人存在</w:t>
      </w:r>
      <w:r>
        <w:rPr>
          <w:rFonts w:hint="eastAsia" w:eastAsia="宋体"/>
          <w:color w:val="auto"/>
        </w:rPr>
        <w:t>投标须知前附表10.5</w:t>
      </w:r>
      <w:r>
        <w:rPr>
          <w:rFonts w:hint="eastAsia" w:ascii="宋体" w:hAnsi="宋体" w:eastAsia="宋体" w:cs="宋体"/>
          <w:color w:val="auto"/>
        </w:rPr>
        <w:t>情形之一的，评标委员会组织投标人询问核实后，情况属实的，</w:t>
      </w:r>
      <w:r>
        <w:rPr>
          <w:rFonts w:hint="eastAsia" w:ascii="宋体" w:hAnsi="宋体"/>
          <w:color w:val="auto"/>
        </w:rPr>
        <w:t>初步评审不予通过，否决其投标。</w:t>
      </w:r>
    </w:p>
    <w:p>
      <w:pPr>
        <w:snapToGrid w:val="0"/>
        <w:spacing w:line="360" w:lineRule="auto"/>
        <w:ind w:firstLine="482" w:firstLineChars="200"/>
        <w:rPr>
          <w:rFonts w:ascii="宋体" w:hAnsi="宋体"/>
          <w:b/>
          <w:color w:val="auto"/>
        </w:rPr>
      </w:pPr>
      <w:r>
        <w:rPr>
          <w:rFonts w:hint="eastAsia" w:ascii="宋体" w:hAnsi="宋体"/>
          <w:b/>
          <w:color w:val="auto"/>
        </w:rPr>
        <w:t>五、技术标评审</w:t>
      </w:r>
    </w:p>
    <w:p>
      <w:pPr>
        <w:snapToGrid w:val="0"/>
        <w:spacing w:line="360" w:lineRule="auto"/>
        <w:ind w:firstLine="480" w:firstLineChars="200"/>
        <w:rPr>
          <w:rFonts w:ascii="宋体" w:hAnsi="宋体"/>
          <w:color w:val="auto"/>
        </w:rPr>
      </w:pPr>
      <w:r>
        <w:rPr>
          <w:rFonts w:hint="eastAsia" w:ascii="宋体" w:hAnsi="宋体"/>
          <w:color w:val="auto"/>
        </w:rPr>
        <w:t>对通过初步评审的投标文件，</w:t>
      </w:r>
      <w:r>
        <w:rPr>
          <w:rFonts w:hint="eastAsia" w:ascii="宋体" w:hAnsi="宋体" w:eastAsia="宋体" w:cs="宋体"/>
          <w:color w:val="auto"/>
        </w:rPr>
        <w:t>投标人存在</w:t>
      </w:r>
      <w:r>
        <w:rPr>
          <w:rFonts w:hint="eastAsia" w:eastAsia="宋体"/>
          <w:color w:val="auto"/>
        </w:rPr>
        <w:t>投标须知前附表10.5</w:t>
      </w:r>
      <w:r>
        <w:rPr>
          <w:rFonts w:hint="eastAsia" w:ascii="宋体" w:hAnsi="宋体" w:eastAsia="宋体" w:cs="宋体"/>
          <w:color w:val="auto"/>
        </w:rPr>
        <w:t>情形之一的，评标委员会组织投标人询问核实后，情况属实的，</w:t>
      </w:r>
      <w:r>
        <w:rPr>
          <w:rFonts w:hint="eastAsia" w:ascii="宋体" w:hAnsi="宋体"/>
          <w:color w:val="auto"/>
        </w:rPr>
        <w:t>技术标评审不予通过，否决其投标。</w:t>
      </w:r>
    </w:p>
    <w:p>
      <w:pPr>
        <w:snapToGrid w:val="0"/>
        <w:spacing w:line="360" w:lineRule="auto"/>
        <w:ind w:firstLine="482" w:firstLineChars="200"/>
        <w:rPr>
          <w:rFonts w:ascii="宋体" w:hAnsi="宋体"/>
          <w:b/>
          <w:color w:val="auto"/>
        </w:rPr>
      </w:pPr>
      <w:r>
        <w:rPr>
          <w:rFonts w:hint="eastAsia" w:ascii="宋体" w:hAnsi="宋体"/>
          <w:b/>
          <w:color w:val="auto"/>
        </w:rPr>
        <w:t>六、商务标评审</w:t>
      </w:r>
    </w:p>
    <w:p>
      <w:pPr>
        <w:snapToGrid w:val="0"/>
        <w:spacing w:line="360" w:lineRule="auto"/>
        <w:ind w:firstLine="600" w:firstLineChars="250"/>
        <w:rPr>
          <w:rFonts w:ascii="宋体" w:hAnsi="宋体" w:cs="宋体"/>
          <w:color w:val="auto"/>
        </w:rPr>
      </w:pPr>
      <w:r>
        <w:rPr>
          <w:rFonts w:hint="eastAsia" w:ascii="宋体" w:hAnsi="宋体" w:cs="宋体"/>
          <w:color w:val="auto"/>
        </w:rPr>
        <w:t>商务标评审是对投标文件中工程量清单的范围、数量、报价进行全面审核和对比分析。</w:t>
      </w:r>
      <w:r>
        <w:rPr>
          <w:rFonts w:hint="eastAsia" w:ascii="宋体" w:hAnsi="宋体" w:eastAsia="宋体" w:cs="宋体"/>
          <w:color w:val="auto"/>
        </w:rPr>
        <w:t>投标人存在</w:t>
      </w:r>
      <w:r>
        <w:rPr>
          <w:rFonts w:hint="eastAsia" w:eastAsia="宋体"/>
          <w:color w:val="auto"/>
        </w:rPr>
        <w:t>投标须知前附表10.5</w:t>
      </w:r>
      <w:r>
        <w:rPr>
          <w:rFonts w:hint="eastAsia" w:ascii="宋体" w:hAnsi="宋体" w:eastAsia="宋体" w:cs="宋体"/>
          <w:color w:val="auto"/>
        </w:rPr>
        <w:t>情形之一的，评标委员会组织投标人询问核实后，情况属实的，</w:t>
      </w:r>
      <w:r>
        <w:rPr>
          <w:rFonts w:hint="eastAsia" w:ascii="宋体" w:hAnsi="宋体" w:cs="宋体"/>
          <w:color w:val="auto"/>
        </w:rPr>
        <w:t>商务标评审不予通过，否决其投标。</w:t>
      </w:r>
    </w:p>
    <w:p>
      <w:pPr>
        <w:snapToGrid w:val="0"/>
        <w:spacing w:line="360" w:lineRule="auto"/>
        <w:ind w:firstLine="482" w:firstLineChars="200"/>
        <w:rPr>
          <w:rFonts w:ascii="宋体" w:hAnsi="宋体"/>
          <w:b/>
          <w:color w:val="auto"/>
        </w:rPr>
      </w:pPr>
      <w:r>
        <w:rPr>
          <w:rFonts w:hint="eastAsia" w:ascii="宋体" w:hAnsi="宋体"/>
          <w:b/>
          <w:color w:val="auto"/>
        </w:rPr>
        <w:t>七、综合评审</w:t>
      </w:r>
    </w:p>
    <w:p>
      <w:pPr>
        <w:snapToGrid w:val="0"/>
        <w:spacing w:line="360" w:lineRule="auto"/>
        <w:ind w:firstLine="480" w:firstLineChars="200"/>
        <w:rPr>
          <w:rFonts w:ascii="宋体" w:hAnsi="宋体"/>
          <w:color w:val="auto"/>
        </w:rPr>
      </w:pPr>
      <w:r>
        <w:rPr>
          <w:rFonts w:hint="eastAsia" w:ascii="宋体" w:hAnsi="宋体"/>
          <w:color w:val="auto"/>
        </w:rPr>
        <w:t>综合评审是对通过初步评审、技术标和商务标评审的投标文件进行投标报价和信用的综合评价。综合评审的内容包括商务总报价、工程量清单综合单价评审、建设主管部门的信用评价（履约评价）体系评审。</w:t>
      </w:r>
    </w:p>
    <w:p>
      <w:pPr>
        <w:snapToGrid w:val="0"/>
        <w:spacing w:line="360" w:lineRule="auto"/>
        <w:ind w:firstLine="480" w:firstLineChars="200"/>
        <w:rPr>
          <w:rFonts w:ascii="宋体" w:hAnsi="宋体"/>
          <w:color w:val="auto"/>
        </w:rPr>
      </w:pPr>
      <w:r>
        <w:rPr>
          <w:rFonts w:hint="eastAsia" w:ascii="宋体" w:hAnsi="宋体"/>
          <w:color w:val="auto"/>
        </w:rPr>
        <w:t>综合评审评分</w:t>
      </w:r>
      <w:r>
        <w:rPr>
          <w:rFonts w:ascii="宋体" w:hAnsi="宋体"/>
          <w:color w:val="auto"/>
        </w:rPr>
        <w:t>=</w:t>
      </w:r>
      <w:r>
        <w:rPr>
          <w:rFonts w:hint="eastAsia" w:ascii="宋体" w:hAnsi="宋体"/>
          <w:color w:val="auto"/>
        </w:rPr>
        <w:t>商务总报价评分（≥</w:t>
      </w:r>
      <w:r>
        <w:rPr>
          <w:rFonts w:ascii="宋体" w:hAnsi="宋体"/>
          <w:color w:val="auto"/>
        </w:rPr>
        <w:t>85</w:t>
      </w:r>
      <w:r>
        <w:rPr>
          <w:rFonts w:hint="eastAsia" w:ascii="宋体" w:hAnsi="宋体"/>
          <w:color w:val="auto"/>
        </w:rPr>
        <w:t>分）</w:t>
      </w:r>
      <w:r>
        <w:rPr>
          <w:rFonts w:ascii="宋体" w:hAnsi="宋体"/>
          <w:color w:val="auto"/>
          <w:u w:val="single"/>
        </w:rPr>
        <w:t xml:space="preserve">  </w:t>
      </w:r>
      <w:r>
        <w:rPr>
          <w:rFonts w:hint="eastAsia" w:ascii="宋体" w:hAnsi="宋体"/>
          <w:color w:val="auto"/>
        </w:rPr>
        <w:t>分、工程量清单综合单价评分（≤</w:t>
      </w:r>
      <w:r>
        <w:rPr>
          <w:rFonts w:ascii="宋体" w:hAnsi="宋体"/>
          <w:color w:val="auto"/>
        </w:rPr>
        <w:t>10分）</w:t>
      </w:r>
      <w:r>
        <w:rPr>
          <w:rFonts w:ascii="宋体" w:hAnsi="宋体"/>
          <w:color w:val="auto"/>
          <w:u w:val="single"/>
        </w:rPr>
        <w:t xml:space="preserve">  </w:t>
      </w:r>
      <w:r>
        <w:rPr>
          <w:rFonts w:hint="eastAsia" w:ascii="宋体" w:hAnsi="宋体"/>
          <w:color w:val="auto"/>
        </w:rPr>
        <w:t>分、信用评价（履约评价）评分（≤</w:t>
      </w:r>
      <w:r>
        <w:rPr>
          <w:rFonts w:ascii="宋体" w:hAnsi="宋体"/>
          <w:color w:val="auto"/>
        </w:rPr>
        <w:t>5</w:t>
      </w:r>
      <w:r>
        <w:rPr>
          <w:rFonts w:hint="eastAsia" w:ascii="宋体" w:hAnsi="宋体"/>
          <w:color w:val="auto"/>
        </w:rPr>
        <w:t>分）</w:t>
      </w:r>
      <w:r>
        <w:rPr>
          <w:rFonts w:ascii="宋体" w:hAnsi="宋体"/>
          <w:color w:val="auto"/>
          <w:u w:val="single"/>
        </w:rPr>
        <w:t xml:space="preserve">   </w:t>
      </w:r>
      <w:r>
        <w:rPr>
          <w:rFonts w:hint="eastAsia" w:ascii="宋体" w:hAnsi="宋体"/>
          <w:color w:val="auto"/>
        </w:rPr>
        <w:t>分（规则由当地招投标主管部门</w:t>
      </w:r>
      <w:r>
        <w:rPr>
          <w:rFonts w:hint="eastAsia" w:ascii="宋体" w:hAnsi="宋体" w:cs="宋体"/>
          <w:color w:val="auto"/>
        </w:rPr>
        <w:t>确定</w:t>
      </w:r>
      <w:r>
        <w:rPr>
          <w:rFonts w:hint="eastAsia" w:ascii="宋体" w:hAnsi="宋体"/>
          <w:color w:val="auto"/>
        </w:rPr>
        <w:t>）。</w:t>
      </w:r>
    </w:p>
    <w:p>
      <w:pPr>
        <w:snapToGrid w:val="0"/>
        <w:spacing w:line="360" w:lineRule="auto"/>
        <w:ind w:firstLine="480" w:firstLineChars="200"/>
        <w:rPr>
          <w:rFonts w:ascii="宋体" w:hAnsi="宋体"/>
          <w:color w:val="auto"/>
        </w:rPr>
      </w:pPr>
      <w:r>
        <w:rPr>
          <w:rFonts w:hint="eastAsia" w:ascii="宋体" w:hAnsi="宋体"/>
          <w:color w:val="auto"/>
        </w:rPr>
        <w:t>除工程量清单综合单价计分计算以外，综合评审计算过程中各项评分精确到小数点后两位数。</w:t>
      </w:r>
    </w:p>
    <w:p>
      <w:pPr>
        <w:snapToGrid w:val="0"/>
        <w:spacing w:line="360" w:lineRule="auto"/>
        <w:ind w:firstLine="480" w:firstLineChars="200"/>
        <w:rPr>
          <w:rFonts w:ascii="宋体" w:hAnsi="宋体"/>
          <w:color w:val="auto"/>
        </w:rPr>
      </w:pPr>
      <w:r>
        <w:rPr>
          <w:rFonts w:hint="eastAsia" w:ascii="宋体" w:hAnsi="宋体"/>
          <w:color w:val="auto"/>
        </w:rPr>
        <w:t>（一）商务总报价评分</w:t>
      </w:r>
    </w:p>
    <w:p>
      <w:pPr>
        <w:snapToGrid w:val="0"/>
        <w:spacing w:line="360" w:lineRule="auto"/>
        <w:ind w:firstLine="480" w:firstLineChars="200"/>
        <w:rPr>
          <w:rFonts w:hint="eastAsia" w:ascii="宋体" w:hAnsi="宋体" w:eastAsia="宋体" w:cs="Times New Roman"/>
          <w:color w:val="auto"/>
        </w:rPr>
      </w:pPr>
      <w:r>
        <w:rPr>
          <w:rFonts w:hint="eastAsia" w:ascii="宋体" w:hAnsi="宋体"/>
          <w:color w:val="auto"/>
        </w:rPr>
        <w:t>投标报价等于评标基准价时，商务总报价评分为满分；投标报价每高于评标基准价</w:t>
      </w:r>
      <w:r>
        <w:rPr>
          <w:rFonts w:ascii="宋体" w:hAnsi="宋体"/>
          <w:color w:val="auto"/>
        </w:rPr>
        <w:t>1%</w:t>
      </w:r>
      <w:r>
        <w:rPr>
          <w:rFonts w:hint="eastAsia" w:ascii="宋体" w:hAnsi="宋体"/>
          <w:color w:val="auto"/>
        </w:rPr>
        <w:t>扣≤</w:t>
      </w:r>
      <w:r>
        <w:rPr>
          <w:rFonts w:ascii="宋体" w:hAnsi="宋体"/>
          <w:color w:val="auto"/>
        </w:rPr>
        <w:t>2A分；每低于评标基准价1%</w:t>
      </w:r>
      <w:r>
        <w:rPr>
          <w:rFonts w:hint="eastAsia" w:ascii="宋体" w:hAnsi="宋体"/>
          <w:color w:val="auto"/>
        </w:rPr>
        <w:t>扣≤</w:t>
      </w:r>
      <w:r>
        <w:rPr>
          <w:rFonts w:ascii="宋体" w:hAnsi="宋体"/>
          <w:color w:val="auto"/>
        </w:rPr>
        <w:t>A分（</w:t>
      </w:r>
      <w:r>
        <w:rPr>
          <w:rFonts w:hint="eastAsia" w:ascii="宋体" w:hAnsi="宋体"/>
          <w:color w:val="auto"/>
          <w:lang w:val="en-US" w:eastAsia="zh-CN"/>
        </w:rPr>
        <w:t>A=_____________(2或3)</w:t>
      </w:r>
      <w:r>
        <w:rPr>
          <w:rFonts w:hint="eastAsia" w:ascii="宋体" w:hAnsi="宋体"/>
          <w:color w:val="auto"/>
        </w:rPr>
        <w:t>）</w:t>
      </w:r>
      <w:r>
        <w:rPr>
          <w:rFonts w:hint="eastAsia" w:ascii="宋体" w:hAnsi="宋体" w:eastAsia="宋体" w:cs="Times New Roman"/>
          <w:color w:val="auto"/>
        </w:rPr>
        <w:t>。不足一个百分点时，使用直线插入法计算，结果四舍五入保留两位小数。</w:t>
      </w:r>
    </w:p>
    <w:p>
      <w:pPr>
        <w:snapToGrid w:val="0"/>
        <w:spacing w:line="360" w:lineRule="auto"/>
        <w:ind w:firstLine="480" w:firstLineChars="200"/>
        <w:rPr>
          <w:rFonts w:hint="eastAsia" w:ascii="宋体" w:hAnsi="宋体" w:eastAsia="宋体" w:cs="Times New Roman"/>
          <w:color w:val="auto"/>
        </w:rPr>
      </w:pPr>
      <w:r>
        <w:rPr>
          <w:rFonts w:hint="eastAsia" w:ascii="宋体" w:hAnsi="宋体" w:eastAsia="宋体" w:cs="Times New Roman"/>
          <w:color w:val="auto"/>
        </w:rPr>
        <w:t>评标基准价</w:t>
      </w:r>
      <w:r>
        <w:rPr>
          <w:rFonts w:hint="eastAsia" w:ascii="宋体" w:hAnsi="宋体" w:eastAsia="宋体" w:cs="Times New Roman"/>
          <w:b w:val="0"/>
          <w:bCs w:val="0"/>
          <w:color w:val="auto"/>
          <w:kern w:val="0"/>
          <w:sz w:val="24"/>
          <w:szCs w:val="24"/>
          <w:lang w:val="en-US" w:eastAsia="zh-CN" w:bidi="ar-SA"/>
        </w:rPr>
        <w:t>为进入综合评审的有效投标报价算术平均值</w:t>
      </w:r>
      <w:r>
        <w:rPr>
          <w:rFonts w:hint="eastAsia" w:ascii="宋体" w:hAnsi="宋体" w:eastAsia="宋体" w:cs="Times New Roman"/>
          <w:color w:val="auto"/>
        </w:rPr>
        <w:t>，计算精度保留到元，除计算差错外，评标过程中基准价保持不变。</w:t>
      </w:r>
    </w:p>
    <w:p>
      <w:pPr>
        <w:snapToGrid w:val="0"/>
        <w:spacing w:line="360" w:lineRule="auto"/>
        <w:ind w:firstLine="480" w:firstLineChars="200"/>
        <w:rPr>
          <w:rFonts w:hint="eastAsia" w:ascii="宋体" w:hAnsi="宋体" w:eastAsia="宋体" w:cs="Times New Roman"/>
          <w:i w:val="0"/>
          <w:color w:val="auto"/>
        </w:rPr>
      </w:pPr>
      <w:r>
        <w:rPr>
          <w:rFonts w:hint="eastAsia" w:ascii="宋体" w:hAnsi="宋体" w:eastAsia="宋体" w:cs="Times New Roman"/>
          <w:color w:val="auto"/>
        </w:rPr>
        <w:t>计算差错，仅限于以下两种情况：（1）纯算术性四则运算差错；（2）未按约定的计算方法，多计或者少计投标人报价的。由于评标差错，导致否决投标错误，重新评标纠正等其他情况，不属于计算差错。</w:t>
      </w:r>
    </w:p>
    <w:p>
      <w:pPr>
        <w:snapToGrid w:val="0"/>
        <w:spacing w:line="360" w:lineRule="auto"/>
        <w:ind w:firstLine="480" w:firstLineChars="200"/>
        <w:rPr>
          <w:rFonts w:ascii="宋体" w:hAnsi="宋体"/>
          <w:color w:val="auto"/>
        </w:rPr>
      </w:pPr>
      <w:r>
        <w:rPr>
          <w:rFonts w:hint="eastAsia" w:ascii="宋体" w:hAnsi="宋体"/>
          <w:color w:val="auto"/>
        </w:rPr>
        <w:t>（二）工程量清单综合单价评分</w:t>
      </w:r>
    </w:p>
    <w:p>
      <w:pPr>
        <w:snapToGrid w:val="0"/>
        <w:spacing w:line="360" w:lineRule="auto"/>
        <w:ind w:firstLine="480" w:firstLineChars="200"/>
        <w:rPr>
          <w:rFonts w:hint="eastAsia" w:ascii="宋体" w:hAnsi="宋体"/>
          <w:color w:val="auto"/>
          <w:lang w:eastAsia="zh-CN"/>
        </w:rPr>
      </w:pPr>
      <w:r>
        <w:rPr>
          <w:rFonts w:hint="eastAsia" w:ascii="宋体" w:hAnsi="宋体"/>
          <w:color w:val="auto"/>
        </w:rPr>
        <w:t>工程量清单综合单价评审是对投标报价的工程量清单综合单价进行评审，确定是工程量清单综合单价是否存在超出合理区间范围的情况，规则</w:t>
      </w:r>
      <w:r>
        <w:rPr>
          <w:rFonts w:hint="eastAsia" w:ascii="宋体" w:hAnsi="宋体"/>
          <w:color w:val="auto"/>
          <w:lang w:eastAsia="zh-CN"/>
        </w:rPr>
        <w:t>为：</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宋体" w:hAnsi="宋体" w:eastAsia="宋体" w:cs="Times New Roman"/>
          <w:b w:val="0"/>
          <w:bCs w:val="0"/>
          <w:color w:val="auto"/>
          <w:kern w:val="0"/>
          <w:sz w:val="24"/>
          <w:szCs w:val="24"/>
          <w:lang w:val="en-US" w:eastAsia="zh-CN" w:bidi="ar-SA"/>
        </w:rPr>
      </w:pPr>
      <w:r>
        <w:rPr>
          <w:rFonts w:hint="eastAsia" w:ascii="宋体" w:hAnsi="宋体" w:eastAsia="宋体" w:cs="Times New Roman"/>
          <w:b w:val="0"/>
          <w:bCs w:val="0"/>
          <w:color w:val="auto"/>
          <w:kern w:val="0"/>
          <w:sz w:val="24"/>
          <w:szCs w:val="24"/>
          <w:lang w:val="en-US" w:eastAsia="zh-CN" w:bidi="ar-SA"/>
        </w:rPr>
        <w:t>1.确定工程量清单的评价项目</w:t>
      </w:r>
    </w:p>
    <w:p>
      <w:pPr>
        <w:keepNext w:val="0"/>
        <w:keepLines w:val="0"/>
        <w:pageBreakBefore w:val="0"/>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宋体" w:hAnsi="宋体" w:eastAsia="宋体" w:cs="Times New Roman"/>
          <w:b w:val="0"/>
          <w:bCs w:val="0"/>
          <w:color w:val="auto"/>
          <w:kern w:val="0"/>
          <w:sz w:val="24"/>
          <w:szCs w:val="24"/>
          <w:lang w:val="en-US" w:eastAsia="zh-CN" w:bidi="ar-SA"/>
        </w:rPr>
      </w:pPr>
      <w:r>
        <w:rPr>
          <w:rFonts w:hint="eastAsia" w:ascii="宋体" w:hAnsi="宋体" w:eastAsia="宋体" w:cs="Times New Roman"/>
          <w:b w:val="0"/>
          <w:bCs w:val="0"/>
          <w:color w:val="auto"/>
          <w:kern w:val="0"/>
          <w:sz w:val="24"/>
          <w:szCs w:val="24"/>
          <w:lang w:val="en-US" w:eastAsia="zh-CN" w:bidi="ar-SA"/>
        </w:rPr>
        <w:t xml:space="preserve">评价项目由招标人先行选定和计算机随机抽取两部分组成。招标人先行选定：由招标人在工程量清单中先行选定 </w:t>
      </w:r>
      <w:r>
        <w:rPr>
          <w:rFonts w:hint="eastAsia" w:ascii="宋体" w:hAnsi="宋体" w:eastAsia="宋体" w:cs="Times New Roman"/>
          <w:b w:val="0"/>
          <w:bCs w:val="0"/>
          <w:color w:val="auto"/>
          <w:kern w:val="0"/>
          <w:sz w:val="24"/>
          <w:szCs w:val="24"/>
          <w:u w:val="single"/>
          <w:lang w:val="en-US" w:eastAsia="zh-CN" w:bidi="ar-SA"/>
        </w:rPr>
        <w:t xml:space="preserve">   </w:t>
      </w:r>
      <w:r>
        <w:rPr>
          <w:rFonts w:hint="eastAsia" w:ascii="宋体" w:hAnsi="宋体" w:eastAsia="宋体" w:cs="Times New Roman"/>
          <w:b w:val="0"/>
          <w:bCs w:val="0"/>
          <w:color w:val="auto"/>
          <w:kern w:val="0"/>
          <w:sz w:val="24"/>
          <w:szCs w:val="24"/>
          <w:lang w:val="en-US" w:eastAsia="zh-CN" w:bidi="ar-SA"/>
        </w:rPr>
        <w:t xml:space="preserve">个评价项目（不超过10个项目，原则上取合计金额最大的项目），分别是  : </w:t>
      </w:r>
      <w:r>
        <w:rPr>
          <w:rFonts w:hint="eastAsia" w:ascii="宋体" w:hAnsi="宋体" w:eastAsia="宋体" w:cs="Times New Roman"/>
          <w:b w:val="0"/>
          <w:bCs w:val="0"/>
          <w:color w:val="auto"/>
          <w:kern w:val="0"/>
          <w:sz w:val="24"/>
          <w:szCs w:val="24"/>
          <w:u w:val="single"/>
          <w:lang w:val="en-US" w:eastAsia="zh-CN" w:bidi="ar-SA"/>
        </w:rPr>
        <w:t xml:space="preserve">              </w:t>
      </w:r>
      <w:r>
        <w:rPr>
          <w:rFonts w:hint="eastAsia" w:ascii="宋体" w:hAnsi="宋体" w:cs="Times New Roman"/>
          <w:b w:val="0"/>
          <w:bCs w:val="0"/>
          <w:color w:val="auto"/>
          <w:kern w:val="0"/>
          <w:sz w:val="24"/>
          <w:szCs w:val="24"/>
          <w:u w:val="single"/>
          <w:lang w:val="en-US" w:eastAsia="zh-CN" w:bidi="ar-SA"/>
        </w:rPr>
        <w:t xml:space="preserve">                                               </w:t>
      </w:r>
      <w:r>
        <w:rPr>
          <w:rFonts w:hint="eastAsia" w:ascii="宋体" w:hAnsi="宋体" w:eastAsia="宋体" w:cs="Times New Roman"/>
          <w:b w:val="0"/>
          <w:bCs w:val="0"/>
          <w:color w:val="auto"/>
          <w:kern w:val="0"/>
          <w:sz w:val="24"/>
          <w:szCs w:val="24"/>
          <w:u w:val="single"/>
          <w:lang w:val="en-US" w:eastAsia="zh-CN" w:bidi="ar-SA"/>
        </w:rPr>
        <w:t xml:space="preserve">  </w:t>
      </w:r>
      <w:r>
        <w:rPr>
          <w:rFonts w:hint="eastAsia" w:ascii="宋体" w:hAnsi="宋体" w:eastAsia="宋体" w:cs="Times New Roman"/>
          <w:b w:val="0"/>
          <w:bCs w:val="0"/>
          <w:color w:val="auto"/>
          <w:kern w:val="0"/>
          <w:sz w:val="24"/>
          <w:szCs w:val="24"/>
          <w:lang w:val="en-US" w:eastAsia="zh-CN" w:bidi="ar-SA"/>
        </w:rPr>
        <w:t xml:space="preserve"> 。计算机随机抽取：开标现场由招标人从招标文件工程量清单中（去除招标人自行选定项目）以计算机随机抽取的方式选定，数量同招标人先行选定数量一致。</w:t>
      </w:r>
    </w:p>
    <w:p>
      <w:pPr>
        <w:keepNext w:val="0"/>
        <w:keepLines w:val="0"/>
        <w:pageBreakBefore w:val="0"/>
        <w:numPr>
          <w:ilvl w:val="-1"/>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宋体" w:hAnsi="宋体" w:eastAsia="宋体" w:cs="Times New Roman"/>
          <w:b w:val="0"/>
          <w:bCs w:val="0"/>
          <w:color w:val="auto"/>
          <w:kern w:val="0"/>
          <w:sz w:val="24"/>
          <w:szCs w:val="24"/>
          <w:lang w:val="en-US" w:eastAsia="zh-CN" w:bidi="ar-SA"/>
        </w:rPr>
      </w:pPr>
      <w:r>
        <w:rPr>
          <w:rFonts w:hint="eastAsia" w:ascii="宋体" w:hAnsi="宋体" w:eastAsia="宋体" w:cs="Times New Roman"/>
          <w:b w:val="0"/>
          <w:bCs w:val="0"/>
          <w:color w:val="auto"/>
          <w:kern w:val="0"/>
          <w:sz w:val="24"/>
          <w:szCs w:val="24"/>
          <w:lang w:val="en-US" w:eastAsia="zh-CN" w:bidi="ar-SA"/>
        </w:rPr>
        <w:t>2.综合单价的合理区间确定</w:t>
      </w:r>
    </w:p>
    <w:p>
      <w:pPr>
        <w:keepNext w:val="0"/>
        <w:keepLines w:val="0"/>
        <w:pageBreakBefore w:val="0"/>
        <w:numPr>
          <w:ilvl w:val="-1"/>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宋体" w:hAnsi="宋体" w:eastAsia="宋体" w:cs="Times New Roman"/>
          <w:b w:val="0"/>
          <w:bCs w:val="0"/>
          <w:color w:val="auto"/>
          <w:kern w:val="0"/>
          <w:sz w:val="24"/>
          <w:szCs w:val="24"/>
          <w:lang w:val="en-US" w:eastAsia="zh-CN" w:bidi="ar-SA"/>
        </w:rPr>
      </w:pPr>
      <w:r>
        <w:rPr>
          <w:rFonts w:hint="eastAsia" w:ascii="宋体" w:hAnsi="宋体" w:eastAsia="宋体" w:cs="Times New Roman"/>
          <w:b w:val="0"/>
          <w:bCs w:val="0"/>
          <w:color w:val="auto"/>
          <w:kern w:val="0"/>
          <w:sz w:val="24"/>
          <w:szCs w:val="24"/>
          <w:lang w:val="en-US" w:eastAsia="zh-CN" w:bidi="ar-SA"/>
        </w:rPr>
        <w:t>以最高报价限价的相应清单项目综合单价为基准，由招标人自行设定各评价项目的合理区间[Ｋ1，Ｋ2]</w:t>
      </w:r>
      <w:r>
        <w:rPr>
          <w:rFonts w:hint="eastAsia" w:ascii="宋体" w:hAnsi="宋体" w:cs="Times New Roman"/>
          <w:b w:val="0"/>
          <w:bCs w:val="0"/>
          <w:color w:val="auto"/>
          <w:kern w:val="0"/>
          <w:sz w:val="24"/>
          <w:szCs w:val="24"/>
          <w:lang w:val="en-US" w:eastAsia="zh-CN" w:bidi="ar-SA"/>
        </w:rPr>
        <w:t>:</w:t>
      </w:r>
      <w:r>
        <w:rPr>
          <w:rFonts w:hint="eastAsia" w:ascii="宋体" w:hAnsi="宋体" w:cs="Times New Roman"/>
          <w:b w:val="0"/>
          <w:bCs w:val="0"/>
          <w:color w:val="auto"/>
          <w:kern w:val="0"/>
          <w:sz w:val="24"/>
          <w:szCs w:val="24"/>
          <w:u w:val="single"/>
          <w:lang w:val="en-US" w:eastAsia="zh-CN" w:bidi="ar-SA"/>
        </w:rPr>
        <w:t xml:space="preserve">                  </w:t>
      </w:r>
      <w:r>
        <w:rPr>
          <w:rFonts w:hint="eastAsia" w:ascii="宋体" w:hAnsi="宋体" w:eastAsia="宋体" w:cs="Times New Roman"/>
          <w:b w:val="0"/>
          <w:bCs w:val="0"/>
          <w:color w:val="auto"/>
          <w:kern w:val="0"/>
          <w:sz w:val="24"/>
          <w:szCs w:val="24"/>
          <w:lang w:val="en-US" w:eastAsia="zh-CN" w:bidi="ar-SA"/>
        </w:rPr>
        <w:t xml:space="preserve">（Ｋ1≤-25％，Ｋ2≥5％），各评价项目的区间范围保持一致。 </w:t>
      </w:r>
    </w:p>
    <w:p>
      <w:pPr>
        <w:keepNext w:val="0"/>
        <w:keepLines w:val="0"/>
        <w:pageBreakBefore w:val="0"/>
        <w:numPr>
          <w:ilvl w:val="-1"/>
          <w:numId w:val="0"/>
        </w:numPr>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宋体" w:hAnsi="宋体" w:eastAsia="宋体" w:cs="Times New Roman"/>
          <w:b w:val="0"/>
          <w:bCs w:val="0"/>
          <w:color w:val="auto"/>
          <w:kern w:val="0"/>
          <w:sz w:val="24"/>
          <w:szCs w:val="24"/>
          <w:lang w:val="en-US" w:eastAsia="zh-CN" w:bidi="ar-SA"/>
        </w:rPr>
      </w:pPr>
      <w:r>
        <w:rPr>
          <w:rFonts w:hint="eastAsia" w:ascii="宋体" w:hAnsi="宋体" w:eastAsia="宋体" w:cs="Times New Roman"/>
          <w:b w:val="0"/>
          <w:bCs w:val="0"/>
          <w:color w:val="auto"/>
          <w:kern w:val="0"/>
          <w:sz w:val="24"/>
          <w:szCs w:val="24"/>
          <w:lang w:val="en-US" w:eastAsia="zh-CN" w:bidi="ar-SA"/>
        </w:rPr>
        <w:t>3.综合单价评审</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宋体" w:hAnsi="宋体" w:eastAsia="宋体" w:cs="Times New Roman"/>
          <w:b w:val="0"/>
          <w:bCs w:val="0"/>
          <w:color w:val="auto"/>
          <w:kern w:val="0"/>
          <w:sz w:val="24"/>
          <w:szCs w:val="24"/>
          <w:lang w:val="en-US" w:eastAsia="zh-CN" w:bidi="ar-SA"/>
        </w:rPr>
      </w:pPr>
      <w:r>
        <w:rPr>
          <w:rFonts w:hint="eastAsia" w:ascii="宋体" w:hAnsi="宋体" w:eastAsia="宋体" w:cs="Times New Roman"/>
          <w:b w:val="0"/>
          <w:bCs w:val="0"/>
          <w:color w:val="auto"/>
          <w:kern w:val="0"/>
          <w:sz w:val="24"/>
          <w:szCs w:val="24"/>
          <w:lang w:val="en-US" w:eastAsia="zh-CN" w:bidi="ar-SA"/>
        </w:rPr>
        <w:t xml:space="preserve">综合单价报价超出合理区间范围的，每个评价项目扣（10／ 评审项目总数）分，10分扣完为止。（工程量清单综合单价分值小于10分的，按实际分值；该环节小数点精确程度在计算机辅助评标系统中确定）。 </w:t>
      </w:r>
    </w:p>
    <w:p>
      <w:pPr>
        <w:snapToGrid w:val="0"/>
        <w:spacing w:line="360" w:lineRule="auto"/>
        <w:ind w:firstLine="480" w:firstLineChars="200"/>
        <w:rPr>
          <w:rFonts w:ascii="宋体" w:hAnsi="宋体"/>
          <w:color w:val="auto"/>
        </w:rPr>
      </w:pPr>
      <w:r>
        <w:rPr>
          <w:rFonts w:hint="eastAsia" w:ascii="宋体" w:hAnsi="宋体"/>
          <w:color w:val="auto"/>
        </w:rPr>
        <w:t>（三）信用评价（履约评价）评分</w:t>
      </w:r>
    </w:p>
    <w:p>
      <w:pPr>
        <w:keepNext w:val="0"/>
        <w:keepLines w:val="0"/>
        <w:pageBreakBefore w:val="0"/>
        <w:widowControl/>
        <w:kinsoku/>
        <w:wordWrap/>
        <w:overflowPunct/>
        <w:topLinePunct w:val="0"/>
        <w:autoSpaceDE/>
        <w:autoSpaceDN/>
        <w:bidi w:val="0"/>
        <w:adjustRightInd/>
        <w:snapToGrid w:val="0"/>
        <w:spacing w:line="360" w:lineRule="auto"/>
        <w:ind w:left="0" w:leftChars="0" w:firstLine="480" w:firstLineChars="200"/>
        <w:jc w:val="left"/>
        <w:textAlignment w:val="auto"/>
        <w:rPr>
          <w:rFonts w:hint="eastAsia" w:ascii="宋体" w:hAnsi="宋体" w:eastAsia="宋体" w:cs="Times New Roman"/>
          <w:b w:val="0"/>
          <w:bCs w:val="0"/>
          <w:color w:val="auto"/>
          <w:sz w:val="24"/>
          <w:szCs w:val="24"/>
          <w:lang w:val="en-US" w:eastAsia="zh-CN"/>
        </w:rPr>
      </w:pPr>
      <w:r>
        <w:rPr>
          <w:rFonts w:hint="eastAsia" w:ascii="宋体" w:hAnsi="宋体"/>
          <w:color w:val="auto"/>
          <w:u w:val="none"/>
          <w:lang w:eastAsia="zh-CN"/>
        </w:rPr>
        <w:t>（</w:t>
      </w:r>
      <w:r>
        <w:rPr>
          <w:rFonts w:hint="eastAsia" w:ascii="宋体" w:hAnsi="宋体"/>
          <w:color w:val="auto"/>
          <w:lang w:eastAsia="zh-CN"/>
        </w:rPr>
        <w:t>按</w:t>
      </w:r>
      <w:r>
        <w:rPr>
          <w:rFonts w:hint="eastAsia" w:ascii="宋体" w:hAnsi="宋体" w:eastAsia="宋体" w:cs="Times New Roman"/>
          <w:b w:val="0"/>
          <w:bCs w:val="0"/>
          <w:color w:val="auto"/>
          <w:sz w:val="24"/>
          <w:szCs w:val="24"/>
          <w:lang w:val="en-US" w:eastAsia="zh-CN"/>
        </w:rPr>
        <w:t>《绍兴市房屋建筑和市政基础设施工程信用评价招投标应用标准（试行）》</w:t>
      </w:r>
      <w:r>
        <w:rPr>
          <w:rFonts w:hint="eastAsia" w:ascii="宋体" w:hAnsi="宋体" w:eastAsia="宋体" w:cs="Times New Roman"/>
          <w:b w:val="0"/>
          <w:bCs w:val="0"/>
          <w:color w:val="auto"/>
          <w:sz w:val="24"/>
          <w:szCs w:val="24"/>
          <w:u w:val="none"/>
          <w:lang w:val="en-US" w:eastAsia="zh-CN"/>
        </w:rPr>
        <w:t>，对照项目实际情况进行明确</w:t>
      </w:r>
      <w:r>
        <w:rPr>
          <w:rFonts w:hint="eastAsia" w:ascii="宋体" w:hAnsi="宋体"/>
          <w:color w:val="auto"/>
          <w:u w:val="none"/>
          <w:lang w:eastAsia="zh-CN"/>
        </w:rPr>
        <w:t>）</w:t>
      </w:r>
    </w:p>
    <w:p>
      <w:pPr>
        <w:snapToGrid w:val="0"/>
        <w:spacing w:line="360" w:lineRule="auto"/>
        <w:ind w:firstLine="480" w:firstLineChars="200"/>
        <w:rPr>
          <w:rFonts w:hint="eastAsia" w:ascii="宋体" w:hAnsi="宋体"/>
          <w:b w:val="0"/>
          <w:color w:val="auto"/>
        </w:rPr>
      </w:pPr>
      <w:r>
        <w:rPr>
          <w:rFonts w:hint="eastAsia" w:ascii="宋体" w:hAnsi="宋体"/>
          <w:b w:val="0"/>
          <w:color w:val="auto"/>
        </w:rPr>
        <w:t>八、推荐中标候选人</w:t>
      </w:r>
    </w:p>
    <w:p>
      <w:pPr>
        <w:snapToGrid w:val="0"/>
        <w:spacing w:line="360" w:lineRule="auto"/>
        <w:ind w:firstLine="480" w:firstLineChars="200"/>
        <w:rPr>
          <w:rFonts w:ascii="宋体" w:hAnsi="宋体"/>
          <w:color w:val="auto"/>
        </w:rPr>
      </w:pPr>
      <w:r>
        <w:rPr>
          <w:rFonts w:hint="eastAsia" w:ascii="宋体" w:hAnsi="宋体"/>
          <w:color w:val="auto"/>
        </w:rPr>
        <w:t>评标委员会对投标人按总分从高到低进行排序，并按照排序推荐中标候选人。</w:t>
      </w:r>
      <w:r>
        <w:rPr>
          <w:rFonts w:ascii="宋体" w:hAnsi="宋体"/>
          <w:color w:val="auto"/>
        </w:rPr>
        <w:t>如</w:t>
      </w:r>
      <w:r>
        <w:rPr>
          <w:rFonts w:hint="eastAsia" w:ascii="宋体" w:hAnsi="宋体"/>
          <w:color w:val="auto"/>
        </w:rPr>
        <w:t>总</w:t>
      </w:r>
      <w:r>
        <w:rPr>
          <w:rFonts w:ascii="宋体" w:hAnsi="宋体"/>
          <w:color w:val="auto"/>
        </w:rPr>
        <w:t>分相同的，以投标报价低的</w:t>
      </w:r>
      <w:r>
        <w:rPr>
          <w:rFonts w:hint="eastAsia" w:ascii="宋体" w:hAnsi="宋体"/>
          <w:color w:val="auto"/>
        </w:rPr>
        <w:t>优先</w:t>
      </w:r>
      <w:r>
        <w:rPr>
          <w:rFonts w:ascii="宋体" w:hAnsi="宋体"/>
          <w:color w:val="auto"/>
        </w:rPr>
        <w:t>；上述均相同的</w:t>
      </w:r>
      <w:r>
        <w:rPr>
          <w:rFonts w:hint="eastAsia" w:ascii="宋体" w:hAnsi="宋体"/>
          <w:color w:val="auto"/>
          <w:u w:val="single"/>
        </w:rPr>
        <w:t xml:space="preserve">  (在招标文件中明确确定方式) </w:t>
      </w:r>
      <w:r>
        <w:rPr>
          <w:rFonts w:hint="eastAsia" w:ascii="宋体" w:hAnsi="宋体"/>
          <w:color w:val="auto"/>
        </w:rPr>
        <w:t>。</w:t>
      </w:r>
    </w:p>
    <w:p>
      <w:pPr>
        <w:snapToGrid w:val="0"/>
        <w:spacing w:line="360" w:lineRule="auto"/>
        <w:ind w:firstLine="480" w:firstLineChars="200"/>
        <w:rPr>
          <w:rFonts w:hint="eastAsia" w:ascii="宋体" w:hAnsi="宋体"/>
          <w:color w:val="auto"/>
          <w:szCs w:val="24"/>
          <w:lang w:val="en-US"/>
        </w:rPr>
      </w:pPr>
      <w:r>
        <w:rPr>
          <w:rFonts w:hint="eastAsia" w:ascii="宋体" w:hAnsi="宋体"/>
          <w:color w:val="auto"/>
          <w:szCs w:val="24"/>
          <w:u w:val="none"/>
          <w:lang w:val="en-US"/>
        </w:rPr>
        <w:t>招标人</w:t>
      </w:r>
      <w:r>
        <w:rPr>
          <w:rFonts w:hint="eastAsia" w:ascii="宋体" w:hAnsi="宋体"/>
          <w:color w:val="auto"/>
          <w:szCs w:val="24"/>
          <w:lang w:val="en-US"/>
        </w:rPr>
        <w:t>对拟确定的推荐中标候选人和其拟派项目负责人，是否列入失信被执行人名单以及</w:t>
      </w:r>
      <w:r>
        <w:rPr>
          <w:rFonts w:hint="eastAsia" w:ascii="宋体" w:hAnsi="宋体" w:eastAsia="宋体"/>
          <w:color w:val="auto"/>
          <w:szCs w:val="24"/>
          <w:lang w:val="en-US"/>
        </w:rPr>
        <w:t>在本招标文件（招标公告）规定时间范围内</w:t>
      </w:r>
      <w:r>
        <w:rPr>
          <w:rFonts w:hint="eastAsia" w:ascii="宋体" w:hAnsi="宋体"/>
          <w:color w:val="auto"/>
          <w:szCs w:val="24"/>
          <w:lang w:val="en-US"/>
        </w:rPr>
        <w:t>是否有行贿犯罪记录进行查验。如查实存在行贿犯罪记录情况（以行贿罪判决为准）或被列入失信被执行人名单的，则取消其中标候选资格。</w:t>
      </w:r>
    </w:p>
    <w:p>
      <w:pPr>
        <w:snapToGrid w:val="0"/>
        <w:spacing w:line="360" w:lineRule="auto"/>
        <w:ind w:firstLine="480" w:firstLineChars="200"/>
        <w:rPr>
          <w:rFonts w:hint="eastAsia" w:ascii="宋体" w:hAnsi="宋体" w:eastAsia="宋体"/>
          <w:color w:val="auto"/>
        </w:rPr>
      </w:pPr>
      <w:r>
        <w:rPr>
          <w:rFonts w:hint="eastAsia" w:ascii="宋体" w:hAnsi="宋体" w:eastAsia="宋体"/>
          <w:color w:val="auto"/>
        </w:rPr>
        <w:t>当有效投标人</w:t>
      </w:r>
      <w:r>
        <w:rPr>
          <w:rFonts w:hint="eastAsia" w:ascii="宋体" w:hAnsi="宋体" w:eastAsia="宋体" w:cs="Times New Roman"/>
          <w:color w:val="auto"/>
        </w:rPr>
        <w:t>＜</w:t>
      </w:r>
      <w:r>
        <w:rPr>
          <w:rFonts w:hint="eastAsia" w:ascii="宋体" w:hAnsi="宋体" w:eastAsia="宋体"/>
          <w:color w:val="auto"/>
        </w:rPr>
        <w:t>3个时，评标委员会应判定本次投标是否具有竞争力。若评标委员会认为本次投标明显缺乏竞争的，可以否决全部投标。</w:t>
      </w:r>
    </w:p>
    <w:p>
      <w:pPr>
        <w:widowControl/>
        <w:autoSpaceDE/>
        <w:autoSpaceDN/>
        <w:adjustRightInd/>
        <w:snapToGrid w:val="0"/>
        <w:spacing w:line="360" w:lineRule="auto"/>
        <w:ind w:firstLine="480" w:firstLineChars="200"/>
        <w:rPr>
          <w:rFonts w:hint="eastAsia" w:ascii="宋体" w:hAnsi="宋体"/>
          <w:color w:val="auto"/>
          <w:sz w:val="24"/>
          <w:szCs w:val="24"/>
        </w:rPr>
      </w:pPr>
      <w:r>
        <w:rPr>
          <w:rFonts w:hint="eastAsia" w:ascii="宋体" w:hAnsi="宋体"/>
          <w:color w:val="auto"/>
          <w:sz w:val="24"/>
          <w:szCs w:val="24"/>
        </w:rPr>
        <w:br w:type="page"/>
      </w:r>
    </w:p>
    <w:p>
      <w:pPr>
        <w:widowControl/>
        <w:autoSpaceDE/>
        <w:autoSpaceDN/>
        <w:adjustRightInd/>
        <w:rPr>
          <w:rFonts w:ascii="宋体" w:hAnsi="宋体" w:eastAsia="宋体"/>
          <w:b/>
          <w:color w:val="auto"/>
        </w:rPr>
      </w:pPr>
      <w:r>
        <w:rPr>
          <w:color w:val="auto"/>
          <w:sz w:val="28"/>
          <w:szCs w:val="28"/>
        </w:rPr>
        <w:sym w:font="Wingdings 2" w:char="00A3"/>
      </w:r>
      <w:r>
        <w:rPr>
          <w:rFonts w:hint="eastAsia" w:ascii="宋体" w:hAnsi="宋体" w:eastAsia="宋体"/>
          <w:b/>
          <w:color w:val="auto"/>
        </w:rPr>
        <w:t>评标办法（三）</w:t>
      </w:r>
    </w:p>
    <w:p>
      <w:pPr>
        <w:spacing w:line="360" w:lineRule="auto"/>
        <w:jc w:val="center"/>
        <w:rPr>
          <w:rFonts w:ascii="宋体" w:hAnsi="宋体" w:eastAsia="宋体"/>
          <w:b/>
          <w:color w:val="auto"/>
        </w:rPr>
      </w:pPr>
      <w:r>
        <w:rPr>
          <w:rFonts w:hint="eastAsia" w:ascii="宋体" w:hAnsi="宋体" w:eastAsia="宋体"/>
          <w:b/>
          <w:color w:val="auto"/>
        </w:rPr>
        <w:t>技术标打分制的综合评估法</w:t>
      </w:r>
    </w:p>
    <w:p>
      <w:pPr>
        <w:spacing w:line="360" w:lineRule="auto"/>
        <w:ind w:firstLine="480" w:firstLineChars="200"/>
        <w:rPr>
          <w:rFonts w:ascii="宋体" w:hAnsi="宋体" w:eastAsia="宋体"/>
          <w:bCs/>
          <w:color w:val="auto"/>
        </w:rPr>
      </w:pPr>
      <w:r>
        <w:rPr>
          <w:rFonts w:hint="eastAsia" w:ascii="宋体" w:hAnsi="宋体" w:eastAsia="宋体"/>
          <w:bCs/>
          <w:color w:val="auto"/>
        </w:rPr>
        <w:t>技术标打分制的综合评估法，适用于采用新工艺、技术特别复杂或具有特殊专业技术要求的</w:t>
      </w:r>
      <w:r>
        <w:rPr>
          <w:rFonts w:hint="eastAsia" w:ascii="宋体" w:hAnsi="宋体"/>
          <w:color w:val="auto"/>
        </w:rPr>
        <w:t>房屋建筑和市政基础设施工程</w:t>
      </w:r>
      <w:r>
        <w:rPr>
          <w:rFonts w:hint="eastAsia" w:ascii="宋体" w:hAnsi="宋体" w:eastAsia="宋体"/>
          <w:bCs/>
          <w:color w:val="auto"/>
        </w:rPr>
        <w:t>（标准由当地招投标主管部门确定）施工招标。评标应遵循公平、公正、科学、择优的原则。</w:t>
      </w:r>
    </w:p>
    <w:p>
      <w:pPr>
        <w:spacing w:line="360" w:lineRule="auto"/>
        <w:rPr>
          <w:rFonts w:ascii="宋体" w:hAnsi="宋体" w:eastAsia="宋体"/>
          <w:color w:val="auto"/>
        </w:rPr>
      </w:pPr>
      <w:r>
        <w:rPr>
          <w:rFonts w:ascii="宋体" w:hAnsi="宋体" w:eastAsia="宋体"/>
          <w:bCs/>
          <w:color w:val="auto"/>
        </w:rPr>
        <w:t xml:space="preserve">    技术标打分制的综合评估法应先对投标人进行资格审查，已通过资格审查采用百分制记分法对投标人分别进行技术、资信、商务报价评分，总分最高的投标人推荐为中标候选人。</w:t>
      </w:r>
    </w:p>
    <w:p>
      <w:pPr>
        <w:spacing w:line="360" w:lineRule="auto"/>
        <w:ind w:firstLine="482" w:firstLineChars="200"/>
        <w:rPr>
          <w:rFonts w:ascii="宋体" w:hAnsi="宋体" w:eastAsia="宋体"/>
          <w:color w:val="auto"/>
        </w:rPr>
      </w:pPr>
      <w:r>
        <w:rPr>
          <w:rFonts w:hint="eastAsia" w:ascii="宋体" w:hAnsi="宋体" w:eastAsia="宋体"/>
          <w:b/>
          <w:color w:val="auto"/>
        </w:rPr>
        <w:t>总分</w:t>
      </w:r>
      <w:r>
        <w:rPr>
          <w:rFonts w:ascii="宋体" w:hAnsi="宋体" w:eastAsia="宋体"/>
          <w:color w:val="auto"/>
        </w:rPr>
        <w:t>=</w:t>
      </w:r>
      <w:r>
        <w:rPr>
          <w:rFonts w:hint="eastAsia" w:ascii="宋体" w:hAnsi="宋体" w:eastAsia="宋体"/>
          <w:color w:val="auto"/>
        </w:rPr>
        <w:t>技术标评分（≤</w:t>
      </w:r>
      <w:r>
        <w:rPr>
          <w:rFonts w:ascii="宋体" w:hAnsi="宋体" w:eastAsia="宋体"/>
          <w:color w:val="auto"/>
        </w:rPr>
        <w:t>30分）</w:t>
      </w:r>
      <w:r>
        <w:rPr>
          <w:rFonts w:ascii="宋体" w:hAnsi="宋体" w:eastAsia="宋体"/>
          <w:color w:val="auto"/>
          <w:u w:val="single"/>
        </w:rPr>
        <w:t xml:space="preserve">    </w:t>
      </w:r>
      <w:r>
        <w:rPr>
          <w:rFonts w:hint="eastAsia" w:ascii="宋体" w:hAnsi="宋体" w:eastAsia="宋体"/>
          <w:color w:val="auto"/>
        </w:rPr>
        <w:t>分</w:t>
      </w:r>
      <w:r>
        <w:rPr>
          <w:rFonts w:ascii="宋体" w:hAnsi="宋体" w:eastAsia="宋体"/>
          <w:color w:val="auto"/>
        </w:rPr>
        <w:t>,资信标</w:t>
      </w:r>
      <w:r>
        <w:rPr>
          <w:rFonts w:hint="eastAsia" w:ascii="宋体" w:hAnsi="宋体" w:eastAsia="宋体"/>
          <w:color w:val="auto"/>
        </w:rPr>
        <w:t>评</w:t>
      </w:r>
      <w:r>
        <w:rPr>
          <w:rFonts w:ascii="宋体" w:hAnsi="宋体" w:eastAsia="宋体"/>
          <w:color w:val="auto"/>
        </w:rPr>
        <w:t>分（≤10分）</w:t>
      </w:r>
      <w:r>
        <w:rPr>
          <w:rFonts w:ascii="宋体" w:hAnsi="宋体" w:eastAsia="宋体"/>
          <w:color w:val="auto"/>
          <w:u w:val="single"/>
        </w:rPr>
        <w:t xml:space="preserve">    </w:t>
      </w:r>
      <w:r>
        <w:rPr>
          <w:rFonts w:hint="eastAsia" w:ascii="宋体" w:hAnsi="宋体" w:eastAsia="宋体"/>
          <w:color w:val="auto"/>
        </w:rPr>
        <w:t>分</w:t>
      </w:r>
      <w:r>
        <w:rPr>
          <w:rFonts w:ascii="宋体" w:hAnsi="宋体" w:eastAsia="宋体"/>
          <w:color w:val="auto"/>
        </w:rPr>
        <w:t>,商务标</w:t>
      </w:r>
      <w:r>
        <w:rPr>
          <w:rFonts w:hint="eastAsia" w:ascii="宋体" w:hAnsi="宋体" w:eastAsia="宋体"/>
          <w:color w:val="auto"/>
        </w:rPr>
        <w:t>评</w:t>
      </w:r>
      <w:r>
        <w:rPr>
          <w:rFonts w:ascii="宋体" w:hAnsi="宋体" w:eastAsia="宋体"/>
          <w:color w:val="auto"/>
        </w:rPr>
        <w:t>分</w:t>
      </w:r>
    </w:p>
    <w:p>
      <w:pPr>
        <w:spacing w:line="360" w:lineRule="auto"/>
        <w:rPr>
          <w:rFonts w:ascii="宋体" w:hAnsi="宋体" w:eastAsia="宋体"/>
          <w:color w:val="auto"/>
        </w:rPr>
      </w:pPr>
      <w:r>
        <w:rPr>
          <w:rFonts w:hint="eastAsia" w:ascii="宋体" w:hAnsi="宋体" w:eastAsia="宋体"/>
          <w:color w:val="auto"/>
        </w:rPr>
        <w:t>（≥</w:t>
      </w:r>
      <w:r>
        <w:rPr>
          <w:rFonts w:ascii="宋体" w:hAnsi="宋体" w:eastAsia="宋体"/>
          <w:color w:val="auto"/>
        </w:rPr>
        <w:t>60分）</w:t>
      </w:r>
      <w:r>
        <w:rPr>
          <w:rFonts w:ascii="宋体" w:hAnsi="宋体" w:eastAsia="宋体"/>
          <w:color w:val="auto"/>
          <w:u w:val="single"/>
        </w:rPr>
        <w:t xml:space="preserve">     </w:t>
      </w:r>
      <w:r>
        <w:rPr>
          <w:rFonts w:hint="eastAsia" w:ascii="宋体" w:hAnsi="宋体" w:eastAsia="宋体"/>
          <w:color w:val="auto"/>
        </w:rPr>
        <w:t>分（具体分值由招标人确定）</w:t>
      </w:r>
    </w:p>
    <w:p>
      <w:pPr>
        <w:pStyle w:val="150"/>
        <w:adjustRightInd w:val="0"/>
        <w:snapToGrid w:val="0"/>
        <w:spacing w:line="360" w:lineRule="auto"/>
        <w:ind w:firstLine="480" w:firstLineChars="200"/>
        <w:rPr>
          <w:rFonts w:ascii="宋体" w:hAnsi="宋体" w:eastAsia="宋体" w:cs="宋体"/>
          <w:color w:val="auto"/>
          <w:szCs w:val="24"/>
          <w:u w:val="single"/>
        </w:rPr>
      </w:pPr>
      <w:r>
        <w:rPr>
          <w:rFonts w:hint="eastAsia" w:ascii="宋体" w:hAnsi="宋体" w:eastAsia="宋体" w:cs="宋体"/>
          <w:color w:val="auto"/>
          <w:szCs w:val="24"/>
        </w:rPr>
        <w:t>评标工作由招标人依法组建的评标委员会负责，评标委员会成员为</w:t>
      </w:r>
      <w:r>
        <w:rPr>
          <w:rFonts w:ascii="宋体" w:hAnsi="宋体" w:eastAsia="宋体" w:cs="宋体"/>
          <w:color w:val="auto"/>
          <w:szCs w:val="24"/>
          <w:u w:val="single"/>
        </w:rPr>
        <w:t xml:space="preserve"> </w:t>
      </w:r>
      <w:r>
        <w:rPr>
          <w:rFonts w:ascii="宋体" w:hAnsi="宋体" w:eastAsia="宋体" w:cs="宋体"/>
          <w:color w:val="auto"/>
          <w:szCs w:val="24"/>
          <w:u w:val="single"/>
          <w:lang w:val="en-US"/>
        </w:rPr>
        <w:t xml:space="preserve"> </w:t>
      </w:r>
      <w:r>
        <w:rPr>
          <w:rFonts w:hint="eastAsia" w:ascii="宋体" w:hAnsi="宋体" w:eastAsia="宋体" w:cs="宋体"/>
          <w:color w:val="auto"/>
          <w:szCs w:val="24"/>
          <w:u w:val="single"/>
        </w:rPr>
        <w:t>（</w:t>
      </w:r>
      <w:r>
        <w:rPr>
          <w:rFonts w:hint="eastAsia" w:ascii="宋体" w:hAnsi="宋体" w:eastAsia="宋体" w:cs="宋体"/>
          <w:color w:val="auto"/>
          <w:szCs w:val="24"/>
          <w:u w:val="single"/>
          <w:lang w:val="en-US"/>
        </w:rPr>
        <w:t>应根据法律法规及相关文件要求填写</w:t>
      </w:r>
      <w:r>
        <w:rPr>
          <w:rFonts w:hint="eastAsia" w:ascii="宋体" w:hAnsi="宋体" w:eastAsia="宋体" w:cs="宋体"/>
          <w:color w:val="auto"/>
          <w:szCs w:val="24"/>
          <w:u w:val="single"/>
        </w:rPr>
        <w:t>）。</w:t>
      </w:r>
    </w:p>
    <w:p>
      <w:pPr>
        <w:snapToGrid w:val="0"/>
        <w:spacing w:line="440" w:lineRule="exact"/>
        <w:ind w:firstLine="480" w:firstLineChars="200"/>
        <w:rPr>
          <w:rFonts w:ascii="宋体" w:hAnsi="宋体"/>
          <w:color w:val="auto"/>
        </w:rPr>
      </w:pPr>
      <w:r>
        <w:rPr>
          <w:rFonts w:hint="eastAsia" w:ascii="宋体" w:hAnsi="宋体"/>
          <w:color w:val="auto"/>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pPr>
        <w:pStyle w:val="19"/>
        <w:ind w:firstLine="210"/>
        <w:rPr>
          <w:color w:val="auto"/>
        </w:rPr>
      </w:pPr>
    </w:p>
    <w:p>
      <w:pPr>
        <w:pStyle w:val="129"/>
        <w:numPr>
          <w:ilvl w:val="0"/>
          <w:numId w:val="40"/>
        </w:numPr>
        <w:snapToGrid w:val="0"/>
        <w:spacing w:line="360" w:lineRule="auto"/>
        <w:ind w:left="0" w:firstLine="482" w:firstLineChars="200"/>
        <w:rPr>
          <w:rFonts w:ascii="宋体" w:hAnsi="宋体" w:eastAsia="宋体"/>
          <w:b/>
          <w:color w:val="auto"/>
        </w:rPr>
      </w:pPr>
      <w:r>
        <w:rPr>
          <w:rFonts w:ascii="宋体" w:hAnsi="宋体" w:eastAsia="宋体"/>
          <w:b/>
          <w:color w:val="auto"/>
        </w:rPr>
        <w:t>评标程序</w:t>
      </w:r>
    </w:p>
    <w:p>
      <w:pPr>
        <w:pStyle w:val="86"/>
        <w:spacing w:line="360" w:lineRule="auto"/>
        <w:ind w:firstLine="420" w:firstLineChars="200"/>
        <w:rPr>
          <w:rFonts w:ascii="宋体" w:hAnsi="宋体" w:eastAsia="宋体"/>
          <w:color w:val="auto"/>
        </w:rPr>
      </w:pPr>
      <w:r>
        <w:rPr>
          <w:rFonts w:ascii="宋体" w:hAnsi="宋体" w:eastAsia="宋体"/>
          <w:color w:val="auto"/>
        </w:rPr>
        <w:t xml:space="preserve">   </w:t>
      </w:r>
      <w:r>
        <w:rPr>
          <w:rFonts w:hint="eastAsia" w:ascii="宋体" w:hAnsi="宋体" w:eastAsia="宋体"/>
          <w:color w:val="auto"/>
          <w:sz w:val="24"/>
          <w:szCs w:val="24"/>
        </w:rPr>
        <w:t>（一）资格审查</w:t>
      </w:r>
    </w:p>
    <w:p>
      <w:pPr>
        <w:pStyle w:val="86"/>
        <w:spacing w:line="360" w:lineRule="auto"/>
        <w:ind w:firstLine="560" w:firstLineChars="200"/>
        <w:rPr>
          <w:rFonts w:ascii="宋体" w:hAnsi="宋体" w:eastAsia="宋体"/>
          <w:color w:val="auto"/>
          <w:sz w:val="24"/>
          <w:szCs w:val="24"/>
        </w:rPr>
      </w:pPr>
      <w:r>
        <w:rPr>
          <w:color w:val="auto"/>
          <w:sz w:val="28"/>
          <w:szCs w:val="28"/>
        </w:rPr>
        <w:t xml:space="preserve">  </w:t>
      </w:r>
      <w:r>
        <w:rPr>
          <w:rFonts w:hint="eastAsia" w:ascii="宋体" w:hAnsi="宋体" w:eastAsia="宋体"/>
          <w:color w:val="auto"/>
          <w:sz w:val="24"/>
          <w:szCs w:val="24"/>
        </w:rPr>
        <w:t>（二）技术评审</w:t>
      </w:r>
    </w:p>
    <w:p>
      <w:pPr>
        <w:pStyle w:val="86"/>
        <w:spacing w:line="360" w:lineRule="auto"/>
        <w:ind w:firstLine="720" w:firstLineChars="300"/>
        <w:rPr>
          <w:rFonts w:ascii="宋体" w:hAnsi="宋体" w:eastAsia="宋体"/>
          <w:color w:val="auto"/>
          <w:sz w:val="24"/>
          <w:szCs w:val="24"/>
        </w:rPr>
      </w:pPr>
      <w:r>
        <w:rPr>
          <w:rFonts w:hint="eastAsia" w:ascii="宋体" w:hAnsi="宋体" w:eastAsia="宋体"/>
          <w:color w:val="auto"/>
          <w:sz w:val="24"/>
          <w:szCs w:val="24"/>
        </w:rPr>
        <w:t>（三）初步评审</w:t>
      </w:r>
    </w:p>
    <w:p>
      <w:pPr>
        <w:pStyle w:val="86"/>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 xml:space="preserve">  （四）资信评审</w:t>
      </w:r>
    </w:p>
    <w:p>
      <w:pPr>
        <w:pStyle w:val="86"/>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 xml:space="preserve">  （五）商务评审</w:t>
      </w:r>
    </w:p>
    <w:p>
      <w:pPr>
        <w:pStyle w:val="86"/>
        <w:spacing w:line="360" w:lineRule="auto"/>
        <w:ind w:firstLine="480" w:firstLineChars="200"/>
        <w:rPr>
          <w:rFonts w:ascii="宋体" w:hAnsi="宋体" w:eastAsia="宋体"/>
          <w:color w:val="auto"/>
          <w:sz w:val="24"/>
          <w:szCs w:val="24"/>
        </w:rPr>
      </w:pPr>
      <w:r>
        <w:rPr>
          <w:rFonts w:ascii="宋体" w:hAnsi="宋体" w:eastAsia="宋体"/>
          <w:color w:val="auto"/>
          <w:sz w:val="24"/>
          <w:szCs w:val="24"/>
        </w:rPr>
        <w:t xml:space="preserve">  （六）推荐中标候选人</w:t>
      </w:r>
    </w:p>
    <w:p>
      <w:pPr>
        <w:pStyle w:val="129"/>
        <w:numPr>
          <w:ilvl w:val="0"/>
          <w:numId w:val="40"/>
        </w:numPr>
        <w:snapToGrid w:val="0"/>
        <w:spacing w:line="360" w:lineRule="auto"/>
        <w:ind w:left="0" w:firstLine="482" w:firstLineChars="200"/>
        <w:rPr>
          <w:rFonts w:ascii="宋体" w:hAnsi="宋体" w:eastAsia="宋体"/>
          <w:b/>
          <w:color w:val="auto"/>
        </w:rPr>
      </w:pPr>
      <w:r>
        <w:rPr>
          <w:rFonts w:hint="eastAsia" w:ascii="宋体" w:hAnsi="宋体" w:eastAsia="宋体"/>
          <w:b/>
          <w:color w:val="auto"/>
        </w:rPr>
        <w:t>资格审查</w:t>
      </w:r>
    </w:p>
    <w:p>
      <w:pPr>
        <w:spacing w:line="360" w:lineRule="auto"/>
        <w:rPr>
          <w:rFonts w:ascii="宋体" w:hAnsi="宋体" w:eastAsia="宋体"/>
          <w:color w:val="auto"/>
        </w:rPr>
      </w:pPr>
      <w:r>
        <w:rPr>
          <w:rFonts w:ascii="宋体" w:hAnsi="宋体" w:eastAsia="宋体"/>
          <w:color w:val="auto"/>
        </w:rPr>
        <w:t xml:space="preserve">    </w:t>
      </w:r>
      <w:r>
        <w:rPr>
          <w:rFonts w:hint="eastAsia" w:ascii="宋体" w:hAnsi="宋体" w:eastAsia="宋体" w:cs="宋体"/>
          <w:color w:val="auto"/>
        </w:rPr>
        <w:t>投标人存在以下情况之一的，评标委员会组织投标人询问核实后，情况属实的，资格审查不予通过，否决其投标</w:t>
      </w:r>
      <w:r>
        <w:rPr>
          <w:rFonts w:hint="eastAsia" w:ascii="宋体" w:hAnsi="宋体" w:eastAsia="宋体"/>
          <w:color w:val="auto"/>
        </w:rPr>
        <w:t>。</w:t>
      </w:r>
      <w:r>
        <w:rPr>
          <w:rFonts w:hint="eastAsia" w:eastAsia="宋体"/>
          <w:color w:val="auto"/>
        </w:rPr>
        <w:t>否决其投标情形详见投标须知前附表10.5。</w:t>
      </w:r>
    </w:p>
    <w:p>
      <w:pPr>
        <w:pStyle w:val="129"/>
        <w:numPr>
          <w:ilvl w:val="0"/>
          <w:numId w:val="40"/>
        </w:numPr>
        <w:snapToGrid w:val="0"/>
        <w:spacing w:line="360" w:lineRule="auto"/>
        <w:ind w:left="0" w:firstLine="482" w:firstLineChars="200"/>
        <w:rPr>
          <w:rFonts w:ascii="宋体" w:hAnsi="宋体" w:eastAsia="宋体"/>
          <w:color w:val="auto"/>
          <w:kern w:val="2"/>
        </w:rPr>
      </w:pPr>
      <w:r>
        <w:rPr>
          <w:rFonts w:hint="eastAsia" w:ascii="宋体" w:hAnsi="宋体" w:eastAsia="宋体"/>
          <w:b/>
          <w:color w:val="auto"/>
        </w:rPr>
        <w:t>技术标评审</w:t>
      </w:r>
    </w:p>
    <w:p>
      <w:pPr>
        <w:pStyle w:val="86"/>
        <w:spacing w:line="360" w:lineRule="auto"/>
        <w:ind w:firstLine="600" w:firstLineChars="250"/>
        <w:rPr>
          <w:rFonts w:ascii="宋体" w:hAnsi="宋体" w:eastAsia="宋体"/>
          <w:color w:val="auto"/>
          <w:sz w:val="24"/>
          <w:szCs w:val="24"/>
        </w:rPr>
      </w:pPr>
      <w:r>
        <w:rPr>
          <w:rFonts w:hint="eastAsia" w:ascii="宋体" w:hAnsi="宋体" w:eastAsia="宋体"/>
          <w:color w:val="auto"/>
          <w:sz w:val="24"/>
          <w:szCs w:val="24"/>
        </w:rPr>
        <w:t>评标委员会对进入投标文件进行技术标评审</w:t>
      </w:r>
      <w:r>
        <w:rPr>
          <w:rFonts w:ascii="宋体" w:hAnsi="宋体" w:eastAsia="宋体"/>
          <w:color w:val="auto"/>
          <w:sz w:val="24"/>
          <w:szCs w:val="24"/>
        </w:rPr>
        <w:t>:</w:t>
      </w:r>
    </w:p>
    <w:p>
      <w:pPr>
        <w:pStyle w:val="86"/>
        <w:spacing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（一）投标人存在投标须知前附表10.5情形之一的，评标委员会组织投标人询问核实后，情况属实的，技术标评审不予通过，否决其投标。</w:t>
      </w:r>
    </w:p>
    <w:p>
      <w:pPr>
        <w:spacing w:line="360" w:lineRule="auto"/>
        <w:rPr>
          <w:rFonts w:ascii="宋体" w:hAnsi="宋体" w:eastAsia="宋体"/>
          <w:color w:val="auto"/>
        </w:rPr>
      </w:pPr>
      <w:r>
        <w:rPr>
          <w:rFonts w:ascii="宋体" w:hAnsi="宋体" w:eastAsia="宋体"/>
          <w:color w:val="auto"/>
        </w:rPr>
        <w:t xml:space="preserve">   （二）技术标评分（≤30分）</w:t>
      </w:r>
    </w:p>
    <w:p>
      <w:pPr>
        <w:pStyle w:val="86"/>
        <w:spacing w:line="360" w:lineRule="auto"/>
        <w:ind w:firstLine="480" w:firstLineChars="200"/>
        <w:rPr>
          <w:rFonts w:ascii="宋体" w:hAnsi="宋体" w:eastAsia="宋体"/>
          <w:color w:val="auto"/>
          <w:sz w:val="24"/>
          <w:szCs w:val="24"/>
        </w:rPr>
      </w:pPr>
      <w:r>
        <w:rPr>
          <w:rFonts w:hint="eastAsia" w:ascii="宋体" w:hAnsi="宋体" w:eastAsia="宋体" w:cs="Arial"/>
          <w:color w:val="auto"/>
          <w:kern w:val="0"/>
          <w:sz w:val="24"/>
          <w:szCs w:val="24"/>
        </w:rPr>
        <w:t>评标委员会各成员按招标文件明确的评审标准独立评审。</w:t>
      </w:r>
      <w:r>
        <w:rPr>
          <w:rFonts w:hint="eastAsia" w:ascii="宋体" w:hAnsi="宋体" w:eastAsia="宋体"/>
          <w:color w:val="auto"/>
          <w:sz w:val="24"/>
          <w:szCs w:val="24"/>
        </w:rPr>
        <w:t>投标人的技术得分值为全体评标委员会成员的评分中去除最高分和最低分后的平均值</w:t>
      </w:r>
      <w:r>
        <w:rPr>
          <w:rFonts w:hint="eastAsia" w:ascii="宋体" w:hAnsi="宋体" w:eastAsia="宋体" w:cs="Arial"/>
          <w:color w:val="auto"/>
          <w:kern w:val="0"/>
          <w:sz w:val="24"/>
          <w:szCs w:val="24"/>
        </w:rPr>
        <w:t>（评标委员会成员打分保留一位小数，结果四舍五入保留两位小数）。</w:t>
      </w:r>
    </w:p>
    <w:p>
      <w:pPr>
        <w:spacing w:line="360" w:lineRule="auto"/>
        <w:ind w:firstLine="421"/>
        <w:jc w:val="center"/>
        <w:rPr>
          <w:rFonts w:ascii="宋体" w:hAnsi="宋体" w:eastAsia="宋体"/>
          <w:color w:val="auto"/>
        </w:rPr>
      </w:pPr>
      <w:r>
        <w:rPr>
          <w:rFonts w:hint="eastAsia" w:ascii="宋体" w:hAnsi="宋体" w:eastAsia="宋体"/>
          <w:color w:val="auto"/>
        </w:rPr>
        <w:t>技术标一般评审因素</w:t>
      </w:r>
    </w:p>
    <w:tbl>
      <w:tblPr>
        <w:tblStyle w:val="4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1"/>
        <w:gridCol w:w="6320"/>
        <w:gridCol w:w="10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1" w:type="dxa"/>
            <w:noWrap w:val="0"/>
            <w:vAlign w:val="top"/>
          </w:tcPr>
          <w:p>
            <w:pPr>
              <w:jc w:val="center"/>
              <w:rPr>
                <w:rFonts w:ascii="宋体" w:hAnsi="宋体" w:eastAsia="宋体"/>
                <w:color w:val="auto"/>
              </w:rPr>
            </w:pPr>
            <w:r>
              <w:rPr>
                <w:rFonts w:hint="eastAsia" w:ascii="宋体" w:hAnsi="宋体" w:eastAsia="宋体"/>
                <w:color w:val="auto"/>
              </w:rPr>
              <w:t>序号</w:t>
            </w:r>
          </w:p>
        </w:tc>
        <w:tc>
          <w:tcPr>
            <w:tcW w:w="6320" w:type="dxa"/>
            <w:noWrap w:val="0"/>
            <w:vAlign w:val="top"/>
          </w:tcPr>
          <w:p>
            <w:pPr>
              <w:jc w:val="center"/>
              <w:rPr>
                <w:rFonts w:ascii="宋体" w:hAnsi="宋体" w:eastAsia="宋体"/>
                <w:color w:val="auto"/>
              </w:rPr>
            </w:pPr>
            <w:r>
              <w:rPr>
                <w:rFonts w:hint="eastAsia" w:ascii="宋体" w:hAnsi="宋体" w:eastAsia="宋体"/>
                <w:color w:val="auto"/>
              </w:rPr>
              <w:t>评审因素</w:t>
            </w:r>
          </w:p>
        </w:tc>
        <w:tc>
          <w:tcPr>
            <w:tcW w:w="1007" w:type="dxa"/>
            <w:noWrap w:val="0"/>
            <w:vAlign w:val="top"/>
          </w:tcPr>
          <w:p>
            <w:pPr>
              <w:jc w:val="center"/>
              <w:rPr>
                <w:rFonts w:ascii="宋体" w:hAnsi="宋体" w:eastAsia="宋体"/>
                <w:color w:val="auto"/>
              </w:rPr>
            </w:pPr>
            <w:r>
              <w:rPr>
                <w:rFonts w:hint="eastAsia" w:ascii="宋体" w:hAnsi="宋体" w:eastAsia="宋体"/>
                <w:color w:val="auto"/>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1" w:type="dxa"/>
            <w:noWrap w:val="0"/>
            <w:vAlign w:val="top"/>
          </w:tcPr>
          <w:p>
            <w:pPr>
              <w:jc w:val="center"/>
              <w:rPr>
                <w:rFonts w:ascii="宋体" w:hAnsi="宋体" w:eastAsia="宋体"/>
                <w:color w:val="auto"/>
              </w:rPr>
            </w:pPr>
            <w:r>
              <w:rPr>
                <w:rFonts w:ascii="宋体" w:hAnsi="宋体" w:eastAsia="宋体"/>
                <w:color w:val="auto"/>
              </w:rPr>
              <w:t>1</w:t>
            </w:r>
          </w:p>
        </w:tc>
        <w:tc>
          <w:tcPr>
            <w:tcW w:w="6320" w:type="dxa"/>
            <w:noWrap w:val="0"/>
            <w:vAlign w:val="top"/>
          </w:tcPr>
          <w:p>
            <w:pPr>
              <w:rPr>
                <w:rFonts w:ascii="宋体" w:hAnsi="宋体" w:eastAsia="宋体"/>
                <w:color w:val="auto"/>
              </w:rPr>
            </w:pPr>
            <w:r>
              <w:rPr>
                <w:rFonts w:hint="eastAsia" w:ascii="宋体" w:hAnsi="宋体" w:eastAsia="宋体"/>
                <w:color w:val="auto"/>
              </w:rPr>
              <w:t>总体施工部署、场地平面布置及说明</w:t>
            </w:r>
          </w:p>
        </w:tc>
        <w:tc>
          <w:tcPr>
            <w:tcW w:w="1007" w:type="dxa"/>
            <w:noWrap w:val="0"/>
            <w:vAlign w:val="top"/>
          </w:tcPr>
          <w:p>
            <w:pPr>
              <w:rPr>
                <w:rFonts w:ascii="宋体" w:hAnsi="宋体" w:eastAsia="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1" w:type="dxa"/>
            <w:noWrap w:val="0"/>
            <w:vAlign w:val="top"/>
          </w:tcPr>
          <w:p>
            <w:pPr>
              <w:jc w:val="center"/>
              <w:rPr>
                <w:rFonts w:ascii="宋体" w:hAnsi="宋体" w:eastAsia="宋体"/>
                <w:color w:val="auto"/>
              </w:rPr>
            </w:pPr>
            <w:r>
              <w:rPr>
                <w:rFonts w:ascii="宋体" w:hAnsi="宋体" w:eastAsia="宋体"/>
                <w:color w:val="auto"/>
              </w:rPr>
              <w:t>2</w:t>
            </w:r>
          </w:p>
        </w:tc>
        <w:tc>
          <w:tcPr>
            <w:tcW w:w="6320" w:type="dxa"/>
            <w:noWrap w:val="0"/>
            <w:vAlign w:val="top"/>
          </w:tcPr>
          <w:p>
            <w:pPr>
              <w:rPr>
                <w:rFonts w:ascii="宋体" w:hAnsi="宋体" w:eastAsia="宋体"/>
                <w:color w:val="auto"/>
              </w:rPr>
            </w:pPr>
            <w:r>
              <w:rPr>
                <w:rFonts w:hint="eastAsia" w:ascii="宋体" w:hAnsi="宋体" w:eastAsia="宋体"/>
                <w:color w:val="auto"/>
              </w:rPr>
              <w:t>主要施工方案</w:t>
            </w:r>
          </w:p>
        </w:tc>
        <w:tc>
          <w:tcPr>
            <w:tcW w:w="1007" w:type="dxa"/>
            <w:noWrap w:val="0"/>
            <w:vAlign w:val="top"/>
          </w:tcPr>
          <w:p>
            <w:pPr>
              <w:rPr>
                <w:rFonts w:ascii="宋体" w:hAnsi="宋体" w:eastAsia="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1" w:type="dxa"/>
            <w:noWrap w:val="0"/>
            <w:vAlign w:val="top"/>
          </w:tcPr>
          <w:p>
            <w:pPr>
              <w:jc w:val="center"/>
              <w:rPr>
                <w:rFonts w:ascii="宋体" w:hAnsi="宋体" w:eastAsia="宋体"/>
                <w:color w:val="auto"/>
              </w:rPr>
            </w:pPr>
            <w:r>
              <w:rPr>
                <w:rFonts w:ascii="宋体" w:hAnsi="宋体" w:eastAsia="宋体"/>
                <w:color w:val="auto"/>
              </w:rPr>
              <w:t>3</w:t>
            </w:r>
          </w:p>
        </w:tc>
        <w:tc>
          <w:tcPr>
            <w:tcW w:w="6320" w:type="dxa"/>
            <w:noWrap w:val="0"/>
            <w:vAlign w:val="top"/>
          </w:tcPr>
          <w:p>
            <w:pPr>
              <w:rPr>
                <w:rFonts w:ascii="宋体" w:hAnsi="宋体" w:eastAsia="宋体"/>
                <w:color w:val="auto"/>
              </w:rPr>
            </w:pPr>
            <w:r>
              <w:rPr>
                <w:rFonts w:hint="eastAsia" w:ascii="宋体" w:hAnsi="宋体" w:eastAsia="宋体"/>
                <w:color w:val="auto"/>
              </w:rPr>
              <w:t>工程质量保障措施</w:t>
            </w:r>
          </w:p>
        </w:tc>
        <w:tc>
          <w:tcPr>
            <w:tcW w:w="1007" w:type="dxa"/>
            <w:noWrap w:val="0"/>
            <w:vAlign w:val="top"/>
          </w:tcPr>
          <w:p>
            <w:pPr>
              <w:rPr>
                <w:rFonts w:ascii="宋体" w:hAnsi="宋体" w:eastAsia="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1" w:type="dxa"/>
            <w:noWrap w:val="0"/>
            <w:vAlign w:val="top"/>
          </w:tcPr>
          <w:p>
            <w:pPr>
              <w:jc w:val="center"/>
              <w:rPr>
                <w:rFonts w:ascii="宋体" w:hAnsi="宋体" w:eastAsia="宋体"/>
                <w:color w:val="auto"/>
              </w:rPr>
            </w:pPr>
            <w:r>
              <w:rPr>
                <w:rFonts w:ascii="宋体" w:hAnsi="宋体" w:eastAsia="宋体"/>
                <w:color w:val="auto"/>
              </w:rPr>
              <w:t>4</w:t>
            </w:r>
          </w:p>
        </w:tc>
        <w:tc>
          <w:tcPr>
            <w:tcW w:w="6320" w:type="dxa"/>
            <w:noWrap w:val="0"/>
            <w:vAlign w:val="top"/>
          </w:tcPr>
          <w:p>
            <w:pPr>
              <w:rPr>
                <w:rFonts w:ascii="宋体" w:hAnsi="宋体" w:eastAsia="宋体"/>
                <w:color w:val="auto"/>
              </w:rPr>
            </w:pPr>
            <w:r>
              <w:rPr>
                <w:rFonts w:hint="eastAsia" w:ascii="宋体" w:hAnsi="宋体" w:eastAsia="宋体"/>
                <w:color w:val="auto"/>
              </w:rPr>
              <w:t>施工进度计划和保障措施</w:t>
            </w:r>
          </w:p>
        </w:tc>
        <w:tc>
          <w:tcPr>
            <w:tcW w:w="1007" w:type="dxa"/>
            <w:noWrap w:val="0"/>
            <w:vAlign w:val="top"/>
          </w:tcPr>
          <w:p>
            <w:pPr>
              <w:rPr>
                <w:rFonts w:ascii="宋体" w:hAnsi="宋体" w:eastAsia="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1" w:type="dxa"/>
            <w:noWrap w:val="0"/>
            <w:vAlign w:val="top"/>
          </w:tcPr>
          <w:p>
            <w:pPr>
              <w:jc w:val="center"/>
              <w:rPr>
                <w:rFonts w:ascii="宋体" w:hAnsi="宋体" w:eastAsia="宋体"/>
                <w:color w:val="auto"/>
              </w:rPr>
            </w:pPr>
            <w:r>
              <w:rPr>
                <w:rFonts w:ascii="宋体" w:hAnsi="宋体" w:eastAsia="宋体"/>
                <w:color w:val="auto"/>
              </w:rPr>
              <w:t>5</w:t>
            </w:r>
          </w:p>
        </w:tc>
        <w:tc>
          <w:tcPr>
            <w:tcW w:w="6320" w:type="dxa"/>
            <w:noWrap w:val="0"/>
            <w:vAlign w:val="top"/>
          </w:tcPr>
          <w:p>
            <w:pPr>
              <w:rPr>
                <w:rFonts w:ascii="宋体" w:hAnsi="宋体" w:eastAsia="宋体"/>
                <w:color w:val="auto"/>
              </w:rPr>
            </w:pPr>
            <w:r>
              <w:rPr>
                <w:rFonts w:hint="eastAsia" w:ascii="宋体" w:hAnsi="宋体" w:eastAsia="宋体"/>
                <w:color w:val="auto"/>
              </w:rPr>
              <w:t>安全生产、文明施工、环境保护措施</w:t>
            </w:r>
          </w:p>
        </w:tc>
        <w:tc>
          <w:tcPr>
            <w:tcW w:w="1007" w:type="dxa"/>
            <w:noWrap w:val="0"/>
            <w:vAlign w:val="top"/>
          </w:tcPr>
          <w:p>
            <w:pPr>
              <w:rPr>
                <w:rFonts w:ascii="宋体" w:hAnsi="宋体" w:eastAsia="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1" w:type="dxa"/>
            <w:noWrap w:val="0"/>
            <w:vAlign w:val="top"/>
          </w:tcPr>
          <w:p>
            <w:pPr>
              <w:jc w:val="center"/>
              <w:rPr>
                <w:rFonts w:ascii="宋体" w:hAnsi="宋体" w:eastAsia="宋体"/>
                <w:color w:val="auto"/>
              </w:rPr>
            </w:pPr>
            <w:r>
              <w:rPr>
                <w:rFonts w:ascii="宋体" w:hAnsi="宋体" w:eastAsia="宋体"/>
                <w:color w:val="auto"/>
              </w:rPr>
              <w:t>6</w:t>
            </w:r>
          </w:p>
        </w:tc>
        <w:tc>
          <w:tcPr>
            <w:tcW w:w="6320" w:type="dxa"/>
            <w:noWrap w:val="0"/>
            <w:vAlign w:val="top"/>
          </w:tcPr>
          <w:p>
            <w:pPr>
              <w:rPr>
                <w:rFonts w:ascii="宋体" w:hAnsi="宋体" w:eastAsia="宋体"/>
                <w:color w:val="auto"/>
              </w:rPr>
            </w:pPr>
            <w:r>
              <w:rPr>
                <w:rFonts w:hint="eastAsia" w:ascii="宋体" w:hAnsi="宋体" w:eastAsia="宋体"/>
                <w:color w:val="auto"/>
              </w:rPr>
              <w:t>项目管理人员配置情况</w:t>
            </w:r>
          </w:p>
        </w:tc>
        <w:tc>
          <w:tcPr>
            <w:tcW w:w="1007" w:type="dxa"/>
            <w:noWrap w:val="0"/>
            <w:vAlign w:val="top"/>
          </w:tcPr>
          <w:p>
            <w:pPr>
              <w:rPr>
                <w:rFonts w:ascii="宋体" w:hAnsi="宋体" w:eastAsia="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1" w:type="dxa"/>
            <w:noWrap w:val="0"/>
            <w:vAlign w:val="top"/>
          </w:tcPr>
          <w:p>
            <w:pPr>
              <w:jc w:val="center"/>
              <w:rPr>
                <w:rFonts w:ascii="宋体" w:hAnsi="宋体" w:eastAsia="宋体"/>
                <w:color w:val="auto"/>
              </w:rPr>
            </w:pPr>
            <w:r>
              <w:rPr>
                <w:rFonts w:ascii="宋体" w:hAnsi="宋体" w:eastAsia="宋体"/>
                <w:color w:val="auto"/>
              </w:rPr>
              <w:t>7</w:t>
            </w:r>
          </w:p>
        </w:tc>
        <w:tc>
          <w:tcPr>
            <w:tcW w:w="6320" w:type="dxa"/>
            <w:noWrap w:val="0"/>
            <w:vAlign w:val="top"/>
          </w:tcPr>
          <w:p>
            <w:pPr>
              <w:rPr>
                <w:rFonts w:ascii="宋体" w:hAnsi="宋体" w:eastAsia="宋体"/>
                <w:color w:val="auto"/>
              </w:rPr>
            </w:pPr>
            <w:r>
              <w:rPr>
                <w:rFonts w:hint="eastAsia" w:ascii="宋体" w:hAnsi="宋体" w:eastAsia="宋体"/>
                <w:color w:val="auto"/>
              </w:rPr>
              <w:t>主要施工设备配置情况</w:t>
            </w:r>
          </w:p>
        </w:tc>
        <w:tc>
          <w:tcPr>
            <w:tcW w:w="1007" w:type="dxa"/>
            <w:noWrap w:val="0"/>
            <w:vAlign w:val="top"/>
          </w:tcPr>
          <w:p>
            <w:pPr>
              <w:rPr>
                <w:rFonts w:ascii="宋体" w:hAnsi="宋体" w:eastAsia="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1" w:type="dxa"/>
            <w:noWrap w:val="0"/>
            <w:vAlign w:val="center"/>
          </w:tcPr>
          <w:p>
            <w:pPr>
              <w:jc w:val="center"/>
              <w:rPr>
                <w:rFonts w:ascii="宋体" w:hAnsi="宋体" w:eastAsia="宋体"/>
                <w:color w:val="auto"/>
              </w:rPr>
            </w:pPr>
            <w:r>
              <w:rPr>
                <w:rFonts w:ascii="宋体" w:hAnsi="宋体" w:eastAsia="宋体"/>
                <w:color w:val="auto"/>
              </w:rPr>
              <w:t>8</w:t>
            </w:r>
          </w:p>
        </w:tc>
        <w:tc>
          <w:tcPr>
            <w:tcW w:w="6320" w:type="dxa"/>
            <w:noWrap w:val="0"/>
            <w:vAlign w:val="top"/>
          </w:tcPr>
          <w:p>
            <w:pPr>
              <w:rPr>
                <w:rFonts w:ascii="宋体" w:hAnsi="宋体" w:eastAsia="宋体"/>
                <w:color w:val="auto"/>
              </w:rPr>
            </w:pPr>
            <w:r>
              <w:rPr>
                <w:rFonts w:hint="eastAsia" w:ascii="宋体" w:hAnsi="宋体" w:eastAsia="宋体"/>
                <w:color w:val="auto"/>
              </w:rPr>
              <w:t>针对本工程的重点、难点和关键部分进行分析并阐明可行的施工组织方案</w:t>
            </w:r>
          </w:p>
        </w:tc>
        <w:tc>
          <w:tcPr>
            <w:tcW w:w="1007" w:type="dxa"/>
            <w:noWrap w:val="0"/>
            <w:vAlign w:val="top"/>
          </w:tcPr>
          <w:p>
            <w:pPr>
              <w:rPr>
                <w:rFonts w:ascii="宋体" w:hAnsi="宋体" w:eastAsia="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1271" w:type="dxa"/>
            <w:noWrap w:val="0"/>
            <w:vAlign w:val="top"/>
          </w:tcPr>
          <w:p>
            <w:pPr>
              <w:jc w:val="center"/>
              <w:rPr>
                <w:rFonts w:ascii="宋体" w:hAnsi="宋体" w:eastAsia="宋体"/>
                <w:color w:val="auto"/>
              </w:rPr>
            </w:pPr>
            <w:r>
              <w:rPr>
                <w:rFonts w:ascii="宋体" w:hAnsi="宋体" w:eastAsia="宋体"/>
                <w:color w:val="auto"/>
              </w:rPr>
              <w:t>9</w:t>
            </w:r>
          </w:p>
        </w:tc>
        <w:tc>
          <w:tcPr>
            <w:tcW w:w="6320" w:type="dxa"/>
            <w:noWrap w:val="0"/>
            <w:vAlign w:val="top"/>
          </w:tcPr>
          <w:p>
            <w:pPr>
              <w:rPr>
                <w:rFonts w:ascii="宋体" w:hAnsi="宋体" w:eastAsia="宋体"/>
                <w:color w:val="auto"/>
              </w:rPr>
            </w:pPr>
            <w:r>
              <w:rPr>
                <w:rFonts w:hint="eastAsia" w:ascii="宋体" w:hAnsi="宋体" w:eastAsia="宋体"/>
                <w:color w:val="auto"/>
              </w:rPr>
              <w:t>投标人陈述和答辩（若有）</w:t>
            </w:r>
          </w:p>
        </w:tc>
        <w:tc>
          <w:tcPr>
            <w:tcW w:w="1007" w:type="dxa"/>
            <w:noWrap w:val="0"/>
            <w:vAlign w:val="top"/>
          </w:tcPr>
          <w:p>
            <w:pPr>
              <w:rPr>
                <w:rFonts w:ascii="宋体" w:hAnsi="宋体" w:eastAsia="宋体"/>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8598" w:type="dxa"/>
            <w:gridSpan w:val="3"/>
            <w:noWrap w:val="0"/>
            <w:vAlign w:val="top"/>
          </w:tcPr>
          <w:p>
            <w:pPr>
              <w:rPr>
                <w:rFonts w:ascii="宋体" w:hAnsi="宋体" w:eastAsia="宋体"/>
                <w:color w:val="auto"/>
              </w:rPr>
            </w:pPr>
            <w:r>
              <w:rPr>
                <w:rFonts w:hint="eastAsia" w:ascii="宋体" w:hAnsi="宋体" w:eastAsia="宋体"/>
                <w:color w:val="auto"/>
              </w:rPr>
              <w:t>备注：招标人可根据招标项目的实际需求要求投标人陈述和答辩，陈述和答辩具体要求见投标须知前附表，</w:t>
            </w:r>
            <w:r>
              <w:rPr>
                <w:rFonts w:ascii="宋体" w:hAnsi="宋体" w:eastAsia="宋体"/>
                <w:color w:val="auto"/>
              </w:rPr>
              <w:t>；其余技术标打分条款由招标人根据项目实际情况进行设置，</w:t>
            </w:r>
            <w:r>
              <w:rPr>
                <w:rFonts w:hint="eastAsia" w:ascii="宋体" w:hAnsi="宋体" w:eastAsia="宋体" w:cs="Times New Roman"/>
                <w:b w:val="0"/>
                <w:bCs w:val="0"/>
                <w:color w:val="auto"/>
                <w:kern w:val="0"/>
                <w:sz w:val="24"/>
                <w:szCs w:val="24"/>
                <w:lang w:val="en-US" w:eastAsia="zh-CN" w:bidi="ar-SA"/>
              </w:rPr>
              <w:t>并进一步明确具体的评审因素。</w:t>
            </w:r>
            <w:r>
              <w:rPr>
                <w:rFonts w:hint="eastAsia" w:ascii="宋体" w:hAnsi="宋体"/>
                <w:color w:val="auto"/>
                <w:lang w:val="en-US" w:eastAsia="zh-CN"/>
              </w:rPr>
              <w:t>1－9项各单项</w:t>
            </w:r>
            <w:r>
              <w:rPr>
                <w:rFonts w:hint="eastAsia" w:ascii="宋体" w:hAnsi="宋体" w:eastAsia="宋体"/>
                <w:color w:val="auto"/>
              </w:rPr>
              <w:t>分值不超过</w:t>
            </w:r>
            <w:r>
              <w:rPr>
                <w:rFonts w:ascii="宋体" w:hAnsi="宋体" w:eastAsia="宋体"/>
                <w:color w:val="auto"/>
              </w:rPr>
              <w:t>5分</w:t>
            </w:r>
            <w:r>
              <w:rPr>
                <w:rFonts w:hint="eastAsia" w:ascii="宋体" w:hAnsi="宋体"/>
                <w:color w:val="auto"/>
                <w:lang w:eastAsia="zh-CN"/>
              </w:rPr>
              <w:t>，</w:t>
            </w:r>
            <w:r>
              <w:rPr>
                <w:rFonts w:ascii="宋体" w:hAnsi="宋体" w:eastAsia="宋体"/>
                <w:color w:val="auto"/>
              </w:rPr>
              <w:t>技术标总分设置不超过30分。</w:t>
            </w:r>
            <w:r>
              <w:rPr>
                <w:rFonts w:hint="eastAsia" w:ascii="宋体" w:hAnsi="宋体" w:eastAsia="宋体" w:cs="Times New Roman"/>
                <w:b w:val="0"/>
                <w:bCs w:val="0"/>
                <w:color w:val="auto"/>
                <w:kern w:val="0"/>
                <w:sz w:val="24"/>
                <w:szCs w:val="24"/>
                <w:lang w:val="en-US" w:eastAsia="zh-CN" w:bidi="ar-SA"/>
              </w:rPr>
              <w:t>单项的分值一般按优、良、一般和未提供相应资料四挡，得分值一般分别按（0.9-1.0]*单项分值、(0.6-0.9]*单项分值、（0.4-0.6]*单项分值和0分，上限值包含本数，下限值不包含本数，6、7单项视情设置。</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Times New Roman" w:hAnsi="Times New Roman" w:eastAsia="仿宋_GB2312" w:cs="仿宋_GB2312"/>
          <w:b w:val="0"/>
          <w:bCs w:val="0"/>
          <w:color w:val="auto"/>
          <w:kern w:val="0"/>
          <w:sz w:val="32"/>
          <w:szCs w:val="32"/>
          <w:lang w:val="en-US" w:eastAsia="zh-CN" w:bidi="ar-SA"/>
        </w:rPr>
      </w:pPr>
    </w:p>
    <w:p>
      <w:pPr>
        <w:pStyle w:val="129"/>
        <w:numPr>
          <w:ilvl w:val="0"/>
          <w:numId w:val="40"/>
        </w:numPr>
        <w:snapToGrid w:val="0"/>
        <w:spacing w:line="360" w:lineRule="auto"/>
        <w:ind w:left="0" w:firstLine="482" w:firstLineChars="200"/>
        <w:rPr>
          <w:rFonts w:ascii="宋体" w:hAnsi="宋体" w:eastAsia="宋体"/>
          <w:b/>
          <w:color w:val="auto"/>
        </w:rPr>
      </w:pPr>
      <w:r>
        <w:rPr>
          <w:rFonts w:hint="eastAsia" w:ascii="宋体" w:hAnsi="宋体" w:eastAsia="宋体"/>
          <w:b/>
          <w:color w:val="auto"/>
        </w:rPr>
        <w:t>初步评审</w:t>
      </w:r>
    </w:p>
    <w:p>
      <w:pPr>
        <w:snapToGrid w:val="0"/>
        <w:spacing w:line="360" w:lineRule="auto"/>
        <w:ind w:firstLine="480" w:firstLineChars="200"/>
        <w:rPr>
          <w:rFonts w:ascii="宋体" w:hAnsi="宋体" w:eastAsia="宋体"/>
          <w:color w:val="auto"/>
        </w:rPr>
      </w:pPr>
      <w:r>
        <w:rPr>
          <w:rFonts w:ascii="宋体" w:hAnsi="宋体" w:eastAsia="宋体"/>
          <w:color w:val="auto"/>
        </w:rPr>
        <w:t>评标委员会对通过技术标评审</w:t>
      </w:r>
      <w:r>
        <w:rPr>
          <w:rFonts w:hint="eastAsia" w:ascii="宋体" w:hAnsi="宋体" w:eastAsia="宋体"/>
          <w:color w:val="auto"/>
        </w:rPr>
        <w:t>和资格审查</w:t>
      </w:r>
      <w:r>
        <w:rPr>
          <w:rFonts w:ascii="宋体" w:hAnsi="宋体" w:eastAsia="宋体"/>
          <w:color w:val="auto"/>
        </w:rPr>
        <w:t>的投标文件进行初步评审，</w:t>
      </w:r>
      <w:r>
        <w:rPr>
          <w:rFonts w:hint="eastAsia" w:ascii="宋体" w:hAnsi="宋体" w:eastAsia="宋体" w:cs="宋体"/>
          <w:color w:val="auto"/>
        </w:rPr>
        <w:t>投标人存在</w:t>
      </w:r>
      <w:r>
        <w:rPr>
          <w:rFonts w:hint="eastAsia" w:eastAsia="宋体"/>
          <w:color w:val="auto"/>
        </w:rPr>
        <w:t>投标须知前附表10.5</w:t>
      </w:r>
      <w:r>
        <w:rPr>
          <w:rFonts w:hint="eastAsia" w:ascii="宋体" w:hAnsi="宋体" w:eastAsia="宋体" w:cs="宋体"/>
          <w:color w:val="auto"/>
        </w:rPr>
        <w:t>情形之一的，评标委员会组织投标人询问核实后，情况属实的</w:t>
      </w:r>
      <w:r>
        <w:rPr>
          <w:rFonts w:ascii="宋体" w:hAnsi="宋体" w:eastAsia="宋体"/>
          <w:color w:val="auto"/>
        </w:rPr>
        <w:t>，初步评审不予通过，否决其投标</w:t>
      </w:r>
      <w:r>
        <w:rPr>
          <w:rFonts w:hint="eastAsia" w:ascii="宋体" w:hAnsi="宋体" w:eastAsia="宋体"/>
          <w:color w:val="auto"/>
        </w:rPr>
        <w:t>。</w:t>
      </w:r>
    </w:p>
    <w:p>
      <w:pPr>
        <w:pStyle w:val="129"/>
        <w:numPr>
          <w:ilvl w:val="0"/>
          <w:numId w:val="40"/>
        </w:numPr>
        <w:snapToGrid w:val="0"/>
        <w:spacing w:line="360" w:lineRule="auto"/>
        <w:ind w:left="0" w:firstLine="482" w:firstLineChars="200"/>
        <w:rPr>
          <w:rFonts w:ascii="宋体" w:hAnsi="宋体" w:eastAsia="宋体"/>
          <w:b/>
          <w:color w:val="auto"/>
        </w:rPr>
      </w:pPr>
      <w:r>
        <w:rPr>
          <w:rFonts w:hint="eastAsia" w:ascii="宋体" w:hAnsi="宋体" w:eastAsia="宋体"/>
          <w:b/>
          <w:color w:val="auto"/>
        </w:rPr>
        <w:t>资信标评审（≤</w:t>
      </w:r>
      <w:r>
        <w:rPr>
          <w:rFonts w:ascii="宋体" w:hAnsi="宋体" w:eastAsia="宋体"/>
          <w:b/>
          <w:color w:val="auto"/>
        </w:rPr>
        <w:t>10分）</w:t>
      </w:r>
    </w:p>
    <w:p>
      <w:pPr>
        <w:pStyle w:val="86"/>
        <w:spacing w:line="360" w:lineRule="auto"/>
        <w:ind w:firstLine="480" w:firstLineChars="200"/>
        <w:rPr>
          <w:rFonts w:hint="eastAsia" w:ascii="宋体" w:hAnsi="宋体" w:cs="Times New Roman"/>
          <w:b w:val="0"/>
          <w:bCs w:val="0"/>
          <w:color w:val="auto"/>
          <w:kern w:val="0"/>
          <w:sz w:val="24"/>
          <w:szCs w:val="24"/>
          <w:u w:val="single"/>
          <w:lang w:val="en-US" w:eastAsia="zh-CN"/>
        </w:rPr>
      </w:pPr>
      <w:r>
        <w:rPr>
          <w:rFonts w:hint="eastAsia" w:ascii="宋体" w:hAnsi="宋体" w:eastAsia="宋体" w:cs="Times New Roman"/>
          <w:color w:val="auto"/>
          <w:kern w:val="0"/>
          <w:sz w:val="24"/>
          <w:szCs w:val="24"/>
        </w:rPr>
        <w:t>资信分可根据投标单位的企业综合实力、类似工程业绩、建设主管部门的信用评价体系、项目负责人及项目班子人员能力等因素进行设置</w:t>
      </w:r>
      <w:r>
        <w:rPr>
          <w:rFonts w:hint="eastAsia" w:ascii="宋体" w:hAnsi="宋体" w:cs="Times New Roman"/>
          <w:color w:val="auto"/>
          <w:kern w:val="0"/>
          <w:sz w:val="24"/>
          <w:szCs w:val="24"/>
          <w:lang w:eastAsia="zh-CN"/>
        </w:rPr>
        <w:t>。</w:t>
      </w:r>
      <w:r>
        <w:rPr>
          <w:rFonts w:hint="eastAsia" w:ascii="宋体" w:hAnsi="宋体" w:eastAsia="宋体" w:cs="Times New Roman"/>
          <w:b w:val="0"/>
          <w:bCs w:val="0"/>
          <w:color w:val="auto"/>
          <w:kern w:val="0"/>
          <w:sz w:val="24"/>
          <w:szCs w:val="24"/>
          <w:lang w:val="en-US" w:eastAsia="zh-CN" w:bidi="ar-SA"/>
        </w:rPr>
        <w:t>建设主管部门的信用评价体系分值为5分，其他每个单项的</w:t>
      </w:r>
      <w:r>
        <w:rPr>
          <w:rFonts w:hint="eastAsia" w:ascii="宋体" w:hAnsi="宋体" w:eastAsia="宋体" w:cs="Times New Roman"/>
          <w:color w:val="auto"/>
          <w:kern w:val="0"/>
          <w:sz w:val="24"/>
          <w:szCs w:val="24"/>
        </w:rPr>
        <w:t>具体内容和分值由招标人自行确定</w:t>
      </w:r>
      <w:r>
        <w:rPr>
          <w:rFonts w:hint="eastAsia" w:ascii="宋体" w:hAnsi="宋体" w:eastAsia="宋体"/>
          <w:color w:val="auto"/>
          <w:spacing w:val="0"/>
          <w:kern w:val="0"/>
          <w:sz w:val="24"/>
          <w:szCs w:val="24"/>
        </w:rPr>
        <w:t>。</w:t>
      </w:r>
      <w:r>
        <w:rPr>
          <w:rFonts w:hint="eastAsia" w:ascii="宋体" w:hAnsi="宋体" w:eastAsia="宋体" w:cs="Times New Roman"/>
          <w:b w:val="0"/>
          <w:bCs w:val="0"/>
          <w:color w:val="auto"/>
          <w:kern w:val="0"/>
          <w:sz w:val="24"/>
          <w:szCs w:val="24"/>
          <w:lang w:val="en-US" w:eastAsia="zh-CN"/>
        </w:rPr>
        <w:t>具体评审办法为：</w:t>
      </w:r>
      <w:r>
        <w:rPr>
          <w:rFonts w:hint="eastAsia" w:ascii="宋体" w:hAnsi="宋体" w:cs="Times New Roman"/>
          <w:b w:val="0"/>
          <w:bCs w:val="0"/>
          <w:color w:val="auto"/>
          <w:kern w:val="0"/>
          <w:sz w:val="24"/>
          <w:szCs w:val="24"/>
          <w:u w:val="single"/>
          <w:lang w:val="en-US" w:eastAsia="zh-CN"/>
        </w:rPr>
        <w:t xml:space="preserve">                                                              </w:t>
      </w:r>
    </w:p>
    <w:p>
      <w:pPr>
        <w:pStyle w:val="86"/>
        <w:spacing w:line="360" w:lineRule="auto"/>
        <w:ind w:firstLine="480" w:firstLineChars="200"/>
        <w:rPr>
          <w:rFonts w:hint="default" w:ascii="CESI仿宋-GB2312" w:hAnsi="CESI仿宋-GB2312" w:eastAsia="CESI仿宋-GB2312" w:cs="CESI仿宋-GB2312"/>
          <w:b w:val="0"/>
          <w:bCs w:val="0"/>
          <w:color w:val="auto"/>
          <w:sz w:val="32"/>
          <w:szCs w:val="32"/>
          <w:u w:val="single"/>
          <w:lang w:val="en-US" w:eastAsia="zh-CN"/>
        </w:rPr>
      </w:pPr>
      <w:r>
        <w:rPr>
          <w:rFonts w:hint="eastAsia" w:ascii="宋体" w:hAnsi="宋体" w:cs="Times New Roman"/>
          <w:b w:val="0"/>
          <w:bCs w:val="0"/>
          <w:color w:val="auto"/>
          <w:kern w:val="0"/>
          <w:sz w:val="24"/>
          <w:szCs w:val="24"/>
          <w:u w:val="single"/>
          <w:lang w:val="en-US" w:eastAsia="zh-CN"/>
        </w:rPr>
        <w:t xml:space="preserve">                                                                    </w:t>
      </w:r>
    </w:p>
    <w:p>
      <w:pPr>
        <w:pStyle w:val="86"/>
        <w:spacing w:line="360" w:lineRule="auto"/>
        <w:ind w:firstLine="432" w:firstLineChars="200"/>
        <w:rPr>
          <w:rFonts w:ascii="宋体" w:hAnsi="宋体" w:eastAsia="宋体"/>
          <w:color w:val="auto"/>
          <w:spacing w:val="-12"/>
          <w:sz w:val="24"/>
          <w:szCs w:val="24"/>
        </w:rPr>
      </w:pPr>
    </w:p>
    <w:p>
      <w:pPr>
        <w:pStyle w:val="129"/>
        <w:numPr>
          <w:ilvl w:val="0"/>
          <w:numId w:val="40"/>
        </w:numPr>
        <w:snapToGrid w:val="0"/>
        <w:spacing w:line="360" w:lineRule="auto"/>
        <w:ind w:left="0" w:firstLine="482" w:firstLineChars="200"/>
        <w:rPr>
          <w:rFonts w:ascii="宋体" w:hAnsi="宋体" w:eastAsia="宋体"/>
          <w:b/>
          <w:color w:val="auto"/>
        </w:rPr>
      </w:pPr>
      <w:r>
        <w:rPr>
          <w:rFonts w:hint="eastAsia" w:ascii="宋体" w:hAnsi="宋体" w:eastAsia="宋体"/>
          <w:b/>
          <w:color w:val="auto"/>
        </w:rPr>
        <w:t>商务标评审</w:t>
      </w:r>
    </w:p>
    <w:p>
      <w:pPr>
        <w:spacing w:line="360" w:lineRule="auto"/>
        <w:rPr>
          <w:rFonts w:ascii="宋体" w:hAnsi="宋体" w:eastAsia="宋体" w:cs="宋体"/>
          <w:color w:val="auto"/>
        </w:rPr>
      </w:pPr>
      <w:r>
        <w:rPr>
          <w:rFonts w:ascii="宋体" w:hAnsi="宋体" w:eastAsia="宋体" w:cs="宋体"/>
          <w:color w:val="auto"/>
        </w:rPr>
        <w:t xml:space="preserve">   </w:t>
      </w:r>
      <w:r>
        <w:rPr>
          <w:rFonts w:hint="eastAsia" w:ascii="宋体" w:hAnsi="宋体" w:eastAsia="宋体"/>
          <w:color w:val="auto"/>
        </w:rPr>
        <w:t>（一）</w:t>
      </w:r>
      <w:r>
        <w:rPr>
          <w:rFonts w:hint="eastAsia" w:ascii="宋体" w:hAnsi="宋体" w:eastAsia="宋体" w:cs="宋体"/>
          <w:color w:val="auto"/>
        </w:rPr>
        <w:t>商务标评审是对投标文件中工程量清单的范围、数量、报价进行全面审核和对比分析。投标人存在</w:t>
      </w:r>
      <w:r>
        <w:rPr>
          <w:rFonts w:hint="eastAsia" w:eastAsia="宋体"/>
          <w:color w:val="auto"/>
        </w:rPr>
        <w:t>投标须知前附表10.5</w:t>
      </w:r>
      <w:r>
        <w:rPr>
          <w:rFonts w:hint="eastAsia" w:ascii="宋体" w:hAnsi="宋体" w:eastAsia="宋体" w:cs="宋体"/>
          <w:color w:val="auto"/>
        </w:rPr>
        <w:t>情形之一的，评标委员会组织投标人询问核实后，情况属实的，商务标评审不予通过，否决其投标</w:t>
      </w:r>
      <w:r>
        <w:rPr>
          <w:rFonts w:hint="eastAsia" w:eastAsia="宋体"/>
          <w:color w:val="auto"/>
        </w:rPr>
        <w:t>。</w:t>
      </w:r>
    </w:p>
    <w:p>
      <w:pPr>
        <w:spacing w:line="360" w:lineRule="auto"/>
        <w:ind w:firstLine="480" w:firstLineChars="200"/>
        <w:rPr>
          <w:rFonts w:ascii="宋体" w:hAnsi="宋体" w:eastAsia="宋体"/>
          <w:color w:val="auto"/>
        </w:rPr>
      </w:pPr>
      <w:r>
        <w:rPr>
          <w:rFonts w:hint="eastAsia" w:ascii="宋体" w:hAnsi="宋体" w:eastAsia="宋体"/>
          <w:color w:val="auto"/>
        </w:rPr>
        <w:t>（二）商务标评分（≥</w:t>
      </w:r>
      <w:r>
        <w:rPr>
          <w:rFonts w:ascii="宋体" w:hAnsi="宋体" w:eastAsia="宋体"/>
          <w:color w:val="auto"/>
        </w:rPr>
        <w:t>60分）</w:t>
      </w:r>
    </w:p>
    <w:p>
      <w:pPr>
        <w:snapToGrid w:val="0"/>
        <w:spacing w:line="360" w:lineRule="auto"/>
        <w:ind w:firstLine="480" w:firstLineChars="200"/>
        <w:rPr>
          <w:rFonts w:ascii="宋体" w:hAnsi="宋体" w:eastAsia="宋体" w:cs="宋体"/>
          <w:color w:val="auto"/>
        </w:rPr>
      </w:pPr>
      <w:r>
        <w:rPr>
          <w:rFonts w:hint="eastAsia" w:ascii="宋体" w:hAnsi="宋体" w:eastAsia="宋体" w:cs="宋体"/>
          <w:color w:val="auto"/>
        </w:rPr>
        <w:t>投标报价等于评标基准价时，商务</w:t>
      </w:r>
      <w:r>
        <w:rPr>
          <w:rFonts w:hint="eastAsia" w:ascii="宋体" w:hAnsi="宋体"/>
          <w:color w:val="auto"/>
        </w:rPr>
        <w:t>评分</w:t>
      </w:r>
      <w:r>
        <w:rPr>
          <w:rFonts w:hint="eastAsia" w:ascii="宋体" w:hAnsi="宋体" w:eastAsia="宋体" w:cs="宋体"/>
          <w:color w:val="auto"/>
        </w:rPr>
        <w:t>为满分；投标报价每高于评标基准价</w:t>
      </w:r>
      <w:r>
        <w:rPr>
          <w:rFonts w:ascii="宋体" w:hAnsi="宋体" w:eastAsia="宋体" w:cs="宋体"/>
          <w:color w:val="auto"/>
        </w:rPr>
        <w:t>1%扣2A分；每低于评标基准价1%扣A分。不足一个百分点时，使用直线插入法计算，</w:t>
      </w:r>
      <w:r>
        <w:rPr>
          <w:rFonts w:hint="eastAsia" w:ascii="宋体" w:hAnsi="宋体" w:eastAsia="宋体" w:cs="宋体"/>
          <w:color w:val="auto"/>
        </w:rPr>
        <w:t>结果四舍五入保留两位小数</w:t>
      </w:r>
      <w:r>
        <w:rPr>
          <w:rFonts w:ascii="宋体" w:hAnsi="宋体" w:eastAsia="宋体" w:cs="宋体"/>
          <w:color w:val="auto"/>
        </w:rPr>
        <w:t>。</w:t>
      </w:r>
    </w:p>
    <w:p>
      <w:pPr>
        <w:snapToGrid w:val="0"/>
        <w:spacing w:line="360" w:lineRule="auto"/>
        <w:ind w:firstLine="360" w:firstLineChars="150"/>
        <w:rPr>
          <w:rFonts w:ascii="宋体" w:hAnsi="宋体" w:eastAsia="宋体" w:cs="宋体"/>
          <w:color w:val="auto"/>
        </w:rPr>
      </w:pPr>
      <w:r>
        <w:rPr>
          <w:rFonts w:ascii="宋体" w:hAnsi="宋体" w:eastAsia="宋体" w:cs="宋体"/>
          <w:color w:val="auto"/>
        </w:rPr>
        <w:t>评标基准价</w:t>
      </w:r>
      <w:r>
        <w:rPr>
          <w:rFonts w:hint="eastAsia" w:ascii="宋体" w:hAnsi="宋体" w:eastAsia="宋体" w:cs="宋体"/>
          <w:color w:val="auto"/>
        </w:rPr>
        <w:t>确定方法规则由当地招投标主管部门制定，计算精度保留到元，除计算差错外，评标过程中基准价保持不变。</w:t>
      </w:r>
    </w:p>
    <w:p>
      <w:pPr>
        <w:snapToGrid w:val="0"/>
        <w:spacing w:line="360" w:lineRule="auto"/>
        <w:ind w:firstLine="480" w:firstLineChars="200"/>
        <w:rPr>
          <w:rFonts w:ascii="宋体" w:hAnsi="宋体" w:eastAsia="宋体" w:cs="宋体"/>
          <w:i/>
          <w:color w:val="auto"/>
        </w:rPr>
      </w:pPr>
      <w:r>
        <w:rPr>
          <w:rFonts w:hint="eastAsia" w:ascii="宋体" w:hAnsi="宋体" w:eastAsia="宋体" w:cs="宋体"/>
          <w:color w:val="auto"/>
        </w:rPr>
        <w:t>计算差错，仅限于以下两种情况：（</w:t>
      </w:r>
      <w:r>
        <w:rPr>
          <w:rFonts w:ascii="宋体" w:hAnsi="宋体" w:eastAsia="宋体" w:cs="宋体"/>
          <w:color w:val="auto"/>
        </w:rPr>
        <w:t>1）纯算术性四则运算差错；（2）未按约定的计算方法，多计或者少计投标人报价的。由于评标差错，导致否决投标错误，重新评标纠正等其他情况，不属于计算差错。</w:t>
      </w:r>
    </w:p>
    <w:p>
      <w:pPr>
        <w:numPr>
          <w:ilvl w:val="0"/>
          <w:numId w:val="40"/>
        </w:numPr>
        <w:snapToGrid w:val="0"/>
        <w:spacing w:line="360" w:lineRule="auto"/>
        <w:ind w:left="0" w:firstLine="482" w:firstLineChars="200"/>
        <w:rPr>
          <w:rFonts w:ascii="宋体" w:hAnsi="宋体" w:eastAsia="宋体"/>
          <w:b/>
          <w:color w:val="auto"/>
        </w:rPr>
      </w:pPr>
      <w:r>
        <w:rPr>
          <w:rFonts w:hint="eastAsia" w:ascii="宋体" w:hAnsi="宋体" w:eastAsia="宋体"/>
          <w:b/>
          <w:color w:val="auto"/>
        </w:rPr>
        <w:t>推荐中标候选人</w:t>
      </w:r>
    </w:p>
    <w:p>
      <w:pPr>
        <w:snapToGrid w:val="0"/>
        <w:spacing w:line="360" w:lineRule="auto"/>
        <w:ind w:firstLine="480" w:firstLineChars="200"/>
        <w:rPr>
          <w:rFonts w:ascii="宋体" w:hAnsi="宋体" w:eastAsia="宋体"/>
          <w:color w:val="auto"/>
        </w:rPr>
      </w:pPr>
      <w:r>
        <w:rPr>
          <w:rFonts w:hint="eastAsia" w:ascii="宋体" w:hAnsi="宋体" w:eastAsia="宋体"/>
          <w:color w:val="auto"/>
        </w:rPr>
        <w:t>评标委员会对投标人按总分从高到低进行排序，</w:t>
      </w:r>
      <w:r>
        <w:rPr>
          <w:rFonts w:hint="eastAsia" w:ascii="宋体" w:hAnsi="宋体"/>
          <w:color w:val="auto"/>
        </w:rPr>
        <w:t>并按照排序推荐中标候选人。</w:t>
      </w:r>
      <w:r>
        <w:rPr>
          <w:rFonts w:ascii="宋体" w:hAnsi="宋体"/>
          <w:color w:val="auto"/>
        </w:rPr>
        <w:t>如</w:t>
      </w:r>
      <w:r>
        <w:rPr>
          <w:rFonts w:hint="eastAsia" w:ascii="宋体" w:hAnsi="宋体"/>
          <w:color w:val="auto"/>
        </w:rPr>
        <w:t>总</w:t>
      </w:r>
      <w:r>
        <w:rPr>
          <w:rFonts w:ascii="宋体" w:hAnsi="宋体"/>
          <w:color w:val="auto"/>
        </w:rPr>
        <w:t>分相同的，</w:t>
      </w:r>
      <w:r>
        <w:rPr>
          <w:rFonts w:ascii="宋体" w:hAnsi="宋体" w:eastAsia="宋体"/>
          <w:color w:val="auto"/>
        </w:rPr>
        <w:t>如</w:t>
      </w:r>
      <w:r>
        <w:rPr>
          <w:rFonts w:hint="eastAsia" w:ascii="宋体" w:hAnsi="宋体" w:eastAsia="宋体"/>
          <w:color w:val="auto"/>
        </w:rPr>
        <w:t>总</w:t>
      </w:r>
      <w:r>
        <w:rPr>
          <w:rFonts w:ascii="宋体" w:hAnsi="宋体" w:eastAsia="宋体"/>
          <w:color w:val="auto"/>
        </w:rPr>
        <w:t>分相同的，以投标报价低的</w:t>
      </w:r>
      <w:r>
        <w:rPr>
          <w:rFonts w:hint="eastAsia" w:ascii="宋体" w:hAnsi="宋体" w:eastAsia="宋体"/>
          <w:color w:val="auto"/>
        </w:rPr>
        <w:t>优先</w:t>
      </w:r>
      <w:r>
        <w:rPr>
          <w:rFonts w:ascii="宋体" w:hAnsi="宋体" w:eastAsia="宋体"/>
          <w:color w:val="auto"/>
        </w:rPr>
        <w:t>；投标报价仍相同的，以</w:t>
      </w:r>
      <w:r>
        <w:rPr>
          <w:rFonts w:hint="eastAsia" w:ascii="宋体" w:hAnsi="宋体" w:eastAsia="宋体"/>
          <w:color w:val="auto"/>
        </w:rPr>
        <w:t>资信标</w:t>
      </w:r>
      <w:r>
        <w:rPr>
          <w:rFonts w:ascii="宋体" w:hAnsi="宋体" w:eastAsia="宋体"/>
          <w:color w:val="auto"/>
        </w:rPr>
        <w:t>排名靠前的</w:t>
      </w:r>
      <w:r>
        <w:rPr>
          <w:rFonts w:hint="eastAsia" w:ascii="宋体" w:hAnsi="宋体" w:eastAsia="宋体"/>
          <w:color w:val="auto"/>
        </w:rPr>
        <w:t>优先</w:t>
      </w:r>
      <w:r>
        <w:rPr>
          <w:rFonts w:ascii="宋体" w:hAnsi="宋体" w:eastAsia="宋体"/>
          <w:color w:val="auto"/>
        </w:rPr>
        <w:t>；</w:t>
      </w:r>
      <w:r>
        <w:rPr>
          <w:rFonts w:hint="eastAsia" w:ascii="宋体" w:hAnsi="宋体" w:eastAsia="宋体"/>
          <w:color w:val="auto"/>
        </w:rPr>
        <w:t>资信标</w:t>
      </w:r>
      <w:r>
        <w:rPr>
          <w:rFonts w:ascii="宋体" w:hAnsi="宋体" w:eastAsia="宋体"/>
          <w:color w:val="auto"/>
        </w:rPr>
        <w:t>排名仍相同的，以技术标排名靠前的</w:t>
      </w:r>
      <w:r>
        <w:rPr>
          <w:rFonts w:hint="eastAsia" w:ascii="宋体" w:hAnsi="宋体" w:eastAsia="宋体"/>
          <w:color w:val="auto"/>
        </w:rPr>
        <w:t>优先</w:t>
      </w:r>
      <w:r>
        <w:rPr>
          <w:rFonts w:ascii="宋体" w:hAnsi="宋体" w:eastAsia="宋体"/>
          <w:color w:val="auto"/>
        </w:rPr>
        <w:t>；上述均相同的</w:t>
      </w:r>
      <w:r>
        <w:rPr>
          <w:rFonts w:ascii="宋体" w:hAnsi="宋体" w:eastAsia="宋体"/>
          <w:color w:val="auto"/>
          <w:u w:val="single"/>
        </w:rPr>
        <w:t xml:space="preserve">  （在招标文件中明确确定方式</w:t>
      </w:r>
      <w:r>
        <w:rPr>
          <w:rFonts w:hint="eastAsia" w:ascii="宋体" w:hAnsi="宋体" w:eastAsia="宋体"/>
          <w:color w:val="auto"/>
          <w:u w:val="single"/>
        </w:rPr>
        <w:t>）</w:t>
      </w:r>
      <w:r>
        <w:rPr>
          <w:rFonts w:ascii="宋体" w:hAnsi="宋体" w:eastAsia="宋体"/>
          <w:color w:val="auto"/>
          <w:u w:val="single"/>
        </w:rPr>
        <w:t xml:space="preserve">   </w:t>
      </w:r>
      <w:r>
        <w:rPr>
          <w:rFonts w:ascii="宋体" w:hAnsi="宋体" w:eastAsia="宋体"/>
          <w:color w:val="auto"/>
        </w:rPr>
        <w:t>。</w:t>
      </w:r>
    </w:p>
    <w:p>
      <w:pPr>
        <w:pStyle w:val="19"/>
        <w:ind w:firstLine="210"/>
        <w:rPr>
          <w:color w:val="auto"/>
        </w:rPr>
      </w:pPr>
    </w:p>
    <w:p>
      <w:pPr>
        <w:pStyle w:val="150"/>
        <w:spacing w:line="360" w:lineRule="auto"/>
        <w:ind w:firstLine="480" w:firstLineChars="200"/>
        <w:rPr>
          <w:color w:val="auto"/>
          <w:szCs w:val="24"/>
          <w:lang w:val="en-US"/>
        </w:rPr>
      </w:pPr>
      <w:r>
        <w:rPr>
          <w:color w:val="auto"/>
          <w:szCs w:val="24"/>
          <w:u w:val="single"/>
          <w:lang w:val="en-US"/>
        </w:rPr>
        <w:t>招标人</w:t>
      </w:r>
      <w:r>
        <w:rPr>
          <w:rFonts w:hint="eastAsia"/>
          <w:color w:val="auto"/>
          <w:szCs w:val="24"/>
          <w:lang w:val="en-US"/>
        </w:rPr>
        <w:t>对拟确定的推荐中标候选人和其拟派项目负责人，是否列入失信被执行人名单以及</w:t>
      </w:r>
      <w:r>
        <w:rPr>
          <w:rFonts w:hint="eastAsia" w:ascii="宋体" w:hAnsi="宋体" w:eastAsia="宋体"/>
          <w:color w:val="auto"/>
          <w:szCs w:val="24"/>
          <w:lang w:val="en-US"/>
        </w:rPr>
        <w:t>在本招标文件（招标公告）规定时间范围内</w:t>
      </w:r>
      <w:r>
        <w:rPr>
          <w:rFonts w:hint="eastAsia"/>
          <w:color w:val="auto"/>
          <w:szCs w:val="24"/>
          <w:lang w:val="en-US"/>
        </w:rPr>
        <w:t>是否有行贿犯罪记录进行查验。如查实存在行贿犯罪记录情况（以行贿罪判决为准）或被列入失信被执行人名单的，则取消其中标候选资格。</w:t>
      </w:r>
    </w:p>
    <w:p>
      <w:pPr>
        <w:snapToGrid w:val="0"/>
        <w:spacing w:line="360" w:lineRule="auto"/>
        <w:ind w:firstLine="480" w:firstLineChars="200"/>
        <w:rPr>
          <w:rFonts w:ascii="宋体" w:hAnsi="宋体" w:eastAsia="宋体"/>
          <w:color w:val="auto"/>
        </w:rPr>
      </w:pPr>
      <w:r>
        <w:rPr>
          <w:rFonts w:hint="eastAsia" w:ascii="宋体" w:hAnsi="宋体" w:eastAsia="宋体"/>
          <w:color w:val="auto"/>
        </w:rPr>
        <w:t>当有效投标人＜</w:t>
      </w:r>
      <w:r>
        <w:rPr>
          <w:rFonts w:ascii="宋体" w:hAnsi="宋体" w:eastAsia="宋体"/>
          <w:color w:val="auto"/>
        </w:rPr>
        <w:t>3个时，评标委员会应判定本次投标是否具有竞争力。若评标委员会认为本次投标明显缺乏竞争的，可以否决全部投标。</w:t>
      </w:r>
    </w:p>
    <w:p>
      <w:pPr>
        <w:snapToGrid w:val="0"/>
        <w:spacing w:line="360" w:lineRule="auto"/>
        <w:ind w:firstLine="480" w:firstLineChars="200"/>
        <w:rPr>
          <w:rFonts w:ascii="宋体" w:hAnsi="宋体" w:eastAsia="宋体"/>
          <w:color w:val="auto"/>
        </w:rPr>
      </w:pPr>
      <w:r>
        <w:rPr>
          <w:rFonts w:ascii="宋体" w:hAnsi="宋体" w:eastAsia="宋体"/>
          <w:color w:val="auto"/>
        </w:rPr>
        <w:br w:type="page"/>
      </w:r>
    </w:p>
    <w:p>
      <w:pPr>
        <w:pStyle w:val="3"/>
        <w:rPr>
          <w:color w:val="auto"/>
        </w:rPr>
      </w:pPr>
      <w:bookmarkStart w:id="196" w:name="_Toc45697243"/>
      <w:bookmarkStart w:id="197" w:name="_Toc22828079"/>
      <w:bookmarkStart w:id="198" w:name="_Toc25289"/>
      <w:bookmarkStart w:id="199" w:name="_Toc67589035"/>
      <w:r>
        <w:rPr>
          <w:rFonts w:hint="eastAsia"/>
          <w:color w:val="auto"/>
        </w:rPr>
        <w:t>第四章</w:t>
      </w:r>
      <w:r>
        <w:rPr>
          <w:color w:val="auto"/>
        </w:rPr>
        <w:t xml:space="preserve"> </w:t>
      </w:r>
      <w:r>
        <w:rPr>
          <w:rFonts w:hint="eastAsia"/>
          <w:color w:val="auto"/>
        </w:rPr>
        <w:t>合同条款及格式</w:t>
      </w:r>
      <w:bookmarkEnd w:id="196"/>
      <w:bookmarkEnd w:id="197"/>
      <w:bookmarkEnd w:id="198"/>
      <w:bookmarkEnd w:id="199"/>
    </w:p>
    <w:p>
      <w:pPr>
        <w:pStyle w:val="18"/>
        <w:kinsoku w:val="0"/>
        <w:ind w:left="0"/>
        <w:rPr>
          <w:rFonts w:ascii="Microsoft JhengHei" w:eastAsia="等线" w:cs="Microsoft JhengHei"/>
          <w:b/>
          <w:bCs/>
          <w:color w:val="auto"/>
          <w:sz w:val="20"/>
          <w:szCs w:val="20"/>
        </w:rPr>
      </w:pPr>
      <w:bookmarkStart w:id="200" w:name="bookmark180"/>
      <w:bookmarkEnd w:id="200"/>
    </w:p>
    <w:p>
      <w:pPr>
        <w:pStyle w:val="18"/>
        <w:kinsoku w:val="0"/>
        <w:snapToGrid w:val="0"/>
        <w:spacing w:line="360" w:lineRule="auto"/>
        <w:ind w:left="0" w:firstLine="480" w:firstLineChars="200"/>
        <w:rPr>
          <w:rFonts w:ascii="宋体" w:hAnsi="宋体"/>
          <w:color w:val="auto"/>
        </w:rPr>
      </w:pPr>
      <w:r>
        <w:rPr>
          <w:rFonts w:hint="eastAsia" w:ascii="宋体" w:hAnsi="宋体"/>
          <w:color w:val="auto"/>
        </w:rPr>
        <w:t>使用住房和城乡建设部、国家工商行政管理总局制定的《建设工程施工合同（示范文本）》（</w:t>
      </w:r>
      <w:r>
        <w:rPr>
          <w:rFonts w:ascii="宋体" w:hAnsi="宋体"/>
          <w:color w:val="auto"/>
          <w:lang w:bidi="ar"/>
        </w:rPr>
        <w:t>GF-2017-0201</w:t>
      </w:r>
      <w:r>
        <w:rPr>
          <w:rFonts w:hint="eastAsia" w:ascii="宋体" w:hAnsi="宋体"/>
          <w:color w:val="auto"/>
        </w:rPr>
        <w:t>）及当地建设主管部门颁发的施工合同专用条款（范本）。</w:t>
      </w:r>
    </w:p>
    <w:p>
      <w:pPr>
        <w:spacing w:line="360" w:lineRule="auto"/>
        <w:ind w:firstLine="562" w:firstLineChars="200"/>
        <w:rPr>
          <w:rFonts w:hint="eastAsia" w:ascii="方正公文黑体" w:hAnsi="方正公文黑体" w:eastAsia="方正公文黑体" w:cs="方正公文黑体"/>
          <w:b w:val="0"/>
          <w:bCs w:val="0"/>
          <w:i w:val="0"/>
          <w:iCs w:val="0"/>
          <w:color w:val="auto"/>
          <w:kern w:val="0"/>
          <w:sz w:val="28"/>
          <w:szCs w:val="28"/>
        </w:rPr>
      </w:pPr>
      <w:bookmarkStart w:id="201" w:name="bookmark181"/>
      <w:bookmarkEnd w:id="201"/>
      <w:r>
        <w:rPr>
          <w:rFonts w:hint="eastAsia" w:asciiTheme="minorEastAsia" w:hAnsiTheme="minorEastAsia" w:eastAsiaTheme="minorEastAsia" w:cstheme="minorEastAsia"/>
          <w:b/>
          <w:bCs/>
          <w:color w:val="auto"/>
          <w:sz w:val="28"/>
          <w:szCs w:val="28"/>
        </w:rPr>
        <w:t>合同专用条款</w:t>
      </w:r>
      <w:r>
        <w:rPr>
          <w:rFonts w:hint="eastAsia" w:asciiTheme="minorEastAsia" w:hAnsiTheme="minorEastAsia" w:eastAsiaTheme="minorEastAsia" w:cstheme="minorEastAsia"/>
          <w:b/>
          <w:bCs/>
          <w:color w:val="auto"/>
          <w:sz w:val="28"/>
          <w:szCs w:val="28"/>
          <w:lang w:eastAsia="zh-CN"/>
        </w:rPr>
        <w:t>编制指引</w:t>
      </w:r>
      <w:r>
        <w:rPr>
          <w:rFonts w:hint="eastAsia" w:ascii="宋体" w:hAnsi="宋体"/>
          <w:color w:val="auto"/>
          <w:lang w:eastAsia="zh-CN"/>
        </w:rPr>
        <w:t>（专</w:t>
      </w:r>
      <w:r>
        <w:rPr>
          <w:rFonts w:hint="eastAsia" w:ascii="宋体" w:hAnsi="宋体" w:eastAsia="宋体" w:cs="Times New Roman"/>
          <w:b w:val="0"/>
          <w:bCs w:val="0"/>
          <w:i w:val="0"/>
          <w:iCs w:val="0"/>
          <w:color w:val="auto"/>
          <w:kern w:val="0"/>
          <w:sz w:val="24"/>
          <w:szCs w:val="24"/>
          <w:lang w:val="en-US" w:eastAsia="zh-CN"/>
        </w:rPr>
        <w:t>用合同条款</w:t>
      </w:r>
      <w:r>
        <w:rPr>
          <w:rFonts w:hint="eastAsia" w:ascii="宋体" w:hAnsi="宋体" w:eastAsia="宋体" w:cs="Times New Roman"/>
          <w:b w:val="0"/>
          <w:bCs w:val="0"/>
          <w:i w:val="0"/>
          <w:iCs w:val="0"/>
          <w:color w:val="auto"/>
          <w:kern w:val="0"/>
          <w:sz w:val="24"/>
          <w:szCs w:val="24"/>
        </w:rPr>
        <w:t>括号内斜体字部分</w:t>
      </w:r>
      <w:r>
        <w:rPr>
          <w:rFonts w:hint="eastAsia" w:ascii="宋体" w:hAnsi="宋体" w:eastAsia="宋体" w:cs="Times New Roman"/>
          <w:b w:val="0"/>
          <w:bCs w:val="0"/>
          <w:i w:val="0"/>
          <w:iCs w:val="0"/>
          <w:color w:val="auto"/>
          <w:kern w:val="0"/>
          <w:sz w:val="24"/>
          <w:szCs w:val="24"/>
          <w:lang w:val="en-US" w:eastAsia="zh-CN"/>
        </w:rPr>
        <w:t>说明是根据现行的法律、法规和文件要求，合同双方应遵循的内容。</w:t>
      </w:r>
      <w:r>
        <w:rPr>
          <w:rFonts w:hint="eastAsia" w:ascii="宋体" w:hAnsi="宋体" w:cs="Times New Roman"/>
          <w:b w:val="0"/>
          <w:bCs w:val="0"/>
          <w:i w:val="0"/>
          <w:iCs w:val="0"/>
          <w:color w:val="auto"/>
          <w:kern w:val="0"/>
          <w:sz w:val="24"/>
          <w:szCs w:val="24"/>
          <w:lang w:val="en-US" w:eastAsia="zh-CN"/>
        </w:rPr>
        <w:t>现行</w:t>
      </w:r>
      <w:r>
        <w:rPr>
          <w:rFonts w:hint="eastAsia" w:ascii="宋体" w:hAnsi="宋体" w:eastAsia="宋体" w:cs="Times New Roman"/>
          <w:b w:val="0"/>
          <w:bCs w:val="0"/>
          <w:i w:val="0"/>
          <w:iCs w:val="0"/>
          <w:color w:val="auto"/>
          <w:kern w:val="0"/>
          <w:sz w:val="24"/>
          <w:szCs w:val="24"/>
          <w:lang w:val="en-US" w:eastAsia="zh-CN"/>
        </w:rPr>
        <w:t>法律、法规和文件要求</w:t>
      </w:r>
      <w:r>
        <w:rPr>
          <w:rFonts w:hint="eastAsia" w:ascii="宋体" w:hAnsi="宋体" w:cs="Times New Roman"/>
          <w:b w:val="0"/>
          <w:bCs w:val="0"/>
          <w:i w:val="0"/>
          <w:iCs w:val="0"/>
          <w:color w:val="auto"/>
          <w:kern w:val="0"/>
          <w:sz w:val="24"/>
          <w:szCs w:val="24"/>
          <w:lang w:val="en-US" w:eastAsia="zh-CN"/>
        </w:rPr>
        <w:t>有变化的，应予以调整。</w:t>
      </w:r>
      <w:r>
        <w:rPr>
          <w:rFonts w:hint="eastAsia" w:ascii="宋体" w:hAnsi="宋体" w:eastAsia="宋体" w:cs="Times New Roman"/>
          <w:b w:val="0"/>
          <w:bCs w:val="0"/>
          <w:i w:val="0"/>
          <w:iCs w:val="0"/>
          <w:color w:val="auto"/>
          <w:kern w:val="0"/>
          <w:sz w:val="24"/>
          <w:szCs w:val="24"/>
          <w:lang w:val="en-US" w:eastAsia="zh-CN"/>
        </w:rPr>
        <w:t>合同双方应根据项目具体情况，按要求细化具体条文</w:t>
      </w:r>
      <w:r>
        <w:rPr>
          <w:rFonts w:hint="eastAsia" w:ascii="宋体" w:hAnsi="宋体"/>
          <w:color w:val="auto"/>
          <w:lang w:eastAsia="zh-CN"/>
        </w:rPr>
        <w:t>）</w:t>
      </w:r>
      <w:r>
        <w:rPr>
          <w:rFonts w:hint="eastAsia" w:ascii="方正公文黑体" w:hAnsi="方正公文黑体" w:eastAsia="方正公文黑体" w:cs="方正公文黑体"/>
          <w:b w:val="0"/>
          <w:bCs w:val="0"/>
          <w:i w:val="0"/>
          <w:iCs w:val="0"/>
          <w:color w:val="auto"/>
          <w:kern w:val="0"/>
          <w:sz w:val="28"/>
          <w:szCs w:val="28"/>
        </w:rPr>
        <w:t>。</w:t>
      </w:r>
    </w:p>
    <w:p>
      <w:pPr>
        <w:pStyle w:val="5"/>
        <w:jc w:val="center"/>
        <w:rPr>
          <w:rFonts w:ascii="华文中宋" w:hAnsi="华文中宋" w:eastAsia="华文中宋"/>
          <w:color w:val="auto"/>
          <w:sz w:val="44"/>
          <w:szCs w:val="44"/>
        </w:rPr>
      </w:pPr>
      <w:r>
        <w:rPr>
          <w:rFonts w:ascii="华文中宋" w:hAnsi="华文中宋" w:eastAsia="华文中宋"/>
          <w:color w:val="auto"/>
          <w:sz w:val="44"/>
          <w:szCs w:val="44"/>
        </w:rPr>
        <w:t xml:space="preserve">第三部分 </w:t>
      </w:r>
      <w:r>
        <w:rPr>
          <w:rFonts w:hint="eastAsia" w:ascii="华文中宋" w:hAnsi="华文中宋" w:eastAsia="华文中宋"/>
          <w:color w:val="auto"/>
          <w:sz w:val="44"/>
          <w:szCs w:val="44"/>
        </w:rPr>
        <w:t>专用合同条款</w:t>
      </w:r>
    </w:p>
    <w:p>
      <w:pPr>
        <w:pStyle w:val="6"/>
        <w:spacing w:before="120" w:after="120" w:line="360" w:lineRule="auto"/>
        <w:rPr>
          <w:rFonts w:ascii="Times New Roman" w:hAnsi="Times New Roman" w:eastAsia="黑体"/>
          <w:b w:val="0"/>
          <w:color w:val="auto"/>
          <w:sz w:val="32"/>
          <w:szCs w:val="32"/>
        </w:rPr>
      </w:pPr>
      <w:bookmarkStart w:id="202" w:name="_Toc351203633"/>
      <w:r>
        <w:rPr>
          <w:rFonts w:ascii="Times New Roman" w:hAnsi="Times New Roman" w:eastAsia="黑体"/>
          <w:b w:val="0"/>
          <w:color w:val="auto"/>
          <w:sz w:val="32"/>
          <w:szCs w:val="32"/>
        </w:rPr>
        <w:t>1</w:t>
      </w:r>
      <w:bookmarkStart w:id="203" w:name="_Toc297120456"/>
      <w:bookmarkStart w:id="204" w:name="_Toc296891196"/>
      <w:bookmarkStart w:id="205" w:name="_Toc296890984"/>
      <w:bookmarkStart w:id="206" w:name="_Toc296944495"/>
      <w:bookmarkStart w:id="207" w:name="_Toc296347155"/>
      <w:bookmarkStart w:id="208" w:name="_Toc292559866"/>
      <w:bookmarkStart w:id="209" w:name="_Toc297048342"/>
      <w:bookmarkStart w:id="210" w:name="_Toc296503156"/>
      <w:bookmarkStart w:id="211" w:name="_Toc296346657"/>
      <w:bookmarkStart w:id="212" w:name="_Toc292559361"/>
      <w:r>
        <w:rPr>
          <w:rFonts w:ascii="Times New Roman" w:hAnsi="Times New Roman" w:eastAsia="黑体"/>
          <w:b w:val="0"/>
          <w:color w:val="auto"/>
          <w:sz w:val="32"/>
          <w:szCs w:val="32"/>
        </w:rPr>
        <w:t>. 一般约定</w:t>
      </w:r>
      <w:bookmarkEnd w:id="202"/>
    </w:p>
    <w:bookmarkEnd w:id="203"/>
    <w:bookmarkEnd w:id="204"/>
    <w:bookmarkEnd w:id="205"/>
    <w:bookmarkEnd w:id="206"/>
    <w:bookmarkEnd w:id="207"/>
    <w:bookmarkEnd w:id="208"/>
    <w:bookmarkEnd w:id="209"/>
    <w:bookmarkEnd w:id="210"/>
    <w:bookmarkEnd w:id="211"/>
    <w:bookmarkEnd w:id="212"/>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1.1 词语定义</w:t>
      </w:r>
    </w:p>
    <w:p>
      <w:pPr>
        <w:spacing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1.1.1合同</w:t>
      </w:r>
    </w:p>
    <w:p>
      <w:pPr>
        <w:spacing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1.1.1.10其他合同文件包括：</w:t>
      </w:r>
      <w:r>
        <w:rPr>
          <w:rFonts w:ascii="Times New Roman" w:hAnsi="Times New Roman" w:eastAsia="仿宋_GB2312"/>
          <w:color w:val="auto"/>
          <w:sz w:val="30"/>
          <w:szCs w:val="32"/>
          <w:u w:val="single"/>
        </w:rPr>
        <w:t xml:space="preserve">                      </w:t>
      </w:r>
    </w:p>
    <w:p>
      <w:pPr>
        <w:spacing w:line="360" w:lineRule="auto"/>
        <w:ind w:left="1650" w:hanging="1650" w:hangingChars="550"/>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ind w:left="1650" w:hanging="1650" w:hangingChars="550"/>
        <w:rPr>
          <w:rFonts w:ascii="Times New Roman" w:hAnsi="Times New Roman" w:eastAsia="仿宋_GB2312"/>
          <w:color w:val="auto"/>
          <w:kern w:val="0"/>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1.1.2 合同当事人及其他相关方</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1.1.2.4监理人：</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名    称：</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资质类别和等级：</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联系电话：</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电子信箱：</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通信地址：</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1.1.2.5 设计人：</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名    称：</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资质类别和等级：</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联系电话：</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电子信箱：</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hint="eastAsia" w:ascii="Times New Roman" w:hAnsi="Times New Roman" w:eastAsia="仿宋_GB2312"/>
          <w:color w:val="auto"/>
          <w:sz w:val="30"/>
          <w:szCs w:val="32"/>
        </w:rPr>
      </w:pPr>
      <w:r>
        <w:rPr>
          <w:rFonts w:ascii="Times New Roman" w:hAnsi="Times New Roman" w:eastAsia="仿宋_GB2312"/>
          <w:color w:val="auto"/>
          <w:sz w:val="30"/>
          <w:szCs w:val="32"/>
        </w:rPr>
        <w:t>通信地址：</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1.1.3 工程和设备</w:t>
      </w:r>
    </w:p>
    <w:p>
      <w:pPr>
        <w:spacing w:line="360" w:lineRule="auto"/>
        <w:ind w:firstLine="600" w:firstLineChars="200"/>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1.1.3.7 作为施工现场组成部分的其他场所包括：</w:t>
      </w:r>
      <w:r>
        <w:rPr>
          <w:rFonts w:hint="eastAsia" w:ascii="Times New Roman" w:hAnsi="Times New Roman" w:eastAsia="仿宋_GB2312"/>
          <w:color w:val="auto"/>
          <w:sz w:val="30"/>
          <w:szCs w:val="32"/>
          <w:u w:val="single"/>
        </w:rPr>
        <w:t xml:space="preserve">           </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1.1.3.9 永久占地包括：</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ascii="Times New Roman" w:hAnsi="Times New Roman" w:eastAsia="仿宋_GB2312"/>
          <w:color w:val="auto"/>
          <w:kern w:val="0"/>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kern w:val="0"/>
          <w:sz w:val="30"/>
          <w:szCs w:val="32"/>
        </w:rPr>
        <w:t>1.1.3.10 临时占地包括：</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ascii="Times New Roman" w:hAnsi="Times New Roman" w:eastAsia="仿宋_GB2312"/>
          <w:color w:val="auto"/>
          <w:kern w:val="0"/>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 xml:space="preserve">1.3法律 </w:t>
      </w:r>
    </w:p>
    <w:p>
      <w:pPr>
        <w:autoSpaceDE w:val="0"/>
        <w:autoSpaceDN w:val="0"/>
        <w:adjustRightInd w:val="0"/>
        <w:spacing w:line="360" w:lineRule="auto"/>
        <w:ind w:left="682" w:leftChars="284"/>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适用于合同的其他规范性文件：</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p>
    <w:p>
      <w:pPr>
        <w:autoSpaceDE w:val="0"/>
        <w:autoSpaceDN w:val="0"/>
        <w:adjustRightInd w:val="0"/>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1.4 标准和规范</w:t>
      </w:r>
    </w:p>
    <w:p>
      <w:pPr>
        <w:spacing w:line="360" w:lineRule="auto"/>
        <w:ind w:left="682" w:leftChars="284"/>
        <w:rPr>
          <w:rFonts w:hint="eastAsia" w:ascii="Times New Roman" w:hAnsi="Times New Roman" w:eastAsia="仿宋_GB2312"/>
          <w:color w:val="auto"/>
          <w:sz w:val="30"/>
          <w:szCs w:val="32"/>
        </w:rPr>
      </w:pPr>
      <w:r>
        <w:rPr>
          <w:rFonts w:ascii="Times New Roman" w:hAnsi="Times New Roman" w:eastAsia="仿宋_GB2312"/>
          <w:color w:val="auto"/>
          <w:sz w:val="30"/>
          <w:szCs w:val="32"/>
        </w:rPr>
        <w:t>1.4.1适用于工程的标准规范包括：</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 xml:space="preserve"> </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outlineLvl w:val="0"/>
        <w:rPr>
          <w:rFonts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rPr>
        <w:t>1.4.2 发包人提供国外标准、规范的名称：</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p>
    <w:p>
      <w:pPr>
        <w:spacing w:line="360" w:lineRule="auto"/>
        <w:rPr>
          <w:rFonts w:ascii="Times New Roman" w:hAnsi="Times New Roman" w:eastAsia="仿宋_GB2312"/>
          <w:color w:val="auto"/>
          <w:kern w:val="0"/>
          <w:sz w:val="30"/>
          <w:szCs w:val="32"/>
        </w:rPr>
      </w:pP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发包人提供国外标准、规范的份数：</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kern w:val="0"/>
          <w:sz w:val="30"/>
          <w:szCs w:val="32"/>
        </w:rPr>
        <w:t>发包人提供国外标准、规范的名称：</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left="682" w:leftChars="284"/>
        <w:rPr>
          <w:rFonts w:hint="eastAsia" w:ascii="Times New Roman" w:hAnsi="Times New Roman" w:eastAsia="仿宋_GB2312"/>
          <w:color w:val="auto"/>
          <w:sz w:val="30"/>
          <w:szCs w:val="32"/>
        </w:rPr>
      </w:pPr>
      <w:r>
        <w:rPr>
          <w:rFonts w:ascii="Times New Roman" w:hAnsi="Times New Roman" w:eastAsia="仿宋_GB2312"/>
          <w:color w:val="auto"/>
          <w:sz w:val="30"/>
          <w:szCs w:val="32"/>
        </w:rPr>
        <w:t>1.4.3发包人对工程的技术标准和功能要求的特殊要求：</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1.5 合同文件的优先顺序</w:t>
      </w:r>
    </w:p>
    <w:p>
      <w:pPr>
        <w:spacing w:line="360" w:lineRule="auto"/>
        <w:ind w:firstLine="600" w:firstLineChars="200"/>
        <w:rPr>
          <w:rFonts w:hint="eastAsia" w:ascii="Times New Roman" w:hAnsi="Times New Roman" w:eastAsia="仿宋_GB2312"/>
          <w:color w:val="auto"/>
          <w:sz w:val="30"/>
          <w:szCs w:val="32"/>
        </w:rPr>
      </w:pPr>
      <w:r>
        <w:rPr>
          <w:rFonts w:ascii="Times New Roman" w:hAnsi="Times New Roman" w:eastAsia="仿宋_GB2312"/>
          <w:color w:val="auto"/>
          <w:sz w:val="30"/>
          <w:szCs w:val="32"/>
        </w:rPr>
        <w:t>合同文件组成及优先顺序为：</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1.6 图纸和承包人文件</w:t>
      </w:r>
      <w:r>
        <w:rPr>
          <w:rFonts w:ascii="Times New Roman" w:hAnsi="Times New Roman" w:eastAsia="黑体"/>
          <w:color w:val="auto"/>
          <w:sz w:val="30"/>
          <w:szCs w:val="32"/>
        </w:rPr>
        <w:tab/>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1.6.1 图纸的提供</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发包人向承包人提供图纸的期限：</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发包人向承包人提供图纸的数量：</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发包人向承包人提供图纸的内容：</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1.6.4 承包人文件</w:t>
      </w:r>
    </w:p>
    <w:p>
      <w:pPr>
        <w:spacing w:line="360" w:lineRule="auto"/>
        <w:ind w:left="682" w:leftChars="284"/>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需要由承包人提供的文件，包括：</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p>
    <w:p>
      <w:pPr>
        <w:spacing w:line="360" w:lineRule="auto"/>
        <w:ind w:left="682" w:leftChars="284"/>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承包人提供的文件的期限为：</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承包人提供的文件的数量为：</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承包人提供的文件的形式为：</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发包人</w:t>
      </w:r>
      <w:r>
        <w:rPr>
          <w:rFonts w:hint="eastAsia" w:ascii="Times New Roman" w:hAnsi="Times New Roman" w:eastAsia="仿宋_GB2312"/>
          <w:color w:val="auto"/>
          <w:sz w:val="30"/>
          <w:szCs w:val="32"/>
        </w:rPr>
        <w:t>审批</w:t>
      </w:r>
      <w:r>
        <w:rPr>
          <w:rFonts w:ascii="Times New Roman" w:hAnsi="Times New Roman" w:eastAsia="仿宋_GB2312"/>
          <w:color w:val="auto"/>
          <w:sz w:val="30"/>
          <w:szCs w:val="32"/>
        </w:rPr>
        <w:t>承包人文件的期限：</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1.6.5 现场图纸准备</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关于现场图纸准备的约定：</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1.7 联络</w:t>
      </w:r>
    </w:p>
    <w:p>
      <w:pPr>
        <w:spacing w:line="360" w:lineRule="auto"/>
        <w:ind w:firstLine="600" w:firstLineChars="200"/>
        <w:rPr>
          <w:rFonts w:hint="eastAsia" w:ascii="Times New Roman" w:hAnsi="Times New Roman" w:eastAsia="仿宋_GB2312"/>
          <w:color w:val="auto"/>
          <w:kern w:val="0"/>
          <w:sz w:val="30"/>
          <w:szCs w:val="32"/>
        </w:rPr>
      </w:pPr>
      <w:r>
        <w:rPr>
          <w:rFonts w:ascii="Times New Roman" w:hAnsi="Times New Roman" w:eastAsia="仿宋_GB2312"/>
          <w:color w:val="auto"/>
          <w:kern w:val="0"/>
          <w:sz w:val="30"/>
          <w:szCs w:val="32"/>
        </w:rPr>
        <w:t>1.7.1发包人和承包人应当在</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kern w:val="0"/>
          <w:sz w:val="30"/>
          <w:szCs w:val="32"/>
        </w:rPr>
        <w:t>天内将与合同有关的通知、批准、证明、证书、指示、指令、要求、请求、同意、意见、确定和决定等书面函件送达对方当事人</w:t>
      </w:r>
      <w:r>
        <w:rPr>
          <w:rFonts w:hint="eastAsia" w:ascii="Times New Roman" w:hAnsi="Times New Roman" w:eastAsia="仿宋_GB2312"/>
          <w:color w:val="auto"/>
          <w:kern w:val="0"/>
          <w:sz w:val="30"/>
          <w:szCs w:val="32"/>
        </w:rPr>
        <w:t>。</w:t>
      </w:r>
    </w:p>
    <w:p>
      <w:pPr>
        <w:spacing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1.7.2 发包人接收文件的地点：</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kern w:val="0"/>
          <w:sz w:val="30"/>
          <w:szCs w:val="32"/>
        </w:rPr>
        <w:t>；</w:t>
      </w:r>
    </w:p>
    <w:p>
      <w:pPr>
        <w:spacing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发包人指定的接收人为：</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kern w:val="0"/>
          <w:sz w:val="30"/>
          <w:szCs w:val="32"/>
        </w:rPr>
        <w:t>。</w:t>
      </w:r>
    </w:p>
    <w:p>
      <w:pPr>
        <w:spacing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承包人接收文件的地点：</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kern w:val="0"/>
          <w:sz w:val="30"/>
          <w:szCs w:val="32"/>
        </w:rPr>
        <w:t>；</w:t>
      </w:r>
    </w:p>
    <w:p>
      <w:pPr>
        <w:spacing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承包人指定的接收人为：</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kern w:val="0"/>
          <w:sz w:val="30"/>
          <w:szCs w:val="32"/>
        </w:rPr>
        <w:t>。</w:t>
      </w:r>
    </w:p>
    <w:p>
      <w:pPr>
        <w:spacing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监理人接收文件的地点：</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kern w:val="0"/>
          <w:sz w:val="30"/>
          <w:szCs w:val="32"/>
        </w:rPr>
        <w:t>；</w:t>
      </w:r>
    </w:p>
    <w:p>
      <w:pPr>
        <w:spacing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监理人指定的接收人为：</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kern w:val="0"/>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1.10 交通运输</w:t>
      </w:r>
    </w:p>
    <w:p>
      <w:pPr>
        <w:spacing w:line="360" w:lineRule="auto"/>
        <w:ind w:firstLine="600" w:firstLineChars="200"/>
        <w:outlineLvl w:val="0"/>
        <w:rPr>
          <w:rFonts w:ascii="Times New Roman" w:hAnsi="Times New Roman" w:eastAsia="仿宋_GB2312"/>
          <w:color w:val="auto"/>
          <w:sz w:val="30"/>
          <w:szCs w:val="32"/>
        </w:rPr>
      </w:pPr>
      <w:r>
        <w:rPr>
          <w:rFonts w:ascii="Times New Roman" w:hAnsi="Times New Roman" w:eastAsia="仿宋_GB2312"/>
          <w:color w:val="auto"/>
          <w:sz w:val="30"/>
          <w:szCs w:val="32"/>
        </w:rPr>
        <w:t>1</w:t>
      </w:r>
      <w:bookmarkStart w:id="213" w:name="_Toc303539100"/>
      <w:bookmarkStart w:id="214" w:name="_Toc312677986"/>
      <w:bookmarkStart w:id="215" w:name="_Toc300934943"/>
      <w:bookmarkStart w:id="216" w:name="_Toc304295521"/>
      <w:bookmarkStart w:id="217" w:name="_Toc318581155"/>
      <w:r>
        <w:rPr>
          <w:rFonts w:ascii="Times New Roman" w:hAnsi="Times New Roman" w:eastAsia="仿宋_GB2312"/>
          <w:color w:val="auto"/>
          <w:sz w:val="30"/>
          <w:szCs w:val="32"/>
        </w:rPr>
        <w:t>.10.1 出入现场的权利</w:t>
      </w:r>
    </w:p>
    <w:p>
      <w:pPr>
        <w:spacing w:line="360" w:lineRule="auto"/>
        <w:ind w:left="682" w:leftChars="284"/>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关于出入现场的权利的约定：</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bookmarkEnd w:id="213"/>
    <w:bookmarkEnd w:id="214"/>
    <w:bookmarkEnd w:id="215"/>
    <w:bookmarkEnd w:id="216"/>
    <w:bookmarkEnd w:id="217"/>
    <w:p>
      <w:pPr>
        <w:spacing w:line="360" w:lineRule="auto"/>
        <w:ind w:firstLine="600" w:firstLineChars="200"/>
        <w:jc w:val="left"/>
        <w:outlineLvl w:val="0"/>
        <w:rPr>
          <w:rFonts w:ascii="Times New Roman" w:hAnsi="Times New Roman" w:eastAsia="仿宋_GB2312"/>
          <w:color w:val="auto"/>
          <w:sz w:val="30"/>
          <w:szCs w:val="32"/>
        </w:rPr>
      </w:pPr>
      <w:r>
        <w:rPr>
          <w:rFonts w:ascii="Times New Roman" w:hAnsi="Times New Roman" w:eastAsia="仿宋_GB2312"/>
          <w:color w:val="auto"/>
          <w:sz w:val="30"/>
          <w:szCs w:val="32"/>
        </w:rPr>
        <w:t>1</w:t>
      </w:r>
      <w:bookmarkStart w:id="218" w:name="_Toc300934944"/>
      <w:bookmarkStart w:id="219" w:name="_Toc303539101"/>
      <w:bookmarkStart w:id="220" w:name="_Toc312677987"/>
      <w:bookmarkStart w:id="221" w:name="_Toc304295522"/>
      <w:bookmarkStart w:id="222" w:name="_Toc318581156"/>
      <w:r>
        <w:rPr>
          <w:rFonts w:ascii="Times New Roman" w:hAnsi="Times New Roman" w:eastAsia="仿宋_GB2312"/>
          <w:color w:val="auto"/>
          <w:sz w:val="30"/>
          <w:szCs w:val="32"/>
        </w:rPr>
        <w:t>.10.3 场内交通</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关于场外交通和场内交通的边界的约定：</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关于发包人向承包人免费提供满足工程施工需要的场内道路和交通设施的约定：</w:t>
      </w:r>
      <w:r>
        <w:rPr>
          <w:rFonts w:ascii="Times New Roman" w:hAnsi="Times New Roman" w:eastAsia="仿宋_GB2312"/>
          <w:color w:val="auto"/>
          <w:sz w:val="30"/>
          <w:szCs w:val="32"/>
          <w:u w:val="single"/>
        </w:rPr>
        <w:t> 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bookmarkEnd w:id="218"/>
      <w:bookmarkEnd w:id="219"/>
      <w:bookmarkEnd w:id="220"/>
      <w:bookmarkEnd w:id="221"/>
      <w:bookmarkEnd w:id="222"/>
      <w:r>
        <w:rPr>
          <w:rFonts w:ascii="Times New Roman" w:hAnsi="Times New Roman" w:eastAsia="仿宋_GB2312"/>
          <w:color w:val="auto"/>
          <w:sz w:val="30"/>
          <w:szCs w:val="32"/>
        </w:rPr>
        <w:t xml:space="preserve">  </w:t>
      </w:r>
      <w:bookmarkStart w:id="223" w:name="_Toc318581157"/>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1.10.4超大件和超重件的运输</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运输超大件或超重件所需的道路和桥梁临时加固改造费用和其他有关费用由</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承担。</w:t>
      </w:r>
    </w:p>
    <w:bookmarkEnd w:id="223"/>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1.11 知识产权</w:t>
      </w:r>
    </w:p>
    <w:p>
      <w:pPr>
        <w:spacing w:line="360" w:lineRule="auto"/>
        <w:ind w:firstLine="600" w:firstLineChars="200"/>
        <w:rPr>
          <w:rFonts w:ascii="Times New Roman" w:hAnsi="Times New Roman" w:eastAsia="仿宋_GB2312"/>
          <w:color w:val="auto"/>
          <w:sz w:val="30"/>
          <w:szCs w:val="32"/>
          <w:u w:val="single"/>
        </w:rPr>
      </w:pPr>
      <w:r>
        <w:rPr>
          <w:rFonts w:ascii="Times New Roman" w:hAnsi="Times New Roman" w:eastAsia="仿宋_GB2312"/>
          <w:color w:val="auto"/>
          <w:sz w:val="30"/>
          <w:szCs w:val="32"/>
        </w:rPr>
        <w:t>1.11.1关于发包人提供给承包人的图纸、发包人为实施工程自行编制或委托编制的技术规范以及反映发包人关于合同要求或其他类似性质的文件的著作权的归属：</w:t>
      </w:r>
      <w:r>
        <w:rPr>
          <w:rFonts w:ascii="Times New Roman" w:hAnsi="Times New Roman" w:eastAsia="仿宋_GB2312"/>
          <w:color w:val="auto"/>
          <w:sz w:val="30"/>
          <w:szCs w:val="32"/>
          <w:u w:val="single"/>
        </w:rPr>
        <w:t>                     </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left="682" w:leftChars="284"/>
        <w:rPr>
          <w:rFonts w:hint="eastAsia" w:ascii="Times New Roman" w:hAnsi="Times New Roman" w:eastAsia="仿宋_GB2312"/>
          <w:color w:val="auto"/>
          <w:sz w:val="30"/>
          <w:szCs w:val="32"/>
        </w:rPr>
      </w:pPr>
      <w:r>
        <w:rPr>
          <w:rFonts w:ascii="Times New Roman" w:hAnsi="Times New Roman" w:eastAsia="仿宋_GB2312"/>
          <w:color w:val="auto"/>
          <w:sz w:val="30"/>
          <w:szCs w:val="32"/>
        </w:rPr>
        <w:t>关于发包人提供的上述文件的使用限制的要求：</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left="682" w:leftChars="284"/>
        <w:outlineLvl w:val="0"/>
        <w:rPr>
          <w:rFonts w:hint="eastAsia" w:ascii="Times New Roman" w:hAnsi="Times New Roman" w:eastAsia="仿宋_GB2312"/>
          <w:color w:val="auto"/>
          <w:sz w:val="30"/>
          <w:szCs w:val="32"/>
        </w:rPr>
      </w:pPr>
      <w:r>
        <w:rPr>
          <w:rFonts w:ascii="Times New Roman" w:hAnsi="Times New Roman" w:eastAsia="仿宋_GB2312"/>
          <w:color w:val="auto"/>
          <w:sz w:val="30"/>
          <w:szCs w:val="32"/>
        </w:rPr>
        <w:t>1.11.2 关于承包人为实施工程所编制文件的著作权的归属：</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u w:val="single"/>
        </w:rPr>
      </w:pPr>
      <w:r>
        <w:rPr>
          <w:rFonts w:ascii="Times New Roman" w:hAnsi="Times New Roman" w:eastAsia="仿宋_GB2312"/>
          <w:color w:val="auto"/>
          <w:sz w:val="30"/>
          <w:szCs w:val="32"/>
        </w:rPr>
        <w:t>关于承包人提供的上述文件的使用限制的要求：</w:t>
      </w:r>
      <w:r>
        <w:rPr>
          <w:rFonts w:ascii="Times New Roman" w:hAnsi="Times New Roman" w:eastAsia="仿宋_GB2312"/>
          <w:color w:val="auto"/>
          <w:sz w:val="30"/>
          <w:szCs w:val="32"/>
          <w:u w:val="single"/>
        </w:rPr>
        <w:t>   </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outlineLvl w:val="0"/>
        <w:rPr>
          <w:rFonts w:ascii="Times New Roman" w:hAnsi="Times New Roman" w:eastAsia="仿宋_GB2312"/>
          <w:color w:val="auto"/>
          <w:kern w:val="0"/>
          <w:sz w:val="30"/>
          <w:szCs w:val="32"/>
        </w:rPr>
      </w:pPr>
      <w:r>
        <w:rPr>
          <w:rFonts w:ascii="Times New Roman" w:hAnsi="Times New Roman" w:eastAsia="仿宋_GB2312"/>
          <w:color w:val="auto"/>
          <w:sz w:val="30"/>
          <w:szCs w:val="32"/>
        </w:rPr>
        <w:t>1.11.4 承包人在施工过程中所采用的专利、专有技术、技术秘密的使用费的承担方式：</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kern w:val="0"/>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1.13工程量清单错误的修正</w:t>
      </w:r>
    </w:p>
    <w:p>
      <w:pPr>
        <w:spacing w:line="360" w:lineRule="auto"/>
        <w:ind w:firstLine="600" w:firstLineChars="200"/>
        <w:jc w:val="left"/>
        <w:rPr>
          <w:rFonts w:ascii="Times New Roman" w:hAnsi="Times New Roman" w:eastAsia="仿宋_GB2312"/>
          <w:color w:val="auto"/>
          <w:sz w:val="30"/>
          <w:szCs w:val="32"/>
        </w:rPr>
      </w:pPr>
      <w:r>
        <w:rPr>
          <w:rFonts w:hint="eastAsia" w:ascii="Times New Roman" w:hAnsi="Times New Roman" w:eastAsia="仿宋_GB2312"/>
          <w:color w:val="auto"/>
          <w:sz w:val="30"/>
          <w:szCs w:val="32"/>
        </w:rPr>
        <w:t>出现工程量清单错误时，是否调整合同价格：</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按合同约定价款调整的工程款一般应作为追加（减）合同价款，与当期进度款同期支付</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允许调整合同价格的工程量偏差范围：</w:t>
      </w:r>
      <w:r>
        <w:rPr>
          <w:rFonts w:ascii="Times New Roman" w:hAnsi="Times New Roman" w:eastAsia="仿宋_GB2312"/>
          <w:color w:val="auto"/>
          <w:sz w:val="30"/>
          <w:szCs w:val="32"/>
          <w:u w:val="single"/>
        </w:rPr>
        <w:t></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根据《浙江省建设工程计价规则（2018版）8.3相关条款。一般包括：1.发包人提供的工程量清单项目工程量有偏差，工程量应调整；2.合价金额占合同总价2%及以上的分部分项清单项目，其工程量增减超过本项工程量15%及以上，或合价金额占合同总价不到2%的分部分项清单项目，但其工程量增减超过本项目工程数量25%及以上时，增减工程量单价应调整）</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ascii="Times New Roman" w:hAnsi="Times New Roman" w:eastAsia="仿宋_GB2312"/>
          <w:color w:val="auto"/>
          <w:kern w:val="0"/>
          <w:sz w:val="30"/>
          <w:szCs w:val="32"/>
        </w:rPr>
        <w:t>。</w:t>
      </w:r>
    </w:p>
    <w:p>
      <w:pPr>
        <w:pStyle w:val="6"/>
        <w:spacing w:before="120" w:after="120" w:line="360" w:lineRule="auto"/>
        <w:rPr>
          <w:rFonts w:ascii="Times New Roman" w:hAnsi="Times New Roman" w:eastAsia="黑体"/>
          <w:b w:val="0"/>
          <w:color w:val="auto"/>
          <w:sz w:val="32"/>
          <w:szCs w:val="32"/>
        </w:rPr>
      </w:pPr>
      <w:bookmarkStart w:id="224" w:name="_Toc351203634"/>
      <w:r>
        <w:rPr>
          <w:rFonts w:ascii="Times New Roman" w:hAnsi="Times New Roman" w:eastAsia="黑体"/>
          <w:b w:val="0"/>
          <w:color w:val="auto"/>
          <w:sz w:val="32"/>
          <w:szCs w:val="32"/>
        </w:rPr>
        <w:t>2</w:t>
      </w:r>
      <w:bookmarkStart w:id="225" w:name="_Toc296503157"/>
      <w:bookmarkStart w:id="226" w:name="_Toc296944496"/>
      <w:bookmarkStart w:id="227" w:name="_Toc296347156"/>
      <w:bookmarkStart w:id="228" w:name="_Toc297120457"/>
      <w:bookmarkStart w:id="229" w:name="_Toc296891197"/>
      <w:bookmarkStart w:id="230" w:name="_Toc292559362"/>
      <w:bookmarkStart w:id="231" w:name="_Toc296890985"/>
      <w:bookmarkStart w:id="232" w:name="_Toc297048343"/>
      <w:bookmarkStart w:id="233" w:name="_Toc296346658"/>
      <w:bookmarkStart w:id="234" w:name="_Toc292559867"/>
      <w:r>
        <w:rPr>
          <w:rFonts w:ascii="Times New Roman" w:hAnsi="Times New Roman" w:eastAsia="黑体"/>
          <w:b w:val="0"/>
          <w:color w:val="auto"/>
          <w:sz w:val="32"/>
          <w:szCs w:val="32"/>
        </w:rPr>
        <w:t>. 发包人</w:t>
      </w:r>
      <w:bookmarkEnd w:id="224"/>
    </w:p>
    <w:bookmarkEnd w:id="225"/>
    <w:bookmarkEnd w:id="226"/>
    <w:bookmarkEnd w:id="227"/>
    <w:bookmarkEnd w:id="228"/>
    <w:bookmarkEnd w:id="229"/>
    <w:bookmarkEnd w:id="230"/>
    <w:bookmarkEnd w:id="231"/>
    <w:bookmarkEnd w:id="232"/>
    <w:bookmarkEnd w:id="233"/>
    <w:bookmarkEnd w:id="234"/>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2.2 发包人代表</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发包人代表：</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姓    名：</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身份证号：</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职    务：</w:t>
      </w:r>
      <w:r>
        <w:rPr>
          <w:rFonts w:ascii="Times New Roman" w:hAnsi="Times New Roman" w:eastAsia="仿宋_GB2312"/>
          <w:color w:val="auto"/>
          <w:sz w:val="30"/>
          <w:szCs w:val="32"/>
          <w:u w:val="single"/>
        </w:rPr>
        <w:t>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联系电话：</w:t>
      </w:r>
      <w:r>
        <w:rPr>
          <w:rFonts w:ascii="Times New Roman" w:hAnsi="Times New Roman" w:eastAsia="仿宋_GB2312"/>
          <w:color w:val="auto"/>
          <w:sz w:val="30"/>
          <w:szCs w:val="32"/>
          <w:u w:val="single"/>
        </w:rPr>
        <w:t>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电子信箱：</w:t>
      </w:r>
      <w:r>
        <w:rPr>
          <w:rFonts w:ascii="Times New Roman" w:hAnsi="Times New Roman" w:eastAsia="仿宋_GB2312"/>
          <w:color w:val="auto"/>
          <w:sz w:val="30"/>
          <w:szCs w:val="32"/>
          <w:u w:val="single"/>
        </w:rPr>
        <w:t>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通信地址：</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u w:val="single"/>
        </w:rPr>
      </w:pPr>
      <w:r>
        <w:rPr>
          <w:rFonts w:ascii="Times New Roman" w:hAnsi="Times New Roman" w:eastAsia="仿宋_GB2312"/>
          <w:color w:val="auto"/>
          <w:sz w:val="30"/>
          <w:szCs w:val="32"/>
        </w:rPr>
        <w:t>发包人对发包人代表的授权范围如下：</w:t>
      </w:r>
      <w:r>
        <w:rPr>
          <w:rFonts w:ascii="Times New Roman" w:hAnsi="Times New Roman" w:eastAsia="仿宋_GB2312"/>
          <w:color w:val="auto"/>
          <w:sz w:val="30"/>
          <w:szCs w:val="32"/>
          <w:u w:val="single"/>
        </w:rPr>
        <w:t>     </w:t>
      </w:r>
    </w:p>
    <w:p>
      <w:pPr>
        <w:spacing w:line="360" w:lineRule="auto"/>
        <w:rPr>
          <w:rFonts w:ascii="Times New Roman" w:hAnsi="Times New Roman" w:eastAsia="仿宋_GB2312"/>
          <w:b/>
          <w:color w:val="auto"/>
          <w:sz w:val="30"/>
          <w:szCs w:val="32"/>
        </w:rPr>
      </w:pP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2.4 施工现场、施工条件和基础资料的提供</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2.4.1 提供施工现场</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关于发包人移交施工现场的期限要求：</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2.4.2 提供施工条件</w:t>
      </w:r>
    </w:p>
    <w:p>
      <w:pPr>
        <w:spacing w:line="360" w:lineRule="auto"/>
        <w:ind w:firstLine="600" w:firstLineChars="200"/>
        <w:rPr>
          <w:rFonts w:ascii="Times New Roman" w:hAnsi="Times New Roman" w:eastAsia="仿宋_GB2312"/>
          <w:color w:val="auto"/>
          <w:sz w:val="30"/>
          <w:szCs w:val="32"/>
          <w:u w:val="single"/>
        </w:rPr>
      </w:pPr>
      <w:r>
        <w:rPr>
          <w:rFonts w:ascii="Times New Roman" w:hAnsi="Times New Roman" w:eastAsia="仿宋_GB2312"/>
          <w:color w:val="auto"/>
          <w:sz w:val="30"/>
          <w:szCs w:val="32"/>
        </w:rPr>
        <w:t>关于发包人应负责提供施工</w:t>
      </w:r>
      <w:r>
        <w:rPr>
          <w:rFonts w:hint="eastAsia" w:ascii="Times New Roman" w:hAnsi="Times New Roman" w:eastAsia="仿宋_GB2312"/>
          <w:color w:val="auto"/>
          <w:sz w:val="30"/>
          <w:szCs w:val="32"/>
        </w:rPr>
        <w:t>所需要的条件，</w:t>
      </w:r>
      <w:r>
        <w:rPr>
          <w:rFonts w:ascii="Times New Roman" w:hAnsi="Times New Roman" w:eastAsia="仿宋_GB2312"/>
          <w:color w:val="auto"/>
          <w:sz w:val="30"/>
          <w:szCs w:val="32"/>
        </w:rPr>
        <w:t>包括：</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2.5 资金来源证明及支付担保</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发包人提供资金来源证明的期限要求：</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发包人是否提供支付担保：</w:t>
      </w:r>
      <w:r>
        <w:rPr>
          <w:rFonts w:hint="eastAsia" w:ascii="Times New Roman" w:hAnsi="Times New Roman" w:eastAsia="仿宋_GB2312"/>
          <w:color w:val="auto"/>
          <w:sz w:val="30"/>
          <w:szCs w:val="32"/>
          <w:u w:val="single"/>
          <w:lang w:val="en-US" w:eastAsia="zh-CN"/>
        </w:rPr>
        <w:t xml:space="preserve">  </w:t>
      </w:r>
      <w:r>
        <w:rPr>
          <w:rFonts w:hint="eastAsia" w:ascii="Times New Roman" w:hAnsi="Times New Roman" w:eastAsia="仿宋_GB2312"/>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color w:val="auto"/>
          <w:sz w:val="30"/>
          <w:szCs w:val="32"/>
          <w:u w:val="single"/>
          <w:lang w:val="en-US" w:eastAsia="zh-CN"/>
        </w:rPr>
        <w:t>发包人要求承包人提供履约担保的，发包人</w:t>
      </w:r>
      <w:r>
        <w:rPr>
          <w:rFonts w:hint="eastAsia" w:ascii="Times New Roman" w:hAnsi="Times New Roman" w:eastAsia="仿宋_GB2312"/>
          <w:color w:val="auto"/>
          <w:sz w:val="30"/>
          <w:szCs w:val="32"/>
          <w:u w:val="single"/>
          <w:lang w:eastAsia="zh-CN"/>
        </w:rPr>
        <w:t>应提供支付担保，金额与履约担保一致，不得超过中标合同金额的</w:t>
      </w:r>
      <w:r>
        <w:rPr>
          <w:rFonts w:hint="eastAsia" w:ascii="Times New Roman" w:hAnsi="Times New Roman" w:eastAsia="仿宋_GB2312"/>
          <w:color w:val="auto"/>
          <w:sz w:val="30"/>
          <w:szCs w:val="32"/>
          <w:u w:val="single"/>
          <w:lang w:val="en-US" w:eastAsia="zh-CN"/>
        </w:rPr>
        <w:t>2%</w:t>
      </w:r>
      <w:r>
        <w:rPr>
          <w:rFonts w:hint="eastAsia" w:ascii="Times New Roman" w:hAnsi="Times New Roman" w:eastAsia="仿宋_GB2312"/>
          <w:color w:val="auto"/>
          <w:sz w:val="30"/>
          <w:szCs w:val="32"/>
          <w:u w:val="single"/>
          <w:lang w:eastAsia="zh-CN"/>
        </w:rPr>
        <w:t>）</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发包人提供支付担保的形式：</w:t>
      </w:r>
      <w:r>
        <w:rPr>
          <w:rFonts w:hint="eastAsia" w:ascii="Times New Roman" w:hAnsi="Times New Roman" w:eastAsia="仿宋_GB2312"/>
          <w:color w:val="auto"/>
          <w:sz w:val="30"/>
          <w:szCs w:val="32"/>
          <w:u w:val="single"/>
          <w:lang w:val="en-US" w:eastAsia="zh-CN"/>
        </w:rPr>
        <w:t xml:space="preserve"> </w:t>
      </w:r>
      <w:r>
        <w:rPr>
          <w:rFonts w:hint="eastAsia" w:ascii="Times New Roman" w:hAnsi="Times New Roman" w:eastAsia="仿宋_GB2312"/>
          <w:i/>
          <w:iCs/>
          <w:color w:val="auto"/>
          <w:sz w:val="30"/>
          <w:szCs w:val="32"/>
          <w:u w:val="single"/>
          <w:lang w:val="en-US"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现金、支票、汇票、转账、银行保函、融资担保公司保函或者保险机构保证、保险、保单。如采用保险机构保证、保险、保单，应使用绍兴市建筑产业保险共保体。</w:t>
      </w:r>
      <w:r>
        <w:rPr>
          <w:rFonts w:hint="eastAsia" w:ascii="Times New Roman" w:hAnsi="Times New Roman" w:eastAsia="仿宋_GB2312"/>
          <w:i/>
          <w:iCs/>
          <w:color w:val="auto"/>
          <w:sz w:val="30"/>
          <w:szCs w:val="32"/>
          <w:u w:val="single"/>
          <w:lang w:eastAsia="zh-CN"/>
        </w:rPr>
        <w:t>）</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pStyle w:val="6"/>
        <w:spacing w:before="120" w:after="120" w:line="360" w:lineRule="auto"/>
        <w:rPr>
          <w:rFonts w:ascii="Times New Roman" w:hAnsi="Times New Roman" w:eastAsia="黑体"/>
          <w:b w:val="0"/>
          <w:color w:val="auto"/>
          <w:sz w:val="32"/>
          <w:szCs w:val="32"/>
        </w:rPr>
      </w:pPr>
      <w:bookmarkStart w:id="235" w:name="_Toc351203635"/>
      <w:r>
        <w:rPr>
          <w:rFonts w:ascii="Times New Roman" w:hAnsi="Times New Roman" w:eastAsia="黑体"/>
          <w:b w:val="0"/>
          <w:color w:val="auto"/>
          <w:sz w:val="32"/>
          <w:szCs w:val="32"/>
        </w:rPr>
        <w:t>3</w:t>
      </w:r>
      <w:bookmarkStart w:id="236" w:name="_Toc292559363"/>
      <w:bookmarkStart w:id="237" w:name="_Toc296346659"/>
      <w:bookmarkStart w:id="238" w:name="_Toc292559868"/>
      <w:bookmarkStart w:id="239" w:name="_Toc296890986"/>
      <w:bookmarkStart w:id="240" w:name="_Toc296503158"/>
      <w:bookmarkStart w:id="241" w:name="_Toc296944497"/>
      <w:bookmarkStart w:id="242" w:name="_Toc297120458"/>
      <w:bookmarkStart w:id="243" w:name="_Toc297048344"/>
      <w:bookmarkStart w:id="244" w:name="_Toc296347157"/>
      <w:bookmarkStart w:id="245" w:name="_Toc296891198"/>
      <w:r>
        <w:rPr>
          <w:rFonts w:ascii="Times New Roman" w:hAnsi="Times New Roman" w:eastAsia="黑体"/>
          <w:b w:val="0"/>
          <w:color w:val="auto"/>
          <w:sz w:val="32"/>
          <w:szCs w:val="32"/>
        </w:rPr>
        <w:t>. 承包人</w:t>
      </w:r>
      <w:bookmarkEnd w:id="235"/>
    </w:p>
    <w:bookmarkEnd w:id="236"/>
    <w:bookmarkEnd w:id="237"/>
    <w:bookmarkEnd w:id="238"/>
    <w:bookmarkEnd w:id="239"/>
    <w:bookmarkEnd w:id="240"/>
    <w:bookmarkEnd w:id="241"/>
    <w:bookmarkEnd w:id="242"/>
    <w:bookmarkEnd w:id="243"/>
    <w:bookmarkEnd w:id="244"/>
    <w:bookmarkEnd w:id="245"/>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3.1 承包人的一般义务</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kern w:val="0"/>
          <w:sz w:val="30"/>
          <w:szCs w:val="32"/>
        </w:rPr>
        <w:t>（</w:t>
      </w:r>
      <w:r>
        <w:rPr>
          <w:rFonts w:hint="eastAsia" w:ascii="Times New Roman" w:hAnsi="Times New Roman" w:eastAsia="仿宋_GB2312"/>
          <w:color w:val="auto"/>
          <w:kern w:val="0"/>
          <w:sz w:val="30"/>
          <w:szCs w:val="32"/>
        </w:rPr>
        <w:t>9</w:t>
      </w:r>
      <w:r>
        <w:rPr>
          <w:rFonts w:ascii="Times New Roman" w:hAnsi="Times New Roman" w:eastAsia="仿宋_GB2312"/>
          <w:color w:val="auto"/>
          <w:kern w:val="0"/>
          <w:sz w:val="30"/>
          <w:szCs w:val="32"/>
        </w:rPr>
        <w:t>）</w:t>
      </w:r>
      <w:r>
        <w:rPr>
          <w:rFonts w:ascii="Times New Roman" w:hAnsi="Times New Roman" w:eastAsia="仿宋_GB2312"/>
          <w:color w:val="auto"/>
          <w:sz w:val="30"/>
          <w:szCs w:val="32"/>
        </w:rPr>
        <w:t>承包人提交的竣工资料的内容：</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承包人需要提交的竣工资料套数：</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left="730" w:leftChars="304"/>
        <w:jc w:val="left"/>
        <w:rPr>
          <w:rFonts w:ascii="Times New Roman" w:hAnsi="Times New Roman" w:eastAsia="仿宋_GB2312"/>
          <w:color w:val="auto"/>
          <w:sz w:val="30"/>
          <w:szCs w:val="32"/>
        </w:rPr>
      </w:pPr>
      <w:r>
        <w:rPr>
          <w:rFonts w:ascii="Times New Roman" w:hAnsi="Times New Roman" w:eastAsia="仿宋_GB2312"/>
          <w:color w:val="auto"/>
          <w:sz w:val="30"/>
          <w:szCs w:val="32"/>
        </w:rPr>
        <w:t>承包人提交的竣工资料的费用承担：</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left="730" w:leftChars="304"/>
        <w:jc w:val="left"/>
        <w:rPr>
          <w:rFonts w:ascii="Times New Roman" w:hAnsi="Times New Roman" w:eastAsia="仿宋_GB2312"/>
          <w:color w:val="auto"/>
          <w:sz w:val="30"/>
          <w:szCs w:val="32"/>
        </w:rPr>
      </w:pPr>
      <w:r>
        <w:rPr>
          <w:rFonts w:ascii="Times New Roman" w:hAnsi="Times New Roman" w:eastAsia="仿宋_GB2312"/>
          <w:color w:val="auto"/>
          <w:sz w:val="30"/>
          <w:szCs w:val="32"/>
        </w:rPr>
        <w:t>承包人提交的竣工资料移交时间：</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rPr>
        <w:t>承包人提交的竣工资料形式要求：</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kern w:val="0"/>
          <w:sz w:val="30"/>
          <w:szCs w:val="32"/>
        </w:rPr>
        <w:t>（</w:t>
      </w:r>
      <w:r>
        <w:rPr>
          <w:rFonts w:hint="eastAsia" w:ascii="Times New Roman" w:hAnsi="Times New Roman" w:eastAsia="仿宋_GB2312"/>
          <w:color w:val="auto"/>
          <w:kern w:val="0"/>
          <w:sz w:val="30"/>
          <w:szCs w:val="32"/>
        </w:rPr>
        <w:t>10</w:t>
      </w:r>
      <w:r>
        <w:rPr>
          <w:rFonts w:ascii="Times New Roman" w:hAnsi="Times New Roman" w:eastAsia="仿宋_GB2312"/>
          <w:color w:val="auto"/>
          <w:kern w:val="0"/>
          <w:sz w:val="30"/>
          <w:szCs w:val="32"/>
        </w:rPr>
        <w:t>）承包人应履行的其他义务：</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 xml:space="preserve">              </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3.2 项目经理</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kern w:val="0"/>
          <w:sz w:val="30"/>
          <w:szCs w:val="32"/>
        </w:rPr>
        <w:t xml:space="preserve">3.2.1 </w:t>
      </w:r>
      <w:r>
        <w:rPr>
          <w:rFonts w:ascii="Times New Roman" w:hAnsi="Times New Roman" w:eastAsia="仿宋_GB2312"/>
          <w:color w:val="auto"/>
          <w:sz w:val="30"/>
          <w:szCs w:val="32"/>
        </w:rPr>
        <w:t>项目经理：</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姓    名：</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身份证号：</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建造师执业资格等级：</w:t>
      </w:r>
      <w:r>
        <w:rPr>
          <w:rFonts w:ascii="Times New Roman" w:hAnsi="Times New Roman" w:eastAsia="仿宋_GB2312"/>
          <w:color w:val="auto"/>
          <w:sz w:val="30"/>
          <w:szCs w:val="32"/>
          <w:u w:val="single"/>
        </w:rPr>
        <w:t>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建造师注册证书号：</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建造师执业印章号：</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安全生产考核合格证书号：</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联系电话：</w:t>
      </w:r>
      <w:r>
        <w:rPr>
          <w:rFonts w:ascii="Times New Roman" w:hAnsi="Times New Roman" w:eastAsia="仿宋_GB2312"/>
          <w:color w:val="auto"/>
          <w:sz w:val="30"/>
          <w:szCs w:val="32"/>
          <w:u w:val="single"/>
        </w:rPr>
        <w:t>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电子信箱：</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通信地址：</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承包人对项目经理的授权范围如下：</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关于项目经理每月在施工现场的时间要求：</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 xml:space="preserve">   </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承包人未提交劳动合同，以及没有为项目经理缴纳社会保险证明的违约责任：</w:t>
      </w:r>
      <w:r>
        <w:rPr>
          <w:rFonts w:ascii="Times New Roman" w:hAnsi="Times New Roman" w:eastAsia="仿宋_GB2312"/>
          <w:color w:val="auto"/>
          <w:sz w:val="30"/>
          <w:szCs w:val="32"/>
          <w:u w:val="single"/>
        </w:rPr>
        <w:t xml:space="preserve">               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u w:val="single"/>
        </w:rPr>
      </w:pPr>
      <w:r>
        <w:rPr>
          <w:rFonts w:ascii="Times New Roman" w:hAnsi="Times New Roman" w:eastAsia="仿宋_GB2312"/>
          <w:color w:val="auto"/>
          <w:kern w:val="0"/>
          <w:sz w:val="30"/>
          <w:szCs w:val="32"/>
        </w:rPr>
        <w:t>项目经理未经批准，擅自离开施工现场的违约责任：</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 xml:space="preserve">     </w:t>
      </w:r>
      <w:r>
        <w:rPr>
          <w:rFonts w:ascii="Times New Roman" w:hAnsi="Times New Roman" w:eastAsia="仿宋_GB2312"/>
          <w:color w:val="auto"/>
          <w:sz w:val="30"/>
          <w:szCs w:val="32"/>
          <w:u w:val="single"/>
        </w:rPr>
        <w:t xml:space="preserve">     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3.2.3 承包人擅自更换项目经理的违约责任：</w:t>
      </w:r>
      <w:r>
        <w:rPr>
          <w:rFonts w:ascii="Times New Roman" w:hAnsi="Times New Roman" w:eastAsia="仿宋_GB2312"/>
          <w:color w:val="auto"/>
          <w:sz w:val="30"/>
          <w:szCs w:val="32"/>
          <w:u w:val="single"/>
        </w:rPr>
        <w:t xml:space="preserve">              </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     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outlineLvl w:val="0"/>
        <w:rPr>
          <w:rFonts w:ascii="Times New Roman" w:hAnsi="Times New Roman" w:eastAsia="仿宋_GB2312"/>
          <w:color w:val="auto"/>
          <w:sz w:val="30"/>
          <w:szCs w:val="32"/>
        </w:rPr>
      </w:pPr>
      <w:r>
        <w:rPr>
          <w:rFonts w:ascii="Times New Roman" w:hAnsi="Times New Roman" w:eastAsia="仿宋_GB2312"/>
          <w:color w:val="auto"/>
          <w:sz w:val="30"/>
          <w:szCs w:val="32"/>
        </w:rPr>
        <w:t xml:space="preserve">    3.2.4 承包人无正当理由拒绝更换项目经理的违约责任：</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 xml:space="preserve">     </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3.3 承包人人员</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3.3.1 承包人提交项目管理机构及施工现场管理人员安排报告的期限：</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3.3.3 承包人无正当理由拒绝撤换主要施工管理人员的违约责任：</w:t>
      </w:r>
      <w:r>
        <w:rPr>
          <w:rFonts w:ascii="Times New Roman" w:hAnsi="Times New Roman" w:eastAsia="仿宋_GB2312"/>
          <w:color w:val="auto"/>
          <w:sz w:val="30"/>
          <w:szCs w:val="32"/>
          <w:u w:val="single"/>
        </w:rPr>
        <w:t xml:space="preserve">  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u w:val="single"/>
        </w:rPr>
      </w:pPr>
      <w:r>
        <w:rPr>
          <w:rFonts w:ascii="Times New Roman" w:hAnsi="Times New Roman" w:eastAsia="仿宋_GB2312"/>
          <w:color w:val="auto"/>
          <w:sz w:val="30"/>
          <w:szCs w:val="32"/>
        </w:rPr>
        <w:t xml:space="preserve">3.3.4 承包人主要施工管理人员离开施工现场的批准要求：   </w:t>
      </w:r>
      <w:r>
        <w:rPr>
          <w:rFonts w:ascii="Times New Roman" w:hAnsi="Times New Roman" w:eastAsia="仿宋_GB2312"/>
          <w:color w:val="auto"/>
          <w:sz w:val="30"/>
          <w:szCs w:val="32"/>
          <w:u w:val="single"/>
        </w:rPr>
        <w:t></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3.3.5承包人擅自更换主要施工管理人员的违约责任：</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承包人主要施工管理人员擅自离开施工现场的违约责任：</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3</w:t>
      </w:r>
      <w:bookmarkStart w:id="246" w:name="_Toc296347158"/>
      <w:bookmarkStart w:id="247" w:name="_Toc296346660"/>
      <w:bookmarkStart w:id="248" w:name="_Toc304295523"/>
      <w:bookmarkStart w:id="249" w:name="_Toc297216151"/>
      <w:bookmarkStart w:id="250" w:name="_Toc296944498"/>
      <w:bookmarkStart w:id="251" w:name="_Toc312677988"/>
      <w:bookmarkStart w:id="252" w:name="_Toc297123492"/>
      <w:bookmarkStart w:id="253" w:name="_Toc297120459"/>
      <w:bookmarkStart w:id="254" w:name="_Toc296503159"/>
      <w:bookmarkStart w:id="255" w:name="_Toc300934945"/>
      <w:bookmarkStart w:id="256" w:name="_Toc296891199"/>
      <w:bookmarkStart w:id="257" w:name="_Toc292559364"/>
      <w:bookmarkStart w:id="258" w:name="_Toc303539102"/>
      <w:bookmarkStart w:id="259" w:name="_Toc292559869"/>
      <w:bookmarkStart w:id="260" w:name="_Toc296890987"/>
      <w:bookmarkStart w:id="261" w:name="_Toc297048345"/>
      <w:r>
        <w:rPr>
          <w:rFonts w:ascii="Times New Roman" w:hAnsi="Times New Roman" w:eastAsia="黑体"/>
          <w:color w:val="auto"/>
          <w:sz w:val="30"/>
          <w:szCs w:val="32"/>
        </w:rPr>
        <w:t>.5 分包</w:t>
      </w:r>
    </w:p>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3</w:t>
      </w:r>
      <w:bookmarkStart w:id="262" w:name="_Toc304295524"/>
      <w:bookmarkStart w:id="263" w:name="_Toc296503160"/>
      <w:bookmarkStart w:id="264" w:name="_Toc296890988"/>
      <w:bookmarkStart w:id="265" w:name="_Toc296347159"/>
      <w:bookmarkStart w:id="266" w:name="_Toc296944499"/>
      <w:bookmarkStart w:id="267" w:name="_Toc297123493"/>
      <w:bookmarkStart w:id="268" w:name="_Toc296891200"/>
      <w:bookmarkStart w:id="269" w:name="_Toc297120460"/>
      <w:bookmarkStart w:id="270" w:name="_Toc292559870"/>
      <w:bookmarkStart w:id="271" w:name="_Toc300934946"/>
      <w:bookmarkStart w:id="272" w:name="_Toc303539103"/>
      <w:bookmarkStart w:id="273" w:name="_Toc296346661"/>
      <w:bookmarkStart w:id="274" w:name="_Toc297048346"/>
      <w:bookmarkStart w:id="275" w:name="_Toc292559365"/>
      <w:bookmarkStart w:id="276" w:name="_Toc297216152"/>
      <w:bookmarkStart w:id="277" w:name="_Toc318581158"/>
      <w:bookmarkStart w:id="278" w:name="_Toc312677989"/>
      <w:r>
        <w:rPr>
          <w:rFonts w:ascii="Times New Roman" w:hAnsi="Times New Roman" w:eastAsia="仿宋_GB2312"/>
          <w:color w:val="auto"/>
          <w:sz w:val="30"/>
          <w:szCs w:val="32"/>
        </w:rPr>
        <w:t>.5.1 分包的一般约定</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禁止分包的工程包括：</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val="en-US"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原则上</w:t>
      </w:r>
      <w:r>
        <w:rPr>
          <w:rFonts w:ascii="Times New Roman" w:hAnsi="Times New Roman" w:eastAsia="仿宋_GB2312"/>
          <w:i/>
          <w:iCs/>
          <w:color w:val="auto"/>
          <w:kern w:val="0"/>
          <w:sz w:val="30"/>
          <w:szCs w:val="32"/>
          <w:u w:val="single"/>
        </w:rPr>
        <w:t>承包人不得将其承包的全部工程转包给第三人，或将其承包的全部工程肢解后以分包的名义转包给第三人。承包人不得将工程主体结构、关键性工作及专用合同条款中禁止分包的专业工程分包给第三人。</w:t>
      </w:r>
      <w:r>
        <w:rPr>
          <w:rFonts w:hint="eastAsia" w:ascii="Times New Roman" w:hAnsi="Times New Roman" w:eastAsia="仿宋_GB2312"/>
          <w:i/>
          <w:iCs/>
          <w:color w:val="auto"/>
          <w:kern w:val="0"/>
          <w:sz w:val="30"/>
          <w:szCs w:val="32"/>
          <w:u w:val="single"/>
        </w:rPr>
        <w:t>承包人不得以劳务分包的名义转包或违法分包工程</w:t>
      </w:r>
      <w:r>
        <w:rPr>
          <w:rFonts w:hint="eastAsia" w:ascii="Times New Roman" w:hAnsi="Times New Roman" w:eastAsia="仿宋_GB2312"/>
          <w:i/>
          <w:iCs/>
          <w:color w:val="auto"/>
          <w:sz w:val="30"/>
          <w:szCs w:val="32"/>
          <w:u w:val="single"/>
          <w:lang w:val="en-US" w:eastAsia="zh-CN"/>
        </w:rPr>
        <w:t>）</w:t>
      </w:r>
      <w:r>
        <w:rPr>
          <w:rFonts w:hint="eastAsia" w:ascii="Times New Roman" w:hAnsi="Times New Roman" w:eastAsia="仿宋_GB2312"/>
          <w:color w:val="auto"/>
          <w:kern w:val="0"/>
          <w:sz w:val="30"/>
          <w:szCs w:val="32"/>
          <w:u w:val="single"/>
          <w:lang w:val="en-US" w:eastAsia="zh-CN"/>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主体结构、关键性工作的范围：</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Start w:id="279" w:name="_Toc296944500"/>
      <w:bookmarkStart w:id="280" w:name="_Toc297120461"/>
      <w:bookmarkStart w:id="281" w:name="_Toc296503161"/>
      <w:bookmarkStart w:id="282" w:name="_Toc296890989"/>
      <w:bookmarkStart w:id="283" w:name="_Toc303539104"/>
      <w:bookmarkStart w:id="284" w:name="_Toc296347160"/>
      <w:bookmarkStart w:id="285" w:name="_Toc304295525"/>
      <w:bookmarkStart w:id="286" w:name="_Toc300934947"/>
      <w:bookmarkStart w:id="287" w:name="_Toc297123494"/>
      <w:bookmarkStart w:id="288" w:name="_Toc296346662"/>
      <w:bookmarkStart w:id="289" w:name="_Toc296891201"/>
      <w:bookmarkStart w:id="290" w:name="_Toc297048347"/>
      <w:bookmarkStart w:id="291" w:name="_Toc297216153"/>
    </w:p>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rPr>
        <w:t xml:space="preserve">    3</w:t>
      </w:r>
      <w:bookmarkStart w:id="292" w:name="_Toc312677990"/>
      <w:bookmarkStart w:id="293" w:name="_Toc318581159"/>
      <w:r>
        <w:rPr>
          <w:rFonts w:ascii="Times New Roman" w:hAnsi="Times New Roman" w:eastAsia="仿宋_GB2312"/>
          <w:color w:val="auto"/>
          <w:sz w:val="30"/>
          <w:szCs w:val="32"/>
        </w:rPr>
        <w:t>.5.2分包的确定</w:t>
      </w:r>
    </w:p>
    <w:p>
      <w:pPr>
        <w:spacing w:line="360" w:lineRule="auto"/>
        <w:ind w:firstLine="600" w:firstLineChars="200"/>
        <w:rPr>
          <w:rFonts w:ascii="Times New Roman" w:hAnsi="Times New Roman" w:eastAsia="仿宋_GB2312"/>
          <w:color w:val="auto"/>
          <w:sz w:val="30"/>
          <w:szCs w:val="32"/>
          <w:u w:val="single"/>
        </w:rPr>
      </w:pPr>
      <w:r>
        <w:rPr>
          <w:rFonts w:ascii="Times New Roman" w:hAnsi="Times New Roman" w:eastAsia="仿宋_GB2312"/>
          <w:color w:val="auto"/>
          <w:sz w:val="30"/>
          <w:szCs w:val="32"/>
        </w:rPr>
        <w:t>允许分包的专业工程包括：</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其他关于分包的约定：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3.5.4 分包合同价款</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关于分包合同价款支付的约定：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292"/>
    <w:bookmarkEnd w:id="293"/>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3.6 工程照管与成品、半成品保护</w:t>
      </w:r>
    </w:p>
    <w:p>
      <w:pPr>
        <w:spacing w:before="120" w:after="120" w:line="360" w:lineRule="auto"/>
        <w:ind w:firstLine="600" w:firstLineChars="200"/>
        <w:rPr>
          <w:rFonts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rPr>
        <w:t>承包人负责照管工程及工程相关的材料、工程设备的起始时间：</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3.7 履约担保</w:t>
      </w:r>
    </w:p>
    <w:p>
      <w:pPr>
        <w:spacing w:line="360" w:lineRule="auto"/>
        <w:ind w:firstLine="600" w:firstLineChars="200"/>
        <w:jc w:val="left"/>
        <w:rPr>
          <w:rFonts w:hint="eastAsia" w:ascii="Times New Roman" w:hAnsi="Times New Roman" w:eastAsia="仿宋_GB2312"/>
          <w:color w:val="auto"/>
          <w:sz w:val="30"/>
          <w:szCs w:val="32"/>
        </w:rPr>
      </w:pPr>
      <w:r>
        <w:rPr>
          <w:rFonts w:hint="eastAsia" w:ascii="Times New Roman" w:hAnsi="Times New Roman" w:eastAsia="仿宋_GB2312"/>
          <w:color w:val="auto"/>
          <w:sz w:val="30"/>
          <w:szCs w:val="32"/>
        </w:rPr>
        <w:t>承包人是否提供履约担保：</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eastAsia="zh-CN"/>
        </w:rPr>
        <w:t>原则上应提供）</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承包人提供履约担保的形式</w:t>
      </w:r>
      <w:r>
        <w:rPr>
          <w:rFonts w:hint="eastAsia" w:ascii="Times New Roman" w:hAnsi="Times New Roman" w:eastAsia="仿宋_GB2312"/>
          <w:color w:val="auto"/>
          <w:sz w:val="30"/>
          <w:szCs w:val="32"/>
        </w:rPr>
        <w:t>、金额及期限的</w:t>
      </w:r>
      <w:r>
        <w:rPr>
          <w:rFonts w:ascii="Times New Roman" w:hAnsi="Times New Roman" w:eastAsia="仿宋_GB2312"/>
          <w:color w:val="auto"/>
          <w:sz w:val="30"/>
          <w:szCs w:val="32"/>
        </w:rPr>
        <w:t>：</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 xml:space="preserve">现金、支票、汇票、转账、银行保函、融资担保公司保函或者保险机构保证、保险、保单。如采用保险机构保证、保险、保单，应使用绍兴市建筑产业保险共保体。担保金额不得超过中标合同金额的2%，在工程竣工验收合格后10日内应全额返还）   </w:t>
      </w:r>
      <w:r>
        <w:rPr>
          <w:rFonts w:ascii="Times New Roman" w:hAnsi="Times New Roman" w:eastAsia="仿宋_GB2312"/>
          <w:color w:val="auto"/>
          <w:sz w:val="30"/>
          <w:szCs w:val="32"/>
        </w:rPr>
        <w:t>。</w:t>
      </w:r>
    </w:p>
    <w:p>
      <w:pPr>
        <w:pStyle w:val="6"/>
        <w:spacing w:before="120" w:after="120" w:line="360" w:lineRule="auto"/>
        <w:rPr>
          <w:rFonts w:ascii="Times New Roman" w:hAnsi="Times New Roman" w:eastAsia="黑体"/>
          <w:b w:val="0"/>
          <w:color w:val="auto"/>
          <w:sz w:val="32"/>
          <w:szCs w:val="32"/>
        </w:rPr>
      </w:pPr>
      <w:bookmarkStart w:id="294" w:name="_Toc351203636"/>
      <w:r>
        <w:rPr>
          <w:rFonts w:ascii="Times New Roman" w:hAnsi="Times New Roman" w:eastAsia="黑体"/>
          <w:b w:val="0"/>
          <w:color w:val="auto"/>
          <w:sz w:val="32"/>
          <w:szCs w:val="32"/>
        </w:rPr>
        <w:t>4</w:t>
      </w:r>
      <w:bookmarkStart w:id="295" w:name="_Toc292559366"/>
      <w:bookmarkStart w:id="296" w:name="_Toc297048348"/>
      <w:bookmarkStart w:id="297" w:name="_Toc296503162"/>
      <w:bookmarkStart w:id="298" w:name="_Toc296347161"/>
      <w:bookmarkStart w:id="299" w:name="_Toc296944501"/>
      <w:bookmarkStart w:id="300" w:name="_Toc292559871"/>
      <w:bookmarkStart w:id="301" w:name="_Toc296891202"/>
      <w:bookmarkStart w:id="302" w:name="_Toc267251413"/>
      <w:bookmarkStart w:id="303" w:name="_Toc296346663"/>
      <w:bookmarkStart w:id="304" w:name="_Toc296890990"/>
      <w:bookmarkStart w:id="305" w:name="_Toc297120462"/>
      <w:r>
        <w:rPr>
          <w:rFonts w:ascii="Times New Roman" w:hAnsi="Times New Roman" w:eastAsia="黑体"/>
          <w:b w:val="0"/>
          <w:color w:val="auto"/>
          <w:sz w:val="32"/>
          <w:szCs w:val="32"/>
        </w:rPr>
        <w:t>. 监</w:t>
      </w:r>
      <w:bookmarkEnd w:id="295"/>
      <w:bookmarkEnd w:id="296"/>
      <w:bookmarkEnd w:id="297"/>
      <w:bookmarkEnd w:id="298"/>
      <w:bookmarkEnd w:id="299"/>
      <w:bookmarkEnd w:id="300"/>
      <w:bookmarkEnd w:id="301"/>
      <w:bookmarkEnd w:id="302"/>
      <w:bookmarkEnd w:id="303"/>
      <w:bookmarkEnd w:id="304"/>
      <w:bookmarkEnd w:id="305"/>
      <w:r>
        <w:rPr>
          <w:rFonts w:ascii="Times New Roman" w:hAnsi="Times New Roman" w:eastAsia="黑体"/>
          <w:b w:val="0"/>
          <w:color w:val="auto"/>
          <w:sz w:val="32"/>
          <w:szCs w:val="32"/>
        </w:rPr>
        <w:t>理人</w:t>
      </w:r>
      <w:bookmarkEnd w:id="294"/>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4.1监理人的一般规定</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关于监理人的监理内容：</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关于监理人的监理权限：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 xml:space="preserve">。 </w:t>
      </w:r>
    </w:p>
    <w:p>
      <w:pPr>
        <w:spacing w:line="360" w:lineRule="auto"/>
        <w:ind w:firstLine="600" w:firstLineChars="200"/>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关于监理人在施工现场的办公场所、生活场所的提供和费用承担的约定：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p>
    <w:p>
      <w:pPr>
        <w:spacing w:line="360" w:lineRule="auto"/>
        <w:rPr>
          <w:rFonts w:hint="eastAsia"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4.2 监理人员</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总监理工程师：</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姓    名：</w:t>
      </w:r>
      <w:r>
        <w:rPr>
          <w:rFonts w:ascii="Times New Roman" w:hAnsi="Times New Roman" w:eastAsia="仿宋_GB2312"/>
          <w:color w:val="auto"/>
          <w:sz w:val="30"/>
          <w:szCs w:val="32"/>
          <w:u w:val="single"/>
        </w:rPr>
        <w:t>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职    务：</w:t>
      </w:r>
      <w:r>
        <w:rPr>
          <w:rFonts w:ascii="Times New Roman" w:hAnsi="Times New Roman" w:eastAsia="仿宋_GB2312"/>
          <w:color w:val="auto"/>
          <w:sz w:val="30"/>
          <w:szCs w:val="32"/>
          <w:u w:val="single"/>
        </w:rPr>
        <w:t>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监理工程师执业资格证书号：</w:t>
      </w:r>
      <w:r>
        <w:rPr>
          <w:rFonts w:ascii="Times New Roman" w:hAnsi="Times New Roman" w:eastAsia="仿宋_GB2312"/>
          <w:color w:val="auto"/>
          <w:sz w:val="30"/>
          <w:szCs w:val="32"/>
          <w:u w:val="single"/>
        </w:rPr>
        <w:t>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联系电话：</w:t>
      </w:r>
      <w:r>
        <w:rPr>
          <w:rFonts w:ascii="Times New Roman" w:hAnsi="Times New Roman" w:eastAsia="仿宋_GB2312"/>
          <w:color w:val="auto"/>
          <w:sz w:val="30"/>
          <w:szCs w:val="32"/>
          <w:u w:val="single"/>
        </w:rPr>
        <w:t>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电子信箱：</w:t>
      </w:r>
      <w:r>
        <w:rPr>
          <w:rFonts w:ascii="Times New Roman" w:hAnsi="Times New Roman" w:eastAsia="仿宋_GB2312"/>
          <w:color w:val="auto"/>
          <w:sz w:val="30"/>
          <w:szCs w:val="32"/>
          <w:u w:val="single"/>
        </w:rPr>
        <w:t>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通信地址：</w:t>
      </w:r>
      <w:r>
        <w:rPr>
          <w:rFonts w:ascii="Times New Roman" w:hAnsi="Times New Roman" w:eastAsia="仿宋_GB2312"/>
          <w:color w:val="auto"/>
          <w:sz w:val="30"/>
          <w:szCs w:val="32"/>
          <w:u w:val="single"/>
        </w:rPr>
        <w:t>   </w:t>
      </w:r>
      <w:r>
        <w:rPr>
          <w:rFonts w:ascii="Times New Roman" w:hAnsi="Times New Roman" w:eastAsia="仿宋_GB2312"/>
          <w:color w:val="auto"/>
          <w:sz w:val="30"/>
          <w:szCs w:val="32"/>
        </w:rPr>
        <w:t>；</w:t>
      </w:r>
    </w:p>
    <w:p>
      <w:pPr>
        <w:spacing w:line="360" w:lineRule="auto"/>
        <w:ind w:firstLine="600" w:firstLineChars="200"/>
        <w:rPr>
          <w:rFonts w:ascii="Times New Roman" w:hAnsi="Times New Roman" w:eastAsia="仿宋_GB2312"/>
          <w:color w:val="auto"/>
          <w:sz w:val="30"/>
          <w:szCs w:val="32"/>
        </w:rPr>
      </w:pPr>
      <w:r>
        <w:rPr>
          <w:rFonts w:ascii="Times New Roman" w:hAnsi="Times New Roman" w:eastAsia="仿宋_GB2312"/>
          <w:color w:val="auto"/>
          <w:sz w:val="30"/>
          <w:szCs w:val="32"/>
        </w:rPr>
        <w:t>关于监理人的其他约定：</w:t>
      </w:r>
      <w:r>
        <w:rPr>
          <w:rFonts w:ascii="Times New Roman" w:hAnsi="Times New Roman" w:eastAsia="仿宋_GB2312"/>
          <w:color w:val="auto"/>
          <w:sz w:val="30"/>
          <w:szCs w:val="32"/>
          <w:u w:val="single"/>
        </w:rPr>
        <w:t>  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4.4 商定或确定</w:t>
      </w:r>
    </w:p>
    <w:p>
      <w:pPr>
        <w:spacing w:line="360" w:lineRule="auto"/>
        <w:ind w:firstLine="600" w:firstLineChars="200"/>
        <w:rPr>
          <w:rFonts w:ascii="Times New Roman" w:hAnsi="Times New Roman" w:eastAsia="仿宋_GB2312"/>
          <w:color w:val="auto"/>
          <w:sz w:val="30"/>
          <w:szCs w:val="32"/>
        </w:rPr>
      </w:pPr>
      <w:bookmarkStart w:id="306" w:name="_Toc267251418"/>
      <w:r>
        <w:rPr>
          <w:rFonts w:ascii="Times New Roman" w:hAnsi="Times New Roman" w:eastAsia="仿宋_GB2312"/>
          <w:color w:val="auto"/>
          <w:sz w:val="30"/>
          <w:szCs w:val="32"/>
        </w:rPr>
        <w:t>在发包人和承包人不能通过协商达成一致意见时，发包人授权监理人对以下事项进行确定：</w:t>
      </w:r>
    </w:p>
    <w:p>
      <w:pPr>
        <w:autoSpaceDE w:val="0"/>
        <w:autoSpaceDN w:val="0"/>
        <w:adjustRightInd w:val="0"/>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（2）</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（3）</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pStyle w:val="6"/>
        <w:spacing w:before="120" w:after="120" w:line="360" w:lineRule="auto"/>
        <w:rPr>
          <w:rFonts w:ascii="Times New Roman" w:hAnsi="Times New Roman" w:eastAsia="黑体"/>
          <w:b w:val="0"/>
          <w:color w:val="auto"/>
          <w:sz w:val="32"/>
          <w:szCs w:val="32"/>
        </w:rPr>
      </w:pPr>
      <w:bookmarkStart w:id="307" w:name="_Toc351203637"/>
      <w:r>
        <w:rPr>
          <w:rFonts w:ascii="Times New Roman" w:hAnsi="Times New Roman" w:eastAsia="黑体"/>
          <w:b w:val="0"/>
          <w:color w:val="auto"/>
          <w:sz w:val="32"/>
          <w:szCs w:val="32"/>
        </w:rPr>
        <w:t>5</w:t>
      </w:r>
      <w:bookmarkEnd w:id="306"/>
      <w:bookmarkStart w:id="308" w:name="_Toc296503163"/>
      <w:bookmarkStart w:id="309" w:name="_Toc296944502"/>
      <w:bookmarkStart w:id="310" w:name="_Toc297120463"/>
      <w:bookmarkStart w:id="311" w:name="_Toc297048349"/>
      <w:bookmarkStart w:id="312" w:name="_Toc292559872"/>
      <w:bookmarkStart w:id="313" w:name="_Toc296346664"/>
      <w:bookmarkStart w:id="314" w:name="_Toc296891203"/>
      <w:bookmarkStart w:id="315" w:name="_Toc296890991"/>
      <w:bookmarkStart w:id="316" w:name="_Toc292559367"/>
      <w:bookmarkStart w:id="317" w:name="_Toc296347162"/>
      <w:r>
        <w:rPr>
          <w:rFonts w:ascii="Times New Roman" w:hAnsi="Times New Roman" w:eastAsia="黑体"/>
          <w:b w:val="0"/>
          <w:color w:val="auto"/>
          <w:sz w:val="32"/>
          <w:szCs w:val="32"/>
        </w:rPr>
        <w:t>. 工程质量</w:t>
      </w:r>
      <w:bookmarkEnd w:id="307"/>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5.1 质量要求</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5</w:t>
      </w:r>
      <w:bookmarkStart w:id="318" w:name="_Toc303539106"/>
      <w:bookmarkStart w:id="319" w:name="_Toc304295527"/>
      <w:bookmarkStart w:id="320" w:name="_Toc297123496"/>
      <w:bookmarkStart w:id="321" w:name="_Toc318581164"/>
      <w:bookmarkStart w:id="322" w:name="_Toc300934949"/>
      <w:bookmarkStart w:id="323" w:name="_Toc312677997"/>
      <w:bookmarkStart w:id="324" w:name="_Toc297216155"/>
      <w:r>
        <w:rPr>
          <w:rFonts w:ascii="Times New Roman" w:hAnsi="Times New Roman" w:eastAsia="仿宋_GB2312"/>
          <w:color w:val="auto"/>
          <w:sz w:val="30"/>
          <w:szCs w:val="32"/>
        </w:rPr>
        <w:t>.1.1 特殊质量标准和要求：</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黑体"/>
          <w:color w:val="auto"/>
          <w:sz w:val="30"/>
          <w:szCs w:val="32"/>
        </w:rPr>
      </w:pPr>
      <w:r>
        <w:rPr>
          <w:rFonts w:ascii="Times New Roman" w:hAnsi="Times New Roman" w:eastAsia="仿宋_GB2312"/>
          <w:color w:val="auto"/>
          <w:sz w:val="30"/>
          <w:szCs w:val="32"/>
        </w:rPr>
        <w:t>关于工程奖项的约定：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eastAsia="zh-CN"/>
        </w:rPr>
        <w:t>根据《浙江省建设工程计价规则》（</w:t>
      </w:r>
      <w:r>
        <w:rPr>
          <w:rFonts w:hint="eastAsia" w:ascii="Times New Roman" w:hAnsi="Times New Roman" w:eastAsia="仿宋_GB2312"/>
          <w:i/>
          <w:iCs/>
          <w:color w:val="auto"/>
          <w:sz w:val="30"/>
          <w:szCs w:val="32"/>
          <w:u w:val="single"/>
          <w:lang w:val="en-US" w:eastAsia="zh-CN"/>
        </w:rPr>
        <w:t>2018版</w:t>
      </w:r>
      <w:r>
        <w:rPr>
          <w:rFonts w:hint="eastAsia" w:ascii="Times New Roman" w:hAnsi="Times New Roman" w:eastAsia="仿宋_GB2312"/>
          <w:i/>
          <w:iCs/>
          <w:color w:val="auto"/>
          <w:sz w:val="30"/>
          <w:szCs w:val="32"/>
          <w:u w:val="single"/>
          <w:lang w:eastAsia="zh-CN"/>
        </w:rPr>
        <w:t>），招标文件有优质工程要求的，一般应明确等级及相</w:t>
      </w:r>
      <w:r>
        <w:rPr>
          <w:rFonts w:hint="eastAsia" w:ascii="Times New Roman" w:hAnsi="Times New Roman" w:eastAsia="仿宋_GB2312"/>
          <w:i/>
          <w:iCs/>
          <w:color w:val="auto"/>
          <w:sz w:val="30"/>
          <w:szCs w:val="32"/>
          <w:u w:val="single"/>
          <w:lang w:val="en-US" w:eastAsia="zh-CN"/>
        </w:rPr>
        <w:t>对应</w:t>
      </w:r>
      <w:r>
        <w:rPr>
          <w:rFonts w:hint="eastAsia" w:ascii="Times New Roman" w:hAnsi="Times New Roman" w:eastAsia="仿宋_GB2312"/>
          <w:i/>
          <w:iCs/>
          <w:color w:val="auto"/>
          <w:sz w:val="30"/>
          <w:szCs w:val="32"/>
          <w:u w:val="single"/>
          <w:lang w:eastAsia="zh-CN"/>
        </w:rPr>
        <w:t>费用）</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5.3 隐蔽工程检查</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5.3.2承包人提前通知监理人隐蔽工程检查的期限的约定：</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监理人不能按时进行检查时，应提前</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小时提交书面延期要求。</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关于延期最长不得超过：</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小时。</w:t>
      </w:r>
    </w:p>
    <w:p>
      <w:pPr>
        <w:pStyle w:val="6"/>
        <w:spacing w:before="120" w:after="120" w:line="360" w:lineRule="auto"/>
        <w:rPr>
          <w:rFonts w:ascii="Times New Roman" w:hAnsi="Times New Roman" w:eastAsia="黑体"/>
          <w:b w:val="0"/>
          <w:color w:val="auto"/>
          <w:sz w:val="32"/>
          <w:szCs w:val="32"/>
        </w:rPr>
      </w:pPr>
      <w:bookmarkStart w:id="325" w:name="_Toc351203638"/>
      <w:r>
        <w:rPr>
          <w:rFonts w:ascii="Times New Roman" w:hAnsi="Times New Roman" w:eastAsia="黑体"/>
          <w:b w:val="0"/>
          <w:color w:val="auto"/>
          <w:sz w:val="32"/>
          <w:szCs w:val="32"/>
        </w:rPr>
        <w:t>6. 安全文明施工与环境保护</w:t>
      </w:r>
      <w:bookmarkEnd w:id="325"/>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6.1安全文明施工</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6.1.1 项目安全生产的达标目标及相应事项的约定：</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6.1.4 关于治安保卫的特别约定：</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rPr>
        <w:t>关于编制施工场地治安管理计划的约定：</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br w:type="textWrapping"/>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rPr>
      </w:pPr>
      <w:r>
        <w:rPr>
          <w:rFonts w:hint="eastAsia" w:ascii="Times New Roman" w:hAnsi="Times New Roman" w:eastAsia="仿宋_GB2312"/>
          <w:color w:val="auto"/>
          <w:sz w:val="30"/>
          <w:szCs w:val="32"/>
        </w:rPr>
        <w:t>6.1.5 文明施工</w:t>
      </w:r>
    </w:p>
    <w:p>
      <w:pPr>
        <w:spacing w:line="360" w:lineRule="auto"/>
        <w:ind w:firstLine="600" w:firstLineChars="200"/>
        <w:jc w:val="left"/>
        <w:rPr>
          <w:rFonts w:hint="eastAsia" w:ascii="Times New Roman" w:hAnsi="Times New Roman" w:eastAsia="仿宋_GB2312"/>
          <w:color w:val="auto"/>
          <w:sz w:val="30"/>
          <w:szCs w:val="32"/>
          <w:u w:val="single"/>
        </w:rPr>
      </w:pPr>
      <w:r>
        <w:rPr>
          <w:rFonts w:hint="eastAsia" w:ascii="Times New Roman" w:hAnsi="Times New Roman" w:eastAsia="仿宋_GB2312"/>
          <w:color w:val="auto"/>
          <w:sz w:val="30"/>
          <w:szCs w:val="32"/>
        </w:rPr>
        <w:t>合同当事人对文明施工的要求：</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hint="eastAsia"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6.1.6 关于安全文明施工费支付比例和支付期限的约定：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eastAsia="zh-CN"/>
        </w:rPr>
        <w:t>安全文明施工基本费预付费用与工程预付款同期支付，合同工期在一年以内的，原则上预付费用不得低于安全文明施工费总额的</w:t>
      </w:r>
      <w:r>
        <w:rPr>
          <w:rFonts w:hint="eastAsia" w:ascii="Times New Roman" w:hAnsi="Times New Roman" w:eastAsia="仿宋_GB2312"/>
          <w:i/>
          <w:iCs/>
          <w:color w:val="auto"/>
          <w:sz w:val="30"/>
          <w:szCs w:val="32"/>
          <w:u w:val="single"/>
          <w:lang w:val="en-US" w:eastAsia="zh-CN"/>
        </w:rPr>
        <w:t>50%；合同工期一年以上的，预付费用不得低于30%。安全文明施工费应在财务账目中单独开列账户，专款专用，不得挪作他用。</w:t>
      </w:r>
      <w:r>
        <w:rPr>
          <w:rFonts w:hint="eastAsia" w:ascii="Times New Roman" w:hAnsi="Times New Roman" w:eastAsia="仿宋_GB2312"/>
          <w:i/>
          <w:iCs/>
          <w:color w:val="auto"/>
          <w:sz w:val="30"/>
          <w:szCs w:val="32"/>
          <w:u w:val="single"/>
          <w:lang w:eastAsia="zh-CN"/>
        </w:rPr>
        <w:t>根据《浙江省建设工程计价规则》（</w:t>
      </w:r>
      <w:r>
        <w:rPr>
          <w:rFonts w:hint="eastAsia" w:ascii="Times New Roman" w:hAnsi="Times New Roman" w:eastAsia="仿宋_GB2312"/>
          <w:i/>
          <w:iCs/>
          <w:color w:val="auto"/>
          <w:sz w:val="30"/>
          <w:szCs w:val="32"/>
          <w:u w:val="single"/>
          <w:lang w:val="en-US" w:eastAsia="zh-CN"/>
        </w:rPr>
        <w:t>2018版</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i/>
          <w:iCs/>
          <w:color w:val="auto"/>
          <w:sz w:val="30"/>
          <w:szCs w:val="32"/>
          <w:u w:val="single"/>
          <w:lang w:val="en-US" w:eastAsia="zh-CN"/>
        </w:rPr>
        <w:t>对已确定创标化工地目标的建设工程，一般应明确标化工程增加费的等级及其对应的计取标准</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rPr>
        <w:t>。</w:t>
      </w:r>
    </w:p>
    <w:bookmarkEnd w:id="318"/>
    <w:bookmarkEnd w:id="319"/>
    <w:bookmarkEnd w:id="320"/>
    <w:bookmarkEnd w:id="321"/>
    <w:bookmarkEnd w:id="322"/>
    <w:bookmarkEnd w:id="323"/>
    <w:bookmarkEnd w:id="324"/>
    <w:p>
      <w:pPr>
        <w:pStyle w:val="6"/>
        <w:spacing w:before="120" w:after="120" w:line="360" w:lineRule="auto"/>
        <w:rPr>
          <w:rFonts w:ascii="Times New Roman" w:hAnsi="Times New Roman" w:eastAsia="黑体"/>
          <w:b w:val="0"/>
          <w:color w:val="auto"/>
          <w:sz w:val="32"/>
          <w:szCs w:val="32"/>
        </w:rPr>
      </w:pPr>
      <w:bookmarkStart w:id="326" w:name="_Toc351203639"/>
      <w:r>
        <w:rPr>
          <w:rFonts w:ascii="Times New Roman" w:hAnsi="Times New Roman" w:eastAsia="黑体"/>
          <w:b w:val="0"/>
          <w:color w:val="auto"/>
          <w:sz w:val="32"/>
          <w:szCs w:val="32"/>
        </w:rPr>
        <w:t>7. 工期和进度</w:t>
      </w:r>
      <w:bookmarkEnd w:id="326"/>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7.1 施工组织设计</w:t>
      </w:r>
    </w:p>
    <w:p>
      <w:pPr>
        <w:autoSpaceDE w:val="0"/>
        <w:autoSpaceDN w:val="0"/>
        <w:adjustRightInd w:val="0"/>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7.1.</w:t>
      </w:r>
      <w:r>
        <w:rPr>
          <w:rFonts w:hint="eastAsia" w:ascii="Times New Roman" w:hAnsi="Times New Roman" w:eastAsia="仿宋_GB2312"/>
          <w:color w:val="auto"/>
          <w:sz w:val="30"/>
          <w:szCs w:val="32"/>
        </w:rPr>
        <w:t>1 合</w:t>
      </w:r>
      <w:r>
        <w:rPr>
          <w:rFonts w:hint="eastAsia" w:ascii="Times New Roman" w:hAnsi="Times New Roman" w:eastAsia="仿宋_GB2312"/>
          <w:color w:val="auto"/>
          <w:kern w:val="0"/>
          <w:sz w:val="30"/>
          <w:szCs w:val="32"/>
        </w:rPr>
        <w:t>同当事人约定的</w:t>
      </w:r>
      <w:r>
        <w:rPr>
          <w:rFonts w:ascii="Times New Roman" w:hAnsi="Times New Roman" w:eastAsia="仿宋_GB2312"/>
          <w:color w:val="auto"/>
          <w:kern w:val="0"/>
          <w:sz w:val="30"/>
          <w:szCs w:val="32"/>
        </w:rPr>
        <w:t>施工组织设计</w:t>
      </w:r>
      <w:r>
        <w:rPr>
          <w:rFonts w:hint="eastAsia" w:ascii="Times New Roman" w:hAnsi="Times New Roman" w:eastAsia="仿宋_GB2312"/>
          <w:color w:val="auto"/>
          <w:kern w:val="0"/>
          <w:sz w:val="30"/>
          <w:szCs w:val="32"/>
        </w:rPr>
        <w:t>应包括的其他内容</w:t>
      </w:r>
      <w:r>
        <w:rPr>
          <w:rFonts w:ascii="Times New Roman" w:hAnsi="Times New Roman" w:eastAsia="仿宋_GB2312"/>
          <w:color w:val="auto"/>
          <w:kern w:val="0"/>
          <w:sz w:val="30"/>
          <w:szCs w:val="32"/>
        </w:rPr>
        <w:t>：</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p>
    <w:p>
      <w:pPr>
        <w:autoSpaceDE w:val="0"/>
        <w:autoSpaceDN w:val="0"/>
        <w:adjustRightInd w:val="0"/>
        <w:spacing w:line="360" w:lineRule="auto"/>
        <w:jc w:val="left"/>
        <w:rPr>
          <w:rFonts w:ascii="Times New Roman" w:hAnsi="Times New Roman" w:eastAsia="仿宋_GB2312"/>
          <w:color w:val="auto"/>
          <w:kern w:val="0"/>
          <w:sz w:val="30"/>
          <w:szCs w:val="32"/>
        </w:rPr>
      </w:pP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autoSpaceDE w:val="0"/>
        <w:autoSpaceDN w:val="0"/>
        <w:adjustRightInd w:val="0"/>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sz w:val="30"/>
          <w:szCs w:val="32"/>
        </w:rPr>
        <w:t xml:space="preserve">7.1.2 </w:t>
      </w:r>
      <w:r>
        <w:rPr>
          <w:rFonts w:ascii="Times New Roman" w:hAnsi="Times New Roman" w:eastAsia="仿宋_GB2312"/>
          <w:color w:val="auto"/>
          <w:kern w:val="0"/>
          <w:sz w:val="30"/>
          <w:szCs w:val="32"/>
        </w:rPr>
        <w:t>施工组织设计的提交和修改</w:t>
      </w:r>
    </w:p>
    <w:p>
      <w:pPr>
        <w:autoSpaceDE w:val="0"/>
        <w:autoSpaceDN w:val="0"/>
        <w:adjustRightInd w:val="0"/>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kern w:val="0"/>
          <w:sz w:val="30"/>
          <w:szCs w:val="32"/>
        </w:rPr>
        <w:t>承包人提交详细施工组织设计的期限的约定：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p>
    <w:p>
      <w:pPr>
        <w:autoSpaceDE w:val="0"/>
        <w:autoSpaceDN w:val="0"/>
        <w:adjustRightInd w:val="0"/>
        <w:spacing w:line="360" w:lineRule="auto"/>
        <w:jc w:val="left"/>
        <w:rPr>
          <w:rFonts w:hint="eastAsia" w:ascii="Times New Roman" w:hAnsi="Times New Roman" w:eastAsia="仿宋_GB2312"/>
          <w:color w:val="auto"/>
          <w:sz w:val="30"/>
          <w:szCs w:val="32"/>
        </w:rPr>
      </w:pP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发包人和监理人在收到</w:t>
      </w:r>
      <w:r>
        <w:rPr>
          <w:rFonts w:hint="eastAsia" w:ascii="Times New Roman" w:hAnsi="Times New Roman" w:eastAsia="仿宋_GB2312"/>
          <w:color w:val="auto"/>
          <w:sz w:val="30"/>
          <w:szCs w:val="32"/>
        </w:rPr>
        <w:t>详细的施工组织设计</w:t>
      </w:r>
      <w:r>
        <w:rPr>
          <w:rFonts w:ascii="Times New Roman" w:hAnsi="Times New Roman" w:eastAsia="仿宋_GB2312"/>
          <w:color w:val="auto"/>
          <w:sz w:val="30"/>
          <w:szCs w:val="32"/>
        </w:rPr>
        <w:t>后确认或提出修改意见的期限：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7</w:t>
      </w:r>
      <w:bookmarkStart w:id="327" w:name="_Toc304295541"/>
      <w:bookmarkStart w:id="328" w:name="_Toc300934966"/>
      <w:bookmarkStart w:id="329" w:name="_Toc297123514"/>
      <w:bookmarkStart w:id="330" w:name="_Toc312678005"/>
      <w:bookmarkStart w:id="331" w:name="_Toc297216173"/>
      <w:bookmarkStart w:id="332" w:name="_Toc312677479"/>
      <w:bookmarkStart w:id="333" w:name="_Toc303539123"/>
      <w:r>
        <w:rPr>
          <w:rFonts w:ascii="Times New Roman" w:hAnsi="Times New Roman" w:eastAsia="黑体"/>
          <w:color w:val="auto"/>
          <w:sz w:val="30"/>
          <w:szCs w:val="32"/>
        </w:rPr>
        <w:t>.2 施工进度计划</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7.2.2 施工进度计划的修订</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发包人和监理人在收到修订的施工进度计划后确认或提出修改意见的期限：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7.3 开工</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7.3.1 开工准备</w:t>
      </w:r>
    </w:p>
    <w:p>
      <w:pPr>
        <w:spacing w:line="360" w:lineRule="auto"/>
        <w:ind w:firstLine="645"/>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关于承包人提交</w:t>
      </w:r>
      <w:r>
        <w:rPr>
          <w:rFonts w:ascii="Times New Roman" w:hAnsi="Times New Roman" w:eastAsia="仿宋_GB2312"/>
          <w:color w:val="auto"/>
          <w:kern w:val="0"/>
          <w:sz w:val="30"/>
          <w:szCs w:val="32"/>
        </w:rPr>
        <w:t>工程开工报审表的期限：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45"/>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关于发包人应完成的其他开工准备工作及期限：</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关于承包人应完成的其他开工准备工作及期限：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7.3.2开工通知</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因发包人原因造成监理人未能在计划开工日期之日起</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天内发出开工通知的，承包人有权提出价格调整要求，或者解除合同。</w:t>
      </w:r>
    </w:p>
    <w:bookmarkEnd w:id="327"/>
    <w:bookmarkEnd w:id="328"/>
    <w:bookmarkEnd w:id="329"/>
    <w:bookmarkEnd w:id="330"/>
    <w:bookmarkEnd w:id="331"/>
    <w:bookmarkEnd w:id="332"/>
    <w:bookmarkEnd w:id="333"/>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7.4 测量放线</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7.4.1发包人通过监理人向承包人提供测量基准点、基准线和水准点及其书面资料的期限：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7</w:t>
      </w:r>
      <w:bookmarkStart w:id="334" w:name="_Toc312677484"/>
      <w:bookmarkStart w:id="335" w:name="_Toc303539125"/>
      <w:bookmarkStart w:id="336" w:name="_Toc300934968"/>
      <w:bookmarkStart w:id="337" w:name="_Toc297123516"/>
      <w:bookmarkStart w:id="338" w:name="_Toc312678010"/>
      <w:bookmarkStart w:id="339" w:name="_Toc297216175"/>
      <w:bookmarkStart w:id="340" w:name="_Toc304295546"/>
      <w:r>
        <w:rPr>
          <w:rFonts w:ascii="Times New Roman" w:hAnsi="Times New Roman" w:eastAsia="黑体"/>
          <w:color w:val="auto"/>
          <w:sz w:val="30"/>
          <w:szCs w:val="32"/>
        </w:rPr>
        <w:t>.5 工期延误</w:t>
      </w:r>
    </w:p>
    <w:bookmarkEnd w:id="334"/>
    <w:bookmarkEnd w:id="335"/>
    <w:bookmarkEnd w:id="336"/>
    <w:bookmarkEnd w:id="337"/>
    <w:bookmarkEnd w:id="338"/>
    <w:bookmarkEnd w:id="339"/>
    <w:bookmarkEnd w:id="340"/>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7.5.1 因发包人原因导致工期延误</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（7）因发包人原因导致工期延误的其他情形：</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7</w:t>
      </w:r>
      <w:bookmarkStart w:id="341" w:name="_Toc312677486"/>
      <w:bookmarkStart w:id="342" w:name="_Toc312678012"/>
      <w:bookmarkStart w:id="343" w:name="_Toc318581169"/>
      <w:bookmarkStart w:id="344" w:name="_Toc304295548"/>
      <w:bookmarkStart w:id="345" w:name="_Toc297216177"/>
      <w:bookmarkStart w:id="346" w:name="_Toc303539127"/>
      <w:bookmarkStart w:id="347" w:name="_Toc300934970"/>
      <w:bookmarkStart w:id="348" w:name="_Toc297123518"/>
      <w:r>
        <w:rPr>
          <w:rFonts w:ascii="Times New Roman" w:hAnsi="Times New Roman" w:eastAsia="仿宋_GB2312"/>
          <w:color w:val="auto"/>
          <w:sz w:val="30"/>
          <w:szCs w:val="32"/>
        </w:rPr>
        <w:t>.5.2 因承包人原因导致工期延误</w:t>
      </w:r>
    </w:p>
    <w:bookmarkEnd w:id="341"/>
    <w:bookmarkEnd w:id="342"/>
    <w:bookmarkEnd w:id="343"/>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因</w:t>
      </w:r>
      <w:bookmarkStart w:id="349" w:name="_Toc312677487"/>
      <w:bookmarkStart w:id="350" w:name="_Toc312678013"/>
      <w:bookmarkStart w:id="351" w:name="_Toc318581170"/>
      <w:r>
        <w:rPr>
          <w:rFonts w:ascii="Times New Roman" w:hAnsi="Times New Roman" w:eastAsia="仿宋_GB2312"/>
          <w:color w:val="auto"/>
          <w:sz w:val="30"/>
          <w:szCs w:val="32"/>
        </w:rPr>
        <w:t>承包人原因造成工期延误，逾期竣工违约金的计算方法为：</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bookmarkEnd w:id="344"/>
      <w:bookmarkEnd w:id="345"/>
      <w:bookmarkEnd w:id="346"/>
      <w:bookmarkEnd w:id="347"/>
      <w:bookmarkEnd w:id="348"/>
      <w:bookmarkEnd w:id="349"/>
      <w:bookmarkEnd w:id="350"/>
    </w:p>
    <w:bookmarkEnd w:id="351"/>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因承包人原因造成工期延误，逾</w:t>
      </w:r>
      <w:bookmarkStart w:id="352" w:name="_Toc312678014"/>
      <w:bookmarkStart w:id="353" w:name="_Toc318581171"/>
      <w:r>
        <w:rPr>
          <w:rFonts w:ascii="Times New Roman" w:hAnsi="Times New Roman" w:eastAsia="仿宋_GB2312"/>
          <w:color w:val="auto"/>
          <w:sz w:val="30"/>
          <w:szCs w:val="32"/>
        </w:rPr>
        <w:t>期竣工违约金的上限：</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352"/>
    <w:bookmarkEnd w:id="353"/>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7</w:t>
      </w:r>
      <w:bookmarkStart w:id="354" w:name="_Toc304295549"/>
      <w:bookmarkStart w:id="355" w:name="_Toc297216178"/>
      <w:bookmarkStart w:id="356" w:name="_Toc303539128"/>
      <w:bookmarkStart w:id="357" w:name="_Toc312678015"/>
      <w:bookmarkStart w:id="358" w:name="_Toc297123519"/>
      <w:bookmarkStart w:id="359" w:name="_Toc300934971"/>
      <w:r>
        <w:rPr>
          <w:rFonts w:ascii="Times New Roman" w:hAnsi="Times New Roman" w:eastAsia="黑体"/>
          <w:color w:val="auto"/>
          <w:sz w:val="30"/>
          <w:szCs w:val="32"/>
        </w:rPr>
        <w:t>.6 不</w:t>
      </w:r>
      <w:bookmarkEnd w:id="354"/>
      <w:bookmarkEnd w:id="355"/>
      <w:bookmarkEnd w:id="356"/>
      <w:bookmarkEnd w:id="357"/>
      <w:bookmarkEnd w:id="358"/>
      <w:bookmarkEnd w:id="359"/>
      <w:r>
        <w:rPr>
          <w:rFonts w:ascii="Times New Roman" w:hAnsi="Times New Roman" w:eastAsia="黑体"/>
          <w:color w:val="auto"/>
          <w:sz w:val="30"/>
          <w:szCs w:val="32"/>
        </w:rPr>
        <w:t>利物质条件</w:t>
      </w:r>
    </w:p>
    <w:p>
      <w:pPr>
        <w:spacing w:line="360" w:lineRule="auto"/>
        <w:ind w:firstLine="600" w:firstLineChars="200"/>
        <w:jc w:val="left"/>
        <w:rPr>
          <w:rFonts w:ascii="Times New Roman" w:hAnsi="Times New Roman" w:eastAsia="仿宋_GB2312"/>
          <w:color w:val="auto"/>
          <w:sz w:val="30"/>
          <w:szCs w:val="32"/>
          <w:u w:val="single"/>
        </w:rPr>
      </w:pPr>
      <w:bookmarkStart w:id="360" w:name="_Toc297123520"/>
      <w:bookmarkStart w:id="361" w:name="_Toc297216179"/>
      <w:bookmarkStart w:id="362" w:name="_Toc303539129"/>
      <w:bookmarkStart w:id="363" w:name="_Toc304295550"/>
      <w:bookmarkStart w:id="364" w:name="_Toc318581172"/>
      <w:bookmarkStart w:id="365" w:name="_Toc312678016"/>
      <w:bookmarkStart w:id="366" w:name="_Toc300934972"/>
      <w:r>
        <w:rPr>
          <w:rFonts w:ascii="Times New Roman" w:hAnsi="Times New Roman" w:eastAsia="仿宋_GB2312"/>
          <w:color w:val="auto"/>
          <w:sz w:val="30"/>
          <w:szCs w:val="32"/>
        </w:rPr>
        <w:t>不利物质条件的其他情形和有关约定：</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360"/>
    <w:bookmarkEnd w:id="361"/>
    <w:bookmarkEnd w:id="362"/>
    <w:bookmarkEnd w:id="363"/>
    <w:bookmarkEnd w:id="364"/>
    <w:bookmarkEnd w:id="365"/>
    <w:bookmarkEnd w:id="366"/>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7</w:t>
      </w:r>
      <w:bookmarkStart w:id="367" w:name="_Toc303539130"/>
      <w:bookmarkStart w:id="368" w:name="_Toc300934973"/>
      <w:bookmarkStart w:id="369" w:name="_Toc297123521"/>
      <w:bookmarkStart w:id="370" w:name="_Toc304295551"/>
      <w:bookmarkStart w:id="371" w:name="_Toc312678017"/>
      <w:bookmarkStart w:id="372" w:name="_Toc297216180"/>
      <w:r>
        <w:rPr>
          <w:rFonts w:ascii="Times New Roman" w:hAnsi="Times New Roman" w:eastAsia="黑体"/>
          <w:color w:val="auto"/>
          <w:sz w:val="30"/>
          <w:szCs w:val="32"/>
        </w:rPr>
        <w:t>.7异常恶劣的气候条件</w:t>
      </w:r>
    </w:p>
    <w:bookmarkEnd w:id="367"/>
    <w:bookmarkEnd w:id="368"/>
    <w:bookmarkEnd w:id="369"/>
    <w:bookmarkEnd w:id="370"/>
    <w:bookmarkEnd w:id="371"/>
    <w:bookmarkEnd w:id="372"/>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发包人和承包人同意以下情形视为异常恶劣的气候条件：</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（2）</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（3）</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7.9 提前竣工的奖励</w:t>
      </w:r>
    </w:p>
    <w:p>
      <w:pPr>
        <w:spacing w:line="360" w:lineRule="auto"/>
        <w:ind w:firstLine="600" w:firstLineChars="200"/>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rPr>
        <w:t>7.9.2提前竣工的奖励：</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rPr>
        <w:t>招标人应合理设定时间，有定额工期的应符合国家和省有关工期定额的规定。招标工期比定额工期提前的，应按照我省建设工程计价依据的相关规定在工程量清单中编列提前竣工增加费项目。招标人确定的工期低于定额工期</w:t>
      </w:r>
      <w:r>
        <w:rPr>
          <w:rFonts w:ascii="Times New Roman" w:hAnsi="Times New Roman" w:eastAsia="仿宋_GB2312"/>
          <w:i/>
          <w:iCs/>
          <w:color w:val="auto"/>
          <w:sz w:val="30"/>
          <w:szCs w:val="32"/>
          <w:u w:val="single"/>
        </w:rPr>
        <w:t>70%的，招标人应当组织专家论证，并依照审定的技术措施方案编制相应的提前竣工增加费</w:t>
      </w:r>
      <w:r>
        <w:rPr>
          <w:rFonts w:hint="eastAsia" w:ascii="Times New Roman" w:hAnsi="Times New Roman" w:eastAsia="仿宋_GB2312"/>
          <w:i/>
          <w:iCs/>
          <w:color w:val="auto"/>
          <w:sz w:val="30"/>
          <w:szCs w:val="32"/>
          <w:u w:val="single"/>
        </w:rPr>
        <w:t>项目</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rPr>
        <w:t>。</w:t>
      </w:r>
    </w:p>
    <w:p>
      <w:pPr>
        <w:pStyle w:val="6"/>
        <w:spacing w:before="120" w:after="120" w:line="360" w:lineRule="auto"/>
        <w:rPr>
          <w:rFonts w:ascii="Times New Roman" w:hAnsi="Times New Roman" w:eastAsia="黑体"/>
          <w:b w:val="0"/>
          <w:color w:val="auto"/>
          <w:sz w:val="32"/>
          <w:szCs w:val="32"/>
        </w:rPr>
      </w:pPr>
      <w:bookmarkStart w:id="373" w:name="_Toc351203640"/>
      <w:r>
        <w:rPr>
          <w:rFonts w:ascii="Times New Roman" w:hAnsi="Times New Roman" w:eastAsia="黑体"/>
          <w:b w:val="0"/>
          <w:color w:val="auto"/>
          <w:sz w:val="32"/>
          <w:szCs w:val="32"/>
        </w:rPr>
        <w:t>8. 材料与设备</w:t>
      </w:r>
      <w:bookmarkEnd w:id="373"/>
    </w:p>
    <w:bookmarkEnd w:id="308"/>
    <w:bookmarkEnd w:id="309"/>
    <w:bookmarkEnd w:id="310"/>
    <w:bookmarkEnd w:id="311"/>
    <w:bookmarkEnd w:id="312"/>
    <w:bookmarkEnd w:id="313"/>
    <w:bookmarkEnd w:id="314"/>
    <w:bookmarkEnd w:id="315"/>
    <w:bookmarkEnd w:id="316"/>
    <w:bookmarkEnd w:id="317"/>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8</w:t>
      </w:r>
      <w:bookmarkStart w:id="374" w:name="_Toc312678019"/>
      <w:bookmarkStart w:id="375" w:name="_Toc292559372"/>
      <w:bookmarkStart w:id="376" w:name="_Toc296347166"/>
      <w:bookmarkStart w:id="377" w:name="_Toc303539136"/>
      <w:bookmarkStart w:id="378" w:name="_Toc300934979"/>
      <w:bookmarkStart w:id="379" w:name="_Toc312677493"/>
      <w:bookmarkStart w:id="380" w:name="_Toc304295556"/>
      <w:bookmarkStart w:id="381" w:name="_Toc296503167"/>
      <w:bookmarkStart w:id="382" w:name="_Toc297216186"/>
      <w:bookmarkStart w:id="383" w:name="_Toc297048353"/>
      <w:bookmarkStart w:id="384" w:name="_Toc297123527"/>
      <w:bookmarkStart w:id="385" w:name="_Toc296346668"/>
      <w:bookmarkStart w:id="386" w:name="_Toc296944506"/>
      <w:bookmarkStart w:id="387" w:name="_Toc296890995"/>
      <w:bookmarkStart w:id="388" w:name="_Toc296891207"/>
      <w:bookmarkStart w:id="389" w:name="_Toc297120467"/>
      <w:bookmarkStart w:id="390" w:name="_Toc292559877"/>
      <w:bookmarkStart w:id="391" w:name="_Toc280868654"/>
      <w:bookmarkStart w:id="392" w:name="_Toc280868655"/>
      <w:bookmarkStart w:id="393" w:name="_Toc267251424"/>
      <w:bookmarkStart w:id="394" w:name="_Toc280868656"/>
      <w:r>
        <w:rPr>
          <w:rFonts w:ascii="Times New Roman" w:hAnsi="Times New Roman" w:eastAsia="黑体"/>
          <w:color w:val="auto"/>
          <w:sz w:val="30"/>
          <w:szCs w:val="32"/>
        </w:rPr>
        <w:t>.4材料与工程设备的保管与使用</w:t>
      </w:r>
    </w:p>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8</w:t>
      </w:r>
      <w:bookmarkStart w:id="395" w:name="_Toc292559878"/>
      <w:bookmarkStart w:id="396" w:name="_Toc292559373"/>
      <w:bookmarkStart w:id="397" w:name="_Toc300934980"/>
      <w:bookmarkStart w:id="398" w:name="_Toc297123528"/>
      <w:bookmarkStart w:id="399" w:name="_Toc297048354"/>
      <w:bookmarkStart w:id="400" w:name="_Toc312677494"/>
      <w:bookmarkStart w:id="401" w:name="_Toc303539137"/>
      <w:bookmarkStart w:id="402" w:name="_Toc296891208"/>
      <w:bookmarkStart w:id="403" w:name="_Toc296347167"/>
      <w:bookmarkStart w:id="404" w:name="_Toc312678020"/>
      <w:bookmarkStart w:id="405" w:name="_Toc296944507"/>
      <w:bookmarkStart w:id="406" w:name="_Toc297216187"/>
      <w:bookmarkStart w:id="407" w:name="_Toc296346669"/>
      <w:bookmarkStart w:id="408" w:name="_Toc296890996"/>
      <w:bookmarkStart w:id="409" w:name="_Toc304295557"/>
      <w:bookmarkStart w:id="410" w:name="_Toc297120468"/>
      <w:bookmarkStart w:id="411" w:name="_Toc318581173"/>
      <w:bookmarkStart w:id="412" w:name="_Toc296503168"/>
      <w:r>
        <w:rPr>
          <w:rFonts w:ascii="Times New Roman" w:hAnsi="Times New Roman" w:eastAsia="仿宋_GB2312"/>
          <w:color w:val="auto"/>
          <w:sz w:val="30"/>
          <w:szCs w:val="32"/>
        </w:rPr>
        <w:t>.4.1发包人供应的材料设备的保管费用的承担：</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bookmarkEnd w:id="395"/>
      <w:bookmarkEnd w:id="396"/>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8.6 样品</w:t>
      </w:r>
    </w:p>
    <w:p>
      <w:pPr>
        <w:autoSpaceDE w:val="0"/>
        <w:autoSpaceDN w:val="0"/>
        <w:adjustRightInd w:val="0"/>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8.6.1</w:t>
      </w:r>
      <w:r>
        <w:rPr>
          <w:rFonts w:ascii="Times New Roman" w:hAnsi="Times New Roman" w:eastAsia="仿宋_GB2312"/>
          <w:color w:val="auto"/>
          <w:kern w:val="0"/>
          <w:sz w:val="30"/>
          <w:szCs w:val="32"/>
        </w:rPr>
        <w:tab/>
      </w:r>
      <w:r>
        <w:rPr>
          <w:rFonts w:ascii="Times New Roman" w:hAnsi="Times New Roman" w:eastAsia="仿宋_GB2312"/>
          <w:color w:val="auto"/>
          <w:kern w:val="0"/>
          <w:sz w:val="30"/>
          <w:szCs w:val="32"/>
        </w:rPr>
        <w:t>样品的报送</w:t>
      </w:r>
      <w:r>
        <w:rPr>
          <w:rFonts w:hint="eastAsia" w:ascii="Times New Roman" w:hAnsi="Times New Roman" w:eastAsia="仿宋_GB2312"/>
          <w:color w:val="auto"/>
          <w:kern w:val="0"/>
          <w:sz w:val="30"/>
          <w:szCs w:val="32"/>
        </w:rPr>
        <w:t>与封存</w:t>
      </w:r>
    </w:p>
    <w:p>
      <w:pPr>
        <w:autoSpaceDE w:val="0"/>
        <w:autoSpaceDN w:val="0"/>
        <w:adjustRightInd w:val="0"/>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kern w:val="0"/>
          <w:sz w:val="30"/>
          <w:szCs w:val="32"/>
        </w:rPr>
        <w:t>需要承包人报送样品的材料或工程设备，样品的种类、名称、规格、数量要求：</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autoSpaceDE w:val="0"/>
        <w:autoSpaceDN w:val="0"/>
        <w:adjustRightInd w:val="0"/>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8.8 施工设备和临时设施</w:t>
      </w:r>
    </w:p>
    <w:p>
      <w:pPr>
        <w:autoSpaceDE w:val="0"/>
        <w:autoSpaceDN w:val="0"/>
        <w:adjustRightInd w:val="0"/>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8.8.1 承包人提供的施工设备和临时设施</w:t>
      </w:r>
    </w:p>
    <w:p>
      <w:pPr>
        <w:autoSpaceDE w:val="0"/>
        <w:autoSpaceDN w:val="0"/>
        <w:adjustRightInd w:val="0"/>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关于修建临时设施费用承担的约定：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p>
    <w:p>
      <w:pPr>
        <w:autoSpaceDE w:val="0"/>
        <w:autoSpaceDN w:val="0"/>
        <w:adjustRightInd w:val="0"/>
        <w:spacing w:line="360" w:lineRule="auto"/>
        <w:jc w:val="left"/>
        <w:rPr>
          <w:rFonts w:ascii="Times New Roman" w:hAnsi="Times New Roman" w:eastAsia="仿宋_GB2312"/>
          <w:color w:val="auto"/>
          <w:sz w:val="30"/>
          <w:szCs w:val="32"/>
        </w:rPr>
      </w:pP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Pr>
        <w:pStyle w:val="6"/>
        <w:spacing w:before="120" w:after="120" w:line="360" w:lineRule="auto"/>
        <w:rPr>
          <w:rFonts w:ascii="Times New Roman" w:hAnsi="Times New Roman" w:eastAsia="黑体"/>
          <w:b w:val="0"/>
          <w:color w:val="auto"/>
          <w:sz w:val="32"/>
          <w:szCs w:val="32"/>
        </w:rPr>
      </w:pPr>
      <w:bookmarkStart w:id="413" w:name="_Toc351203641"/>
      <w:r>
        <w:rPr>
          <w:rFonts w:ascii="Times New Roman" w:hAnsi="Times New Roman" w:eastAsia="黑体"/>
          <w:b w:val="0"/>
          <w:color w:val="auto"/>
          <w:sz w:val="32"/>
          <w:szCs w:val="32"/>
        </w:rPr>
        <w:t>9</w:t>
      </w:r>
      <w:bookmarkEnd w:id="392"/>
      <w:bookmarkEnd w:id="393"/>
      <w:bookmarkEnd w:id="394"/>
      <w:bookmarkStart w:id="414" w:name="_Toc312678021"/>
      <w:bookmarkStart w:id="415" w:name="_Toc297123533"/>
      <w:bookmarkStart w:id="416" w:name="_Toc312677495"/>
      <w:bookmarkStart w:id="417" w:name="_Toc300934982"/>
      <w:bookmarkStart w:id="418" w:name="_Toc303539139"/>
      <w:bookmarkStart w:id="419" w:name="_Toc297216192"/>
      <w:bookmarkStart w:id="420" w:name="_Toc304295559"/>
      <w:bookmarkStart w:id="421" w:name="_Toc296503173"/>
      <w:bookmarkStart w:id="422" w:name="_Toc297120473"/>
      <w:bookmarkStart w:id="423" w:name="_Toc297048359"/>
      <w:bookmarkStart w:id="424" w:name="_Toc296891213"/>
      <w:bookmarkStart w:id="425" w:name="_Toc267251427"/>
      <w:bookmarkStart w:id="426" w:name="_Toc267251428"/>
      <w:bookmarkStart w:id="427" w:name="_Toc296346674"/>
      <w:bookmarkStart w:id="428" w:name="_Toc296347172"/>
      <w:bookmarkStart w:id="429" w:name="_Toc296944512"/>
      <w:bookmarkStart w:id="430" w:name="_Toc292559883"/>
      <w:bookmarkStart w:id="431" w:name="_Toc292559378"/>
      <w:bookmarkStart w:id="432" w:name="_Toc296891001"/>
      <w:r>
        <w:rPr>
          <w:rFonts w:ascii="Times New Roman" w:hAnsi="Times New Roman" w:eastAsia="黑体"/>
          <w:b w:val="0"/>
          <w:color w:val="auto"/>
          <w:sz w:val="32"/>
          <w:szCs w:val="32"/>
        </w:rPr>
        <w:t>. 试验与检验</w:t>
      </w:r>
      <w:bookmarkEnd w:id="413"/>
    </w:p>
    <w:bookmarkEnd w:id="414"/>
    <w:bookmarkEnd w:id="415"/>
    <w:bookmarkEnd w:id="416"/>
    <w:bookmarkEnd w:id="417"/>
    <w:bookmarkEnd w:id="418"/>
    <w:bookmarkEnd w:id="419"/>
    <w:bookmarkEnd w:id="420"/>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9</w:t>
      </w:r>
      <w:bookmarkStart w:id="433" w:name="_Toc297123534"/>
      <w:bookmarkStart w:id="434" w:name="_Toc312678022"/>
      <w:bookmarkStart w:id="435" w:name="_Toc312677496"/>
      <w:bookmarkStart w:id="436" w:name="_Toc304295560"/>
      <w:bookmarkStart w:id="437" w:name="_Toc297216193"/>
      <w:bookmarkStart w:id="438" w:name="_Toc303539140"/>
      <w:bookmarkStart w:id="439" w:name="_Toc300934983"/>
      <w:r>
        <w:rPr>
          <w:rFonts w:ascii="Times New Roman" w:hAnsi="Times New Roman" w:eastAsia="黑体"/>
          <w:color w:val="auto"/>
          <w:sz w:val="30"/>
          <w:szCs w:val="32"/>
        </w:rPr>
        <w:t>.1试验设备与试验人员</w:t>
      </w:r>
    </w:p>
    <w:bookmarkEnd w:id="433"/>
    <w:bookmarkEnd w:id="434"/>
    <w:bookmarkEnd w:id="435"/>
    <w:bookmarkEnd w:id="436"/>
    <w:bookmarkEnd w:id="437"/>
    <w:bookmarkEnd w:id="438"/>
    <w:bookmarkEnd w:id="439"/>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9</w:t>
      </w:r>
      <w:bookmarkStart w:id="440" w:name="_Toc303539141"/>
      <w:bookmarkStart w:id="441" w:name="_Toc304295561"/>
      <w:bookmarkStart w:id="442" w:name="_Toc297216194"/>
      <w:bookmarkStart w:id="443" w:name="_Toc297123535"/>
      <w:bookmarkStart w:id="444" w:name="_Toc312677497"/>
      <w:bookmarkStart w:id="445" w:name="_Toc300934984"/>
      <w:bookmarkStart w:id="446" w:name="_Toc312678023"/>
      <w:bookmarkStart w:id="447" w:name="_Toc318581174"/>
      <w:r>
        <w:rPr>
          <w:rFonts w:ascii="Times New Roman" w:hAnsi="Times New Roman" w:eastAsia="仿宋_GB2312"/>
          <w:color w:val="auto"/>
          <w:sz w:val="30"/>
          <w:szCs w:val="32"/>
        </w:rPr>
        <w:t>.1.2 试验设备</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施工现场需要配置的试验场所：</w:t>
      </w:r>
      <w:bookmarkEnd w:id="440"/>
      <w:bookmarkEnd w:id="441"/>
      <w:bookmarkEnd w:id="442"/>
      <w:bookmarkEnd w:id="443"/>
      <w:bookmarkEnd w:id="444"/>
      <w:bookmarkEnd w:id="445"/>
      <w:bookmarkEnd w:id="446"/>
      <w:bookmarkStart w:id="448" w:name="_Toc304295562"/>
      <w:bookmarkStart w:id="449" w:name="_Toc300934985"/>
      <w:bookmarkStart w:id="450" w:name="_Toc297216195"/>
      <w:bookmarkStart w:id="451" w:name="_Toc312678024"/>
      <w:bookmarkStart w:id="452" w:name="_Toc303539142"/>
      <w:bookmarkStart w:id="453" w:name="_Toc312677498"/>
      <w:bookmarkStart w:id="454" w:name="_Toc297123536"/>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r>
        <w:rPr>
          <w:rFonts w:hint="eastAsia" w:ascii="Times New Roman" w:hAnsi="Times New Roman" w:eastAsia="仿宋_GB2312"/>
          <w:color w:val="auto"/>
          <w:sz w:val="30"/>
          <w:szCs w:val="32"/>
        </w:rPr>
        <w:t xml:space="preserve"> </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施工现场需要配备的试验设备：</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施工现场需要具备的其他试验条件：</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9.4 现场工艺试验</w:t>
      </w:r>
      <w:r>
        <w:rPr>
          <w:rFonts w:hint="eastAsia" w:ascii="Times New Roman" w:hAnsi="Times New Roman" w:eastAsia="黑体"/>
          <w:color w:val="auto"/>
          <w:sz w:val="30"/>
          <w:szCs w:val="32"/>
        </w:rPr>
        <w:t xml:space="preserve"> </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现场工艺试验的有关约定：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hint="eastAsia" w:ascii="Times New Roman" w:hAnsi="Times New Roman" w:eastAsia="仿宋_GB2312"/>
          <w:color w:val="auto"/>
          <w:sz w:val="30"/>
          <w:szCs w:val="32"/>
        </w:rPr>
      </w:pP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447"/>
    <w:bookmarkEnd w:id="448"/>
    <w:bookmarkEnd w:id="449"/>
    <w:bookmarkEnd w:id="450"/>
    <w:bookmarkEnd w:id="451"/>
    <w:bookmarkEnd w:id="452"/>
    <w:bookmarkEnd w:id="453"/>
    <w:bookmarkEnd w:id="454"/>
    <w:p>
      <w:pPr>
        <w:pStyle w:val="6"/>
        <w:spacing w:before="120" w:after="120" w:line="360" w:lineRule="auto"/>
        <w:rPr>
          <w:rFonts w:ascii="Times New Roman" w:hAnsi="Times New Roman" w:eastAsia="黑体"/>
          <w:b w:val="0"/>
          <w:color w:val="auto"/>
          <w:sz w:val="32"/>
          <w:szCs w:val="32"/>
        </w:rPr>
      </w:pPr>
      <w:bookmarkStart w:id="455" w:name="_Toc351203642"/>
      <w:r>
        <w:rPr>
          <w:rFonts w:ascii="Times New Roman" w:hAnsi="Times New Roman" w:eastAsia="黑体"/>
          <w:b w:val="0"/>
          <w:color w:val="auto"/>
          <w:sz w:val="32"/>
          <w:szCs w:val="32"/>
        </w:rPr>
        <w:t>1</w:t>
      </w:r>
      <w:bookmarkEnd w:id="421"/>
      <w:bookmarkEnd w:id="422"/>
      <w:bookmarkEnd w:id="423"/>
      <w:bookmarkEnd w:id="424"/>
      <w:bookmarkEnd w:id="425"/>
      <w:bookmarkEnd w:id="426"/>
      <w:bookmarkEnd w:id="427"/>
      <w:bookmarkEnd w:id="428"/>
      <w:bookmarkEnd w:id="429"/>
      <w:bookmarkEnd w:id="430"/>
      <w:bookmarkEnd w:id="431"/>
      <w:bookmarkEnd w:id="432"/>
      <w:bookmarkStart w:id="456" w:name="_Toc304295566"/>
      <w:bookmarkStart w:id="457" w:name="_Toc297216199"/>
      <w:bookmarkStart w:id="458" w:name="_Toc292559903"/>
      <w:bookmarkStart w:id="459" w:name="_Toc292559398"/>
      <w:bookmarkStart w:id="460" w:name="_Toc296503193"/>
      <w:bookmarkStart w:id="461" w:name="_Toc296347192"/>
      <w:bookmarkStart w:id="462" w:name="_Toc296944532"/>
      <w:bookmarkStart w:id="463" w:name="_Toc296891021"/>
      <w:bookmarkStart w:id="464" w:name="_Toc303539146"/>
      <w:bookmarkStart w:id="465" w:name="_Toc296891233"/>
      <w:bookmarkStart w:id="466" w:name="_Toc297123540"/>
      <w:bookmarkStart w:id="467" w:name="_Toc297120493"/>
      <w:bookmarkStart w:id="468" w:name="_Toc300934989"/>
      <w:bookmarkStart w:id="469" w:name="_Toc297048379"/>
      <w:bookmarkStart w:id="470" w:name="_Toc296346694"/>
      <w:bookmarkStart w:id="471" w:name="_Toc312677499"/>
      <w:bookmarkStart w:id="472" w:name="_Toc312678025"/>
      <w:bookmarkStart w:id="473" w:name="_Toc267251441"/>
      <w:bookmarkStart w:id="474" w:name="_Toc267251440"/>
      <w:bookmarkStart w:id="475" w:name="_Toc267251435"/>
      <w:bookmarkStart w:id="476" w:name="_Toc267251437"/>
      <w:bookmarkStart w:id="477" w:name="_Toc267251439"/>
      <w:bookmarkStart w:id="478" w:name="_Toc267251433"/>
      <w:bookmarkStart w:id="479" w:name="_Toc267251442"/>
      <w:r>
        <w:rPr>
          <w:rFonts w:ascii="Times New Roman" w:hAnsi="Times New Roman" w:eastAsia="黑体"/>
          <w:b w:val="0"/>
          <w:color w:val="auto"/>
          <w:sz w:val="32"/>
          <w:szCs w:val="32"/>
        </w:rPr>
        <w:t>0. 变更</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bookmarkEnd w:id="471"/>
    <w:bookmarkEnd w:id="472"/>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w:t>
      </w:r>
      <w:bookmarkStart w:id="480" w:name="_Toc296891234"/>
      <w:bookmarkStart w:id="481" w:name="_Toc297048380"/>
      <w:bookmarkStart w:id="482" w:name="_Toc297123541"/>
      <w:bookmarkStart w:id="483" w:name="_Toc296944533"/>
      <w:bookmarkStart w:id="484" w:name="_Toc296347193"/>
      <w:bookmarkStart w:id="485" w:name="_Toc296346695"/>
      <w:bookmarkStart w:id="486" w:name="_Toc304295567"/>
      <w:bookmarkStart w:id="487" w:name="_Toc300934990"/>
      <w:bookmarkStart w:id="488" w:name="_Toc303539147"/>
      <w:bookmarkStart w:id="489" w:name="_Toc312677500"/>
      <w:bookmarkStart w:id="490" w:name="_Toc297120494"/>
      <w:bookmarkStart w:id="491" w:name="_Toc296891022"/>
      <w:bookmarkStart w:id="492" w:name="_Toc292559904"/>
      <w:bookmarkStart w:id="493" w:name="_Toc292559399"/>
      <w:bookmarkStart w:id="494" w:name="_Toc297216200"/>
      <w:bookmarkStart w:id="495" w:name="_Toc296503194"/>
      <w:bookmarkStart w:id="496" w:name="_Toc312678026"/>
      <w:r>
        <w:rPr>
          <w:rFonts w:ascii="Times New Roman" w:hAnsi="Times New Roman" w:eastAsia="黑体"/>
          <w:color w:val="auto"/>
          <w:sz w:val="30"/>
          <w:szCs w:val="32"/>
        </w:rPr>
        <w:t>0.1变更的范围</w:t>
      </w:r>
    </w:p>
    <w:p>
      <w:pPr>
        <w:spacing w:line="360" w:lineRule="auto"/>
        <w:ind w:firstLine="6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关于变更的范围的约定：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10.4 变更估价</w:t>
      </w:r>
    </w:p>
    <w:p>
      <w:pPr>
        <w:spacing w:line="360" w:lineRule="auto"/>
        <w:ind w:firstLine="600" w:firstLineChars="200"/>
        <w:jc w:val="left"/>
        <w:rPr>
          <w:rFonts w:hint="eastAsia" w:ascii="Times New Roman" w:hAnsi="Times New Roman" w:eastAsia="仿宋_GB2312"/>
          <w:color w:val="auto"/>
          <w:sz w:val="30"/>
          <w:szCs w:val="32"/>
        </w:rPr>
      </w:pPr>
      <w:r>
        <w:rPr>
          <w:rFonts w:hint="eastAsia" w:ascii="Times New Roman" w:hAnsi="Times New Roman" w:eastAsia="仿宋_GB2312"/>
          <w:color w:val="auto"/>
          <w:sz w:val="30"/>
          <w:szCs w:val="32"/>
        </w:rPr>
        <w:t>10.4.1 变更估价原则</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 xml:space="preserve">关于变更估价的约定: </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eastAsia="zh-CN"/>
        </w:rPr>
        <w:t>根据《浙江省建设工程计价规则》（</w:t>
      </w:r>
      <w:r>
        <w:rPr>
          <w:rFonts w:hint="eastAsia" w:ascii="Times New Roman" w:hAnsi="Times New Roman" w:eastAsia="仿宋_GB2312"/>
          <w:i/>
          <w:iCs/>
          <w:color w:val="auto"/>
          <w:sz w:val="30"/>
          <w:szCs w:val="32"/>
          <w:u w:val="single"/>
          <w:lang w:val="en-US" w:eastAsia="zh-CN"/>
        </w:rPr>
        <w:t>2018版</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i/>
          <w:iCs/>
          <w:color w:val="auto"/>
          <w:sz w:val="30"/>
          <w:szCs w:val="32"/>
          <w:u w:val="single"/>
          <w:lang w:val="en-US" w:eastAsia="zh-CN"/>
        </w:rPr>
        <w:t>8.3相关条款</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i/>
          <w:iCs/>
          <w:color w:val="auto"/>
          <w:sz w:val="30"/>
          <w:szCs w:val="32"/>
          <w:u w:val="single"/>
          <w:lang w:val="en-US" w:eastAsia="zh-CN"/>
        </w:rPr>
        <w:t>1.工程变更引起清单项目或其工程量发生变化时，综合单价的调整：</w:t>
      </w:r>
      <w:r>
        <w:rPr>
          <w:rFonts w:hint="default" w:ascii="Calibri" w:hAnsi="Calibri" w:eastAsia="仿宋_GB2312" w:cs="Calibri"/>
          <w:i/>
          <w:iCs/>
          <w:color w:val="auto"/>
          <w:sz w:val="24"/>
          <w:szCs w:val="24"/>
          <w:u w:val="single"/>
          <w:lang w:val="en-US" w:eastAsia="zh-CN"/>
        </w:rPr>
        <w:t>①</w:t>
      </w:r>
      <w:r>
        <w:rPr>
          <w:rFonts w:hint="eastAsia" w:ascii="Times New Roman" w:hAnsi="Times New Roman" w:eastAsia="仿宋_GB2312"/>
          <w:i/>
          <w:iCs/>
          <w:color w:val="auto"/>
          <w:sz w:val="30"/>
          <w:szCs w:val="32"/>
          <w:u w:val="single"/>
          <w:lang w:val="en-US" w:eastAsia="zh-CN"/>
        </w:rPr>
        <w:t>已标价工程量清单中有适用综合单价的，按原综合单价；</w:t>
      </w:r>
      <w:r>
        <w:rPr>
          <w:rFonts w:hint="default" w:ascii="Calibri" w:hAnsi="Calibri" w:eastAsia="仿宋_GB2312" w:cs="Calibri"/>
          <w:i/>
          <w:iCs/>
          <w:color w:val="auto"/>
          <w:sz w:val="24"/>
          <w:szCs w:val="24"/>
          <w:u w:val="single"/>
          <w:lang w:val="en-US" w:eastAsia="zh-CN"/>
        </w:rPr>
        <w:t>②</w:t>
      </w:r>
      <w:r>
        <w:rPr>
          <w:rFonts w:hint="eastAsia" w:ascii="Times New Roman" w:hAnsi="Times New Roman" w:eastAsia="仿宋_GB2312"/>
          <w:i/>
          <w:iCs/>
          <w:color w:val="auto"/>
          <w:sz w:val="30"/>
          <w:szCs w:val="32"/>
          <w:u w:val="single"/>
          <w:lang w:val="en-US" w:eastAsia="zh-CN"/>
        </w:rPr>
        <w:t>已标价工程量清单中没有适用的综合单价，但有类似的工程项目综合单价，可参照类似工程项目综合单价确定；</w:t>
      </w:r>
      <w:r>
        <w:rPr>
          <w:rFonts w:hint="default" w:ascii="Calibri" w:hAnsi="Calibri" w:eastAsia="仿宋_GB2312" w:cs="Calibri"/>
          <w:i/>
          <w:iCs/>
          <w:color w:val="auto"/>
          <w:sz w:val="24"/>
          <w:szCs w:val="24"/>
          <w:u w:val="single"/>
          <w:lang w:val="en-US" w:eastAsia="zh-CN"/>
        </w:rPr>
        <w:t>③</w:t>
      </w:r>
      <w:r>
        <w:rPr>
          <w:rFonts w:hint="eastAsia" w:ascii="Times New Roman" w:hAnsi="Times New Roman" w:eastAsia="仿宋_GB2312"/>
          <w:i/>
          <w:iCs/>
          <w:color w:val="auto"/>
          <w:sz w:val="30"/>
          <w:szCs w:val="32"/>
          <w:u w:val="single"/>
          <w:lang w:val="en-US" w:eastAsia="zh-CN"/>
        </w:rPr>
        <w:t>已标价工程量清单中没有适用的综合单价也没有类似的工程项目综合单价，应有承包人根据相关资料提出变更工程项目的单价，并应报发包人确认后调整。2.工程变更引起施工方案改变并使措施项目发生变化时，措施项目费的调整：</w:t>
      </w:r>
      <w:r>
        <w:rPr>
          <w:rFonts w:hint="default" w:ascii="Calibri" w:hAnsi="Calibri" w:eastAsia="仿宋_GB2312" w:cs="Calibri"/>
          <w:i/>
          <w:iCs/>
          <w:color w:val="auto"/>
          <w:sz w:val="24"/>
          <w:szCs w:val="24"/>
          <w:u w:val="single"/>
          <w:lang w:val="en-US" w:eastAsia="zh-CN"/>
        </w:rPr>
        <w:t>①</w:t>
      </w:r>
      <w:r>
        <w:rPr>
          <w:rFonts w:hint="eastAsia" w:ascii="Times New Roman" w:hAnsi="Times New Roman" w:eastAsia="仿宋_GB2312"/>
          <w:i/>
          <w:iCs/>
          <w:color w:val="auto"/>
          <w:sz w:val="30"/>
          <w:szCs w:val="32"/>
          <w:u w:val="single"/>
          <w:lang w:val="en-US" w:eastAsia="zh-CN"/>
        </w:rPr>
        <w:t>采用综合单价计价的措施项目，按上述方法调整；</w:t>
      </w:r>
      <w:r>
        <w:rPr>
          <w:rFonts w:hint="default" w:ascii="Calibri" w:hAnsi="Calibri" w:eastAsia="仿宋_GB2312" w:cs="Calibri"/>
          <w:i/>
          <w:iCs/>
          <w:color w:val="auto"/>
          <w:sz w:val="24"/>
          <w:szCs w:val="24"/>
          <w:u w:val="single"/>
          <w:lang w:val="en-US" w:eastAsia="zh-CN"/>
        </w:rPr>
        <w:t>②</w:t>
      </w:r>
      <w:r>
        <w:rPr>
          <w:rFonts w:hint="eastAsia" w:ascii="Times New Roman" w:hAnsi="Times New Roman" w:eastAsia="仿宋_GB2312"/>
          <w:i/>
          <w:iCs/>
          <w:color w:val="auto"/>
          <w:sz w:val="30"/>
          <w:szCs w:val="32"/>
          <w:u w:val="single"/>
          <w:lang w:eastAsia="zh-CN"/>
        </w:rPr>
        <w:t>采用以“项”计价的技术措施项目，工程量清单项目及工程数量变化引起措施变动部分应重新组价；</w:t>
      </w:r>
      <w:r>
        <w:rPr>
          <w:rFonts w:hint="default" w:ascii="Calibri" w:hAnsi="Calibri" w:eastAsia="仿宋_GB2312" w:cs="Calibri"/>
          <w:i/>
          <w:iCs/>
          <w:color w:val="auto"/>
          <w:sz w:val="24"/>
          <w:szCs w:val="24"/>
          <w:u w:val="single"/>
          <w:lang w:val="en-US" w:eastAsia="zh-CN"/>
        </w:rPr>
        <w:t>③</w:t>
      </w:r>
      <w:r>
        <w:rPr>
          <w:rFonts w:hint="eastAsia" w:ascii="Times New Roman" w:hAnsi="Times New Roman" w:eastAsia="仿宋_GB2312"/>
          <w:i/>
          <w:iCs/>
          <w:color w:val="auto"/>
          <w:sz w:val="30"/>
          <w:szCs w:val="32"/>
          <w:u w:val="single"/>
          <w:lang w:val="en-US" w:eastAsia="zh-CN"/>
        </w:rPr>
        <w:t xml:space="preserve">施工组织措施项目按合同约定的费率内容调整相关措施费用。合同中不得出现技术措施费用一律不准调整等类似表述） </w:t>
      </w:r>
      <w:r>
        <w:rPr>
          <w:rFonts w:hint="eastAsia" w:ascii="Times New Roman" w:hAnsi="Times New Roman" w:eastAsia="仿宋_GB2312"/>
          <w:color w:val="auto"/>
          <w:sz w:val="30"/>
          <w:szCs w:val="32"/>
          <w:u w:val="single"/>
          <w:lang w:val="en-US" w:eastAsia="zh-CN"/>
        </w:rPr>
        <w:t xml:space="preserve"> </w:t>
      </w:r>
      <w:r>
        <w:rPr>
          <w:rFonts w:hint="eastAsia" w:ascii="Times New Roman" w:hAnsi="Times New Roman" w:eastAsia="仿宋_GB2312"/>
          <w:color w:val="auto"/>
          <w:sz w:val="30"/>
          <w:szCs w:val="32"/>
          <w:u w:val="single"/>
          <w:lang w:eastAsia="zh-CN"/>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Start w:id="497" w:name="_Toc300934993"/>
      <w:bookmarkStart w:id="498" w:name="_Toc297048383"/>
      <w:bookmarkStart w:id="499" w:name="_Toc296891237"/>
      <w:bookmarkStart w:id="500" w:name="_Toc292559402"/>
      <w:bookmarkStart w:id="501" w:name="_Toc296891025"/>
      <w:bookmarkStart w:id="502" w:name="_Toc296503197"/>
      <w:bookmarkStart w:id="503" w:name="_Toc303539150"/>
      <w:bookmarkStart w:id="504" w:name="_Toc292559907"/>
      <w:bookmarkStart w:id="505" w:name="_Toc297120497"/>
      <w:bookmarkStart w:id="506" w:name="_Toc296346698"/>
      <w:bookmarkStart w:id="507" w:name="_Toc297216203"/>
      <w:bookmarkStart w:id="508" w:name="_Toc297123544"/>
      <w:bookmarkStart w:id="509" w:name="_Toc296347196"/>
      <w:bookmarkStart w:id="510" w:name="_Toc296944536"/>
      <w:bookmarkStart w:id="511" w:name="_Toc312678029"/>
      <w:bookmarkStart w:id="512" w:name="_Toc304295570"/>
      <w:bookmarkStart w:id="513" w:name="_Toc312677503"/>
      <w:r>
        <w:rPr>
          <w:rFonts w:ascii="Times New Roman" w:hAnsi="Times New Roman" w:eastAsia="黑体"/>
          <w:color w:val="auto"/>
          <w:sz w:val="30"/>
          <w:szCs w:val="32"/>
        </w:rPr>
        <w:t>0.5承</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Start w:id="514" w:name="_Toc297216204"/>
      <w:bookmarkStart w:id="515" w:name="_Toc300934994"/>
      <w:bookmarkStart w:id="516" w:name="_Toc296891243"/>
      <w:bookmarkStart w:id="517" w:name="_Toc296346704"/>
      <w:bookmarkStart w:id="518" w:name="_Toc296944542"/>
      <w:bookmarkStart w:id="519" w:name="_Toc296503203"/>
      <w:bookmarkStart w:id="520" w:name="_Toc296347202"/>
      <w:bookmarkStart w:id="521" w:name="_Toc297123545"/>
      <w:bookmarkStart w:id="522" w:name="_Toc296891031"/>
      <w:bookmarkStart w:id="523" w:name="_Toc292559913"/>
      <w:bookmarkStart w:id="524" w:name="_Toc292559408"/>
      <w:bookmarkStart w:id="525" w:name="_Toc297120503"/>
      <w:bookmarkStart w:id="526" w:name="_Toc303539151"/>
      <w:bookmarkStart w:id="527" w:name="_Toc297048389"/>
      <w:r>
        <w:rPr>
          <w:rFonts w:ascii="Times New Roman" w:hAnsi="Times New Roman" w:eastAsia="黑体"/>
          <w:color w:val="auto"/>
          <w:sz w:val="30"/>
          <w:szCs w:val="32"/>
        </w:rPr>
        <w:t>包人的合理化建议</w:t>
      </w:r>
    </w:p>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监理人审查承包人合理化建议的期限：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发包人审批承包人合理化建议的期限：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承</w:t>
      </w:r>
      <w:bookmarkStart w:id="528" w:name="_Toc297120504"/>
      <w:bookmarkStart w:id="529" w:name="_Toc300934995"/>
      <w:bookmarkStart w:id="530" w:name="_Toc303539152"/>
      <w:bookmarkStart w:id="531" w:name="_Toc296347203"/>
      <w:bookmarkStart w:id="532" w:name="_Toc292559914"/>
      <w:bookmarkStart w:id="533" w:name="_Toc318581175"/>
      <w:bookmarkStart w:id="534" w:name="_Toc296891244"/>
      <w:bookmarkStart w:id="535" w:name="_Toc297048390"/>
      <w:bookmarkStart w:id="536" w:name="_Toc296891032"/>
      <w:bookmarkStart w:id="537" w:name="_Toc304295571"/>
      <w:bookmarkStart w:id="538" w:name="_Toc292559409"/>
      <w:bookmarkStart w:id="539" w:name="_Toc312678030"/>
      <w:bookmarkStart w:id="540" w:name="_Toc296346705"/>
      <w:bookmarkStart w:id="541" w:name="_Toc297216205"/>
      <w:bookmarkStart w:id="542" w:name="_Toc297123546"/>
      <w:bookmarkStart w:id="543" w:name="_Toc312677504"/>
      <w:bookmarkStart w:id="544" w:name="_Toc296944543"/>
      <w:bookmarkStart w:id="545" w:name="_Toc296503204"/>
      <w:r>
        <w:rPr>
          <w:rFonts w:ascii="Times New Roman" w:hAnsi="Times New Roman" w:eastAsia="仿宋_GB2312"/>
          <w:color w:val="auto"/>
          <w:sz w:val="30"/>
          <w:szCs w:val="32"/>
        </w:rPr>
        <w:t>包人提出的合理化建议降低了合同价格或者提高了工程经济效益的奖励的方法和金额为：</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u w:val="single"/>
        </w:rPr>
      </w:pP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w:t>
      </w:r>
      <w:bookmarkStart w:id="546" w:name="_Toc296891239"/>
      <w:bookmarkStart w:id="547" w:name="_Toc304295574"/>
      <w:bookmarkStart w:id="548" w:name="_Toc292559404"/>
      <w:bookmarkStart w:id="549" w:name="_Toc296503199"/>
      <w:bookmarkStart w:id="550" w:name="_Toc297123548"/>
      <w:bookmarkStart w:id="551" w:name="_Toc296346700"/>
      <w:bookmarkStart w:id="552" w:name="_Toc292559909"/>
      <w:bookmarkStart w:id="553" w:name="_Toc303539154"/>
      <w:bookmarkStart w:id="554" w:name="_Toc296347198"/>
      <w:bookmarkStart w:id="555" w:name="_Toc312678033"/>
      <w:bookmarkStart w:id="556" w:name="_Toc296944538"/>
      <w:bookmarkStart w:id="557" w:name="_Toc297048385"/>
      <w:bookmarkStart w:id="558" w:name="_Toc297120499"/>
      <w:bookmarkStart w:id="559" w:name="_Toc312677507"/>
      <w:bookmarkStart w:id="560" w:name="_Toc300934997"/>
      <w:bookmarkStart w:id="561" w:name="_Toc297216207"/>
      <w:bookmarkStart w:id="562" w:name="_Toc296891027"/>
      <w:r>
        <w:rPr>
          <w:rFonts w:ascii="Times New Roman" w:hAnsi="Times New Roman" w:eastAsia="黑体"/>
          <w:color w:val="auto"/>
          <w:sz w:val="30"/>
          <w:szCs w:val="32"/>
        </w:rPr>
        <w:t>0.7 暂估价</w:t>
      </w:r>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kern w:val="0"/>
          <w:sz w:val="30"/>
          <w:szCs w:val="32"/>
        </w:rPr>
        <w:t>暂</w:t>
      </w:r>
      <w:bookmarkStart w:id="563" w:name="_Toc318581176"/>
      <w:bookmarkStart w:id="564" w:name="_Toc312678034"/>
      <w:bookmarkStart w:id="565" w:name="_Toc312677508"/>
      <w:r>
        <w:rPr>
          <w:rFonts w:ascii="Times New Roman" w:hAnsi="Times New Roman" w:eastAsia="仿宋_GB2312"/>
          <w:color w:val="auto"/>
          <w:kern w:val="0"/>
          <w:sz w:val="30"/>
          <w:szCs w:val="32"/>
        </w:rPr>
        <w:t>估价材料和工程设备的明细详见附件</w:t>
      </w:r>
      <w:r>
        <w:rPr>
          <w:rFonts w:hint="eastAsia" w:ascii="Times New Roman" w:hAnsi="Times New Roman" w:eastAsia="仿宋_GB2312"/>
          <w:color w:val="auto"/>
          <w:kern w:val="0"/>
          <w:sz w:val="30"/>
          <w:szCs w:val="32"/>
        </w:rPr>
        <w:t>11：《</w:t>
      </w:r>
      <w:r>
        <w:rPr>
          <w:rFonts w:ascii="Times New Roman" w:hAnsi="Times New Roman" w:eastAsia="仿宋_GB2312"/>
          <w:color w:val="auto"/>
          <w:sz w:val="30"/>
          <w:szCs w:val="32"/>
        </w:rPr>
        <w:t>暂估价一览表</w:t>
      </w:r>
      <w:r>
        <w:rPr>
          <w:rFonts w:hint="eastAsia" w:ascii="Times New Roman" w:hAnsi="Times New Roman" w:eastAsia="仿宋_GB2312"/>
          <w:color w:val="auto"/>
          <w:sz w:val="30"/>
          <w:szCs w:val="32"/>
        </w:rPr>
        <w:t>》</w:t>
      </w:r>
      <w:r>
        <w:rPr>
          <w:rFonts w:hint="eastAsia" w:ascii="Times New Roman" w:hAnsi="Times New Roman" w:eastAsia="仿宋_GB2312"/>
          <w:color w:val="auto"/>
          <w:kern w:val="0"/>
          <w:sz w:val="30"/>
          <w:szCs w:val="32"/>
        </w:rPr>
        <w:t>。</w:t>
      </w:r>
    </w:p>
    <w:bookmarkEnd w:id="563"/>
    <w:bookmarkEnd w:id="564"/>
    <w:bookmarkEnd w:id="565"/>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w:t>
      </w:r>
      <w:bookmarkStart w:id="566" w:name="_Toc312677509"/>
      <w:bookmarkStart w:id="567" w:name="_Toc312678035"/>
      <w:bookmarkStart w:id="568" w:name="_Toc318581177"/>
      <w:r>
        <w:rPr>
          <w:rFonts w:ascii="Times New Roman" w:hAnsi="Times New Roman" w:eastAsia="仿宋_GB2312"/>
          <w:color w:val="auto"/>
          <w:sz w:val="30"/>
          <w:szCs w:val="32"/>
        </w:rPr>
        <w:t>0.7.1 依法必须招标的暂估价项目</w:t>
      </w:r>
    </w:p>
    <w:bookmarkEnd w:id="566"/>
    <w:bookmarkEnd w:id="567"/>
    <w:bookmarkEnd w:id="568"/>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对于依法必须招标的暂估价项目的确认和批准采取第</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种方式确定。</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10.7.2 不属于依法必须招标的暂估价项目</w:t>
      </w:r>
    </w:p>
    <w:p>
      <w:pPr>
        <w:spacing w:line="360" w:lineRule="auto"/>
        <w:ind w:firstLine="600" w:firstLineChars="200"/>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rPr>
        <w:t>对于不属于依法必须招标的暂估价项目的确认和批准采取第</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 xml:space="preserve"> 种方式确定。</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sz w:val="30"/>
          <w:szCs w:val="32"/>
        </w:rPr>
        <w:t>第3种方式：</w:t>
      </w:r>
      <w:r>
        <w:rPr>
          <w:rFonts w:ascii="Times New Roman" w:hAnsi="Times New Roman" w:eastAsia="仿宋_GB2312"/>
          <w:color w:val="auto"/>
          <w:kern w:val="0"/>
          <w:sz w:val="30"/>
          <w:szCs w:val="32"/>
        </w:rPr>
        <w:t>承包人直接实施的暂估价项目</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承包人直接实施的暂估价项目的约定：</w:t>
      </w:r>
      <w:r>
        <w:rPr>
          <w:rFonts w:ascii="Times New Roman" w:hAnsi="Times New Roman" w:eastAsia="仿宋_GB2312"/>
          <w:color w:val="auto"/>
          <w:sz w:val="30"/>
          <w:szCs w:val="32"/>
          <w:u w:val="single"/>
        </w:rPr>
        <w:t xml:space="preserve">                     </w:t>
      </w:r>
    </w:p>
    <w:p>
      <w:pPr>
        <w:spacing w:line="360" w:lineRule="auto"/>
        <w:jc w:val="left"/>
        <w:rPr>
          <w:rFonts w:hint="eastAsia" w:ascii="Times New Roman" w:hAnsi="Times New Roman" w:eastAsia="仿宋_GB2312"/>
          <w:color w:val="auto"/>
          <w:sz w:val="30"/>
          <w:szCs w:val="32"/>
        </w:rPr>
      </w:pP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10.8 暂列金额</w:t>
      </w:r>
    </w:p>
    <w:p>
      <w:pPr>
        <w:autoSpaceDE w:val="0"/>
        <w:autoSpaceDN w:val="0"/>
        <w:adjustRightInd w:val="0"/>
        <w:spacing w:line="360" w:lineRule="auto"/>
        <w:ind w:firstLine="600" w:firstLineChars="200"/>
        <w:jc w:val="left"/>
        <w:rPr>
          <w:rFonts w:hint="eastAsia" w:ascii="Times New Roman" w:hAnsi="Times New Roman" w:eastAsia="仿宋_GB2312"/>
          <w:color w:val="auto"/>
          <w:sz w:val="30"/>
          <w:szCs w:val="32"/>
          <w:u w:val="single"/>
        </w:rPr>
      </w:pPr>
      <w:r>
        <w:rPr>
          <w:rFonts w:hint="eastAsia" w:ascii="Times New Roman" w:hAnsi="Times New Roman" w:eastAsia="仿宋_GB2312"/>
          <w:color w:val="auto"/>
          <w:kern w:val="0"/>
          <w:sz w:val="30"/>
          <w:szCs w:val="32"/>
        </w:rPr>
        <w:t>合同当事人关于暂列金额使用的约定：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p>
    <w:p>
      <w:pPr>
        <w:autoSpaceDE w:val="0"/>
        <w:autoSpaceDN w:val="0"/>
        <w:adjustRightInd w:val="0"/>
        <w:spacing w:line="360" w:lineRule="auto"/>
        <w:jc w:val="left"/>
        <w:rPr>
          <w:rFonts w:ascii="Times New Roman" w:hAnsi="Times New Roman" w:eastAsia="仿宋_GB2312"/>
          <w:color w:val="auto"/>
          <w:kern w:val="0"/>
          <w:sz w:val="30"/>
          <w:szCs w:val="32"/>
        </w:rPr>
      </w:pPr>
      <w:r>
        <w:rPr>
          <w:rFonts w:hint="eastAsia" w:ascii="Times New Roman" w:hAnsi="Times New Roman" w:eastAsia="仿宋_GB2312"/>
          <w:color w:val="auto"/>
          <w:sz w:val="30"/>
          <w:szCs w:val="32"/>
          <w:u w:val="single"/>
        </w:rPr>
        <w:t xml:space="preserve">                                                         </w:t>
      </w:r>
      <w:r>
        <w:rPr>
          <w:rFonts w:hint="eastAsia" w:ascii="Times New Roman" w:hAnsi="Times New Roman" w:eastAsia="仿宋_GB2312"/>
          <w:color w:val="auto"/>
          <w:kern w:val="0"/>
          <w:sz w:val="30"/>
          <w:szCs w:val="32"/>
        </w:rPr>
        <w:t>。</w:t>
      </w:r>
    </w:p>
    <w:p>
      <w:pPr>
        <w:pStyle w:val="6"/>
        <w:spacing w:before="120" w:after="120" w:line="360" w:lineRule="auto"/>
        <w:rPr>
          <w:rFonts w:ascii="Times New Roman" w:hAnsi="Times New Roman" w:eastAsia="黑体"/>
          <w:b w:val="0"/>
          <w:color w:val="auto"/>
          <w:sz w:val="32"/>
          <w:szCs w:val="32"/>
        </w:rPr>
      </w:pPr>
      <w:bookmarkStart w:id="569" w:name="_Toc351203643"/>
      <w:r>
        <w:rPr>
          <w:rFonts w:ascii="Times New Roman" w:hAnsi="Times New Roman" w:eastAsia="黑体"/>
          <w:b w:val="0"/>
          <w:color w:val="auto"/>
          <w:sz w:val="32"/>
          <w:szCs w:val="32"/>
        </w:rPr>
        <w:t>11. 价格调整</w:t>
      </w:r>
      <w:bookmarkEnd w:id="569"/>
    </w:p>
    <w:p>
      <w:pPr>
        <w:spacing w:after="120" w:line="360" w:lineRule="auto"/>
        <w:ind w:firstLine="600" w:firstLineChars="200"/>
        <w:rPr>
          <w:rFonts w:ascii="Times New Roman" w:hAnsi="Times New Roman" w:eastAsia="黑体"/>
          <w:color w:val="auto"/>
          <w:sz w:val="30"/>
          <w:szCs w:val="32"/>
        </w:rPr>
      </w:pPr>
      <w:bookmarkStart w:id="570" w:name="_Toc304295577"/>
      <w:bookmarkStart w:id="571" w:name="_Toc296891241"/>
      <w:bookmarkStart w:id="572" w:name="_Toc312678039"/>
      <w:bookmarkStart w:id="573" w:name="_Toc300935000"/>
      <w:bookmarkStart w:id="574" w:name="_Toc296347200"/>
      <w:bookmarkStart w:id="575" w:name="_Toc303539157"/>
      <w:bookmarkStart w:id="576" w:name="_Toc297123550"/>
      <w:bookmarkStart w:id="577" w:name="_Toc296891029"/>
      <w:bookmarkStart w:id="578" w:name="_Toc297048387"/>
      <w:bookmarkStart w:id="579" w:name="_Toc296944540"/>
      <w:bookmarkStart w:id="580" w:name="_Toc297120501"/>
      <w:bookmarkStart w:id="581" w:name="_Toc296503201"/>
      <w:bookmarkStart w:id="582" w:name="_Toc296346702"/>
      <w:bookmarkStart w:id="583" w:name="_Toc292559911"/>
      <w:bookmarkStart w:id="584" w:name="_Toc292559406"/>
      <w:bookmarkStart w:id="585" w:name="_Toc297216209"/>
      <w:r>
        <w:rPr>
          <w:rFonts w:ascii="Times New Roman" w:hAnsi="Times New Roman" w:eastAsia="黑体"/>
          <w:color w:val="auto"/>
          <w:sz w:val="30"/>
          <w:szCs w:val="32"/>
        </w:rPr>
        <w:t>11.1 市场价格波动引起的调整</w:t>
      </w:r>
    </w:p>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kern w:val="0"/>
          <w:sz w:val="30"/>
          <w:szCs w:val="32"/>
        </w:rPr>
        <w:t>市场价格波动是否调整合同价格的约定：</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因市场价格波动调整合同价格，采用以下第</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种方式对合同价格进行调整：</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第1种方式：采用价格指数</w:t>
      </w:r>
      <w:r>
        <w:rPr>
          <w:rFonts w:hint="eastAsia" w:ascii="Times New Roman" w:hAnsi="Times New Roman" w:eastAsia="仿宋_GB2312"/>
          <w:color w:val="auto"/>
          <w:sz w:val="30"/>
          <w:szCs w:val="32"/>
        </w:rPr>
        <w:t>进行价格</w:t>
      </w:r>
      <w:r>
        <w:rPr>
          <w:rFonts w:ascii="Times New Roman" w:hAnsi="Times New Roman" w:eastAsia="仿宋_GB2312"/>
          <w:color w:val="auto"/>
          <w:sz w:val="30"/>
          <w:szCs w:val="32"/>
        </w:rPr>
        <w:t>调整。</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关于各可调因子、定值和变值权重，以及基本价格指数及其来源的约定：</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 xml:space="preserve">；  </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第2种方式：采用造价信息</w:t>
      </w:r>
      <w:r>
        <w:rPr>
          <w:rFonts w:hint="eastAsia" w:ascii="Times New Roman" w:hAnsi="Times New Roman" w:eastAsia="仿宋_GB2312"/>
          <w:color w:val="auto"/>
          <w:sz w:val="30"/>
          <w:szCs w:val="32"/>
        </w:rPr>
        <w:t>进行价格</w:t>
      </w:r>
      <w:r>
        <w:rPr>
          <w:rFonts w:ascii="Times New Roman" w:hAnsi="Times New Roman" w:eastAsia="仿宋_GB2312"/>
          <w:color w:val="auto"/>
          <w:sz w:val="30"/>
          <w:szCs w:val="32"/>
        </w:rPr>
        <w:t>调整。</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（2）关于基准价格的约定：</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专用合同条款</w:t>
      </w:r>
      <w:r>
        <w:rPr>
          <w:rFonts w:hint="eastAsia" w:ascii="宋体" w:hAnsi="宋体" w:cs="宋体"/>
          <w:color w:val="auto"/>
          <w:sz w:val="30"/>
          <w:szCs w:val="32"/>
        </w:rPr>
        <w:t>①</w:t>
      </w:r>
      <w:r>
        <w:rPr>
          <w:rFonts w:ascii="Times New Roman" w:hAnsi="Times New Roman" w:eastAsia="仿宋_GB2312"/>
          <w:color w:val="auto"/>
          <w:sz w:val="30"/>
          <w:szCs w:val="32"/>
        </w:rPr>
        <w:t>承包人在已标价工程量清单或预算书中载明的材料单价低于基准价格的：专用合同条款合同履行期间材料单价涨幅以基准价格为基础超过</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%时，或材料单价跌幅以已标价工程量清单或预算书中载明材料单价为基础超过</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%时，其超过部分据实调整。</w:t>
      </w:r>
    </w:p>
    <w:p>
      <w:pPr>
        <w:spacing w:line="360" w:lineRule="auto"/>
        <w:ind w:firstLine="600" w:firstLineChars="200"/>
        <w:jc w:val="left"/>
        <w:rPr>
          <w:rFonts w:ascii="Times New Roman" w:hAnsi="Times New Roman" w:eastAsia="仿宋_GB2312"/>
          <w:color w:val="auto"/>
          <w:sz w:val="30"/>
          <w:szCs w:val="32"/>
        </w:rPr>
      </w:pPr>
      <w:r>
        <w:rPr>
          <w:rFonts w:hint="eastAsia" w:ascii="宋体" w:hAnsi="宋体" w:cs="宋体"/>
          <w:color w:val="auto"/>
          <w:sz w:val="30"/>
          <w:szCs w:val="32"/>
        </w:rPr>
        <w:t>②</w:t>
      </w:r>
      <w:r>
        <w:rPr>
          <w:rFonts w:ascii="Times New Roman" w:hAnsi="Times New Roman" w:eastAsia="仿宋_GB2312"/>
          <w:color w:val="auto"/>
          <w:sz w:val="30"/>
          <w:szCs w:val="32"/>
        </w:rPr>
        <w:t>承包人在已标价工程量清单或预算书中载明的材料单价高于基准价格的：专用合同条款合同履行期间材料单价跌幅以基准价格为基础超过</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%时，材料单价涨幅以已标价工程量清单或预算书中载明材料单价为基础超过</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%时，其超过部分据实调整。</w:t>
      </w:r>
    </w:p>
    <w:p>
      <w:pPr>
        <w:spacing w:line="360" w:lineRule="auto"/>
        <w:ind w:firstLine="645"/>
        <w:jc w:val="left"/>
        <w:rPr>
          <w:rFonts w:ascii="Times New Roman" w:hAnsi="Times New Roman" w:eastAsia="仿宋_GB2312"/>
          <w:color w:val="auto"/>
          <w:sz w:val="30"/>
          <w:szCs w:val="32"/>
        </w:rPr>
      </w:pPr>
      <w:r>
        <w:rPr>
          <w:rFonts w:hint="eastAsia" w:ascii="宋体" w:hAnsi="宋体" w:cs="宋体"/>
          <w:color w:val="auto"/>
          <w:sz w:val="30"/>
          <w:szCs w:val="32"/>
        </w:rPr>
        <w:t>③</w:t>
      </w:r>
      <w:r>
        <w:rPr>
          <w:rFonts w:ascii="Times New Roman" w:hAnsi="Times New Roman" w:eastAsia="仿宋_GB2312"/>
          <w:color w:val="auto"/>
          <w:sz w:val="30"/>
          <w:szCs w:val="32"/>
        </w:rPr>
        <w:t>承包人在已标价工程量清单或预算书中载明的材料单价等于基准单价的：专用合同条款合同履行期间材料单价涨跌幅以基准单价为基础超过±</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%时，其超过部分据实调整。</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rPr>
        <w:t>第3种方式：其他价格调整方式：</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eastAsia="zh-CN"/>
        </w:rPr>
        <w:t>一般应明确人、材、机的风险内容和风险幅度，以及超过风险范围以外的调整方法。人工和单项材料按以下原则分担风险，并在合同中约定：承包人可承担</w:t>
      </w:r>
      <w:r>
        <w:rPr>
          <w:rFonts w:hint="eastAsia" w:ascii="微软雅黑" w:hAnsi="微软雅黑" w:eastAsia="微软雅黑" w:cs="微软雅黑"/>
          <w:i/>
          <w:iCs/>
          <w:color w:val="auto"/>
          <w:sz w:val="30"/>
          <w:szCs w:val="32"/>
          <w:u w:val="single"/>
          <w:lang w:eastAsia="zh-CN"/>
        </w:rPr>
        <w:t>±</w:t>
      </w:r>
      <w:r>
        <w:rPr>
          <w:rFonts w:hint="eastAsia" w:ascii="Times New Roman" w:hAnsi="Times New Roman" w:eastAsia="仿宋_GB2312"/>
          <w:i/>
          <w:iCs/>
          <w:color w:val="auto"/>
          <w:sz w:val="30"/>
          <w:szCs w:val="32"/>
          <w:u w:val="single"/>
          <w:lang w:val="en-US" w:eastAsia="zh-CN"/>
        </w:rPr>
        <w:t>5%以内的人工和单项材料价格风险，超过部分由发包方承担或受益。采用施工过程结算的工程按绍市财建【2021】14号、绍市建价【2021】10号文件参照执行。</w:t>
      </w:r>
      <w:r>
        <w:rPr>
          <w:rFonts w:hint="eastAsia" w:ascii="Times New Roman" w:hAnsi="Times New Roman" w:eastAsia="仿宋_GB2312"/>
          <w:i/>
          <w:iCs/>
          <w:color w:val="auto"/>
          <w:sz w:val="30"/>
          <w:szCs w:val="32"/>
          <w:u w:val="single"/>
          <w:lang w:eastAsia="zh-CN"/>
        </w:rPr>
        <w:t>）</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473"/>
    <w:bookmarkEnd w:id="474"/>
    <w:bookmarkEnd w:id="475"/>
    <w:bookmarkEnd w:id="476"/>
    <w:bookmarkEnd w:id="477"/>
    <w:bookmarkEnd w:id="478"/>
    <w:p>
      <w:pPr>
        <w:pStyle w:val="6"/>
        <w:spacing w:before="120" w:after="120" w:line="360" w:lineRule="auto"/>
        <w:rPr>
          <w:rFonts w:ascii="Times New Roman" w:hAnsi="Times New Roman" w:eastAsia="黑体"/>
          <w:b w:val="0"/>
          <w:color w:val="auto"/>
          <w:sz w:val="32"/>
          <w:szCs w:val="32"/>
        </w:rPr>
      </w:pPr>
      <w:bookmarkStart w:id="586" w:name="_Toc296891245"/>
      <w:bookmarkStart w:id="587" w:name="_Toc296891033"/>
      <w:bookmarkStart w:id="588" w:name="_Toc296503205"/>
      <w:bookmarkStart w:id="589" w:name="_Toc297048391"/>
      <w:bookmarkStart w:id="590" w:name="_Toc297120505"/>
      <w:bookmarkStart w:id="591" w:name="_Toc296347204"/>
      <w:bookmarkStart w:id="592" w:name="_Toc296346706"/>
      <w:bookmarkStart w:id="593" w:name="_Toc292559915"/>
      <w:bookmarkStart w:id="594" w:name="_Toc292559410"/>
      <w:bookmarkStart w:id="595" w:name="_Toc296944544"/>
      <w:bookmarkStart w:id="596" w:name="_Toc351203644"/>
      <w:bookmarkStart w:id="597" w:name="_Toc312678040"/>
      <w:bookmarkStart w:id="598" w:name="_Toc297216211"/>
      <w:bookmarkStart w:id="599" w:name="_Toc303539159"/>
      <w:bookmarkStart w:id="600" w:name="_Toc304295579"/>
      <w:bookmarkStart w:id="601" w:name="_Toc297123552"/>
      <w:bookmarkStart w:id="602" w:name="_Toc300935002"/>
      <w:r>
        <w:rPr>
          <w:rFonts w:ascii="Times New Roman" w:hAnsi="Times New Roman" w:eastAsia="黑体"/>
          <w:b w:val="0"/>
          <w:color w:val="auto"/>
          <w:sz w:val="32"/>
          <w:szCs w:val="32"/>
        </w:rPr>
        <w:t xml:space="preserve">12. </w:t>
      </w:r>
      <w:bookmarkEnd w:id="586"/>
      <w:bookmarkEnd w:id="587"/>
      <w:bookmarkEnd w:id="588"/>
      <w:bookmarkEnd w:id="589"/>
      <w:bookmarkEnd w:id="590"/>
      <w:bookmarkEnd w:id="591"/>
      <w:bookmarkEnd w:id="592"/>
      <w:bookmarkEnd w:id="593"/>
      <w:bookmarkEnd w:id="594"/>
      <w:bookmarkEnd w:id="595"/>
      <w:r>
        <w:rPr>
          <w:rFonts w:ascii="Times New Roman" w:hAnsi="Times New Roman" w:eastAsia="黑体"/>
          <w:b w:val="0"/>
          <w:color w:val="auto"/>
          <w:sz w:val="32"/>
          <w:szCs w:val="32"/>
        </w:rPr>
        <w:t>合同价格、计量与支付</w:t>
      </w:r>
      <w:bookmarkEnd w:id="596"/>
    </w:p>
    <w:bookmarkEnd w:id="597"/>
    <w:bookmarkEnd w:id="598"/>
    <w:bookmarkEnd w:id="599"/>
    <w:bookmarkEnd w:id="600"/>
    <w:bookmarkEnd w:id="601"/>
    <w:bookmarkEnd w:id="602"/>
    <w:p>
      <w:pPr>
        <w:spacing w:after="120" w:line="360" w:lineRule="auto"/>
        <w:ind w:firstLine="600" w:firstLineChars="200"/>
        <w:rPr>
          <w:rFonts w:ascii="Times New Roman" w:hAnsi="Times New Roman" w:eastAsia="黑体"/>
          <w:color w:val="auto"/>
          <w:sz w:val="30"/>
          <w:szCs w:val="32"/>
        </w:rPr>
      </w:pPr>
      <w:bookmarkStart w:id="603" w:name="_Toc267251461"/>
      <w:bookmarkStart w:id="604" w:name="_Toc292559411"/>
      <w:bookmarkStart w:id="605" w:name="_Toc292559916"/>
      <w:bookmarkStart w:id="606" w:name="_Toc296891034"/>
      <w:bookmarkStart w:id="607" w:name="_Toc296944545"/>
      <w:bookmarkStart w:id="608" w:name="_Toc296503206"/>
      <w:bookmarkStart w:id="609" w:name="_Toc296347205"/>
      <w:bookmarkStart w:id="610" w:name="_Toc297120506"/>
      <w:bookmarkStart w:id="611" w:name="_Toc297048392"/>
      <w:bookmarkStart w:id="612" w:name="_Toc296346707"/>
      <w:bookmarkStart w:id="613" w:name="_Toc296891246"/>
      <w:bookmarkStart w:id="614" w:name="_Toc312678041"/>
      <w:bookmarkStart w:id="615" w:name="_Toc300935003"/>
      <w:bookmarkStart w:id="616" w:name="_Toc297123553"/>
      <w:bookmarkStart w:id="617" w:name="_Toc297216212"/>
      <w:bookmarkStart w:id="618" w:name="_Toc304295580"/>
      <w:bookmarkStart w:id="619" w:name="_Toc303539160"/>
      <w:r>
        <w:rPr>
          <w:rFonts w:ascii="Times New Roman" w:hAnsi="Times New Roman" w:eastAsia="黑体"/>
          <w:color w:val="auto"/>
          <w:sz w:val="30"/>
          <w:szCs w:val="32"/>
        </w:rPr>
        <w:t>12.1 合</w:t>
      </w:r>
      <w:bookmarkEnd w:id="603"/>
      <w:bookmarkEnd w:id="604"/>
      <w:bookmarkEnd w:id="605"/>
      <w:r>
        <w:rPr>
          <w:rFonts w:ascii="Times New Roman" w:hAnsi="Times New Roman" w:eastAsia="黑体"/>
          <w:color w:val="auto"/>
          <w:sz w:val="30"/>
          <w:szCs w:val="32"/>
        </w:rPr>
        <w:t>同价</w:t>
      </w:r>
      <w:bookmarkEnd w:id="606"/>
      <w:bookmarkEnd w:id="607"/>
      <w:bookmarkEnd w:id="608"/>
      <w:bookmarkEnd w:id="609"/>
      <w:bookmarkEnd w:id="610"/>
      <w:bookmarkEnd w:id="611"/>
      <w:bookmarkEnd w:id="612"/>
      <w:bookmarkEnd w:id="613"/>
      <w:r>
        <w:rPr>
          <w:rFonts w:ascii="Times New Roman" w:hAnsi="Times New Roman" w:eastAsia="黑体"/>
          <w:color w:val="auto"/>
          <w:sz w:val="30"/>
          <w:szCs w:val="32"/>
        </w:rPr>
        <w:t>格形式</w:t>
      </w:r>
    </w:p>
    <w:bookmarkEnd w:id="614"/>
    <w:bookmarkEnd w:id="615"/>
    <w:bookmarkEnd w:id="616"/>
    <w:bookmarkEnd w:id="617"/>
    <w:bookmarkEnd w:id="618"/>
    <w:bookmarkEnd w:id="619"/>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1、单价合同。</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综合单价包含的风险范围：</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风险费用的计算方法：</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风险范围以外合同价格的调整方法：</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val="en-US"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实行工程量清单计价的工程，宜采用单价合同。单价合同约定的合同价款中所包含的工程量清单项目综合单价在风险范围内是固定的，不予调整，工程量允许调整。在风险范围以外，合同中一般应对下列事项的具体内容、范围（幅度）和调整方法进行明确约定：法律法规的变化、</w:t>
      </w:r>
      <w:r>
        <w:rPr>
          <w:rFonts w:hint="eastAsia" w:ascii="Times New Roman" w:hAnsi="Times New Roman" w:eastAsia="仿宋_GB2312"/>
          <w:i/>
          <w:iCs/>
          <w:color w:val="auto"/>
          <w:sz w:val="30"/>
          <w:szCs w:val="32"/>
          <w:u w:val="single"/>
          <w:lang w:eastAsia="zh-CN"/>
        </w:rPr>
        <w:t>工程变更、项目特征不符、工程量清单缺项、工程量偏差、暂估价、暂列金额、现场签证、提前竣工、误工赔偿、索赔以及综合单价异常处理等。合同中不得出现无限风险、所有风险和“清单中虽未描述但在设计图纸中已明确的工程内容视作已包含在投标人相应的综合单价内”等类似风险转嫁表述</w:t>
      </w:r>
      <w:r>
        <w:rPr>
          <w:rFonts w:hint="eastAsia" w:ascii="Times New Roman" w:hAnsi="Times New Roman" w:eastAsia="仿宋_GB2312"/>
          <w:i/>
          <w:iCs/>
          <w:color w:val="auto"/>
          <w:sz w:val="30"/>
          <w:szCs w:val="32"/>
          <w:u w:val="single"/>
          <w:lang w:val="en-US" w:eastAsia="zh-CN"/>
        </w:rPr>
        <w:t>）</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2、总价合同。</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总价包含的风险范围：</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风险费用的计算方法：</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keepNext w:val="0"/>
        <w:keepLines w:val="0"/>
        <w:pageBreakBefore w:val="0"/>
        <w:widowControl w:val="0"/>
        <w:kinsoku/>
        <w:wordWrap/>
        <w:overflowPunct/>
        <w:topLinePunct w:val="0"/>
        <w:bidi w:val="0"/>
        <w:snapToGrid/>
        <w:spacing w:line="580" w:lineRule="exact"/>
        <w:ind w:firstLine="600" w:firstLineChars="200"/>
        <w:jc w:val="left"/>
        <w:textAlignment w:val="auto"/>
        <w:rPr>
          <w:rFonts w:ascii="Times New Roman" w:hAnsi="Times New Roman" w:eastAsia="仿宋_GB2312"/>
          <w:color w:val="auto"/>
          <w:sz w:val="30"/>
          <w:szCs w:val="32"/>
        </w:rPr>
      </w:pPr>
      <w:r>
        <w:rPr>
          <w:rFonts w:ascii="Times New Roman" w:hAnsi="Times New Roman" w:eastAsia="仿宋_GB2312"/>
          <w:color w:val="auto"/>
          <w:sz w:val="30"/>
          <w:szCs w:val="32"/>
        </w:rPr>
        <w:t>风险范围以外合同价格的调整方法：</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val="en-US"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总价合同是在约定的风险范围内总价包干或总价不变的合同。在风险范围以外，合同中一般应对下列事项的具体内容、范围（幅度）和调整方法进行明确约定：法律法规的变化、</w:t>
      </w:r>
      <w:r>
        <w:rPr>
          <w:rFonts w:hint="eastAsia" w:ascii="Times New Roman" w:hAnsi="Times New Roman" w:eastAsia="仿宋_GB2312"/>
          <w:i/>
          <w:iCs/>
          <w:color w:val="auto"/>
          <w:sz w:val="30"/>
          <w:szCs w:val="32"/>
          <w:u w:val="single"/>
          <w:lang w:eastAsia="zh-CN"/>
        </w:rPr>
        <w:t>工程变更、项目特征不符、工程量清单缺项、工程量偏差、暂估价、暂列金额、现场签证、提前竣工、误工赔偿、索赔以及综合单价异常处理等。合同中不得出现无限风险、所有风险和“清单中虽未描述但在设计图纸中已明确的工程内容视作已包含在投标人相应的综合单价内”等类似风险转嫁表述</w:t>
      </w:r>
      <w:r>
        <w:rPr>
          <w:rFonts w:hint="eastAsia" w:ascii="Times New Roman" w:hAnsi="Times New Roman" w:eastAsia="仿宋_GB2312"/>
          <w:i/>
          <w:iCs/>
          <w:color w:val="auto"/>
          <w:sz w:val="30"/>
          <w:szCs w:val="32"/>
          <w:u w:val="single"/>
          <w:lang w:val="en-US" w:eastAsia="zh-CN"/>
        </w:rPr>
        <w:t>）</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rPr>
        <w:t xml:space="preserve">。     </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3、其他价格方式：</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bookmarkStart w:id="620" w:name="_Toc304295581"/>
      <w:bookmarkStart w:id="621" w:name="_Toc297216213"/>
      <w:bookmarkStart w:id="622" w:name="_Toc300935004"/>
      <w:bookmarkStart w:id="623" w:name="_Toc297123554"/>
      <w:bookmarkStart w:id="624" w:name="_Toc303539161"/>
      <w:bookmarkStart w:id="625" w:name="_Toc312678042"/>
      <w:bookmarkStart w:id="626" w:name="_Toc296891035"/>
      <w:bookmarkStart w:id="627" w:name="_Toc296346708"/>
      <w:bookmarkStart w:id="628" w:name="_Toc296944546"/>
      <w:bookmarkStart w:id="629" w:name="_Toc296891247"/>
      <w:bookmarkStart w:id="630" w:name="_Toc292559412"/>
      <w:bookmarkStart w:id="631" w:name="_Toc296347206"/>
      <w:bookmarkStart w:id="632" w:name="_Toc297120507"/>
      <w:bookmarkStart w:id="633" w:name="_Toc296503207"/>
      <w:bookmarkStart w:id="634" w:name="_Toc297048393"/>
      <w:bookmarkStart w:id="635" w:name="_Toc292559917"/>
      <w:r>
        <w:rPr>
          <w:rFonts w:ascii="Times New Roman" w:hAnsi="Times New Roman" w:eastAsia="黑体"/>
          <w:color w:val="auto"/>
          <w:sz w:val="30"/>
          <w:szCs w:val="32"/>
        </w:rPr>
        <w:t>12.2 预付款</w:t>
      </w:r>
    </w:p>
    <w:bookmarkEnd w:id="620"/>
    <w:bookmarkEnd w:id="621"/>
    <w:bookmarkEnd w:id="622"/>
    <w:bookmarkEnd w:id="623"/>
    <w:bookmarkEnd w:id="624"/>
    <w:bookmarkEnd w:id="625"/>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12.2.1 预付款的支付</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预付款支付比例或金额：</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eastAsia="zh-CN"/>
        </w:rPr>
        <w:t>原则上工程预付款不得低于签约合同价（扣除暂列金额）的</w:t>
      </w:r>
      <w:r>
        <w:rPr>
          <w:rFonts w:hint="eastAsia" w:ascii="Times New Roman" w:hAnsi="Times New Roman" w:eastAsia="仿宋_GB2312"/>
          <w:i/>
          <w:iCs/>
          <w:color w:val="auto"/>
          <w:sz w:val="30"/>
          <w:szCs w:val="32"/>
          <w:u w:val="single"/>
          <w:lang w:val="en-US" w:eastAsia="zh-CN"/>
        </w:rPr>
        <w:t>10%，不高于合同金额的30%</w:t>
      </w:r>
      <w:r>
        <w:rPr>
          <w:rFonts w:ascii="Times New Roman" w:hAnsi="Times New Roman" w:eastAsia="仿宋_GB2312"/>
          <w:i/>
          <w:iCs/>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预付款支付期限：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预付款扣回的方式：</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12.2.2 预付款担保</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承包人提交预付款担保的期限：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预付款担保的形式为：</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626"/>
    <w:bookmarkEnd w:id="627"/>
    <w:bookmarkEnd w:id="628"/>
    <w:bookmarkEnd w:id="629"/>
    <w:bookmarkEnd w:id="630"/>
    <w:bookmarkEnd w:id="631"/>
    <w:bookmarkEnd w:id="632"/>
    <w:bookmarkEnd w:id="633"/>
    <w:bookmarkEnd w:id="634"/>
    <w:bookmarkEnd w:id="635"/>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12.3 计量</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12.3.1 计量原则</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工程量计算规则：</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12.3.2 计量周期</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关于计量周期的约定：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12.3.3 单价合同的计量</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关于单价合同计量的约定：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12.3.4 总价合同的计量</w:t>
      </w:r>
    </w:p>
    <w:p>
      <w:pPr>
        <w:spacing w:line="360" w:lineRule="auto"/>
        <w:ind w:firstLine="600" w:firstLineChars="200"/>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rPr>
        <w:t>关于总价合同计量的约定：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12.3.5总价合同采用支付分解表计量支付的，是否适用第</w:t>
      </w:r>
      <w:r>
        <w:rPr>
          <w:rFonts w:ascii="Times New Roman" w:hAnsi="Times New Roman" w:eastAsia="仿宋_GB2312"/>
          <w:color w:val="auto"/>
          <w:kern w:val="0"/>
          <w:sz w:val="30"/>
          <w:szCs w:val="32"/>
        </w:rPr>
        <w:t xml:space="preserve">12.3.4 </w:t>
      </w:r>
      <w:r>
        <w:rPr>
          <w:rFonts w:ascii="Times New Roman" w:hAnsi="Times New Roman" w:eastAsia="仿宋_GB2312"/>
          <w:color w:val="auto"/>
          <w:sz w:val="30"/>
          <w:szCs w:val="32"/>
        </w:rPr>
        <w:t>项</w:t>
      </w:r>
      <w:r>
        <w:rPr>
          <w:rFonts w:hint="eastAsia" w:ascii="Times New Roman" w:hAnsi="Times New Roman" w:eastAsia="仿宋_GB2312"/>
          <w:color w:val="auto"/>
          <w:kern w:val="0"/>
          <w:sz w:val="30"/>
          <w:szCs w:val="32"/>
        </w:rPr>
        <w:t>〔</w:t>
      </w:r>
      <w:r>
        <w:rPr>
          <w:rFonts w:ascii="Times New Roman" w:hAnsi="Times New Roman" w:eastAsia="仿宋_GB2312"/>
          <w:color w:val="auto"/>
          <w:kern w:val="0"/>
          <w:sz w:val="30"/>
          <w:szCs w:val="32"/>
        </w:rPr>
        <w:t>总价合同的计量</w:t>
      </w:r>
      <w:r>
        <w:rPr>
          <w:rFonts w:hint="eastAsia" w:ascii="Times New Roman" w:hAnsi="Times New Roman" w:eastAsia="仿宋_GB2312"/>
          <w:color w:val="auto"/>
          <w:kern w:val="0"/>
          <w:sz w:val="30"/>
          <w:szCs w:val="32"/>
        </w:rPr>
        <w:t>〕</w:t>
      </w:r>
      <w:r>
        <w:rPr>
          <w:rFonts w:ascii="Times New Roman" w:hAnsi="Times New Roman" w:eastAsia="仿宋_GB2312"/>
          <w:color w:val="auto"/>
          <w:sz w:val="30"/>
          <w:szCs w:val="32"/>
        </w:rPr>
        <w:t>约定</w:t>
      </w:r>
      <w:r>
        <w:rPr>
          <w:rFonts w:hint="eastAsia" w:ascii="Times New Roman" w:hAnsi="Times New Roman" w:eastAsia="仿宋_GB2312"/>
          <w:color w:val="auto"/>
          <w:sz w:val="30"/>
          <w:szCs w:val="32"/>
        </w:rPr>
        <w:t>进行计量：</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12.3.6 其他价格形式合同的计量</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其他价格形式的计量方式和程序：</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12.4 工程进度款支付</w:t>
      </w:r>
    </w:p>
    <w:p>
      <w:pPr>
        <w:spacing w:line="360" w:lineRule="auto"/>
        <w:ind w:firstLine="600" w:firstLineChars="200"/>
        <w:jc w:val="left"/>
        <w:rPr>
          <w:rFonts w:ascii="Times New Roman" w:hAnsi="Times New Roman" w:eastAsia="仿宋_GB2312"/>
          <w:color w:val="auto"/>
          <w:sz w:val="30"/>
          <w:szCs w:val="32"/>
        </w:rPr>
      </w:pPr>
      <w:bookmarkStart w:id="636" w:name="_Toc300935006"/>
      <w:bookmarkStart w:id="637" w:name="_Toc292559921"/>
      <w:bookmarkStart w:id="638" w:name="_Toc296891251"/>
      <w:bookmarkStart w:id="639" w:name="_Toc297123556"/>
      <w:bookmarkStart w:id="640" w:name="_Toc297216215"/>
      <w:bookmarkStart w:id="641" w:name="_Toc296503211"/>
      <w:bookmarkStart w:id="642" w:name="_Toc297120511"/>
      <w:bookmarkStart w:id="643" w:name="_Toc296891039"/>
      <w:bookmarkStart w:id="644" w:name="_Toc296346712"/>
      <w:bookmarkStart w:id="645" w:name="_Toc296347210"/>
      <w:bookmarkStart w:id="646" w:name="_Toc297048397"/>
      <w:bookmarkStart w:id="647" w:name="_Toc303539163"/>
      <w:bookmarkStart w:id="648" w:name="_Toc292559416"/>
      <w:bookmarkStart w:id="649" w:name="_Toc296944550"/>
      <w:r>
        <w:rPr>
          <w:rFonts w:ascii="Times New Roman" w:hAnsi="Times New Roman" w:eastAsia="仿宋_GB2312"/>
          <w:color w:val="auto"/>
          <w:sz w:val="30"/>
          <w:szCs w:val="32"/>
        </w:rPr>
        <w:t>12.4.1 付款周期</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关于付款周期的约定：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采用施工过程结算的工程，发包人应依据已确认的施工过程结算文件，及时足额向承包人支付当期审定过程结算造价的工程款，施工过程结算周期可按施工形象进度节点划分，做到与进度款支付节点相衔接。）</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12.4.2 进度付款申请单的编制</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关于进度付款申请单编制的约定：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eastAsia="zh-CN"/>
        </w:rPr>
        <w:t>发包人已确认的工程变更、现场签证、索赔及合同约定价款调整的工程款一般应作为追加（减）合同价款，与当期工程进度款同期支付。</w:t>
      </w:r>
      <w:r>
        <w:rPr>
          <w:rFonts w:hint="eastAsia" w:ascii="Times New Roman" w:hAnsi="Times New Roman" w:eastAsia="仿宋_GB2312"/>
          <w:i/>
          <w:iCs/>
          <w:color w:val="auto"/>
          <w:sz w:val="30"/>
          <w:szCs w:val="32"/>
          <w:u w:val="single"/>
          <w:lang w:val="en-US" w:eastAsia="zh-CN"/>
        </w:rPr>
        <w:t>政府投资项目工程进度款（含预付款）支付比例应不低于已完成工程量的80%。采用施工过程结算的工程，发包人应依据已确认的施工过程结算文件，及时足额向承包人支付当期审定过程结算造价的工程款。</w:t>
      </w:r>
      <w:r>
        <w:rPr>
          <w:rFonts w:hint="eastAsia" w:ascii="Times New Roman" w:hAnsi="Times New Roman" w:eastAsia="仿宋_GB2312"/>
          <w:i/>
          <w:iCs/>
          <w:color w:val="auto"/>
          <w:sz w:val="30"/>
          <w:szCs w:val="32"/>
          <w:u w:val="single"/>
          <w:lang w:eastAsia="zh-CN"/>
        </w:rPr>
        <w:t>）</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Fonts w:ascii="Times New Roman" w:hAnsi="Times New Roman" w:eastAsia="仿宋_GB2312"/>
          <w:color w:val="auto"/>
          <w:sz w:val="30"/>
          <w:szCs w:val="32"/>
        </w:rPr>
        <w:t>2.4.3 进度付款申请单的提交</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（1）单价合同进度付款申请单提交的约定</w:t>
      </w:r>
      <w:r>
        <w:rPr>
          <w:rFonts w:hint="eastAsia" w:ascii="Times New Roman" w:hAnsi="Times New Roman" w:eastAsia="仿宋_GB2312"/>
          <w:color w:val="auto"/>
          <w:sz w:val="30"/>
          <w:szCs w:val="32"/>
        </w:rPr>
        <w:t>：</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（2）总价合同进度付款申请单提交的约定</w:t>
      </w:r>
      <w:r>
        <w:rPr>
          <w:rFonts w:hint="eastAsia" w:ascii="Times New Roman" w:hAnsi="Times New Roman" w:eastAsia="仿宋_GB2312"/>
          <w:color w:val="auto"/>
          <w:sz w:val="30"/>
          <w:szCs w:val="32"/>
        </w:rPr>
        <w:t>：</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（3）其他价格形式合同进度付款申请单提交的约定：</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12.4.4 进度款审核和支付</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（1）监理人审查并报送发包人的期限：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发包人完成审批并签发进度款支付证书的期限：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（2）发包人支付进度款的期限：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750" w:firstLineChars="25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发包人逾期支付进度款的违约金的计算方式：</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p>
    <w:p>
      <w:pPr>
        <w:spacing w:line="360" w:lineRule="auto"/>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750" w:firstLineChars="250"/>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rPr>
        <w:t>12.4.6 支付分解表的编制</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2、总价合同支付分解表的编制与审批：</w:t>
      </w:r>
      <w:r>
        <w:rPr>
          <w:rFonts w:ascii="Times New Roman" w:hAnsi="Times New Roman" w:eastAsia="仿宋_GB2312"/>
          <w:color w:val="auto"/>
          <w:sz w:val="30"/>
          <w:szCs w:val="32"/>
          <w:u w:val="single"/>
        </w:rPr>
        <w:t xml:space="preserve">                  </w:t>
      </w:r>
    </w:p>
    <w:p>
      <w:pPr>
        <w:spacing w:line="360" w:lineRule="auto"/>
        <w:ind w:left="6000" w:hanging="6000" w:hangingChars="2000"/>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3、单价合同的总价项目支付分解表的编制与审批：</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479"/>
    <w:p>
      <w:pPr>
        <w:pStyle w:val="6"/>
        <w:spacing w:before="120" w:after="120" w:line="360" w:lineRule="auto"/>
        <w:rPr>
          <w:rFonts w:ascii="Times New Roman" w:hAnsi="Times New Roman" w:eastAsia="黑体"/>
          <w:b w:val="0"/>
          <w:color w:val="auto"/>
          <w:sz w:val="32"/>
          <w:szCs w:val="32"/>
        </w:rPr>
      </w:pPr>
      <w:bookmarkStart w:id="650" w:name="_Toc351203645"/>
      <w:bookmarkStart w:id="651" w:name="_Toc296891259"/>
      <w:bookmarkStart w:id="652" w:name="_Toc297048405"/>
      <w:bookmarkStart w:id="653" w:name="_Toc292559424"/>
      <w:bookmarkStart w:id="654" w:name="_Toc303539172"/>
      <w:bookmarkStart w:id="655" w:name="_Toc296944558"/>
      <w:bookmarkStart w:id="656" w:name="_Toc304295593"/>
      <w:bookmarkStart w:id="657" w:name="_Toc297123564"/>
      <w:bookmarkStart w:id="658" w:name="_Toc296891047"/>
      <w:bookmarkStart w:id="659" w:name="_Toc296347218"/>
      <w:bookmarkStart w:id="660" w:name="_Toc312678053"/>
      <w:bookmarkStart w:id="661" w:name="_Toc300935015"/>
      <w:bookmarkStart w:id="662" w:name="_Toc296346720"/>
      <w:bookmarkStart w:id="663" w:name="_Toc297216223"/>
      <w:bookmarkStart w:id="664" w:name="_Toc296503219"/>
      <w:bookmarkStart w:id="665" w:name="_Toc292559929"/>
      <w:bookmarkStart w:id="666" w:name="_Toc297120519"/>
      <w:r>
        <w:rPr>
          <w:rFonts w:ascii="Times New Roman" w:hAnsi="Times New Roman" w:eastAsia="黑体"/>
          <w:b w:val="0"/>
          <w:color w:val="auto"/>
          <w:sz w:val="32"/>
          <w:szCs w:val="32"/>
        </w:rPr>
        <w:t>13.</w:t>
      </w:r>
      <w:r>
        <w:rPr>
          <w:rFonts w:hint="eastAsia" w:ascii="Times New Roman" w:hAnsi="Times New Roman" w:eastAsia="黑体"/>
          <w:b w:val="0"/>
          <w:color w:val="auto"/>
          <w:sz w:val="32"/>
          <w:szCs w:val="32"/>
        </w:rPr>
        <w:t xml:space="preserve"> </w:t>
      </w:r>
      <w:r>
        <w:rPr>
          <w:rFonts w:ascii="Times New Roman" w:hAnsi="Times New Roman" w:eastAsia="黑体"/>
          <w:b w:val="0"/>
          <w:color w:val="auto"/>
          <w:sz w:val="32"/>
          <w:szCs w:val="32"/>
        </w:rPr>
        <w:t>验收和工程试车</w:t>
      </w:r>
      <w:bookmarkEnd w:id="650"/>
    </w:p>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13.1 分部分项工程验收</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13.1.2监理人不能按时进行验收时，应提前</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小时提交书面延期要求。</w:t>
      </w:r>
    </w:p>
    <w:p>
      <w:pPr>
        <w:spacing w:line="360" w:lineRule="auto"/>
        <w:ind w:firstLine="600" w:firstLineChars="200"/>
        <w:jc w:val="left"/>
        <w:rPr>
          <w:rFonts w:ascii="Times New Roman" w:hAnsi="Times New Roman" w:eastAsia="仿宋_GB2312"/>
          <w:b/>
          <w:color w:val="auto"/>
          <w:sz w:val="30"/>
          <w:szCs w:val="32"/>
        </w:rPr>
      </w:pPr>
      <w:r>
        <w:rPr>
          <w:rFonts w:ascii="Times New Roman" w:hAnsi="Times New Roman" w:eastAsia="仿宋_GB2312"/>
          <w:color w:val="auto"/>
          <w:sz w:val="30"/>
          <w:szCs w:val="32"/>
        </w:rPr>
        <w:t>关于延期最长不得超过：</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小时。</w:t>
      </w:r>
    </w:p>
    <w:p>
      <w:pPr>
        <w:spacing w:after="120" w:line="360" w:lineRule="auto"/>
        <w:ind w:firstLine="600" w:firstLineChars="200"/>
        <w:rPr>
          <w:rFonts w:ascii="Times New Roman" w:hAnsi="Times New Roman" w:eastAsia="黑体"/>
          <w:color w:val="auto"/>
          <w:sz w:val="30"/>
          <w:szCs w:val="32"/>
        </w:rPr>
      </w:pPr>
      <w:bookmarkStart w:id="667" w:name="_Toc297216224"/>
      <w:bookmarkStart w:id="668" w:name="_Toc297123565"/>
      <w:bookmarkStart w:id="669" w:name="_Toc296346724"/>
      <w:bookmarkStart w:id="670" w:name="_Toc296891051"/>
      <w:bookmarkStart w:id="671" w:name="_Toc300935016"/>
      <w:bookmarkStart w:id="672" w:name="_Toc297120523"/>
      <w:bookmarkStart w:id="673" w:name="_Toc296503223"/>
      <w:bookmarkStart w:id="674" w:name="_Toc292559933"/>
      <w:bookmarkStart w:id="675" w:name="_Toc304295596"/>
      <w:bookmarkStart w:id="676" w:name="_Toc296347222"/>
      <w:bookmarkStart w:id="677" w:name="_Toc296944562"/>
      <w:bookmarkStart w:id="678" w:name="_Toc312678056"/>
      <w:bookmarkStart w:id="679" w:name="_Toc297048409"/>
      <w:bookmarkStart w:id="680" w:name="_Toc303539173"/>
      <w:bookmarkStart w:id="681" w:name="_Toc292559428"/>
      <w:bookmarkStart w:id="682" w:name="_Toc296891263"/>
      <w:bookmarkStart w:id="683" w:name="_Toc267251475"/>
      <w:bookmarkStart w:id="684" w:name="_Toc267251474"/>
      <w:bookmarkStart w:id="685" w:name="_Toc267251476"/>
      <w:bookmarkStart w:id="686" w:name="_Toc267251471"/>
      <w:bookmarkStart w:id="687" w:name="_Toc267251473"/>
      <w:bookmarkStart w:id="688" w:name="_Toc267251470"/>
      <w:bookmarkStart w:id="689" w:name="_Toc267251472"/>
      <w:r>
        <w:rPr>
          <w:rFonts w:ascii="Times New Roman" w:hAnsi="Times New Roman" w:eastAsia="黑体"/>
          <w:color w:val="auto"/>
          <w:sz w:val="30"/>
          <w:szCs w:val="32"/>
        </w:rPr>
        <w:t>13.2 竣工验收</w:t>
      </w:r>
    </w:p>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Pr>
        <w:spacing w:line="360" w:lineRule="auto"/>
        <w:ind w:firstLine="600" w:firstLineChars="200"/>
        <w:jc w:val="left"/>
        <w:rPr>
          <w:rFonts w:ascii="Times New Roman" w:hAnsi="Times New Roman" w:eastAsia="仿宋_GB2312"/>
          <w:color w:val="auto"/>
          <w:sz w:val="30"/>
          <w:szCs w:val="32"/>
        </w:rPr>
      </w:pPr>
      <w:bookmarkStart w:id="690" w:name="_Toc280868704"/>
      <w:bookmarkStart w:id="691" w:name="_Toc280868705"/>
      <w:bookmarkStart w:id="692" w:name="_Toc280868706"/>
      <w:bookmarkStart w:id="693" w:name="_Toc280868707"/>
      <w:bookmarkStart w:id="694" w:name="_Toc280868708"/>
      <w:bookmarkStart w:id="695" w:name="_Toc280868709"/>
      <w:r>
        <w:rPr>
          <w:rFonts w:ascii="Times New Roman" w:hAnsi="Times New Roman" w:eastAsia="仿宋_GB2312"/>
          <w:color w:val="auto"/>
          <w:sz w:val="30"/>
          <w:szCs w:val="32"/>
        </w:rPr>
        <w:t>13.2.2竣工验收程序</w:t>
      </w:r>
    </w:p>
    <w:bookmarkEnd w:id="690"/>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kern w:val="0"/>
          <w:sz w:val="30"/>
          <w:szCs w:val="32"/>
        </w:rPr>
        <w:t>关于竣工验收程序的约定：</w:t>
      </w:r>
      <w:r>
        <w:rPr>
          <w:rFonts w:ascii="Times New Roman" w:hAnsi="Times New Roman" w:eastAsia="仿宋_GB2312"/>
          <w:color w:val="auto"/>
          <w:sz w:val="30"/>
          <w:szCs w:val="32"/>
          <w:u w:val="single"/>
        </w:rPr>
        <w:t xml:space="preserve">                              </w:t>
      </w:r>
    </w:p>
    <w:p>
      <w:pPr>
        <w:spacing w:line="360" w:lineRule="auto"/>
        <w:ind w:left="6000" w:hanging="6000" w:hangingChars="2000"/>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kern w:val="0"/>
          <w:sz w:val="30"/>
          <w:szCs w:val="32"/>
        </w:rPr>
        <w:t>发包人不按照本项约定组织竣工验收、颁发工程接收证书的违约金的计算方法：</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691"/>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13.2.5移交、接收全部与部分工程</w:t>
      </w:r>
    </w:p>
    <w:bookmarkEnd w:id="692"/>
    <w:p>
      <w:pPr>
        <w:spacing w:line="360" w:lineRule="auto"/>
        <w:ind w:firstLine="600" w:firstLineChars="200"/>
        <w:jc w:val="left"/>
        <w:rPr>
          <w:rFonts w:hint="eastAsia" w:ascii="Times New Roman" w:hAnsi="Times New Roman" w:eastAsia="仿宋_GB2312"/>
          <w:color w:val="auto"/>
          <w:kern w:val="0"/>
          <w:sz w:val="30"/>
          <w:szCs w:val="32"/>
        </w:rPr>
      </w:pPr>
      <w:r>
        <w:rPr>
          <w:rFonts w:hint="eastAsia" w:ascii="Times New Roman" w:hAnsi="Times New Roman" w:eastAsia="仿宋_GB2312"/>
          <w:color w:val="auto"/>
          <w:kern w:val="0"/>
          <w:sz w:val="30"/>
          <w:szCs w:val="32"/>
        </w:rPr>
        <w:t>承包人向发包人移交工程的期限：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kern w:val="0"/>
          <w:sz w:val="30"/>
          <w:szCs w:val="32"/>
        </w:rPr>
        <w:t>发包人未按本合同约定接收全部或部分工程的，违约金的计算方法为：</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693"/>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承包人未按时移交工程的，违约金的计算方法为：</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13.3 工程试车</w:t>
      </w:r>
    </w:p>
    <w:bookmarkEnd w:id="694"/>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13.3.1 试车程序</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kern w:val="0"/>
          <w:sz w:val="30"/>
          <w:szCs w:val="32"/>
        </w:rPr>
        <w:t>工程试车内容：</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kern w:val="0"/>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（1）单机无负荷试车费用由</w:t>
      </w:r>
      <w:r>
        <w:rPr>
          <w:rFonts w:ascii="Times New Roman" w:hAnsi="Times New Roman" w:eastAsia="仿宋_GB2312"/>
          <w:color w:val="auto"/>
          <w:sz w:val="30"/>
          <w:szCs w:val="32"/>
          <w:u w:val="single"/>
        </w:rPr>
        <w:t xml:space="preserve">                     </w:t>
      </w:r>
      <w:r>
        <w:rPr>
          <w:rFonts w:ascii="Times New Roman" w:hAnsi="Times New Roman" w:eastAsia="仿宋_GB2312"/>
          <w:color w:val="auto"/>
          <w:kern w:val="0"/>
          <w:sz w:val="30"/>
          <w:szCs w:val="32"/>
        </w:rPr>
        <w:t>承担；</w:t>
      </w:r>
    </w:p>
    <w:p>
      <w:pPr>
        <w:spacing w:line="360" w:lineRule="auto"/>
        <w:ind w:firstLine="600" w:firstLineChars="200"/>
        <w:jc w:val="left"/>
        <w:rPr>
          <w:rFonts w:hint="eastAsia" w:ascii="Times New Roman" w:hAnsi="Times New Roman" w:eastAsia="仿宋_GB2312"/>
          <w:color w:val="auto"/>
          <w:kern w:val="0"/>
          <w:sz w:val="30"/>
          <w:szCs w:val="32"/>
        </w:rPr>
      </w:pPr>
      <w:r>
        <w:rPr>
          <w:rFonts w:ascii="Times New Roman" w:hAnsi="Times New Roman" w:eastAsia="仿宋_GB2312"/>
          <w:color w:val="auto"/>
          <w:kern w:val="0"/>
          <w:sz w:val="30"/>
          <w:szCs w:val="32"/>
        </w:rPr>
        <w:t>（2）无负荷联动试车费用由</w:t>
      </w:r>
      <w:r>
        <w:rPr>
          <w:rFonts w:ascii="Times New Roman" w:hAnsi="Times New Roman" w:eastAsia="仿宋_GB2312"/>
          <w:color w:val="auto"/>
          <w:sz w:val="30"/>
          <w:szCs w:val="32"/>
          <w:u w:val="single"/>
        </w:rPr>
        <w:t xml:space="preserve">                     </w:t>
      </w:r>
      <w:r>
        <w:rPr>
          <w:rFonts w:ascii="Times New Roman" w:hAnsi="Times New Roman" w:eastAsia="仿宋_GB2312"/>
          <w:color w:val="auto"/>
          <w:kern w:val="0"/>
          <w:sz w:val="30"/>
          <w:szCs w:val="32"/>
        </w:rPr>
        <w:t>承担。</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13.3.3 投料试车</w:t>
      </w:r>
    </w:p>
    <w:p>
      <w:pPr>
        <w:spacing w:line="360" w:lineRule="auto"/>
        <w:ind w:firstLine="600" w:firstLineChars="200"/>
        <w:jc w:val="left"/>
        <w:rPr>
          <w:rFonts w:hint="eastAsia" w:ascii="Times New Roman" w:hAnsi="Times New Roman" w:eastAsia="仿宋_GB2312"/>
          <w:color w:val="auto"/>
          <w:sz w:val="30"/>
          <w:szCs w:val="32"/>
          <w:u w:val="single"/>
        </w:rPr>
      </w:pPr>
      <w:r>
        <w:rPr>
          <w:rFonts w:hint="eastAsia" w:ascii="Times New Roman" w:hAnsi="Times New Roman" w:eastAsia="仿宋_GB2312"/>
          <w:color w:val="auto"/>
          <w:kern w:val="0"/>
          <w:sz w:val="30"/>
          <w:szCs w:val="32"/>
        </w:rPr>
        <w:t>关于投料试车相关事项的约定：</w:t>
      </w:r>
      <w:r>
        <w:rPr>
          <w:rFonts w:hint="eastAsia"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kern w:val="0"/>
          <w:sz w:val="30"/>
          <w:szCs w:val="32"/>
        </w:rPr>
      </w:pP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13.6 竣工退场</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13.6.1 竣工退场</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承包人完成竣工退场的期限：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kern w:val="0"/>
          <w:sz w:val="30"/>
          <w:szCs w:val="32"/>
        </w:rPr>
        <w:t>。</w:t>
      </w:r>
    </w:p>
    <w:p>
      <w:pPr>
        <w:pStyle w:val="6"/>
        <w:spacing w:before="120" w:after="120" w:line="360" w:lineRule="auto"/>
        <w:rPr>
          <w:rFonts w:ascii="Times New Roman" w:hAnsi="Times New Roman" w:eastAsia="黑体"/>
          <w:b w:val="0"/>
          <w:color w:val="auto"/>
          <w:sz w:val="32"/>
          <w:szCs w:val="32"/>
        </w:rPr>
      </w:pPr>
      <w:bookmarkStart w:id="696" w:name="_Toc351203646"/>
      <w:r>
        <w:rPr>
          <w:rFonts w:ascii="Times New Roman" w:hAnsi="Times New Roman" w:eastAsia="黑体"/>
          <w:b w:val="0"/>
          <w:color w:val="auto"/>
          <w:sz w:val="32"/>
          <w:szCs w:val="32"/>
        </w:rPr>
        <w:t>14. 竣工结算</w:t>
      </w:r>
      <w:bookmarkEnd w:id="696"/>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14.1 竣工</w:t>
      </w:r>
      <w:r>
        <w:rPr>
          <w:rFonts w:hint="eastAsia" w:ascii="Times New Roman" w:hAnsi="Times New Roman" w:eastAsia="黑体"/>
          <w:color w:val="auto"/>
          <w:sz w:val="30"/>
          <w:szCs w:val="32"/>
        </w:rPr>
        <w:t>结算</w:t>
      </w:r>
      <w:r>
        <w:rPr>
          <w:rFonts w:ascii="Times New Roman" w:hAnsi="Times New Roman" w:eastAsia="黑体"/>
          <w:color w:val="auto"/>
          <w:sz w:val="30"/>
          <w:szCs w:val="32"/>
        </w:rPr>
        <w:t>申请</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承包人提交竣工</w:t>
      </w:r>
      <w:r>
        <w:rPr>
          <w:rFonts w:hint="eastAsia" w:ascii="Times New Roman" w:hAnsi="Times New Roman" w:eastAsia="仿宋_GB2312"/>
          <w:color w:val="auto"/>
          <w:sz w:val="30"/>
          <w:szCs w:val="32"/>
        </w:rPr>
        <w:t>结算</w:t>
      </w:r>
      <w:r>
        <w:rPr>
          <w:rFonts w:ascii="Times New Roman" w:hAnsi="Times New Roman" w:eastAsia="仿宋_GB2312"/>
          <w:color w:val="auto"/>
          <w:sz w:val="30"/>
          <w:szCs w:val="32"/>
        </w:rPr>
        <w:t>申请单的期限：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采用施工过程结算的工程需约定各分段形象节点及工期起止时间，按绍市财建【2021】14号、绍市建价【2021】10号文件参照执行）</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竣工</w:t>
      </w:r>
      <w:r>
        <w:rPr>
          <w:rFonts w:hint="eastAsia" w:ascii="Times New Roman" w:hAnsi="Times New Roman" w:eastAsia="仿宋_GB2312"/>
          <w:color w:val="auto"/>
          <w:sz w:val="30"/>
          <w:szCs w:val="32"/>
        </w:rPr>
        <w:t>结算</w:t>
      </w:r>
      <w:r>
        <w:rPr>
          <w:rFonts w:ascii="Times New Roman" w:hAnsi="Times New Roman" w:eastAsia="仿宋_GB2312"/>
          <w:color w:val="auto"/>
          <w:sz w:val="30"/>
          <w:szCs w:val="32"/>
        </w:rPr>
        <w:t>申请单应包括的内容：</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14.2 竣工结算审核</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发包人</w:t>
      </w:r>
      <w:r>
        <w:rPr>
          <w:rFonts w:hint="eastAsia" w:ascii="Times New Roman" w:hAnsi="Times New Roman" w:eastAsia="仿宋_GB2312"/>
          <w:color w:val="auto"/>
          <w:sz w:val="30"/>
          <w:szCs w:val="32"/>
        </w:rPr>
        <w:t>审批</w:t>
      </w:r>
      <w:r>
        <w:rPr>
          <w:rFonts w:ascii="Times New Roman" w:hAnsi="Times New Roman" w:eastAsia="仿宋_GB2312"/>
          <w:color w:val="auto"/>
          <w:sz w:val="30"/>
          <w:szCs w:val="32"/>
        </w:rPr>
        <w:t>竣工付款申请单的期限：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采用施工过程结算的工程，按绍市财建【2021】14号、绍市建价【2021】10号文件参照执行</w:t>
      </w:r>
      <w:r>
        <w:rPr>
          <w:rFonts w:hint="eastAsia" w:ascii="Times New Roman" w:hAnsi="Times New Roman" w:eastAsia="仿宋_GB2312"/>
          <w:i/>
          <w:iCs/>
          <w:color w:val="auto"/>
          <w:sz w:val="30"/>
          <w:szCs w:val="32"/>
          <w:u w:val="single"/>
          <w:lang w:eastAsia="zh-CN"/>
        </w:rPr>
        <w:t>）</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lang w:val="en-US" w:eastAsia="zh-CN"/>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rPr>
        <w:t>发包人完成竣工付款的期限：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hint="eastAsia" w:ascii="Times New Roman" w:hAnsi="Times New Roman" w:eastAsia="仿宋_GB2312"/>
          <w:color w:val="auto"/>
          <w:sz w:val="30"/>
          <w:szCs w:val="32"/>
          <w:u w:val="single"/>
        </w:rPr>
      </w:pPr>
      <w:r>
        <w:rPr>
          <w:rFonts w:hint="eastAsia" w:ascii="Times New Roman" w:hAnsi="Times New Roman" w:eastAsia="仿宋_GB2312"/>
          <w:color w:val="auto"/>
          <w:sz w:val="30"/>
          <w:szCs w:val="32"/>
        </w:rPr>
        <w:t>关于竣工付款证书异议部分复核的方式和程序：</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14.4 最终结清</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14.4.1 最终结清申请单</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承包人提交最终结清申请单的份数：</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kern w:val="0"/>
          <w:sz w:val="30"/>
          <w:szCs w:val="32"/>
        </w:rPr>
        <w:t>承包人提交最终结算申请单的期限：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 xml:space="preserve">。 </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14.4.2 最终结清证书和支付</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（1）发包人完成最终结清申请单的</w:t>
      </w:r>
      <w:r>
        <w:rPr>
          <w:rFonts w:hint="eastAsia" w:ascii="Times New Roman" w:hAnsi="Times New Roman" w:eastAsia="仿宋_GB2312"/>
          <w:color w:val="auto"/>
          <w:sz w:val="30"/>
          <w:szCs w:val="32"/>
        </w:rPr>
        <w:t>审批</w:t>
      </w:r>
      <w:r>
        <w:rPr>
          <w:rFonts w:ascii="Times New Roman" w:hAnsi="Times New Roman" w:eastAsia="仿宋_GB2312"/>
          <w:color w:val="auto"/>
          <w:sz w:val="30"/>
          <w:szCs w:val="32"/>
        </w:rPr>
        <w:t>并颁发最终结清证书的期限：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（2）发包人完成支付的期限：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683"/>
    <w:bookmarkEnd w:id="684"/>
    <w:bookmarkEnd w:id="685"/>
    <w:bookmarkEnd w:id="686"/>
    <w:bookmarkEnd w:id="687"/>
    <w:bookmarkEnd w:id="688"/>
    <w:bookmarkEnd w:id="689"/>
    <w:bookmarkEnd w:id="695"/>
    <w:p>
      <w:pPr>
        <w:pStyle w:val="6"/>
        <w:spacing w:before="120" w:after="120" w:line="360" w:lineRule="auto"/>
        <w:rPr>
          <w:rFonts w:ascii="Times New Roman" w:hAnsi="Times New Roman" w:eastAsia="黑体"/>
          <w:b w:val="0"/>
          <w:color w:val="auto"/>
          <w:sz w:val="32"/>
          <w:szCs w:val="32"/>
        </w:rPr>
      </w:pPr>
      <w:bookmarkStart w:id="697" w:name="_Toc351203647"/>
      <w:bookmarkStart w:id="698" w:name="_Toc267251483"/>
      <w:bookmarkStart w:id="699" w:name="_Toc267251482"/>
      <w:bookmarkStart w:id="700" w:name="_Toc267251484"/>
      <w:bookmarkStart w:id="701" w:name="_Toc267251485"/>
      <w:bookmarkStart w:id="702" w:name="_Toc267251486"/>
      <w:bookmarkStart w:id="703" w:name="_Toc267251489"/>
      <w:bookmarkStart w:id="704" w:name="_Toc267251490"/>
      <w:bookmarkStart w:id="705" w:name="_Toc267251488"/>
      <w:bookmarkStart w:id="706" w:name="_Toc267251497"/>
      <w:bookmarkStart w:id="707" w:name="_Toc267251491"/>
      <w:bookmarkStart w:id="708" w:name="_Toc267251495"/>
      <w:bookmarkStart w:id="709" w:name="_Toc267251492"/>
      <w:bookmarkStart w:id="710" w:name="_Toc267251498"/>
      <w:bookmarkStart w:id="711" w:name="_Toc267251503"/>
      <w:bookmarkStart w:id="712" w:name="_Toc267251493"/>
      <w:bookmarkStart w:id="713" w:name="_Toc267251494"/>
      <w:bookmarkStart w:id="714" w:name="_Toc267251496"/>
      <w:bookmarkStart w:id="715" w:name="_Toc267251501"/>
      <w:bookmarkStart w:id="716" w:name="_Toc267251499"/>
      <w:bookmarkStart w:id="717" w:name="_Toc267251502"/>
      <w:bookmarkStart w:id="718" w:name="_Toc267251504"/>
      <w:bookmarkStart w:id="719" w:name="_Toc267251506"/>
      <w:bookmarkStart w:id="720" w:name="_Toc267251507"/>
      <w:bookmarkStart w:id="721" w:name="_Toc267251508"/>
      <w:bookmarkStart w:id="722" w:name="_Toc267251513"/>
      <w:bookmarkStart w:id="723" w:name="_Toc267251515"/>
      <w:bookmarkStart w:id="724" w:name="_Toc267251510"/>
      <w:bookmarkStart w:id="725" w:name="_Toc267251514"/>
      <w:bookmarkStart w:id="726" w:name="_Toc267251511"/>
      <w:bookmarkStart w:id="727" w:name="_Toc267251509"/>
      <w:r>
        <w:rPr>
          <w:rFonts w:ascii="Times New Roman" w:hAnsi="Times New Roman" w:eastAsia="黑体"/>
          <w:b w:val="0"/>
          <w:color w:val="auto"/>
          <w:sz w:val="32"/>
          <w:szCs w:val="32"/>
        </w:rPr>
        <w:t>15. 缺陷责任期与保修</w:t>
      </w:r>
      <w:bookmarkEnd w:id="697"/>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15.2缺陷责任期</w:t>
      </w:r>
      <w:bookmarkEnd w:id="698"/>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rPr>
        <w:t>缺陷责任期的具体期限：</w:t>
      </w:r>
      <w:r>
        <w:rPr>
          <w:rFonts w:ascii="Times New Roman" w:hAnsi="Times New Roman" w:eastAsia="仿宋_GB2312"/>
          <w:color w:val="auto"/>
          <w:sz w:val="30"/>
          <w:szCs w:val="32"/>
          <w:u w:val="single"/>
        </w:rPr>
        <w:t xml:space="preserve">  </w:t>
      </w:r>
      <w:r>
        <w:rPr>
          <w:rFonts w:hint="eastAsia" w:ascii="Times New Roman" w:hAnsi="Times New Roman" w:eastAsia="仿宋_GB2312"/>
          <w:i/>
          <w:iCs/>
          <w:color w:val="auto"/>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sz w:val="30"/>
          <w:szCs w:val="32"/>
          <w:u w:val="single"/>
          <w:lang w:val="en-US" w:eastAsia="zh-CN"/>
        </w:rPr>
        <w:t>缺陷责任期指承包人对已交付使用的合同工程承担合同约定的缺陷修复责任期限。从工程通过竣工验收之日起计算，合同当事人应在专用合同条款约定缺陷责任期的具体期限，但该期限最长不超过24个月）</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15.3 质量保证金</w:t>
      </w:r>
    </w:p>
    <w:p>
      <w:pPr>
        <w:spacing w:line="360" w:lineRule="auto"/>
        <w:ind w:firstLine="600" w:firstLineChars="200"/>
        <w:jc w:val="left"/>
        <w:rPr>
          <w:rFonts w:hint="eastAsia" w:ascii="Times New Roman" w:hAnsi="Times New Roman" w:eastAsia="仿宋_GB2312"/>
          <w:color w:val="auto"/>
          <w:sz w:val="30"/>
          <w:szCs w:val="32"/>
        </w:rPr>
      </w:pPr>
      <w:r>
        <w:rPr>
          <w:rFonts w:hint="eastAsia" w:ascii="Times New Roman" w:hAnsi="Times New Roman" w:eastAsia="仿宋_GB2312"/>
          <w:color w:val="auto"/>
          <w:sz w:val="30"/>
          <w:szCs w:val="32"/>
        </w:rPr>
        <w:t>关于是否扣留质量保证金的约定：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r>
        <w:rPr>
          <w:rFonts w:hint="eastAsia" w:eastAsia="仿宋_GB2312"/>
          <w:color w:val="auto"/>
          <w:sz w:val="30"/>
          <w:szCs w:val="32"/>
        </w:rPr>
        <w:t>在工程项目竣工前，承包人按专用合同条款第3.7条提供履约担保的，发包人不得同时预留工程质量保证金。</w:t>
      </w:r>
    </w:p>
    <w:p>
      <w:pPr>
        <w:spacing w:line="360" w:lineRule="auto"/>
        <w:ind w:firstLine="600" w:firstLineChars="200"/>
        <w:jc w:val="left"/>
        <w:outlineLvl w:val="0"/>
        <w:rPr>
          <w:rFonts w:ascii="Times New Roman" w:hAnsi="Times New Roman" w:eastAsia="仿宋_GB2312"/>
          <w:color w:val="auto"/>
          <w:sz w:val="30"/>
          <w:szCs w:val="32"/>
        </w:rPr>
      </w:pPr>
      <w:r>
        <w:rPr>
          <w:rFonts w:ascii="Times New Roman" w:hAnsi="Times New Roman" w:eastAsia="仿宋_GB2312"/>
          <w:color w:val="auto"/>
          <w:sz w:val="30"/>
          <w:szCs w:val="32"/>
        </w:rPr>
        <w:t xml:space="preserve">15.3.1 </w:t>
      </w:r>
      <w:r>
        <w:rPr>
          <w:rFonts w:hint="eastAsia" w:ascii="Times New Roman" w:hAnsi="Times New Roman" w:eastAsia="仿宋_GB2312"/>
          <w:color w:val="auto"/>
          <w:sz w:val="30"/>
          <w:szCs w:val="32"/>
        </w:rPr>
        <w:t>承包人提供</w:t>
      </w:r>
      <w:r>
        <w:rPr>
          <w:rFonts w:ascii="Times New Roman" w:hAnsi="Times New Roman" w:eastAsia="仿宋_GB2312"/>
          <w:color w:val="auto"/>
          <w:sz w:val="30"/>
          <w:szCs w:val="32"/>
        </w:rPr>
        <w:t>质量保证金的</w:t>
      </w:r>
      <w:r>
        <w:rPr>
          <w:rFonts w:hint="eastAsia" w:ascii="Times New Roman" w:hAnsi="Times New Roman" w:eastAsia="仿宋_GB2312"/>
          <w:color w:val="auto"/>
          <w:sz w:val="30"/>
          <w:szCs w:val="32"/>
        </w:rPr>
        <w:t>方</w:t>
      </w:r>
      <w:r>
        <w:rPr>
          <w:rFonts w:ascii="Times New Roman" w:hAnsi="Times New Roman" w:eastAsia="仿宋_GB2312"/>
          <w:color w:val="auto"/>
          <w:sz w:val="30"/>
          <w:szCs w:val="32"/>
        </w:rPr>
        <w:t>式</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质量保证金采用以下第</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种方式：</w:t>
      </w:r>
    </w:p>
    <w:p>
      <w:pPr>
        <w:autoSpaceDE w:val="0"/>
        <w:autoSpaceDN w:val="0"/>
        <w:adjustRightInd w:val="0"/>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（1）质量保证金保函，保证金额为：</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i/>
          <w:iCs/>
          <w:color w:val="auto"/>
          <w:kern w:val="0"/>
          <w:sz w:val="30"/>
          <w:szCs w:val="32"/>
          <w:u w:val="single"/>
          <w:lang w:eastAsia="zh-CN"/>
        </w:rPr>
        <w:t>（</w:t>
      </w:r>
      <w:r>
        <w:rPr>
          <w:rFonts w:hint="eastAsia" w:ascii="Times New Roman" w:hAnsi="Times New Roman" w:eastAsia="仿宋_GB2312"/>
          <w:b/>
          <w:bCs/>
          <w:i/>
          <w:iCs/>
          <w:color w:val="auto"/>
          <w:sz w:val="30"/>
          <w:szCs w:val="32"/>
          <w:u w:val="single"/>
          <w:lang w:val="en-US" w:eastAsia="zh-CN"/>
        </w:rPr>
        <w:t>说明：</w:t>
      </w:r>
      <w:r>
        <w:rPr>
          <w:rFonts w:hint="eastAsia" w:ascii="Times New Roman" w:hAnsi="Times New Roman" w:eastAsia="仿宋_GB2312"/>
          <w:i/>
          <w:iCs/>
          <w:color w:val="auto"/>
          <w:kern w:val="0"/>
          <w:sz w:val="30"/>
          <w:szCs w:val="32"/>
          <w:u w:val="single"/>
          <w:lang w:eastAsia="zh-CN"/>
        </w:rPr>
        <w:t>不得超过工程价款结算总额的</w:t>
      </w:r>
      <w:r>
        <w:rPr>
          <w:rFonts w:hint="eastAsia" w:ascii="Times New Roman" w:hAnsi="Times New Roman" w:eastAsia="仿宋_GB2312"/>
          <w:i/>
          <w:iCs/>
          <w:color w:val="auto"/>
          <w:kern w:val="0"/>
          <w:sz w:val="30"/>
          <w:szCs w:val="32"/>
          <w:u w:val="single"/>
          <w:lang w:val="en-US" w:eastAsia="zh-CN"/>
        </w:rPr>
        <w:t>1.5%</w:t>
      </w:r>
      <w:r>
        <w:rPr>
          <w:rFonts w:ascii="Times New Roman" w:hAnsi="Times New Roman" w:eastAsia="仿宋_GB2312"/>
          <w:i/>
          <w:iCs/>
          <w:color w:val="auto"/>
          <w:kern w:val="0"/>
          <w:sz w:val="30"/>
          <w:szCs w:val="32"/>
          <w:u w:val="single"/>
        </w:rPr>
        <w:t xml:space="preserve"> </w:t>
      </w:r>
      <w:r>
        <w:rPr>
          <w:rFonts w:hint="eastAsia" w:ascii="Times New Roman" w:hAnsi="Times New Roman" w:eastAsia="仿宋_GB2312"/>
          <w:i/>
          <w:iCs/>
          <w:color w:val="auto"/>
          <w:kern w:val="0"/>
          <w:sz w:val="30"/>
          <w:szCs w:val="32"/>
          <w:u w:val="single"/>
          <w:lang w:eastAsia="zh-CN"/>
        </w:rPr>
        <w:t>）</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lang w:val="en-US" w:eastAsia="zh-CN"/>
        </w:rPr>
        <w:t xml:space="preserve">                  </w:t>
      </w:r>
      <w:r>
        <w:rPr>
          <w:rFonts w:ascii="Times New Roman" w:hAnsi="Times New Roman" w:eastAsia="仿宋_GB2312"/>
          <w:color w:val="auto"/>
          <w:kern w:val="0"/>
          <w:sz w:val="30"/>
          <w:szCs w:val="32"/>
        </w:rPr>
        <w:t xml:space="preserve">； </w:t>
      </w:r>
    </w:p>
    <w:p>
      <w:pPr>
        <w:autoSpaceDE w:val="0"/>
        <w:autoSpaceDN w:val="0"/>
        <w:adjustRightInd w:val="0"/>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（2）</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%的工程款；</w:t>
      </w:r>
    </w:p>
    <w:p>
      <w:pPr>
        <w:autoSpaceDE w:val="0"/>
        <w:autoSpaceDN w:val="0"/>
        <w:adjustRightInd w:val="0"/>
        <w:spacing w:line="360" w:lineRule="auto"/>
        <w:ind w:firstLine="600" w:firstLineChars="200"/>
        <w:jc w:val="left"/>
        <w:rPr>
          <w:rFonts w:hint="eastAsia" w:ascii="Times New Roman" w:hAnsi="Times New Roman" w:eastAsia="仿宋_GB2312"/>
          <w:color w:val="auto"/>
          <w:kern w:val="0"/>
          <w:sz w:val="30"/>
          <w:szCs w:val="32"/>
        </w:rPr>
      </w:pPr>
      <w:r>
        <w:rPr>
          <w:rFonts w:ascii="Times New Roman" w:hAnsi="Times New Roman" w:eastAsia="仿宋_GB2312"/>
          <w:color w:val="auto"/>
          <w:kern w:val="0"/>
          <w:sz w:val="30"/>
          <w:szCs w:val="32"/>
        </w:rPr>
        <w:t>（3）其他</w:t>
      </w:r>
      <w:r>
        <w:rPr>
          <w:rFonts w:hint="eastAsia" w:ascii="Times New Roman" w:hAnsi="Times New Roman" w:eastAsia="仿宋_GB2312"/>
          <w:color w:val="auto"/>
          <w:kern w:val="0"/>
          <w:sz w:val="30"/>
          <w:szCs w:val="32"/>
        </w:rPr>
        <w:t>方</w:t>
      </w:r>
      <w:r>
        <w:rPr>
          <w:rFonts w:ascii="Times New Roman" w:hAnsi="Times New Roman" w:eastAsia="仿宋_GB2312"/>
          <w:color w:val="auto"/>
          <w:kern w:val="0"/>
          <w:sz w:val="30"/>
          <w:szCs w:val="32"/>
        </w:rPr>
        <w:t>式:</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outlineLvl w:val="0"/>
        <w:rPr>
          <w:rFonts w:ascii="Times New Roman" w:hAnsi="Times New Roman" w:eastAsia="仿宋_GB2312"/>
          <w:color w:val="auto"/>
          <w:sz w:val="30"/>
          <w:szCs w:val="32"/>
        </w:rPr>
      </w:pPr>
      <w:r>
        <w:rPr>
          <w:rFonts w:ascii="Times New Roman" w:hAnsi="Times New Roman" w:eastAsia="仿宋_GB2312"/>
          <w:color w:val="auto"/>
          <w:sz w:val="30"/>
          <w:szCs w:val="32"/>
        </w:rPr>
        <w:t xml:space="preserve">15.3.2 质量保证金的扣留 </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质量保证金的扣留采取以下第</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种方式：</w:t>
      </w:r>
    </w:p>
    <w:p>
      <w:pPr>
        <w:autoSpaceDE w:val="0"/>
        <w:autoSpaceDN w:val="0"/>
        <w:adjustRightInd w:val="0"/>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（1）在支付工程进度款时逐次扣留，在此情形下，质量保证金的计算基数不包括预付款的支付、扣回以及价格调整的金额；</w:t>
      </w:r>
    </w:p>
    <w:p>
      <w:pPr>
        <w:autoSpaceDE w:val="0"/>
        <w:autoSpaceDN w:val="0"/>
        <w:adjustRightInd w:val="0"/>
        <w:spacing w:line="360" w:lineRule="auto"/>
        <w:ind w:firstLine="600" w:firstLineChars="200"/>
        <w:jc w:val="left"/>
        <w:outlineLvl w:val="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（2）工程竣工结算时一次性扣留质量保证金；</w:t>
      </w:r>
    </w:p>
    <w:p>
      <w:pPr>
        <w:autoSpaceDE w:val="0"/>
        <w:autoSpaceDN w:val="0"/>
        <w:adjustRightInd w:val="0"/>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（3）其他扣留方式:</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rPr>
          <w:rFonts w:hint="eastAsia" w:ascii="Times New Roman" w:hAnsi="Times New Roman" w:eastAsia="仿宋_GB2312"/>
          <w:color w:val="auto"/>
          <w:kern w:val="0"/>
          <w:sz w:val="30"/>
          <w:szCs w:val="32"/>
          <w:u w:val="single"/>
        </w:rPr>
      </w:pPr>
      <w:r>
        <w:rPr>
          <w:rFonts w:ascii="Times New Roman" w:hAnsi="Times New Roman" w:eastAsia="仿宋_GB2312"/>
          <w:color w:val="auto"/>
          <w:sz w:val="30"/>
          <w:szCs w:val="32"/>
        </w:rPr>
        <w:t>关于质量保证金的补充约定：</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p>
    <w:p>
      <w:pPr>
        <w:spacing w:line="360" w:lineRule="auto"/>
        <w:jc w:val="left"/>
        <w:rPr>
          <w:rFonts w:ascii="Times New Roman" w:hAnsi="Times New Roman" w:eastAsia="仿宋_GB2312"/>
          <w:color w:val="auto"/>
          <w:sz w:val="30"/>
          <w:szCs w:val="32"/>
        </w:rPr>
      </w:pP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bookmarkEnd w:id="699"/>
    <w:bookmarkEnd w:id="700"/>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15.4保修</w:t>
      </w:r>
    </w:p>
    <w:bookmarkEnd w:id="701"/>
    <w:p>
      <w:pPr>
        <w:spacing w:line="360" w:lineRule="auto"/>
        <w:ind w:firstLine="585" w:firstLineChars="195"/>
        <w:jc w:val="left"/>
        <w:rPr>
          <w:rFonts w:ascii="Times New Roman" w:hAnsi="Times New Roman" w:eastAsia="仿宋_GB2312"/>
          <w:color w:val="auto"/>
          <w:sz w:val="30"/>
          <w:szCs w:val="32"/>
        </w:rPr>
      </w:pPr>
      <w:r>
        <w:rPr>
          <w:rFonts w:ascii="Times New Roman" w:hAnsi="Times New Roman" w:eastAsia="仿宋_GB2312"/>
          <w:color w:val="auto"/>
          <w:sz w:val="30"/>
          <w:szCs w:val="32"/>
        </w:rPr>
        <w:t>15.4.1 保修责任</w:t>
      </w:r>
    </w:p>
    <w:p>
      <w:pPr>
        <w:spacing w:line="360" w:lineRule="auto"/>
        <w:ind w:firstLine="585" w:firstLineChars="195"/>
        <w:jc w:val="left"/>
        <w:rPr>
          <w:rFonts w:ascii="Times New Roman" w:hAnsi="Times New Roman" w:eastAsia="仿宋_GB2312"/>
          <w:color w:val="auto"/>
          <w:kern w:val="0"/>
          <w:sz w:val="30"/>
          <w:szCs w:val="32"/>
          <w:u w:val="single"/>
        </w:rPr>
      </w:pPr>
      <w:r>
        <w:rPr>
          <w:rFonts w:ascii="Times New Roman" w:hAnsi="Times New Roman" w:eastAsia="仿宋_GB2312"/>
          <w:color w:val="auto"/>
          <w:sz w:val="30"/>
          <w:szCs w:val="32"/>
        </w:rPr>
        <w:t>工程保修期为：</w:t>
      </w:r>
      <w:r>
        <w:rPr>
          <w:rFonts w:ascii="Times New Roman" w:hAnsi="Times New Roman" w:eastAsia="仿宋_GB2312"/>
          <w:color w:val="auto"/>
          <w:kern w:val="0"/>
          <w:sz w:val="30"/>
          <w:szCs w:val="32"/>
          <w:u w:val="single"/>
        </w:rPr>
        <w:t xml:space="preserve">                                        </w:t>
      </w:r>
    </w:p>
    <w:p>
      <w:pPr>
        <w:spacing w:line="360" w:lineRule="auto"/>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585" w:firstLineChars="195"/>
        <w:jc w:val="left"/>
        <w:rPr>
          <w:rFonts w:ascii="Times New Roman" w:hAnsi="Times New Roman" w:eastAsia="仿宋_GB2312"/>
          <w:color w:val="auto"/>
          <w:sz w:val="30"/>
          <w:szCs w:val="32"/>
        </w:rPr>
      </w:pPr>
      <w:r>
        <w:rPr>
          <w:rFonts w:ascii="Times New Roman" w:hAnsi="Times New Roman" w:eastAsia="仿宋_GB2312"/>
          <w:color w:val="auto"/>
          <w:sz w:val="30"/>
          <w:szCs w:val="32"/>
        </w:rPr>
        <w:t>15.4.3 修复通知</w:t>
      </w:r>
    </w:p>
    <w:p>
      <w:pPr>
        <w:spacing w:line="360" w:lineRule="auto"/>
        <w:ind w:firstLine="585" w:firstLineChars="195"/>
        <w:jc w:val="left"/>
        <w:rPr>
          <w:rFonts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rPr>
        <w:t>承包人收到保修通知并到达工程现场的合理时间：</w:t>
      </w:r>
      <w:r>
        <w:rPr>
          <w:rFonts w:ascii="Times New Roman" w:hAnsi="Times New Roman" w:eastAsia="仿宋_GB2312"/>
          <w:color w:val="auto"/>
          <w:kern w:val="0"/>
          <w:sz w:val="30"/>
          <w:szCs w:val="32"/>
          <w:u w:val="single"/>
        </w:rPr>
        <w:t xml:space="preserve">          </w:t>
      </w:r>
    </w:p>
    <w:p>
      <w:pPr>
        <w:spacing w:line="360" w:lineRule="auto"/>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bookmarkEnd w:id="702"/>
    <w:bookmarkEnd w:id="703"/>
    <w:bookmarkEnd w:id="704"/>
    <w:bookmarkEnd w:id="705"/>
    <w:p>
      <w:pPr>
        <w:pStyle w:val="6"/>
        <w:spacing w:before="120" w:after="120" w:line="360" w:lineRule="auto"/>
        <w:rPr>
          <w:rFonts w:ascii="Times New Roman" w:hAnsi="Times New Roman" w:eastAsia="黑体"/>
          <w:b w:val="0"/>
          <w:color w:val="auto"/>
          <w:sz w:val="32"/>
          <w:szCs w:val="32"/>
        </w:rPr>
      </w:pPr>
      <w:bookmarkStart w:id="728" w:name="_Toc351203648"/>
      <w:bookmarkStart w:id="729" w:name="_Toc280868717"/>
      <w:bookmarkStart w:id="730" w:name="_Toc280868718"/>
      <w:r>
        <w:rPr>
          <w:rFonts w:ascii="Times New Roman" w:hAnsi="Times New Roman" w:eastAsia="黑体"/>
          <w:b w:val="0"/>
          <w:color w:val="auto"/>
          <w:sz w:val="32"/>
          <w:szCs w:val="32"/>
        </w:rPr>
        <w:t>16. 违约</w:t>
      </w:r>
      <w:bookmarkEnd w:id="728"/>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16.1 发包人违约</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16.1.1发包人违约的情形</w:t>
      </w:r>
    </w:p>
    <w:p>
      <w:pPr>
        <w:spacing w:line="360" w:lineRule="auto"/>
        <w:ind w:firstLine="600" w:firstLineChars="200"/>
        <w:jc w:val="left"/>
        <w:rPr>
          <w:rFonts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rPr>
        <w:t>发包人违约的其他情形：</w:t>
      </w:r>
      <w:r>
        <w:rPr>
          <w:rFonts w:ascii="Times New Roman" w:hAnsi="Times New Roman" w:eastAsia="仿宋_GB2312"/>
          <w:color w:val="auto"/>
          <w:kern w:val="0"/>
          <w:sz w:val="30"/>
          <w:szCs w:val="32"/>
          <w:u w:val="single"/>
        </w:rPr>
        <w:t xml:space="preserve">                                </w:t>
      </w:r>
    </w:p>
    <w:p>
      <w:pPr>
        <w:spacing w:line="360" w:lineRule="auto"/>
        <w:ind w:left="1500" w:hanging="1500" w:hangingChars="500"/>
        <w:jc w:val="left"/>
        <w:rPr>
          <w:rFonts w:hint="eastAsia" w:ascii="Times New Roman" w:hAnsi="Times New Roman" w:eastAsia="仿宋_GB2312"/>
          <w:color w:val="auto"/>
          <w:kern w:val="0"/>
          <w:sz w:val="30"/>
          <w:szCs w:val="32"/>
        </w:rPr>
      </w:pP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left="1500" w:hanging="1500" w:hangingChars="5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 xml:space="preserve">    16.1.2 发包人违约的责任</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发包人违约责任的承担方式和计算方法：</w:t>
      </w:r>
    </w:p>
    <w:p>
      <w:pPr>
        <w:spacing w:line="360" w:lineRule="auto"/>
        <w:ind w:firstLine="600" w:firstLineChars="200"/>
        <w:jc w:val="left"/>
        <w:rPr>
          <w:rFonts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rPr>
        <w:t>（1）因发包人原因未能在计划开工日期前7天内下达开工通知的违约责任：</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（2）因发包人原因未能按合同约定支付合同价款的违约责任：</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rPr>
          <w:rFonts w:hint="eastAsia"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rPr>
        <w:t>（3）发包人违反第10.1款</w:t>
      </w:r>
      <w:r>
        <w:rPr>
          <w:rFonts w:hint="eastAsia" w:ascii="Times New Roman" w:hAnsi="Times New Roman" w:eastAsia="仿宋_GB2312"/>
          <w:color w:val="auto"/>
          <w:kern w:val="0"/>
          <w:sz w:val="30"/>
          <w:szCs w:val="32"/>
        </w:rPr>
        <w:t>〔</w:t>
      </w:r>
      <w:r>
        <w:rPr>
          <w:rFonts w:ascii="Times New Roman" w:hAnsi="Times New Roman" w:eastAsia="仿宋_GB2312"/>
          <w:color w:val="auto"/>
          <w:kern w:val="0"/>
          <w:sz w:val="30"/>
          <w:szCs w:val="32"/>
        </w:rPr>
        <w:t>变更的范围</w:t>
      </w:r>
      <w:r>
        <w:rPr>
          <w:rFonts w:hint="eastAsia" w:ascii="Times New Roman" w:hAnsi="Times New Roman" w:eastAsia="仿宋_GB2312"/>
          <w:color w:val="auto"/>
          <w:kern w:val="0"/>
          <w:sz w:val="30"/>
          <w:szCs w:val="32"/>
        </w:rPr>
        <w:t>〕</w:t>
      </w:r>
      <w:r>
        <w:rPr>
          <w:rFonts w:ascii="Times New Roman" w:hAnsi="Times New Roman" w:eastAsia="仿宋_GB2312"/>
          <w:color w:val="auto"/>
          <w:kern w:val="0"/>
          <w:sz w:val="30"/>
          <w:szCs w:val="32"/>
        </w:rPr>
        <w:t>第（2）项约定，自行实施被取消的工作或转由他人实施的违约责任：</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p>
    <w:p>
      <w:pPr>
        <w:spacing w:line="360" w:lineRule="auto"/>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（4）发包人提供的材料、工程设备的规格、数量或质量不符合合同约定，或因发包人原因导致交货日期延误或交货地点变更等情况的违约责任：</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rPr>
          <w:rFonts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rPr>
        <w:t>（5）因发包人违反合同约定造成暂停施工的违约责任：</w:t>
      </w:r>
      <w:r>
        <w:rPr>
          <w:rFonts w:ascii="Times New Roman" w:hAnsi="Times New Roman" w:eastAsia="仿宋_GB2312"/>
          <w:color w:val="auto"/>
          <w:kern w:val="0"/>
          <w:sz w:val="30"/>
          <w:szCs w:val="32"/>
          <w:u w:val="single"/>
        </w:rPr>
        <w:t xml:space="preserve">     </w:t>
      </w:r>
    </w:p>
    <w:p>
      <w:pPr>
        <w:spacing w:line="360" w:lineRule="auto"/>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（6）发包人无正当理由没有在约定期限内发出复工指示，导致承包人无法复工的违约责任：</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（7）</w:t>
      </w:r>
      <w:r>
        <w:rPr>
          <w:rFonts w:hint="eastAsia" w:ascii="Times New Roman" w:hAnsi="Times New Roman" w:eastAsia="仿宋_GB2312"/>
          <w:color w:val="auto"/>
          <w:kern w:val="0"/>
          <w:sz w:val="30"/>
          <w:szCs w:val="32"/>
        </w:rPr>
        <w:t>其他：</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16.1.3 因发包人违约解除合同</w:t>
      </w:r>
    </w:p>
    <w:p>
      <w:pPr>
        <w:autoSpaceDE w:val="0"/>
        <w:autoSpaceDN w:val="0"/>
        <w:adjustRightInd w:val="0"/>
        <w:spacing w:line="360" w:lineRule="auto"/>
        <w:ind w:firstLine="600" w:firstLineChars="200"/>
        <w:jc w:val="left"/>
        <w:rPr>
          <w:rFonts w:hint="eastAsia" w:ascii="Times New Roman" w:hAnsi="Times New Roman" w:eastAsia="仿宋_GB2312"/>
          <w:color w:val="auto"/>
          <w:kern w:val="0"/>
          <w:sz w:val="30"/>
          <w:szCs w:val="32"/>
        </w:rPr>
      </w:pPr>
      <w:r>
        <w:rPr>
          <w:rFonts w:ascii="Times New Roman" w:hAnsi="Times New Roman" w:eastAsia="仿宋_GB2312"/>
          <w:color w:val="auto"/>
          <w:kern w:val="0"/>
          <w:sz w:val="30"/>
          <w:szCs w:val="32"/>
        </w:rPr>
        <w:t>承包人按16.1.1项</w:t>
      </w:r>
      <w:r>
        <w:rPr>
          <w:rFonts w:hint="eastAsia" w:ascii="Times New Roman" w:hAnsi="Times New Roman" w:eastAsia="仿宋_GB2312"/>
          <w:color w:val="auto"/>
          <w:kern w:val="0"/>
          <w:sz w:val="30"/>
          <w:szCs w:val="32"/>
        </w:rPr>
        <w:t>〔</w:t>
      </w:r>
      <w:r>
        <w:rPr>
          <w:rFonts w:ascii="Times New Roman" w:hAnsi="Times New Roman" w:eastAsia="仿宋_GB2312"/>
          <w:color w:val="auto"/>
          <w:kern w:val="0"/>
          <w:sz w:val="30"/>
          <w:szCs w:val="32"/>
        </w:rPr>
        <w:t>发包人违约的情形</w:t>
      </w:r>
      <w:r>
        <w:rPr>
          <w:rFonts w:hint="eastAsia" w:ascii="Times New Roman" w:hAnsi="Times New Roman" w:eastAsia="仿宋_GB2312"/>
          <w:color w:val="auto"/>
          <w:kern w:val="0"/>
          <w:sz w:val="30"/>
          <w:szCs w:val="32"/>
        </w:rPr>
        <w:t>〕</w:t>
      </w:r>
      <w:r>
        <w:rPr>
          <w:rFonts w:ascii="Times New Roman" w:hAnsi="Times New Roman" w:eastAsia="仿宋_GB2312"/>
          <w:color w:val="auto"/>
          <w:kern w:val="0"/>
          <w:sz w:val="30"/>
          <w:szCs w:val="32"/>
        </w:rPr>
        <w:t>约定暂停施工满</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天后发包人仍不纠正其违约行为并致使合同目的不能实现的，承包人有权解除合同。</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16.2 承包人违约</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16.2.1 承包人违约的情形</w:t>
      </w:r>
    </w:p>
    <w:p>
      <w:pPr>
        <w:spacing w:line="360" w:lineRule="auto"/>
        <w:ind w:firstLine="600" w:firstLineChars="200"/>
        <w:jc w:val="left"/>
        <w:rPr>
          <w:rFonts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rPr>
        <w:t>承包人违约的其他情形：</w:t>
      </w:r>
      <w:r>
        <w:rPr>
          <w:rFonts w:ascii="Times New Roman" w:hAnsi="Times New Roman" w:eastAsia="仿宋_GB2312"/>
          <w:color w:val="auto"/>
          <w:kern w:val="0"/>
          <w:sz w:val="30"/>
          <w:szCs w:val="32"/>
          <w:u w:val="single"/>
        </w:rPr>
        <w:t xml:space="preserve">                                </w:t>
      </w:r>
    </w:p>
    <w:p>
      <w:pPr>
        <w:spacing w:line="360" w:lineRule="auto"/>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16.2.2承包人违约的责任</w:t>
      </w:r>
    </w:p>
    <w:p>
      <w:pPr>
        <w:spacing w:line="360" w:lineRule="auto"/>
        <w:ind w:firstLine="600" w:firstLineChars="200"/>
        <w:jc w:val="left"/>
        <w:rPr>
          <w:rFonts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rPr>
        <w:t>承包人违约责任的承担方式和计算方法：</w:t>
      </w:r>
      <w:r>
        <w:rPr>
          <w:rFonts w:ascii="Times New Roman" w:hAnsi="Times New Roman" w:eastAsia="仿宋_GB2312"/>
          <w:color w:val="auto"/>
          <w:kern w:val="0"/>
          <w:sz w:val="30"/>
          <w:szCs w:val="32"/>
          <w:u w:val="single"/>
        </w:rPr>
        <w:t xml:space="preserve">                  </w:t>
      </w:r>
    </w:p>
    <w:p>
      <w:pPr>
        <w:spacing w:line="360" w:lineRule="auto"/>
        <w:ind w:left="1500" w:hanging="1500" w:hangingChars="500"/>
        <w:jc w:val="left"/>
        <w:rPr>
          <w:rFonts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r>
        <w:rPr>
          <w:rFonts w:ascii="Times New Roman" w:hAnsi="Times New Roman" w:eastAsia="仿宋_GB2312"/>
          <w:color w:val="auto"/>
          <w:sz w:val="30"/>
          <w:szCs w:val="32"/>
        </w:rPr>
        <w:t xml:space="preserve">    </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16.2.3 因承包人违约解除合同</w:t>
      </w:r>
    </w:p>
    <w:p>
      <w:pPr>
        <w:spacing w:before="120" w:after="120" w:line="360" w:lineRule="auto"/>
        <w:ind w:firstLine="600" w:firstLineChars="200"/>
        <w:rPr>
          <w:rFonts w:hint="eastAsia" w:ascii="Times New Roman" w:hAnsi="Times New Roman" w:eastAsia="仿宋_GB2312"/>
          <w:color w:val="auto"/>
          <w:kern w:val="0"/>
          <w:sz w:val="30"/>
          <w:szCs w:val="32"/>
          <w:u w:val="single"/>
        </w:rPr>
      </w:pPr>
      <w:r>
        <w:rPr>
          <w:rFonts w:ascii="Times New Roman" w:hAnsi="Times New Roman" w:eastAsia="仿宋_GB2312"/>
          <w:color w:val="auto"/>
          <w:kern w:val="0"/>
          <w:sz w:val="30"/>
          <w:szCs w:val="32"/>
        </w:rPr>
        <w:t>关于承包人违约解除合同的特别约定：</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p>
    <w:p>
      <w:pPr>
        <w:spacing w:before="120" w:after="120" w:line="360" w:lineRule="auto"/>
        <w:rPr>
          <w:rFonts w:hint="eastAsia" w:ascii="Times New Roman" w:hAnsi="Times New Roman" w:eastAsia="仿宋_GB2312"/>
          <w:color w:val="auto"/>
          <w:kern w:val="0"/>
          <w:sz w:val="30"/>
          <w:szCs w:val="32"/>
        </w:rPr>
      </w:pP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before="120" w:after="120" w:line="360" w:lineRule="auto"/>
        <w:ind w:firstLine="600" w:firstLineChars="20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发包人</w:t>
      </w:r>
      <w:r>
        <w:rPr>
          <w:rFonts w:hint="eastAsia" w:ascii="Times New Roman" w:hAnsi="Times New Roman" w:eastAsia="仿宋_GB2312"/>
          <w:color w:val="auto"/>
          <w:kern w:val="0"/>
          <w:sz w:val="30"/>
          <w:szCs w:val="32"/>
        </w:rPr>
        <w:t>继续</w:t>
      </w:r>
      <w:r>
        <w:rPr>
          <w:rFonts w:ascii="Times New Roman" w:hAnsi="Times New Roman" w:eastAsia="仿宋_GB2312"/>
          <w:color w:val="auto"/>
          <w:kern w:val="0"/>
          <w:sz w:val="30"/>
          <w:szCs w:val="32"/>
        </w:rPr>
        <w:t>使用承包人在施工现场的材料、设备、临时工程、承包人文件和由承包人或以其名义编制的其他文件</w:t>
      </w:r>
      <w:r>
        <w:rPr>
          <w:rFonts w:hint="eastAsia" w:ascii="Times New Roman" w:hAnsi="Times New Roman" w:eastAsia="仿宋_GB2312"/>
          <w:color w:val="auto"/>
          <w:kern w:val="0"/>
          <w:sz w:val="30"/>
          <w:szCs w:val="32"/>
        </w:rPr>
        <w:t>的费用承担方式</w:t>
      </w:r>
      <w:r>
        <w:rPr>
          <w:rFonts w:ascii="Times New Roman" w:hAnsi="Times New Roman" w:eastAsia="仿宋_GB2312"/>
          <w:color w:val="auto"/>
          <w:kern w:val="0"/>
          <w:sz w:val="30"/>
          <w:szCs w:val="32"/>
        </w:rPr>
        <w:t>：</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rPr>
        <w:t>。</w:t>
      </w:r>
    </w:p>
    <w:p>
      <w:pPr>
        <w:pStyle w:val="6"/>
        <w:spacing w:before="120" w:after="120" w:line="360" w:lineRule="auto"/>
        <w:rPr>
          <w:rFonts w:ascii="Times New Roman" w:hAnsi="Times New Roman" w:eastAsia="黑体"/>
          <w:b w:val="0"/>
          <w:color w:val="auto"/>
          <w:sz w:val="32"/>
          <w:szCs w:val="32"/>
        </w:rPr>
      </w:pPr>
      <w:bookmarkStart w:id="731" w:name="_Toc351203649"/>
      <w:r>
        <w:rPr>
          <w:rFonts w:ascii="Times New Roman" w:hAnsi="Times New Roman" w:eastAsia="黑体"/>
          <w:b w:val="0"/>
          <w:color w:val="auto"/>
          <w:sz w:val="32"/>
          <w:szCs w:val="32"/>
        </w:rPr>
        <w:t>17. 不可抗力</w:t>
      </w:r>
      <w:bookmarkEnd w:id="731"/>
      <w:r>
        <w:rPr>
          <w:rFonts w:ascii="Times New Roman" w:hAnsi="Times New Roman" w:eastAsia="黑体"/>
          <w:b w:val="0"/>
          <w:color w:val="auto"/>
          <w:sz w:val="32"/>
          <w:szCs w:val="32"/>
        </w:rPr>
        <w:t xml:space="preserve"> </w:t>
      </w:r>
      <w:bookmarkEnd w:id="729"/>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17.1 不可抗力的确认</w:t>
      </w:r>
    </w:p>
    <w:p>
      <w:pPr>
        <w:spacing w:line="360" w:lineRule="auto"/>
        <w:ind w:firstLine="600" w:firstLineChars="200"/>
        <w:jc w:val="left"/>
        <w:rPr>
          <w:rFonts w:ascii="Times New Roman" w:hAnsi="Times New Roman" w:eastAsia="仿宋_GB2312"/>
          <w:color w:val="auto"/>
          <w:kern w:val="0"/>
          <w:sz w:val="30"/>
          <w:szCs w:val="32"/>
          <w:u w:val="single"/>
        </w:rPr>
      </w:pPr>
      <w:r>
        <w:rPr>
          <w:rFonts w:ascii="Times New Roman" w:hAnsi="Times New Roman" w:eastAsia="仿宋_GB2312"/>
          <w:color w:val="auto"/>
          <w:sz w:val="30"/>
          <w:szCs w:val="32"/>
        </w:rPr>
        <w:t xml:space="preserve">除通用合同条款约定的不可抗力事件之外，视为不可抗力的其他情形：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17.4 因不可抗力解除合同</w:t>
      </w:r>
    </w:p>
    <w:p>
      <w:pPr>
        <w:spacing w:line="360" w:lineRule="auto"/>
        <w:ind w:firstLine="600" w:firstLineChars="200"/>
        <w:jc w:val="left"/>
        <w:rPr>
          <w:rFonts w:hint="eastAsia" w:ascii="Times New Roman" w:hAnsi="Times New Roman" w:eastAsia="仿宋_GB2312"/>
          <w:color w:val="auto"/>
          <w:sz w:val="30"/>
          <w:szCs w:val="32"/>
        </w:rPr>
      </w:pPr>
      <w:r>
        <w:rPr>
          <w:rFonts w:ascii="Times New Roman" w:hAnsi="Times New Roman" w:eastAsia="仿宋_GB2312"/>
          <w:color w:val="auto"/>
          <w:sz w:val="30"/>
          <w:szCs w:val="32"/>
        </w:rPr>
        <w:t>合同解除后，发包人应在商定或确定发包人应支付款项后</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天内完成款项的支付。</w:t>
      </w:r>
    </w:p>
    <w:p>
      <w:pPr>
        <w:pStyle w:val="6"/>
        <w:spacing w:before="120" w:after="120" w:line="360" w:lineRule="auto"/>
        <w:rPr>
          <w:rFonts w:ascii="Times New Roman" w:hAnsi="Times New Roman" w:eastAsia="黑体"/>
          <w:b w:val="0"/>
          <w:color w:val="auto"/>
          <w:sz w:val="32"/>
          <w:szCs w:val="32"/>
        </w:rPr>
      </w:pPr>
      <w:bookmarkStart w:id="732" w:name="_Toc351203650"/>
      <w:r>
        <w:rPr>
          <w:rFonts w:ascii="Times New Roman" w:hAnsi="Times New Roman" w:eastAsia="黑体"/>
          <w:b w:val="0"/>
          <w:color w:val="auto"/>
          <w:sz w:val="32"/>
          <w:szCs w:val="32"/>
        </w:rPr>
        <w:t>18. 保险</w:t>
      </w:r>
      <w:bookmarkEnd w:id="732"/>
    </w:p>
    <w:bookmarkEnd w:id="730"/>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18.1 工程保险</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关于工程保险的特别约定：</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18.3 其他保险</w:t>
      </w:r>
    </w:p>
    <w:p>
      <w:pPr>
        <w:spacing w:line="360" w:lineRule="auto"/>
        <w:ind w:firstLine="600" w:firstLineChars="200"/>
        <w:jc w:val="left"/>
        <w:rPr>
          <w:rFonts w:ascii="Times New Roman" w:hAnsi="Times New Roman" w:eastAsia="仿宋_GB2312"/>
          <w:color w:val="auto"/>
          <w:kern w:val="0"/>
          <w:sz w:val="30"/>
          <w:szCs w:val="32"/>
        </w:rPr>
      </w:pPr>
      <w:r>
        <w:rPr>
          <w:rFonts w:ascii="Times New Roman" w:hAnsi="Times New Roman" w:eastAsia="仿宋_GB2312"/>
          <w:color w:val="auto"/>
          <w:sz w:val="30"/>
          <w:szCs w:val="32"/>
        </w:rPr>
        <w:t>关于其他保险的约定：</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hint="eastAsia"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u w:val="single"/>
        </w:rPr>
        <w:t xml:space="preserve">     </w:t>
      </w:r>
      <w:r>
        <w:rPr>
          <w:rFonts w:ascii="Times New Roman" w:hAnsi="Times New Roman" w:eastAsia="仿宋_GB2312"/>
          <w:color w:val="auto"/>
          <w:kern w:val="0"/>
          <w:sz w:val="30"/>
          <w:szCs w:val="32"/>
        </w:rPr>
        <w:t>。</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承包人是否应为其施工设备等办理财产保险：</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kern w:val="0"/>
          <w:sz w:val="30"/>
          <w:szCs w:val="32"/>
        </w:rPr>
      </w:pP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黑体"/>
          <w:color w:val="auto"/>
          <w:sz w:val="30"/>
          <w:szCs w:val="32"/>
        </w:rPr>
        <w:t>18.7 通知义务</w:t>
      </w:r>
    </w:p>
    <w:p>
      <w:pPr>
        <w:spacing w:line="360" w:lineRule="auto"/>
        <w:ind w:firstLine="600" w:firstLineChars="200"/>
        <w:jc w:val="left"/>
        <w:rPr>
          <w:rFonts w:hint="eastAsia" w:ascii="Times New Roman" w:hAnsi="Times New Roman" w:eastAsia="仿宋_GB2312"/>
          <w:color w:val="auto"/>
          <w:sz w:val="30"/>
          <w:szCs w:val="32"/>
          <w:u w:val="single"/>
        </w:rPr>
      </w:pPr>
      <w:r>
        <w:rPr>
          <w:rFonts w:ascii="Times New Roman" w:hAnsi="Times New Roman" w:eastAsia="仿宋_GB2312"/>
          <w:color w:val="auto"/>
          <w:kern w:val="0"/>
          <w:sz w:val="30"/>
          <w:szCs w:val="32"/>
        </w:rPr>
        <w:t>关于变更保险合同时的通知义务的约定：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bookmarkEnd w:id="706"/>
    <w:bookmarkEnd w:id="707"/>
    <w:bookmarkEnd w:id="708"/>
    <w:bookmarkEnd w:id="709"/>
    <w:bookmarkEnd w:id="710"/>
    <w:bookmarkEnd w:id="711"/>
    <w:bookmarkEnd w:id="712"/>
    <w:bookmarkEnd w:id="713"/>
    <w:bookmarkEnd w:id="714"/>
    <w:bookmarkEnd w:id="715"/>
    <w:bookmarkEnd w:id="716"/>
    <w:bookmarkEnd w:id="717"/>
    <w:p>
      <w:pPr>
        <w:pStyle w:val="6"/>
        <w:spacing w:before="120" w:after="120" w:line="360" w:lineRule="auto"/>
        <w:rPr>
          <w:rFonts w:ascii="Times New Roman" w:hAnsi="Times New Roman" w:eastAsia="黑体"/>
          <w:b w:val="0"/>
          <w:color w:val="auto"/>
          <w:sz w:val="32"/>
          <w:szCs w:val="32"/>
        </w:rPr>
      </w:pPr>
      <w:bookmarkStart w:id="733" w:name="_Toc351203651"/>
      <w:r>
        <w:rPr>
          <w:rFonts w:ascii="Times New Roman" w:hAnsi="Times New Roman" w:eastAsia="黑体"/>
          <w:b w:val="0"/>
          <w:color w:val="auto"/>
          <w:sz w:val="32"/>
          <w:szCs w:val="32"/>
        </w:rPr>
        <w:t>20. 争议解决</w:t>
      </w:r>
      <w:bookmarkEnd w:id="733"/>
    </w:p>
    <w:bookmarkEnd w:id="718"/>
    <w:bookmarkEnd w:id="719"/>
    <w:p>
      <w:pPr>
        <w:spacing w:after="120" w:line="360" w:lineRule="auto"/>
        <w:ind w:firstLine="600" w:firstLineChars="200"/>
        <w:outlineLvl w:val="0"/>
        <w:rPr>
          <w:rFonts w:ascii="Times New Roman" w:hAnsi="Times New Roman" w:eastAsia="黑体"/>
          <w:color w:val="auto"/>
          <w:sz w:val="30"/>
          <w:szCs w:val="32"/>
        </w:rPr>
      </w:pPr>
      <w:r>
        <w:rPr>
          <w:rFonts w:ascii="Times New Roman" w:hAnsi="Times New Roman" w:eastAsia="黑体"/>
          <w:color w:val="auto"/>
          <w:sz w:val="30"/>
          <w:szCs w:val="32"/>
        </w:rPr>
        <w:t>20.3 争</w:t>
      </w:r>
      <w:bookmarkEnd w:id="720"/>
      <w:r>
        <w:rPr>
          <w:rFonts w:ascii="Times New Roman" w:hAnsi="Times New Roman" w:eastAsia="黑体"/>
          <w:color w:val="auto"/>
          <w:sz w:val="30"/>
          <w:szCs w:val="32"/>
        </w:rPr>
        <w:t>议评审</w:t>
      </w:r>
    </w:p>
    <w:p>
      <w:pPr>
        <w:spacing w:line="360" w:lineRule="auto"/>
        <w:ind w:left="170" w:leftChars="71" w:firstLine="450" w:firstLineChars="150"/>
        <w:jc w:val="left"/>
        <w:rPr>
          <w:rFonts w:hint="eastAsia" w:ascii="Times New Roman" w:hAnsi="Times New Roman" w:eastAsia="仿宋_GB2312"/>
          <w:color w:val="auto"/>
          <w:sz w:val="30"/>
          <w:szCs w:val="32"/>
          <w:u w:val="single"/>
        </w:rPr>
      </w:pPr>
      <w:r>
        <w:rPr>
          <w:rFonts w:ascii="Times New Roman" w:hAnsi="Times New Roman" w:eastAsia="仿宋_GB2312"/>
          <w:color w:val="auto"/>
          <w:sz w:val="30"/>
          <w:szCs w:val="32"/>
        </w:rPr>
        <w:t>合同当事人是否同意将工程争议提交争议评审小组决</w:t>
      </w:r>
      <w:r>
        <w:rPr>
          <w:rFonts w:hint="eastAsia" w:ascii="Times New Roman" w:hAnsi="Times New Roman" w:eastAsia="仿宋_GB2312"/>
          <w:color w:val="auto"/>
          <w:sz w:val="30"/>
          <w:szCs w:val="32"/>
        </w:rPr>
        <w:t>定：</w:t>
      </w:r>
      <w:r>
        <w:rPr>
          <w:rFonts w:hint="eastAsia" w:ascii="Times New Roman" w:hAnsi="Times New Roman" w:eastAsia="仿宋_GB2312"/>
          <w:color w:val="auto"/>
          <w:sz w:val="30"/>
          <w:szCs w:val="32"/>
          <w:u w:val="single"/>
        </w:rPr>
        <w:t xml:space="preserve">    </w:t>
      </w:r>
    </w:p>
    <w:p>
      <w:pPr>
        <w:spacing w:line="360" w:lineRule="auto"/>
        <w:jc w:val="left"/>
        <w:rPr>
          <w:rFonts w:ascii="Times New Roman" w:hAnsi="Times New Roman" w:eastAsia="仿宋_GB2312"/>
          <w:color w:val="auto"/>
          <w:sz w:val="30"/>
          <w:szCs w:val="32"/>
        </w:rPr>
      </w:pPr>
      <w:r>
        <w:rPr>
          <w:rFonts w:hint="eastAsia"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rPr>
        <w:t xml:space="preserve">。  </w:t>
      </w:r>
    </w:p>
    <w:p>
      <w:pPr>
        <w:spacing w:line="360" w:lineRule="auto"/>
        <w:ind w:firstLine="600" w:firstLineChars="200"/>
        <w:jc w:val="left"/>
        <w:outlineLvl w:val="0"/>
        <w:rPr>
          <w:rFonts w:ascii="Times New Roman" w:hAnsi="Times New Roman" w:eastAsia="仿宋_GB2312"/>
          <w:color w:val="auto"/>
          <w:sz w:val="30"/>
          <w:szCs w:val="32"/>
        </w:rPr>
      </w:pPr>
      <w:r>
        <w:rPr>
          <w:rFonts w:ascii="Times New Roman" w:hAnsi="Times New Roman" w:eastAsia="仿宋_GB2312"/>
          <w:color w:val="auto"/>
          <w:sz w:val="30"/>
          <w:szCs w:val="32"/>
        </w:rPr>
        <w:t>20.3.1 争议评审小组的确定</w:t>
      </w:r>
    </w:p>
    <w:p>
      <w:pPr>
        <w:spacing w:line="360" w:lineRule="auto"/>
        <w:ind w:firstLine="600" w:firstLineChars="200"/>
        <w:jc w:val="left"/>
        <w:rPr>
          <w:rFonts w:ascii="Times New Roman" w:hAnsi="Times New Roman" w:eastAsia="仿宋_GB2312"/>
          <w:color w:val="auto"/>
          <w:sz w:val="30"/>
          <w:szCs w:val="32"/>
          <w:u w:val="single"/>
        </w:rPr>
      </w:pPr>
      <w:r>
        <w:rPr>
          <w:rFonts w:ascii="Times New Roman" w:hAnsi="Times New Roman" w:eastAsia="仿宋_GB2312"/>
          <w:color w:val="auto"/>
          <w:sz w:val="30"/>
          <w:szCs w:val="32"/>
        </w:rPr>
        <w:t>争议评审小组成员的确定：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选定争议评审员的期限：</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争议评审小组成员的报酬承担方式：</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其他事项的约定：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autoSpaceDE w:val="0"/>
        <w:autoSpaceDN w:val="0"/>
        <w:adjustRightInd w:val="0"/>
        <w:spacing w:line="360" w:lineRule="auto"/>
        <w:ind w:firstLine="600" w:firstLineChars="200"/>
        <w:jc w:val="left"/>
        <w:outlineLvl w:val="0"/>
        <w:rPr>
          <w:rFonts w:ascii="Times New Roman" w:hAnsi="Times New Roman" w:eastAsia="仿宋_GB2312"/>
          <w:color w:val="auto"/>
          <w:kern w:val="0"/>
          <w:sz w:val="30"/>
          <w:szCs w:val="32"/>
        </w:rPr>
      </w:pPr>
      <w:r>
        <w:rPr>
          <w:rFonts w:ascii="Times New Roman" w:hAnsi="Times New Roman" w:eastAsia="仿宋_GB2312"/>
          <w:color w:val="auto"/>
          <w:kern w:val="0"/>
          <w:sz w:val="30"/>
          <w:szCs w:val="32"/>
        </w:rPr>
        <w:t>20.3.2 争议评审小组的决定</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合同当事人关于本项的约定：</w:t>
      </w:r>
      <w:r>
        <w:rPr>
          <w:rFonts w:ascii="Times New Roman" w:hAnsi="Times New Roman" w:eastAsia="仿宋_GB2312"/>
          <w:color w:val="auto"/>
          <w:sz w:val="30"/>
          <w:szCs w:val="32"/>
          <w:u w:val="single"/>
        </w:rPr>
        <w:t xml:space="preserve">                      </w:t>
      </w:r>
      <w:r>
        <w:rPr>
          <w:rFonts w:hint="eastAsia" w:ascii="Times New Roman" w:hAnsi="Times New Roman" w:eastAsia="仿宋_GB2312"/>
          <w:color w:val="auto"/>
          <w:sz w:val="30"/>
          <w:szCs w:val="32"/>
          <w:u w:val="single"/>
        </w:rPr>
        <w:t xml:space="preserve">   </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w:t>
      </w:r>
    </w:p>
    <w:p>
      <w:pPr>
        <w:spacing w:after="120" w:line="360" w:lineRule="auto"/>
        <w:ind w:firstLine="600" w:firstLineChars="200"/>
        <w:outlineLvl w:val="0"/>
        <w:rPr>
          <w:rFonts w:hint="eastAsia" w:ascii="Times New Roman" w:hAnsi="Times New Roman" w:eastAsia="黑体"/>
          <w:color w:val="auto"/>
          <w:sz w:val="30"/>
          <w:szCs w:val="32"/>
        </w:rPr>
      </w:pPr>
      <w:r>
        <w:rPr>
          <w:rFonts w:ascii="Times New Roman" w:hAnsi="Times New Roman" w:eastAsia="黑体"/>
          <w:color w:val="auto"/>
          <w:sz w:val="30"/>
          <w:szCs w:val="32"/>
        </w:rPr>
        <w:t>20.4仲裁或诉讼</w:t>
      </w:r>
      <w:bookmarkEnd w:id="721"/>
    </w:p>
    <w:p>
      <w:pPr>
        <w:spacing w:after="120" w:line="360" w:lineRule="auto"/>
        <w:ind w:firstLine="600" w:firstLineChars="200"/>
        <w:rPr>
          <w:rFonts w:ascii="Times New Roman" w:hAnsi="Times New Roman" w:eastAsia="黑体"/>
          <w:color w:val="auto"/>
          <w:sz w:val="30"/>
          <w:szCs w:val="32"/>
        </w:rPr>
      </w:pPr>
      <w:r>
        <w:rPr>
          <w:rFonts w:ascii="Times New Roman" w:hAnsi="Times New Roman" w:eastAsia="仿宋_GB2312"/>
          <w:color w:val="auto"/>
          <w:sz w:val="30"/>
          <w:szCs w:val="32"/>
        </w:rPr>
        <w:t>因合同及合同有关事项发生的争议，按下列第</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种方式</w:t>
      </w:r>
      <w:r>
        <w:rPr>
          <w:rFonts w:hint="eastAsia" w:ascii="Times New Roman" w:hAnsi="Times New Roman" w:eastAsia="仿宋_GB2312"/>
          <w:color w:val="auto"/>
          <w:sz w:val="30"/>
          <w:szCs w:val="32"/>
        </w:rPr>
        <w:t>解</w:t>
      </w:r>
      <w:r>
        <w:rPr>
          <w:rFonts w:ascii="Times New Roman" w:hAnsi="Times New Roman" w:eastAsia="仿宋_GB2312"/>
          <w:color w:val="auto"/>
          <w:sz w:val="30"/>
          <w:szCs w:val="32"/>
        </w:rPr>
        <w:t>决：</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（1）向</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仲裁委员会申请仲裁；</w:t>
      </w:r>
    </w:p>
    <w:p>
      <w:pPr>
        <w:spacing w:line="360" w:lineRule="auto"/>
        <w:ind w:firstLine="600" w:firstLineChars="200"/>
        <w:jc w:val="left"/>
        <w:rPr>
          <w:rFonts w:ascii="Times New Roman" w:hAnsi="Times New Roman" w:eastAsia="仿宋_GB2312"/>
          <w:color w:val="auto"/>
          <w:sz w:val="30"/>
          <w:szCs w:val="32"/>
        </w:rPr>
      </w:pPr>
      <w:r>
        <w:rPr>
          <w:rFonts w:ascii="Times New Roman" w:hAnsi="Times New Roman" w:eastAsia="仿宋_GB2312"/>
          <w:color w:val="auto"/>
          <w:sz w:val="30"/>
          <w:szCs w:val="32"/>
        </w:rPr>
        <w:t>（2）向</w:t>
      </w:r>
      <w:r>
        <w:rPr>
          <w:rFonts w:ascii="Times New Roman" w:hAnsi="Times New Roman" w:eastAsia="仿宋_GB2312"/>
          <w:color w:val="auto"/>
          <w:sz w:val="30"/>
          <w:szCs w:val="32"/>
          <w:u w:val="single"/>
        </w:rPr>
        <w:t xml:space="preserve">                     </w:t>
      </w:r>
      <w:r>
        <w:rPr>
          <w:rFonts w:ascii="Times New Roman" w:hAnsi="Times New Roman" w:eastAsia="仿宋_GB2312"/>
          <w:color w:val="auto"/>
          <w:sz w:val="30"/>
          <w:szCs w:val="32"/>
        </w:rPr>
        <w:t>人民法院起诉。</w:t>
      </w:r>
      <w:bookmarkEnd w:id="722"/>
      <w:bookmarkEnd w:id="723"/>
      <w:bookmarkEnd w:id="724"/>
      <w:bookmarkEnd w:id="725"/>
      <w:bookmarkEnd w:id="726"/>
      <w:bookmarkEnd w:id="727"/>
    </w:p>
    <w:p>
      <w:pPr>
        <w:rPr>
          <w:rFonts w:ascii="Times New Roman" w:hAnsi="Times New Roman"/>
          <w:color w:val="auto"/>
        </w:rPr>
      </w:pPr>
    </w:p>
    <w:p>
      <w:pPr>
        <w:pStyle w:val="3"/>
        <w:rPr>
          <w:color w:val="auto"/>
        </w:rPr>
      </w:pPr>
      <w:r>
        <w:rPr>
          <w:rFonts w:ascii="宋体" w:hAnsi="宋体"/>
          <w:b/>
          <w:color w:val="auto"/>
        </w:rPr>
        <w:br w:type="page"/>
      </w:r>
      <w:bookmarkStart w:id="734" w:name="_Toc45697245"/>
      <w:bookmarkStart w:id="735" w:name="_Toc67589037"/>
      <w:r>
        <w:rPr>
          <w:rFonts w:hint="eastAsia"/>
          <w:bCs w:val="0"/>
          <w:color w:val="auto"/>
        </w:rPr>
        <w:t>第五章</w:t>
      </w:r>
      <w:r>
        <w:rPr>
          <w:bCs w:val="0"/>
          <w:color w:val="auto"/>
        </w:rPr>
        <w:t xml:space="preserve">  </w:t>
      </w:r>
      <w:r>
        <w:rPr>
          <w:rFonts w:hint="eastAsia"/>
          <w:bCs w:val="0"/>
          <w:color w:val="auto"/>
        </w:rPr>
        <w:t>工程量清单编制</w:t>
      </w:r>
      <w:bookmarkEnd w:id="734"/>
      <w:bookmarkEnd w:id="735"/>
    </w:p>
    <w:p>
      <w:pPr>
        <w:spacing w:line="360" w:lineRule="auto"/>
        <w:ind w:firstLine="480" w:firstLineChars="200"/>
        <w:rPr>
          <w:rFonts w:ascii="宋体" w:hAnsi="宋体"/>
          <w:color w:val="auto"/>
        </w:rPr>
      </w:pPr>
      <w:r>
        <w:rPr>
          <w:rFonts w:hint="eastAsia" w:ascii="宋体" w:hAnsi="宋体"/>
          <w:color w:val="auto"/>
        </w:rPr>
        <w:t>（一）工程量清单编制须按《浙江省建设工程计价规则》（</w:t>
      </w:r>
      <w:r>
        <w:rPr>
          <w:rFonts w:ascii="宋体" w:hAnsi="宋体"/>
          <w:color w:val="auto"/>
        </w:rPr>
        <w:t>2018</w:t>
      </w:r>
      <w:r>
        <w:rPr>
          <w:rFonts w:hint="eastAsia" w:ascii="宋体" w:hAnsi="宋体"/>
          <w:color w:val="auto"/>
        </w:rPr>
        <w:t>版）实施，所采用的表格格式如下</w:t>
      </w:r>
      <w:r>
        <w:rPr>
          <w:rFonts w:ascii="宋体" w:hAnsi="宋体"/>
          <w:color w:val="auto"/>
        </w:rPr>
        <w:t>(</w:t>
      </w:r>
      <w:r>
        <w:rPr>
          <w:rFonts w:hint="eastAsia" w:ascii="宋体" w:hAnsi="宋体"/>
          <w:color w:val="auto"/>
        </w:rPr>
        <w:t>具体详见附件</w:t>
      </w:r>
      <w:r>
        <w:rPr>
          <w:rFonts w:ascii="宋体" w:hAnsi="宋体"/>
          <w:color w:val="auto"/>
        </w:rPr>
        <w:t>)</w:t>
      </w:r>
      <w:r>
        <w:rPr>
          <w:rFonts w:hint="eastAsia" w:ascii="宋体" w:hAnsi="宋体"/>
          <w:color w:val="auto"/>
        </w:rPr>
        <w:t>：</w:t>
      </w:r>
    </w:p>
    <w:p>
      <w:pPr>
        <w:pStyle w:val="129"/>
        <w:numPr>
          <w:ilvl w:val="0"/>
          <w:numId w:val="41"/>
        </w:numPr>
        <w:spacing w:line="360" w:lineRule="auto"/>
        <w:rPr>
          <w:rFonts w:ascii="宋体" w:hAnsi="宋体"/>
          <w:color w:val="auto"/>
        </w:rPr>
      </w:pPr>
      <w:r>
        <w:rPr>
          <w:rFonts w:hint="eastAsia" w:ascii="宋体" w:hAnsi="宋体"/>
          <w:color w:val="auto"/>
        </w:rPr>
        <w:t>招标工程量清单封面</w:t>
      </w:r>
    </w:p>
    <w:p>
      <w:pPr>
        <w:pStyle w:val="129"/>
        <w:numPr>
          <w:ilvl w:val="0"/>
          <w:numId w:val="41"/>
        </w:numPr>
        <w:spacing w:line="360" w:lineRule="auto"/>
        <w:rPr>
          <w:rFonts w:ascii="宋体" w:hAnsi="宋体"/>
          <w:color w:val="auto"/>
        </w:rPr>
      </w:pPr>
      <w:r>
        <w:rPr>
          <w:rFonts w:hint="eastAsia" w:ascii="宋体" w:hAnsi="宋体"/>
          <w:color w:val="auto"/>
        </w:rPr>
        <w:t>招标工程量清单扉页</w:t>
      </w:r>
    </w:p>
    <w:p>
      <w:pPr>
        <w:pStyle w:val="129"/>
        <w:numPr>
          <w:ilvl w:val="0"/>
          <w:numId w:val="41"/>
        </w:numPr>
        <w:spacing w:line="360" w:lineRule="auto"/>
        <w:rPr>
          <w:rFonts w:ascii="宋体" w:hAnsi="宋体"/>
          <w:color w:val="auto"/>
        </w:rPr>
      </w:pPr>
      <w:r>
        <w:rPr>
          <w:rFonts w:hint="eastAsia" w:ascii="宋体" w:hAnsi="宋体"/>
          <w:color w:val="auto"/>
        </w:rPr>
        <w:t>编制说明</w:t>
      </w:r>
    </w:p>
    <w:p>
      <w:pPr>
        <w:pStyle w:val="129"/>
        <w:numPr>
          <w:ilvl w:val="0"/>
          <w:numId w:val="41"/>
        </w:numPr>
        <w:spacing w:line="360" w:lineRule="auto"/>
        <w:rPr>
          <w:rFonts w:ascii="宋体" w:hAnsi="宋体"/>
          <w:color w:val="auto"/>
        </w:rPr>
      </w:pPr>
      <w:r>
        <w:rPr>
          <w:rFonts w:hint="eastAsia" w:ascii="宋体" w:hAnsi="宋体"/>
          <w:color w:val="auto"/>
        </w:rPr>
        <w:t>分部分项工程和施工技术措施费项目清单与计价表</w:t>
      </w:r>
    </w:p>
    <w:p>
      <w:pPr>
        <w:pStyle w:val="129"/>
        <w:numPr>
          <w:ilvl w:val="0"/>
          <w:numId w:val="41"/>
        </w:numPr>
        <w:spacing w:line="360" w:lineRule="auto"/>
        <w:rPr>
          <w:rFonts w:ascii="宋体" w:hAnsi="宋体"/>
          <w:color w:val="auto"/>
        </w:rPr>
      </w:pPr>
      <w:r>
        <w:rPr>
          <w:rFonts w:hint="eastAsia" w:ascii="宋体" w:hAnsi="宋体"/>
          <w:color w:val="auto"/>
        </w:rPr>
        <w:t>施工组织（总价）措施项目清单与计价表</w:t>
      </w:r>
    </w:p>
    <w:p>
      <w:pPr>
        <w:pStyle w:val="129"/>
        <w:numPr>
          <w:ilvl w:val="0"/>
          <w:numId w:val="41"/>
        </w:numPr>
        <w:spacing w:line="360" w:lineRule="auto"/>
        <w:rPr>
          <w:rFonts w:ascii="宋体" w:hAnsi="宋体"/>
          <w:color w:val="auto"/>
        </w:rPr>
      </w:pPr>
      <w:r>
        <w:rPr>
          <w:rFonts w:hint="eastAsia" w:ascii="宋体" w:hAnsi="宋体"/>
          <w:color w:val="auto"/>
        </w:rPr>
        <w:t>其他项目清单与计价汇总表</w:t>
      </w:r>
    </w:p>
    <w:p>
      <w:pPr>
        <w:pStyle w:val="129"/>
        <w:numPr>
          <w:ilvl w:val="0"/>
          <w:numId w:val="41"/>
        </w:numPr>
        <w:spacing w:line="360" w:lineRule="auto"/>
        <w:rPr>
          <w:rFonts w:ascii="宋体" w:hAnsi="宋体"/>
          <w:color w:val="auto"/>
        </w:rPr>
      </w:pPr>
      <w:r>
        <w:rPr>
          <w:rFonts w:hint="eastAsia" w:ascii="宋体" w:hAnsi="宋体"/>
          <w:color w:val="auto"/>
        </w:rPr>
        <w:t>暂列金额明细表</w:t>
      </w:r>
    </w:p>
    <w:p>
      <w:pPr>
        <w:pStyle w:val="129"/>
        <w:numPr>
          <w:ilvl w:val="0"/>
          <w:numId w:val="41"/>
        </w:numPr>
        <w:spacing w:line="360" w:lineRule="auto"/>
        <w:rPr>
          <w:rFonts w:ascii="宋体" w:hAnsi="宋体"/>
          <w:color w:val="auto"/>
        </w:rPr>
      </w:pPr>
      <w:r>
        <w:rPr>
          <w:rFonts w:hint="eastAsia" w:ascii="宋体" w:hAnsi="宋体"/>
          <w:color w:val="auto"/>
        </w:rPr>
        <w:t>材料（工程设备）暂估单价及调整表</w:t>
      </w:r>
    </w:p>
    <w:p>
      <w:pPr>
        <w:pStyle w:val="129"/>
        <w:numPr>
          <w:ilvl w:val="0"/>
          <w:numId w:val="41"/>
        </w:numPr>
        <w:spacing w:line="360" w:lineRule="auto"/>
        <w:rPr>
          <w:rFonts w:ascii="宋体" w:hAnsi="宋体"/>
          <w:color w:val="auto"/>
        </w:rPr>
      </w:pPr>
      <w:r>
        <w:rPr>
          <w:rFonts w:hint="eastAsia" w:ascii="宋体" w:hAnsi="宋体"/>
          <w:color w:val="auto"/>
        </w:rPr>
        <w:t>专业工程暂估价表</w:t>
      </w:r>
    </w:p>
    <w:p>
      <w:pPr>
        <w:pStyle w:val="129"/>
        <w:numPr>
          <w:ilvl w:val="0"/>
          <w:numId w:val="41"/>
        </w:numPr>
        <w:spacing w:line="360" w:lineRule="auto"/>
        <w:rPr>
          <w:rFonts w:ascii="宋体" w:hAnsi="宋体"/>
          <w:color w:val="auto"/>
        </w:rPr>
      </w:pPr>
      <w:r>
        <w:rPr>
          <w:rFonts w:hint="eastAsia" w:ascii="宋体" w:hAnsi="宋体"/>
          <w:color w:val="auto"/>
        </w:rPr>
        <w:t>专项技术措施暂估价表</w:t>
      </w:r>
    </w:p>
    <w:p>
      <w:pPr>
        <w:pStyle w:val="129"/>
        <w:numPr>
          <w:ilvl w:val="0"/>
          <w:numId w:val="41"/>
        </w:numPr>
        <w:spacing w:line="360" w:lineRule="auto"/>
        <w:rPr>
          <w:rFonts w:ascii="宋体" w:hAnsi="宋体"/>
          <w:color w:val="auto"/>
        </w:rPr>
      </w:pPr>
      <w:r>
        <w:rPr>
          <w:rFonts w:hint="eastAsia" w:ascii="宋体" w:hAnsi="宋体"/>
          <w:color w:val="auto"/>
        </w:rPr>
        <w:t>计日工表</w:t>
      </w:r>
    </w:p>
    <w:p>
      <w:pPr>
        <w:pStyle w:val="129"/>
        <w:numPr>
          <w:ilvl w:val="0"/>
          <w:numId w:val="41"/>
        </w:numPr>
        <w:spacing w:line="360" w:lineRule="auto"/>
        <w:rPr>
          <w:rFonts w:ascii="宋体" w:hAnsi="宋体"/>
          <w:color w:val="auto"/>
        </w:rPr>
      </w:pPr>
      <w:r>
        <w:rPr>
          <w:rFonts w:hint="eastAsia" w:ascii="宋体" w:hAnsi="宋体"/>
          <w:color w:val="auto"/>
        </w:rPr>
        <w:t>总承包服务费计价表</w:t>
      </w:r>
    </w:p>
    <w:p>
      <w:pPr>
        <w:pStyle w:val="129"/>
        <w:numPr>
          <w:ilvl w:val="0"/>
          <w:numId w:val="41"/>
        </w:numPr>
        <w:spacing w:line="360" w:lineRule="auto"/>
        <w:rPr>
          <w:rFonts w:ascii="宋体" w:hAnsi="宋体"/>
          <w:color w:val="auto"/>
        </w:rPr>
      </w:pPr>
      <w:r>
        <w:rPr>
          <w:rFonts w:hint="eastAsia" w:ascii="宋体" w:hAnsi="宋体"/>
          <w:color w:val="auto"/>
        </w:rPr>
        <w:t>主要工日一览表</w:t>
      </w:r>
    </w:p>
    <w:p>
      <w:pPr>
        <w:pStyle w:val="129"/>
        <w:numPr>
          <w:ilvl w:val="0"/>
          <w:numId w:val="41"/>
        </w:numPr>
        <w:spacing w:line="360" w:lineRule="auto"/>
        <w:rPr>
          <w:rFonts w:ascii="宋体" w:hAnsi="宋体"/>
          <w:color w:val="auto"/>
        </w:rPr>
      </w:pPr>
      <w:r>
        <w:rPr>
          <w:rFonts w:hint="eastAsia" w:ascii="宋体" w:hAnsi="宋体"/>
          <w:color w:val="auto"/>
        </w:rPr>
        <w:t>发包人提供材料和设备一览表</w:t>
      </w:r>
    </w:p>
    <w:p>
      <w:pPr>
        <w:pStyle w:val="129"/>
        <w:numPr>
          <w:ilvl w:val="0"/>
          <w:numId w:val="41"/>
        </w:numPr>
        <w:spacing w:line="360" w:lineRule="auto"/>
        <w:rPr>
          <w:rFonts w:ascii="宋体" w:hAnsi="宋体"/>
          <w:color w:val="auto"/>
        </w:rPr>
      </w:pPr>
      <w:r>
        <w:rPr>
          <w:rFonts w:hint="eastAsia" w:ascii="宋体" w:hAnsi="宋体"/>
          <w:color w:val="auto"/>
        </w:rPr>
        <w:t>主要材料和工程设备一览表</w:t>
      </w:r>
    </w:p>
    <w:p>
      <w:pPr>
        <w:pStyle w:val="129"/>
        <w:numPr>
          <w:ilvl w:val="0"/>
          <w:numId w:val="41"/>
        </w:numPr>
        <w:spacing w:line="360" w:lineRule="auto"/>
        <w:rPr>
          <w:rFonts w:ascii="宋体" w:hAnsi="宋体"/>
          <w:color w:val="auto"/>
        </w:rPr>
      </w:pPr>
      <w:r>
        <w:rPr>
          <w:rFonts w:hint="eastAsia" w:ascii="宋体" w:hAnsi="宋体"/>
          <w:color w:val="auto"/>
        </w:rPr>
        <w:t>主要机械台班一览表</w:t>
      </w:r>
    </w:p>
    <w:p>
      <w:pPr>
        <w:spacing w:line="360" w:lineRule="auto"/>
        <w:ind w:firstLine="480" w:firstLineChars="200"/>
        <w:rPr>
          <w:rFonts w:ascii="宋体" w:hAnsi="宋体"/>
          <w:color w:val="auto"/>
          <w:lang w:val="zh-CN"/>
        </w:rPr>
      </w:pPr>
      <w:r>
        <w:rPr>
          <w:rFonts w:hint="eastAsia" w:ascii="宋体" w:hAnsi="宋体"/>
          <w:color w:val="auto"/>
        </w:rPr>
        <w:t>（二）招标控制价编制应按省建设厅、省财政厅和省发改委联合颁布的计价政策性文件以及建设主管部门颁布的相关政策性文件实施。</w:t>
      </w:r>
    </w:p>
    <w:p>
      <w:pPr>
        <w:spacing w:line="360" w:lineRule="auto"/>
        <w:ind w:firstLine="480" w:firstLineChars="200"/>
        <w:rPr>
          <w:rFonts w:ascii="宋体" w:hAnsi="宋体"/>
          <w:color w:val="auto"/>
          <w:lang w:val="zh-CN"/>
        </w:rPr>
      </w:pPr>
      <w:r>
        <w:rPr>
          <w:rFonts w:hint="eastAsia" w:ascii="宋体" w:hAnsi="宋体"/>
          <w:color w:val="auto"/>
          <w:lang w:val="zh-CN"/>
        </w:rPr>
        <w:t>（三）招标人在招标文件中设置专门条款明确最高投标限价，防止投标人围标抬价。最高投标限价即为招标控制价，不得高于批准的概算造价。</w:t>
      </w:r>
    </w:p>
    <w:p>
      <w:pPr>
        <w:spacing w:line="360" w:lineRule="auto"/>
        <w:ind w:firstLine="480" w:firstLineChars="200"/>
        <w:rPr>
          <w:rFonts w:ascii="宋体" w:hAnsi="宋体"/>
          <w:color w:val="auto"/>
        </w:rPr>
      </w:pPr>
      <w:r>
        <w:rPr>
          <w:rFonts w:hint="eastAsia" w:ascii="宋体" w:hAnsi="宋体"/>
          <w:color w:val="auto"/>
        </w:rPr>
        <w:t>（四）为防止投标人恶意低价竞标，招标人可以在招标文件中设置风险控制价。</w:t>
      </w:r>
    </w:p>
    <w:p>
      <w:pPr>
        <w:spacing w:line="360" w:lineRule="auto"/>
        <w:ind w:firstLine="480" w:firstLineChars="200"/>
        <w:rPr>
          <w:rFonts w:ascii="宋体" w:hAnsi="宋体" w:cs="仿宋_GB2312"/>
          <w:color w:val="auto"/>
        </w:rPr>
      </w:pPr>
      <w:r>
        <w:rPr>
          <w:rFonts w:hint="eastAsia" w:ascii="宋体" w:hAnsi="宋体"/>
          <w:color w:val="auto"/>
        </w:rPr>
        <w:t>（五）</w:t>
      </w:r>
      <w:r>
        <w:rPr>
          <w:rFonts w:hint="eastAsia" w:ascii="宋体" w:hAnsi="宋体" w:cs="仿宋_GB2312"/>
          <w:color w:val="auto"/>
        </w:rPr>
        <w:t>工程量清单计价相关事项依据</w:t>
      </w:r>
      <w:r>
        <w:rPr>
          <w:rFonts w:hint="eastAsia" w:ascii="宋体" w:hAnsi="宋体"/>
          <w:color w:val="auto"/>
        </w:rPr>
        <w:t>《浙江省建设工程计价规则》（</w:t>
      </w:r>
      <w:r>
        <w:rPr>
          <w:rFonts w:ascii="宋体" w:hAnsi="宋体"/>
          <w:color w:val="auto"/>
        </w:rPr>
        <w:t>2018</w:t>
      </w:r>
      <w:r>
        <w:rPr>
          <w:rFonts w:hint="eastAsia" w:ascii="宋体" w:hAnsi="宋体"/>
          <w:color w:val="auto"/>
        </w:rPr>
        <w:t>版）</w:t>
      </w:r>
      <w:r>
        <w:rPr>
          <w:rFonts w:hint="eastAsia" w:ascii="宋体" w:hAnsi="宋体" w:cs="仿宋_GB2312"/>
          <w:color w:val="auto"/>
        </w:rPr>
        <w:t>实施。</w:t>
      </w:r>
    </w:p>
    <w:p>
      <w:pPr>
        <w:spacing w:line="360" w:lineRule="auto"/>
        <w:ind w:firstLine="480" w:firstLineChars="200"/>
        <w:rPr>
          <w:rFonts w:ascii="宋体" w:hAnsi="宋体" w:cs="仿宋_GB2312"/>
          <w:color w:val="auto"/>
        </w:rPr>
      </w:pPr>
      <w:r>
        <w:rPr>
          <w:rFonts w:hint="eastAsia" w:ascii="宋体" w:hAnsi="宋体" w:cs="仿宋_GB2312"/>
          <w:color w:val="auto"/>
        </w:rPr>
        <w:t>（六）投标人应根据工程的实际，结合现行安全文明施工规范、施工现场管理规定要求、扬尘污染防治标准、安全文明施工标化工地创建等要求，采取合理措施，进行相应报价。</w:t>
      </w:r>
    </w:p>
    <w:p>
      <w:pPr>
        <w:pStyle w:val="2"/>
        <w:rPr>
          <w:rFonts w:ascii="宋体" w:hAnsi="宋体" w:eastAsia="宋体"/>
          <w:color w:val="auto"/>
        </w:rPr>
      </w:pPr>
    </w:p>
    <w:p>
      <w:pPr>
        <w:spacing w:line="360" w:lineRule="auto"/>
        <w:ind w:firstLine="480" w:firstLineChars="200"/>
        <w:rPr>
          <w:rFonts w:ascii="宋体" w:hAnsi="宋体"/>
          <w:color w:val="auto"/>
          <w:szCs w:val="18"/>
        </w:rPr>
      </w:pPr>
      <w:r>
        <w:rPr>
          <w:rFonts w:hint="eastAsia" w:ascii="宋体" w:hAnsi="宋体"/>
          <w:color w:val="auto"/>
          <w:szCs w:val="18"/>
        </w:rPr>
        <w:t>附：</w:t>
      </w:r>
      <w:r>
        <w:rPr>
          <w:rFonts w:ascii="宋体" w:hAnsi="宋体"/>
          <w:color w:val="auto"/>
          <w:szCs w:val="18"/>
        </w:rPr>
        <w:t>1.招标工程量清单封面（格式）</w:t>
      </w:r>
    </w:p>
    <w:p>
      <w:pPr>
        <w:pStyle w:val="25"/>
        <w:spacing w:line="360" w:lineRule="auto"/>
        <w:ind w:firstLine="600" w:firstLineChars="250"/>
        <w:rPr>
          <w:rFonts w:hAnsi="宋体"/>
          <w:color w:val="auto"/>
          <w:sz w:val="24"/>
          <w:szCs w:val="18"/>
        </w:rPr>
      </w:pPr>
      <w:r>
        <w:rPr>
          <w:rFonts w:hAnsi="宋体"/>
          <w:color w:val="auto"/>
          <w:sz w:val="24"/>
          <w:szCs w:val="18"/>
        </w:rPr>
        <w:t xml:space="preserve">   2.招标工量清单扉页（格式）</w:t>
      </w:r>
    </w:p>
    <w:p>
      <w:pPr>
        <w:pStyle w:val="25"/>
        <w:spacing w:line="360" w:lineRule="auto"/>
        <w:ind w:firstLine="960" w:firstLineChars="400"/>
        <w:rPr>
          <w:rFonts w:hAnsi="宋体"/>
          <w:color w:val="auto"/>
          <w:sz w:val="24"/>
          <w:szCs w:val="18"/>
        </w:rPr>
      </w:pPr>
      <w:r>
        <w:rPr>
          <w:rFonts w:hAnsi="宋体"/>
          <w:color w:val="auto"/>
          <w:sz w:val="24"/>
          <w:szCs w:val="18"/>
        </w:rPr>
        <w:t>3.招标工量清单编制说明（格式）</w:t>
      </w:r>
    </w:p>
    <w:p>
      <w:pPr>
        <w:pStyle w:val="25"/>
        <w:spacing w:line="360" w:lineRule="auto"/>
        <w:ind w:firstLine="840" w:firstLineChars="350"/>
        <w:rPr>
          <w:rFonts w:hAnsi="宋体"/>
          <w:color w:val="auto"/>
          <w:sz w:val="24"/>
          <w:szCs w:val="18"/>
        </w:rPr>
      </w:pPr>
      <w:r>
        <w:rPr>
          <w:rFonts w:hAnsi="宋体"/>
          <w:color w:val="auto"/>
          <w:sz w:val="24"/>
          <w:szCs w:val="18"/>
        </w:rPr>
        <w:t xml:space="preserve"> 4.工程量清单格式详见投标文件商务标格式中的有关栏目（略）。</w:t>
      </w:r>
    </w:p>
    <w:p>
      <w:pPr>
        <w:widowControl/>
        <w:spacing w:before="100" w:beforeAutospacing="1" w:after="100" w:afterAutospacing="1" w:line="360" w:lineRule="auto"/>
        <w:rPr>
          <w:rFonts w:ascii="宋体" w:hAnsi="宋体" w:eastAsia="宋体"/>
          <w:color w:val="auto"/>
          <w:sz w:val="28"/>
          <w:szCs w:val="28"/>
        </w:rPr>
      </w:pPr>
      <w:r>
        <w:rPr>
          <w:color w:val="auto"/>
          <w:szCs w:val="18"/>
        </w:rPr>
        <w:br w:type="page"/>
      </w:r>
      <w:r>
        <w:rPr>
          <w:rFonts w:hint="eastAsia" w:ascii="宋体" w:hAnsi="宋体" w:eastAsia="宋体"/>
          <w:color w:val="auto"/>
          <w:sz w:val="28"/>
          <w:szCs w:val="28"/>
        </w:rPr>
        <w:t>附件</w:t>
      </w:r>
      <w:r>
        <w:rPr>
          <w:rFonts w:ascii="宋体" w:hAnsi="宋体" w:eastAsia="宋体"/>
          <w:color w:val="auto"/>
          <w:sz w:val="28"/>
          <w:szCs w:val="28"/>
        </w:rPr>
        <w:t>1：</w:t>
      </w:r>
    </w:p>
    <w:p>
      <w:pPr>
        <w:widowControl/>
        <w:tabs>
          <w:tab w:val="center" w:pos="4755"/>
          <w:tab w:val="right" w:pos="9070"/>
        </w:tabs>
        <w:spacing w:before="100" w:beforeAutospacing="1" w:after="100" w:afterAutospacing="1"/>
        <w:ind w:firstLine="240" w:firstLineChars="100"/>
        <w:jc w:val="center"/>
        <w:rPr>
          <w:rFonts w:ascii="宋体" w:hAnsi="宋体"/>
          <w:color w:val="auto"/>
          <w:szCs w:val="21"/>
        </w:rPr>
      </w:pPr>
      <w:r>
        <w:rPr>
          <w:rFonts w:hint="eastAsia" w:ascii="宋体" w:hAnsi="宋体"/>
          <w:color w:val="auto"/>
          <w:szCs w:val="21"/>
        </w:rPr>
        <w:t>招标工程量清单封面</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noWrap w:val="0"/>
            <w:vAlign w:val="top"/>
          </w:tcPr>
          <w:p>
            <w:pPr>
              <w:widowControl/>
              <w:tabs>
                <w:tab w:val="center" w:pos="4755"/>
                <w:tab w:val="right" w:pos="9070"/>
              </w:tabs>
              <w:spacing w:before="100" w:beforeAutospacing="1" w:after="100" w:afterAutospacing="1"/>
              <w:rPr>
                <w:rFonts w:hAnsi="宋体"/>
                <w:color w:val="auto"/>
                <w:szCs w:val="28"/>
              </w:rPr>
            </w:pPr>
          </w:p>
          <w:p>
            <w:pPr>
              <w:pStyle w:val="2"/>
              <w:rPr>
                <w:color w:val="auto"/>
              </w:rPr>
            </w:pPr>
          </w:p>
          <w:p>
            <w:pPr>
              <w:rPr>
                <w:color w:val="auto"/>
              </w:rPr>
            </w:pPr>
          </w:p>
          <w:p>
            <w:pPr>
              <w:pStyle w:val="2"/>
              <w:rPr>
                <w:color w:val="auto"/>
              </w:rPr>
            </w:pPr>
          </w:p>
          <w:p>
            <w:pPr>
              <w:jc w:val="center"/>
              <w:rPr>
                <w:color w:val="auto"/>
              </w:rPr>
            </w:pPr>
            <w:r>
              <w:rPr>
                <w:color w:val="auto"/>
                <w:sz w:val="28"/>
                <w:szCs w:val="28"/>
                <w:u w:val="single"/>
              </w:rPr>
              <w:t xml:space="preserve">                                     </w:t>
            </w:r>
            <w:r>
              <w:rPr>
                <w:rFonts w:hint="eastAsia"/>
                <w:color w:val="auto"/>
                <w:sz w:val="28"/>
                <w:szCs w:val="28"/>
              </w:rPr>
              <w:t>工程</w:t>
            </w:r>
          </w:p>
          <w:p>
            <w:pPr>
              <w:pStyle w:val="2"/>
              <w:jc w:val="center"/>
              <w:rPr>
                <w:color w:val="auto"/>
              </w:rPr>
            </w:pPr>
          </w:p>
          <w:p>
            <w:pPr>
              <w:rPr>
                <w:color w:val="auto"/>
              </w:rPr>
            </w:pPr>
          </w:p>
          <w:p>
            <w:pPr>
              <w:pStyle w:val="2"/>
              <w:jc w:val="center"/>
              <w:rPr>
                <w:rFonts w:ascii="宋体" w:hAnsi="宋体" w:eastAsia="宋体"/>
                <w:color w:val="auto"/>
                <w:sz w:val="40"/>
                <w:szCs w:val="40"/>
              </w:rPr>
            </w:pPr>
            <w:r>
              <w:rPr>
                <w:rFonts w:hint="eastAsia" w:ascii="宋体" w:hAnsi="宋体" w:eastAsia="宋体"/>
                <w:color w:val="auto"/>
                <w:sz w:val="40"/>
                <w:szCs w:val="40"/>
              </w:rPr>
              <w:t>招标工程量清单</w:t>
            </w:r>
          </w:p>
          <w:p>
            <w:pPr>
              <w:rPr>
                <w:color w:val="auto"/>
              </w:rPr>
            </w:pPr>
          </w:p>
          <w:p>
            <w:pPr>
              <w:pStyle w:val="2"/>
              <w:rPr>
                <w:color w:val="auto"/>
              </w:rPr>
            </w:pPr>
          </w:p>
          <w:p>
            <w:pPr>
              <w:rPr>
                <w:color w:val="auto"/>
              </w:rPr>
            </w:pPr>
          </w:p>
          <w:p>
            <w:pPr>
              <w:pStyle w:val="2"/>
              <w:jc w:val="center"/>
              <w:rPr>
                <w:color w:val="auto"/>
              </w:rPr>
            </w:pPr>
          </w:p>
          <w:p>
            <w:pPr>
              <w:ind w:firstLine="1800" w:firstLineChars="750"/>
              <w:rPr>
                <w:rFonts w:ascii="宋体" w:hAnsi="宋体"/>
                <w:color w:val="auto"/>
              </w:rPr>
            </w:pPr>
            <w:r>
              <w:rPr>
                <w:rFonts w:hint="eastAsia" w:ascii="宋体" w:hAnsi="宋体"/>
                <w:color w:val="auto"/>
              </w:rPr>
              <w:t>招</w:t>
            </w:r>
            <w:r>
              <w:rPr>
                <w:rFonts w:ascii="宋体" w:hAnsi="宋体"/>
                <w:color w:val="auto"/>
              </w:rPr>
              <w:t xml:space="preserve">  </w:t>
            </w:r>
            <w:r>
              <w:rPr>
                <w:rFonts w:hint="eastAsia" w:ascii="宋体" w:hAnsi="宋体"/>
                <w:color w:val="auto"/>
              </w:rPr>
              <w:t>标</w:t>
            </w:r>
            <w:r>
              <w:rPr>
                <w:rFonts w:ascii="宋体" w:hAnsi="宋体"/>
                <w:color w:val="auto"/>
              </w:rPr>
              <w:t xml:space="preserve">  </w:t>
            </w:r>
            <w:r>
              <w:rPr>
                <w:rFonts w:hint="eastAsia" w:ascii="宋体" w:hAnsi="宋体"/>
                <w:color w:val="auto"/>
              </w:rPr>
              <w:t>人：</w:t>
            </w:r>
            <w:r>
              <w:rPr>
                <w:rFonts w:ascii="宋体" w:hAnsi="宋体"/>
                <w:color w:val="auto"/>
                <w:u w:val="single"/>
              </w:rPr>
              <w:t xml:space="preserve">                                </w:t>
            </w:r>
          </w:p>
          <w:p>
            <w:pPr>
              <w:pStyle w:val="2"/>
              <w:jc w:val="center"/>
              <w:rPr>
                <w:rFonts w:ascii="宋体" w:hAnsi="宋体" w:eastAsia="宋体"/>
                <w:color w:val="auto"/>
              </w:rPr>
            </w:pPr>
            <w:r>
              <w:rPr>
                <w:rFonts w:hint="eastAsia" w:ascii="宋体" w:hAnsi="宋体" w:eastAsia="宋体"/>
                <w:color w:val="auto"/>
              </w:rPr>
              <w:t>（单位盖章）</w:t>
            </w:r>
          </w:p>
          <w:p>
            <w:pPr>
              <w:jc w:val="center"/>
              <w:rPr>
                <w:rFonts w:ascii="宋体" w:hAnsi="宋体"/>
                <w:color w:val="auto"/>
              </w:rPr>
            </w:pPr>
          </w:p>
          <w:p>
            <w:pPr>
              <w:pStyle w:val="2"/>
              <w:jc w:val="center"/>
              <w:rPr>
                <w:rFonts w:ascii="宋体" w:hAnsi="宋体" w:eastAsia="宋体"/>
                <w:color w:val="auto"/>
              </w:rPr>
            </w:pPr>
          </w:p>
          <w:p>
            <w:pPr>
              <w:ind w:firstLine="1800" w:firstLineChars="750"/>
              <w:rPr>
                <w:rFonts w:ascii="宋体" w:hAnsi="宋体"/>
                <w:color w:val="auto"/>
              </w:rPr>
            </w:pPr>
            <w:r>
              <w:rPr>
                <w:rFonts w:hint="eastAsia" w:ascii="宋体" w:hAnsi="宋体"/>
                <w:color w:val="auto"/>
              </w:rPr>
              <w:t>造价咨询人：</w:t>
            </w:r>
            <w:r>
              <w:rPr>
                <w:rFonts w:ascii="宋体" w:hAnsi="宋体"/>
                <w:color w:val="auto"/>
                <w:u w:val="single"/>
              </w:rPr>
              <w:t xml:space="preserve">                                </w:t>
            </w:r>
          </w:p>
          <w:p>
            <w:pPr>
              <w:pStyle w:val="2"/>
              <w:jc w:val="center"/>
              <w:rPr>
                <w:rFonts w:ascii="宋体" w:hAnsi="宋体" w:eastAsia="宋体"/>
                <w:color w:val="auto"/>
              </w:rPr>
            </w:pPr>
            <w:r>
              <w:rPr>
                <w:rFonts w:hint="eastAsia" w:ascii="宋体" w:hAnsi="宋体" w:eastAsia="宋体"/>
                <w:color w:val="auto"/>
              </w:rPr>
              <w:t>（单位盖章）</w:t>
            </w:r>
          </w:p>
          <w:p>
            <w:pPr>
              <w:rPr>
                <w:color w:val="auto"/>
              </w:rPr>
            </w:pPr>
          </w:p>
          <w:p>
            <w:pPr>
              <w:pStyle w:val="2"/>
              <w:rPr>
                <w:color w:val="auto"/>
              </w:rPr>
            </w:pPr>
          </w:p>
          <w:p>
            <w:pPr>
              <w:rPr>
                <w:color w:val="auto"/>
              </w:rPr>
            </w:pPr>
          </w:p>
          <w:p>
            <w:pPr>
              <w:pStyle w:val="2"/>
              <w:jc w:val="center"/>
              <w:rPr>
                <w:color w:val="auto"/>
              </w:rPr>
            </w:pPr>
          </w:p>
          <w:p>
            <w:pPr>
              <w:pStyle w:val="2"/>
              <w:jc w:val="center"/>
              <w:rPr>
                <w:rFonts w:ascii="宋体" w:hAnsi="宋体" w:eastAsia="宋体"/>
                <w:color w:val="auto"/>
                <w:sz w:val="24"/>
                <w:szCs w:val="24"/>
              </w:rPr>
            </w:pPr>
            <w:r>
              <w:rPr>
                <w:rFonts w:hint="eastAsia" w:ascii="宋体" w:hAnsi="宋体" w:eastAsia="宋体"/>
                <w:color w:val="auto"/>
                <w:sz w:val="24"/>
                <w:szCs w:val="24"/>
              </w:rPr>
              <w:t>年</w:t>
            </w:r>
            <w:r>
              <w:rPr>
                <w:rFonts w:ascii="宋体" w:hAnsi="宋体" w:eastAsia="宋体"/>
                <w:color w:val="auto"/>
                <w:sz w:val="24"/>
                <w:szCs w:val="24"/>
              </w:rPr>
              <w:t xml:space="preserve">     </w:t>
            </w:r>
            <w:r>
              <w:rPr>
                <w:rFonts w:hint="eastAsia" w:ascii="宋体" w:hAnsi="宋体" w:eastAsia="宋体"/>
                <w:color w:val="auto"/>
                <w:sz w:val="24"/>
                <w:szCs w:val="24"/>
              </w:rPr>
              <w:t>月</w:t>
            </w:r>
            <w:r>
              <w:rPr>
                <w:rFonts w:ascii="宋体" w:hAnsi="宋体" w:eastAsia="宋体"/>
                <w:color w:val="auto"/>
                <w:sz w:val="24"/>
                <w:szCs w:val="24"/>
              </w:rPr>
              <w:t xml:space="preserve">     </w:t>
            </w:r>
            <w:r>
              <w:rPr>
                <w:rFonts w:hint="eastAsia" w:ascii="宋体" w:hAnsi="宋体" w:eastAsia="宋体"/>
                <w:color w:val="auto"/>
                <w:sz w:val="24"/>
                <w:szCs w:val="24"/>
              </w:rPr>
              <w:t>日</w:t>
            </w:r>
          </w:p>
          <w:p>
            <w:pPr>
              <w:pStyle w:val="2"/>
              <w:jc w:val="center"/>
              <w:rPr>
                <w:rFonts w:ascii="宋体" w:hAnsi="宋体" w:eastAsia="宋体"/>
                <w:color w:val="auto"/>
                <w:sz w:val="24"/>
                <w:szCs w:val="24"/>
              </w:rPr>
            </w:pPr>
          </w:p>
          <w:p>
            <w:pPr>
              <w:pStyle w:val="2"/>
              <w:jc w:val="center"/>
              <w:rPr>
                <w:rFonts w:ascii="宋体" w:hAnsi="宋体" w:eastAsia="宋体"/>
                <w:color w:val="auto"/>
                <w:sz w:val="24"/>
                <w:szCs w:val="24"/>
              </w:rPr>
            </w:pPr>
          </w:p>
          <w:p>
            <w:pPr>
              <w:rPr>
                <w:color w:val="auto"/>
              </w:rPr>
            </w:pPr>
          </w:p>
        </w:tc>
      </w:tr>
    </w:tbl>
    <w:p>
      <w:pPr>
        <w:widowControl/>
        <w:spacing w:before="100" w:beforeAutospacing="1" w:after="100" w:afterAutospacing="1" w:line="360" w:lineRule="auto"/>
        <w:rPr>
          <w:color w:val="auto"/>
        </w:rPr>
      </w:pPr>
      <w:r>
        <w:rPr>
          <w:color w:val="auto"/>
        </w:rPr>
        <w:br w:type="page"/>
      </w:r>
    </w:p>
    <w:p>
      <w:pPr>
        <w:widowControl/>
        <w:spacing w:before="100" w:beforeAutospacing="1" w:after="100" w:afterAutospacing="1" w:line="360" w:lineRule="auto"/>
        <w:rPr>
          <w:rFonts w:ascii="宋体" w:hAnsi="宋体" w:eastAsia="宋体"/>
          <w:color w:val="auto"/>
          <w:sz w:val="28"/>
          <w:szCs w:val="28"/>
        </w:rPr>
      </w:pPr>
      <w:r>
        <w:rPr>
          <w:rFonts w:hint="eastAsia" w:ascii="宋体" w:hAnsi="宋体" w:eastAsia="宋体"/>
          <w:color w:val="auto"/>
          <w:sz w:val="28"/>
          <w:szCs w:val="28"/>
        </w:rPr>
        <w:t>附件</w:t>
      </w:r>
      <w:r>
        <w:rPr>
          <w:rFonts w:ascii="宋体" w:hAnsi="宋体" w:eastAsia="宋体"/>
          <w:color w:val="auto"/>
          <w:sz w:val="28"/>
          <w:szCs w:val="28"/>
        </w:rPr>
        <w:t>2：</w:t>
      </w:r>
    </w:p>
    <w:p>
      <w:pPr>
        <w:widowControl/>
        <w:tabs>
          <w:tab w:val="center" w:pos="4755"/>
          <w:tab w:val="right" w:pos="9070"/>
        </w:tabs>
        <w:spacing w:before="100" w:beforeAutospacing="1" w:after="100" w:afterAutospacing="1"/>
        <w:ind w:firstLine="240" w:firstLineChars="100"/>
        <w:jc w:val="center"/>
        <w:rPr>
          <w:rFonts w:ascii="宋体" w:hAnsi="宋体"/>
          <w:color w:val="auto"/>
          <w:szCs w:val="21"/>
        </w:rPr>
      </w:pPr>
      <w:r>
        <w:rPr>
          <w:rFonts w:hint="eastAsia" w:ascii="宋体" w:hAnsi="宋体"/>
          <w:color w:val="auto"/>
          <w:szCs w:val="21"/>
        </w:rPr>
        <w:t>招标工程量清单扉页</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noWrap w:val="0"/>
            <w:vAlign w:val="top"/>
          </w:tcPr>
          <w:p>
            <w:pPr>
              <w:pStyle w:val="2"/>
              <w:tabs>
                <w:tab w:val="center" w:pos="4755"/>
                <w:tab w:val="right" w:pos="9070"/>
              </w:tabs>
              <w:spacing w:before="100" w:beforeAutospacing="1" w:afterAutospacing="1"/>
              <w:jc w:val="center"/>
              <w:rPr>
                <w:rFonts w:hAnsi="宋体"/>
                <w:color w:val="auto"/>
                <w:szCs w:val="28"/>
              </w:rPr>
            </w:pPr>
          </w:p>
          <w:p>
            <w:pPr>
              <w:pStyle w:val="2"/>
              <w:jc w:val="center"/>
              <w:rPr>
                <w:color w:val="auto"/>
              </w:rPr>
            </w:pPr>
          </w:p>
          <w:p>
            <w:pPr>
              <w:pStyle w:val="2"/>
              <w:ind w:firstLine="2800" w:firstLineChars="1000"/>
              <w:jc w:val="center"/>
              <w:rPr>
                <w:color w:val="auto"/>
              </w:rPr>
            </w:pPr>
            <w:r>
              <w:rPr>
                <w:color w:val="auto"/>
                <w:sz w:val="28"/>
                <w:szCs w:val="28"/>
                <w:u w:val="single"/>
              </w:rPr>
              <w:t xml:space="preserve">                                     </w:t>
            </w:r>
            <w:r>
              <w:rPr>
                <w:rFonts w:hint="eastAsia"/>
                <w:color w:val="auto"/>
                <w:sz w:val="28"/>
                <w:szCs w:val="28"/>
              </w:rPr>
              <w:t>工程</w:t>
            </w:r>
          </w:p>
          <w:p>
            <w:pPr>
              <w:pStyle w:val="2"/>
              <w:jc w:val="center"/>
              <w:rPr>
                <w:color w:val="auto"/>
              </w:rPr>
            </w:pPr>
          </w:p>
          <w:p>
            <w:pPr>
              <w:pStyle w:val="2"/>
              <w:jc w:val="center"/>
              <w:rPr>
                <w:color w:val="auto"/>
              </w:rPr>
            </w:pPr>
          </w:p>
          <w:p>
            <w:pPr>
              <w:pStyle w:val="2"/>
              <w:jc w:val="center"/>
              <w:rPr>
                <w:rFonts w:ascii="宋体" w:hAnsi="宋体" w:eastAsia="宋体"/>
                <w:color w:val="auto"/>
                <w:sz w:val="40"/>
                <w:szCs w:val="40"/>
              </w:rPr>
            </w:pPr>
            <w:r>
              <w:rPr>
                <w:rFonts w:hint="eastAsia" w:ascii="宋体" w:hAnsi="宋体" w:eastAsia="宋体"/>
                <w:color w:val="auto"/>
                <w:sz w:val="40"/>
                <w:szCs w:val="40"/>
              </w:rPr>
              <w:t>招标工程量清单</w:t>
            </w:r>
          </w:p>
          <w:p>
            <w:pPr>
              <w:pStyle w:val="2"/>
              <w:jc w:val="center"/>
              <w:rPr>
                <w:color w:val="auto"/>
              </w:rPr>
            </w:pPr>
          </w:p>
          <w:p>
            <w:pPr>
              <w:pStyle w:val="2"/>
              <w:jc w:val="center"/>
              <w:rPr>
                <w:color w:val="auto"/>
              </w:rPr>
            </w:pPr>
          </w:p>
          <w:p>
            <w:pPr>
              <w:pStyle w:val="2"/>
              <w:jc w:val="center"/>
              <w:rPr>
                <w:color w:val="auto"/>
              </w:rPr>
            </w:pPr>
          </w:p>
          <w:p>
            <w:pPr>
              <w:pStyle w:val="2"/>
              <w:ind w:firstLine="1650" w:firstLineChars="750"/>
              <w:rPr>
                <w:rFonts w:ascii="宋体" w:hAnsi="宋体"/>
                <w:color w:val="auto"/>
              </w:rPr>
            </w:pPr>
            <w:r>
              <w:rPr>
                <w:rFonts w:hint="eastAsia" w:ascii="宋体" w:hAnsi="宋体"/>
                <w:color w:val="auto"/>
              </w:rPr>
              <w:t>招</w:t>
            </w:r>
            <w:r>
              <w:rPr>
                <w:rFonts w:ascii="宋体" w:hAnsi="宋体"/>
                <w:color w:val="auto"/>
              </w:rPr>
              <w:t xml:space="preserve">  </w:t>
            </w:r>
            <w:r>
              <w:rPr>
                <w:rFonts w:hint="eastAsia" w:ascii="宋体" w:hAnsi="宋体"/>
                <w:color w:val="auto"/>
              </w:rPr>
              <w:t>标</w:t>
            </w:r>
            <w:r>
              <w:rPr>
                <w:rFonts w:ascii="宋体" w:hAnsi="宋体"/>
                <w:color w:val="auto"/>
              </w:rPr>
              <w:t xml:space="preserve">  </w:t>
            </w:r>
            <w:r>
              <w:rPr>
                <w:rFonts w:hint="eastAsia" w:ascii="宋体" w:hAnsi="宋体"/>
                <w:color w:val="auto"/>
              </w:rPr>
              <w:t>人：</w:t>
            </w:r>
            <w:r>
              <w:rPr>
                <w:rFonts w:ascii="宋体" w:hAnsi="宋体"/>
                <w:color w:val="auto"/>
                <w:u w:val="single"/>
              </w:rPr>
              <w:t xml:space="preserve">                       </w:t>
            </w:r>
            <w:r>
              <w:rPr>
                <w:rFonts w:ascii="宋体" w:hAnsi="宋体"/>
                <w:color w:val="auto"/>
              </w:rPr>
              <w:t xml:space="preserve">            造价咨询人：</w:t>
            </w:r>
            <w:r>
              <w:rPr>
                <w:rFonts w:ascii="宋体" w:hAnsi="宋体"/>
                <w:color w:val="auto"/>
                <w:u w:val="single"/>
              </w:rPr>
              <w:t xml:space="preserve">                    </w:t>
            </w:r>
          </w:p>
          <w:p>
            <w:pPr>
              <w:pStyle w:val="2"/>
              <w:ind w:firstLine="1980" w:firstLineChars="900"/>
              <w:rPr>
                <w:rFonts w:ascii="宋体" w:hAnsi="宋体" w:eastAsia="宋体"/>
                <w:color w:val="auto"/>
              </w:rPr>
            </w:pPr>
            <w:r>
              <w:rPr>
                <w:rFonts w:hint="eastAsia" w:ascii="宋体" w:hAnsi="宋体" w:eastAsia="宋体"/>
                <w:color w:val="auto"/>
              </w:rPr>
              <w:t>（单位盖章）</w:t>
            </w:r>
            <w:r>
              <w:rPr>
                <w:rFonts w:ascii="宋体" w:hAnsi="宋体" w:eastAsia="宋体"/>
                <w:color w:val="auto"/>
              </w:rPr>
              <w:t xml:space="preserve">                               </w:t>
            </w:r>
            <w:r>
              <w:rPr>
                <w:rFonts w:hint="eastAsia" w:ascii="宋体" w:hAnsi="宋体" w:eastAsia="宋体"/>
                <w:color w:val="auto"/>
              </w:rPr>
              <w:t>（单位盖章）</w:t>
            </w:r>
          </w:p>
          <w:p>
            <w:pPr>
              <w:pStyle w:val="2"/>
              <w:rPr>
                <w:rFonts w:ascii="宋体" w:hAnsi="宋体"/>
                <w:color w:val="auto"/>
              </w:rPr>
            </w:pPr>
          </w:p>
          <w:p>
            <w:pPr>
              <w:pStyle w:val="2"/>
              <w:rPr>
                <w:rFonts w:ascii="宋体" w:hAnsi="宋体" w:eastAsia="宋体"/>
                <w:color w:val="auto"/>
              </w:rPr>
            </w:pPr>
          </w:p>
          <w:p>
            <w:pPr>
              <w:pStyle w:val="2"/>
              <w:ind w:firstLine="1650" w:firstLineChars="750"/>
              <w:rPr>
                <w:rFonts w:ascii="宋体" w:hAnsi="宋体"/>
                <w:color w:val="auto"/>
              </w:rPr>
            </w:pPr>
            <w:r>
              <w:rPr>
                <w:rFonts w:hint="eastAsia" w:ascii="宋体" w:hAnsi="宋体"/>
                <w:color w:val="auto"/>
              </w:rPr>
              <w:t>法定代表人</w:t>
            </w:r>
            <w:r>
              <w:rPr>
                <w:rFonts w:ascii="宋体" w:hAnsi="宋体"/>
                <w:color w:val="auto"/>
              </w:rPr>
              <w:t xml:space="preserve">                                     </w:t>
            </w:r>
            <w:r>
              <w:rPr>
                <w:rFonts w:hint="eastAsia" w:ascii="宋体" w:hAnsi="宋体"/>
                <w:color w:val="auto"/>
              </w:rPr>
              <w:t>法定代表人</w:t>
            </w:r>
          </w:p>
          <w:p>
            <w:pPr>
              <w:pStyle w:val="2"/>
              <w:ind w:firstLine="1650" w:firstLineChars="750"/>
              <w:rPr>
                <w:rFonts w:ascii="宋体" w:hAnsi="宋体"/>
                <w:color w:val="auto"/>
              </w:rPr>
            </w:pPr>
            <w:r>
              <w:rPr>
                <w:rFonts w:hint="eastAsia" w:ascii="宋体" w:hAnsi="宋体"/>
                <w:color w:val="auto"/>
              </w:rPr>
              <w:t>或其授权人：</w:t>
            </w:r>
            <w:r>
              <w:rPr>
                <w:rFonts w:ascii="宋体" w:hAnsi="宋体"/>
                <w:color w:val="auto"/>
                <w:u w:val="single"/>
              </w:rPr>
              <w:t xml:space="preserve">                       </w:t>
            </w:r>
            <w:r>
              <w:rPr>
                <w:rFonts w:ascii="宋体" w:hAnsi="宋体"/>
                <w:color w:val="auto"/>
              </w:rPr>
              <w:t xml:space="preserve">            或其授权人：</w:t>
            </w:r>
            <w:r>
              <w:rPr>
                <w:rFonts w:ascii="宋体" w:hAnsi="宋体"/>
                <w:color w:val="auto"/>
                <w:u w:val="single"/>
              </w:rPr>
              <w:t xml:space="preserve">                     </w:t>
            </w:r>
            <w:r>
              <w:rPr>
                <w:rFonts w:ascii="宋体" w:hAnsi="宋体"/>
                <w:color w:val="auto"/>
              </w:rPr>
              <w:t xml:space="preserve">         </w:t>
            </w:r>
          </w:p>
          <w:p>
            <w:pPr>
              <w:pStyle w:val="2"/>
              <w:ind w:firstLine="1760" w:firstLineChars="800"/>
              <w:rPr>
                <w:rFonts w:ascii="宋体" w:hAnsi="宋体" w:eastAsia="宋体"/>
                <w:color w:val="auto"/>
              </w:rPr>
            </w:pPr>
            <w:r>
              <w:rPr>
                <w:rFonts w:hint="eastAsia" w:ascii="宋体" w:hAnsi="宋体" w:eastAsia="宋体"/>
                <w:color w:val="auto"/>
              </w:rPr>
              <w:t>（签字或盖章）</w:t>
            </w:r>
            <w:r>
              <w:rPr>
                <w:rFonts w:ascii="宋体" w:hAnsi="宋体" w:eastAsia="宋体"/>
                <w:color w:val="auto"/>
              </w:rPr>
              <w:t xml:space="preserve">                               </w:t>
            </w:r>
            <w:r>
              <w:rPr>
                <w:rFonts w:hint="eastAsia" w:ascii="宋体" w:hAnsi="宋体" w:eastAsia="宋体"/>
                <w:color w:val="auto"/>
              </w:rPr>
              <w:t>（签字或盖章）</w:t>
            </w:r>
          </w:p>
          <w:p>
            <w:pPr>
              <w:pStyle w:val="2"/>
              <w:rPr>
                <w:rFonts w:ascii="宋体" w:hAnsi="宋体"/>
                <w:color w:val="auto"/>
                <w:u w:val="single"/>
              </w:rPr>
            </w:pPr>
          </w:p>
          <w:p>
            <w:pPr>
              <w:pStyle w:val="2"/>
              <w:rPr>
                <w:rFonts w:ascii="宋体" w:hAnsi="宋体"/>
                <w:color w:val="auto"/>
              </w:rPr>
            </w:pPr>
          </w:p>
          <w:p>
            <w:pPr>
              <w:pStyle w:val="2"/>
              <w:rPr>
                <w:rFonts w:ascii="宋体" w:hAnsi="宋体"/>
                <w:color w:val="auto"/>
                <w:u w:val="single"/>
              </w:rPr>
            </w:pPr>
            <w:r>
              <w:rPr>
                <w:rFonts w:hint="eastAsia" w:ascii="宋体" w:hAnsi="宋体"/>
                <w:color w:val="auto"/>
              </w:rPr>
              <w:t>编</w:t>
            </w:r>
            <w:r>
              <w:rPr>
                <w:rFonts w:ascii="宋体" w:hAnsi="宋体"/>
                <w:color w:val="auto"/>
              </w:rPr>
              <w:t xml:space="preserve">  </w:t>
            </w:r>
            <w:r>
              <w:rPr>
                <w:rFonts w:hint="eastAsia" w:ascii="宋体" w:hAnsi="宋体"/>
                <w:color w:val="auto"/>
              </w:rPr>
              <w:t>制</w:t>
            </w:r>
            <w:r>
              <w:rPr>
                <w:rFonts w:ascii="宋体" w:hAnsi="宋体"/>
                <w:color w:val="auto"/>
              </w:rPr>
              <w:t xml:space="preserve">  </w:t>
            </w:r>
            <w:r>
              <w:rPr>
                <w:rFonts w:hint="eastAsia" w:ascii="宋体" w:hAnsi="宋体"/>
                <w:color w:val="auto"/>
              </w:rPr>
              <w:t>人：</w:t>
            </w:r>
            <w:r>
              <w:rPr>
                <w:rFonts w:ascii="宋体" w:hAnsi="宋体"/>
                <w:color w:val="auto"/>
                <w:u w:val="single"/>
              </w:rPr>
              <w:t xml:space="preserve">                        </w:t>
            </w:r>
            <w:r>
              <w:rPr>
                <w:rFonts w:ascii="宋体" w:hAnsi="宋体"/>
                <w:color w:val="auto"/>
              </w:rPr>
              <w:t xml:space="preserve">           复  核  人：</w:t>
            </w:r>
            <w:r>
              <w:rPr>
                <w:rFonts w:ascii="宋体" w:hAnsi="宋体"/>
                <w:color w:val="auto"/>
                <w:u w:val="single"/>
              </w:rPr>
              <w:t xml:space="preserve">                    </w:t>
            </w:r>
          </w:p>
          <w:p>
            <w:pPr>
              <w:pStyle w:val="2"/>
              <w:ind w:firstLine="1100" w:firstLineChars="500"/>
              <w:rPr>
                <w:rFonts w:ascii="宋体" w:hAnsi="宋体" w:eastAsia="宋体"/>
                <w:color w:val="auto"/>
              </w:rPr>
            </w:pPr>
            <w:r>
              <w:rPr>
                <w:rFonts w:hint="eastAsia" w:ascii="宋体" w:hAnsi="宋体" w:eastAsia="宋体"/>
                <w:color w:val="auto"/>
              </w:rPr>
              <w:t>（造价工程师签字盖专用章）</w:t>
            </w:r>
            <w:r>
              <w:rPr>
                <w:rFonts w:ascii="宋体" w:hAnsi="宋体" w:eastAsia="宋体"/>
                <w:color w:val="auto"/>
              </w:rPr>
              <w:t xml:space="preserve">                    </w:t>
            </w:r>
            <w:r>
              <w:rPr>
                <w:rFonts w:hint="eastAsia" w:ascii="宋体" w:hAnsi="宋体" w:eastAsia="宋体"/>
                <w:color w:val="auto"/>
              </w:rPr>
              <w:t>（造价工程师签字盖专用章）</w:t>
            </w:r>
          </w:p>
          <w:p>
            <w:pPr>
              <w:rPr>
                <w:rFonts w:ascii="宋体" w:hAnsi="宋体"/>
                <w:color w:val="auto"/>
              </w:rPr>
            </w:pPr>
          </w:p>
          <w:p>
            <w:pPr>
              <w:pStyle w:val="2"/>
              <w:rPr>
                <w:rFonts w:ascii="宋体" w:hAnsi="宋体" w:eastAsia="宋体"/>
                <w:color w:val="auto"/>
              </w:rPr>
            </w:pPr>
          </w:p>
          <w:p>
            <w:pPr>
              <w:rPr>
                <w:color w:val="auto"/>
              </w:rPr>
            </w:pPr>
            <w:r>
              <w:rPr>
                <w:rFonts w:hint="eastAsia" w:ascii="宋体" w:hAnsi="宋体"/>
                <w:color w:val="auto"/>
              </w:rPr>
              <w:t>编</w:t>
            </w:r>
            <w:r>
              <w:rPr>
                <w:rFonts w:ascii="宋体" w:hAnsi="宋体"/>
                <w:color w:val="auto"/>
              </w:rPr>
              <w:t xml:space="preserve"> </w:t>
            </w:r>
            <w:r>
              <w:rPr>
                <w:rFonts w:hint="eastAsia" w:ascii="宋体" w:hAnsi="宋体"/>
                <w:color w:val="auto"/>
              </w:rPr>
              <w:t>制</w:t>
            </w:r>
            <w:r>
              <w:rPr>
                <w:rFonts w:ascii="宋体" w:hAnsi="宋体"/>
                <w:color w:val="auto"/>
              </w:rPr>
              <w:t xml:space="preserve"> </w:t>
            </w:r>
            <w:r>
              <w:rPr>
                <w:rFonts w:hint="eastAsia" w:ascii="宋体" w:hAnsi="宋体"/>
                <w:color w:val="auto"/>
              </w:rPr>
              <w:t>时</w:t>
            </w:r>
            <w:r>
              <w:rPr>
                <w:rFonts w:ascii="宋体" w:hAnsi="宋体"/>
                <w:color w:val="auto"/>
              </w:rPr>
              <w:t xml:space="preserve"> </w:t>
            </w:r>
            <w:r>
              <w:rPr>
                <w:rFonts w:hint="eastAsia" w:ascii="宋体" w:hAnsi="宋体"/>
                <w:color w:val="auto"/>
              </w:rPr>
              <w:t>间：</w:t>
            </w:r>
            <w:r>
              <w:rPr>
                <w:rFonts w:ascii="宋体" w:hAnsi="宋体"/>
                <w:color w:val="auto"/>
              </w:rPr>
              <w:t xml:space="preserve">  </w:t>
            </w:r>
            <w:r>
              <w:rPr>
                <w:rFonts w:hint="eastAsia" w:ascii="宋体" w:hAnsi="宋体"/>
                <w:color w:val="auto"/>
              </w:rPr>
              <w:t>年</w:t>
            </w:r>
            <w:r>
              <w:rPr>
                <w:rFonts w:ascii="宋体" w:hAnsi="宋体"/>
                <w:color w:val="auto"/>
              </w:rPr>
              <w:t xml:space="preserve">   月   </w:t>
            </w:r>
            <w:r>
              <w:rPr>
                <w:rFonts w:hint="eastAsia" w:ascii="宋体" w:hAnsi="宋体"/>
                <w:color w:val="auto"/>
              </w:rPr>
              <w:t>日</w:t>
            </w:r>
            <w:r>
              <w:rPr>
                <w:rFonts w:ascii="宋体" w:hAnsi="宋体"/>
                <w:color w:val="auto"/>
              </w:rPr>
              <w:t xml:space="preserve">                </w:t>
            </w:r>
            <w:r>
              <w:rPr>
                <w:rFonts w:hint="eastAsia" w:ascii="宋体" w:hAnsi="宋体"/>
                <w:color w:val="auto"/>
              </w:rPr>
              <w:t>编</w:t>
            </w:r>
            <w:r>
              <w:rPr>
                <w:rFonts w:ascii="宋体" w:hAnsi="宋体"/>
                <w:color w:val="auto"/>
              </w:rPr>
              <w:t xml:space="preserve"> </w:t>
            </w:r>
            <w:r>
              <w:rPr>
                <w:rFonts w:hint="eastAsia" w:ascii="宋体" w:hAnsi="宋体"/>
                <w:color w:val="auto"/>
              </w:rPr>
              <w:t>制</w:t>
            </w:r>
            <w:r>
              <w:rPr>
                <w:rFonts w:ascii="宋体" w:hAnsi="宋体"/>
                <w:color w:val="auto"/>
              </w:rPr>
              <w:t xml:space="preserve"> </w:t>
            </w:r>
            <w:r>
              <w:rPr>
                <w:rFonts w:hint="eastAsia" w:ascii="宋体" w:hAnsi="宋体"/>
                <w:color w:val="auto"/>
              </w:rPr>
              <w:t>时</w:t>
            </w:r>
            <w:r>
              <w:rPr>
                <w:rFonts w:ascii="宋体" w:hAnsi="宋体"/>
                <w:color w:val="auto"/>
              </w:rPr>
              <w:t xml:space="preserve"> </w:t>
            </w:r>
            <w:r>
              <w:rPr>
                <w:rFonts w:hint="eastAsia" w:ascii="宋体" w:hAnsi="宋体"/>
                <w:color w:val="auto"/>
              </w:rPr>
              <w:t>间：</w:t>
            </w:r>
            <w:r>
              <w:rPr>
                <w:rFonts w:ascii="宋体" w:hAnsi="宋体"/>
                <w:color w:val="auto"/>
              </w:rPr>
              <w:t xml:space="preserve">  </w:t>
            </w:r>
            <w:r>
              <w:rPr>
                <w:rFonts w:hint="eastAsia" w:ascii="宋体" w:hAnsi="宋体"/>
                <w:color w:val="auto"/>
              </w:rPr>
              <w:t>年</w:t>
            </w:r>
            <w:r>
              <w:rPr>
                <w:rFonts w:ascii="宋体" w:hAnsi="宋体"/>
                <w:color w:val="auto"/>
              </w:rPr>
              <w:t xml:space="preserve">   月   </w:t>
            </w:r>
            <w:r>
              <w:rPr>
                <w:rFonts w:hint="eastAsia" w:ascii="宋体" w:hAnsi="宋体"/>
                <w:color w:val="auto"/>
              </w:rPr>
              <w:t>日</w:t>
            </w:r>
          </w:p>
          <w:p>
            <w:pPr>
              <w:rPr>
                <w:color w:val="auto"/>
              </w:rPr>
            </w:pPr>
          </w:p>
          <w:p>
            <w:pPr>
              <w:pStyle w:val="2"/>
              <w:ind w:firstLine="1760" w:firstLineChars="800"/>
              <w:rPr>
                <w:rFonts w:ascii="宋体" w:hAnsi="宋体" w:eastAsia="宋体"/>
                <w:color w:val="auto"/>
              </w:rPr>
            </w:pPr>
          </w:p>
          <w:p>
            <w:pPr>
              <w:pStyle w:val="2"/>
              <w:jc w:val="center"/>
              <w:rPr>
                <w:color w:val="auto"/>
              </w:rPr>
            </w:pPr>
          </w:p>
          <w:p>
            <w:pPr>
              <w:pStyle w:val="2"/>
              <w:jc w:val="center"/>
              <w:rPr>
                <w:color w:val="auto"/>
              </w:rPr>
            </w:pPr>
          </w:p>
          <w:p>
            <w:pPr>
              <w:pStyle w:val="2"/>
              <w:jc w:val="center"/>
              <w:rPr>
                <w:color w:val="auto"/>
              </w:rPr>
            </w:pPr>
          </w:p>
        </w:tc>
      </w:tr>
    </w:tbl>
    <w:p>
      <w:pPr>
        <w:widowControl/>
        <w:spacing w:before="100" w:beforeAutospacing="1" w:after="100" w:afterAutospacing="1" w:line="360" w:lineRule="auto"/>
        <w:rPr>
          <w:rFonts w:ascii="宋体" w:hAnsi="宋体"/>
          <w:color w:val="auto"/>
          <w:sz w:val="28"/>
          <w:szCs w:val="32"/>
        </w:rPr>
      </w:pPr>
      <w:r>
        <w:rPr>
          <w:rFonts w:hint="eastAsia" w:ascii="宋体" w:hAnsi="宋体"/>
          <w:color w:val="auto"/>
          <w:sz w:val="28"/>
          <w:szCs w:val="32"/>
        </w:rPr>
        <w:t>附件</w:t>
      </w:r>
      <w:r>
        <w:rPr>
          <w:rFonts w:ascii="宋体" w:hAnsi="宋体"/>
          <w:color w:val="auto"/>
          <w:sz w:val="28"/>
          <w:szCs w:val="32"/>
        </w:rPr>
        <w:t>3：</w:t>
      </w:r>
    </w:p>
    <w:p>
      <w:pPr>
        <w:pStyle w:val="2"/>
        <w:jc w:val="center"/>
        <w:rPr>
          <w:rFonts w:ascii="宋体" w:hAnsi="宋体" w:eastAsia="宋体"/>
          <w:color w:val="auto"/>
          <w:sz w:val="24"/>
          <w:szCs w:val="24"/>
        </w:rPr>
      </w:pPr>
      <w:r>
        <w:rPr>
          <w:rFonts w:hint="eastAsia" w:ascii="宋体" w:hAnsi="宋体" w:eastAsia="宋体"/>
          <w:color w:val="auto"/>
          <w:szCs w:val="24"/>
        </w:rPr>
        <w:t>编制说明</w:t>
      </w:r>
    </w:p>
    <w:p>
      <w:pPr>
        <w:widowControl/>
        <w:tabs>
          <w:tab w:val="center" w:pos="4755"/>
          <w:tab w:val="right" w:pos="9070"/>
        </w:tabs>
        <w:rPr>
          <w:rFonts w:ascii="宋体" w:hAnsi="宋体"/>
          <w:color w:val="auto"/>
        </w:rPr>
      </w:pPr>
      <w:r>
        <w:rPr>
          <w:rFonts w:hint="eastAsia" w:ascii="宋体" w:hAnsi="宋体"/>
          <w:color w:val="auto"/>
        </w:rPr>
        <w:t>工程名称：</w:t>
      </w:r>
      <w:r>
        <w:rPr>
          <w:rFonts w:ascii="宋体" w:hAnsi="宋体"/>
          <w:color w:val="auto"/>
        </w:rPr>
        <w:t xml:space="preserve">                                                   </w:t>
      </w:r>
      <w:r>
        <w:rPr>
          <w:rFonts w:hint="eastAsia" w:ascii="宋体" w:hAnsi="宋体"/>
          <w:color w:val="auto"/>
        </w:rPr>
        <w:t>第</w:t>
      </w:r>
      <w:r>
        <w:rPr>
          <w:rFonts w:ascii="宋体" w:hAnsi="宋体"/>
          <w:color w:val="auto"/>
        </w:rPr>
        <w:t xml:space="preserve">  </w:t>
      </w:r>
      <w:r>
        <w:rPr>
          <w:rFonts w:hint="eastAsia" w:ascii="宋体" w:hAnsi="宋体"/>
          <w:color w:val="auto"/>
        </w:rPr>
        <w:t>页</w:t>
      </w:r>
      <w:r>
        <w:rPr>
          <w:rFonts w:ascii="宋体" w:hAnsi="宋体"/>
          <w:color w:val="auto"/>
        </w:rPr>
        <w:t xml:space="preserve"> </w:t>
      </w:r>
      <w:r>
        <w:rPr>
          <w:rFonts w:hint="eastAsia" w:ascii="宋体" w:hAnsi="宋体"/>
          <w:color w:val="auto"/>
        </w:rPr>
        <w:t>共</w:t>
      </w:r>
      <w:r>
        <w:rPr>
          <w:rFonts w:ascii="宋体" w:hAnsi="宋体"/>
          <w:color w:val="auto"/>
        </w:rPr>
        <w:t xml:space="preserve"> </w:t>
      </w:r>
      <w:r>
        <w:rPr>
          <w:rFonts w:hint="eastAsia" w:ascii="宋体" w:hAnsi="宋体"/>
          <w:color w:val="auto"/>
        </w:rPr>
        <w:t>页</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468" w:hRule="atLeast"/>
        </w:trPr>
        <w:tc>
          <w:tcPr>
            <w:tcW w:w="9286" w:type="dxa"/>
            <w:noWrap w:val="0"/>
            <w:vAlign w:val="top"/>
          </w:tcPr>
          <w:p>
            <w:pPr>
              <w:widowControl/>
              <w:tabs>
                <w:tab w:val="center" w:pos="4755"/>
                <w:tab w:val="right" w:pos="9070"/>
              </w:tabs>
              <w:spacing w:before="100" w:beforeAutospacing="1" w:line="300" w:lineRule="auto"/>
              <w:ind w:firstLine="480" w:firstLineChars="200"/>
              <w:rPr>
                <w:rFonts w:ascii="宋体" w:hAnsi="宋体" w:eastAsia="宋体"/>
                <w:color w:val="auto"/>
                <w:szCs w:val="28"/>
              </w:rPr>
            </w:pPr>
          </w:p>
          <w:p>
            <w:pPr>
              <w:pStyle w:val="129"/>
              <w:widowControl/>
              <w:numPr>
                <w:ilvl w:val="3"/>
                <w:numId w:val="42"/>
              </w:numPr>
              <w:tabs>
                <w:tab w:val="center" w:pos="4755"/>
                <w:tab w:val="right" w:pos="9070"/>
              </w:tabs>
              <w:spacing w:before="100" w:beforeAutospacing="1" w:line="300" w:lineRule="auto"/>
              <w:ind w:left="0" w:firstLine="480" w:firstLineChars="200"/>
              <w:rPr>
                <w:rFonts w:ascii="宋体" w:hAnsi="宋体" w:eastAsia="宋体"/>
                <w:color w:val="auto"/>
                <w:szCs w:val="28"/>
              </w:rPr>
            </w:pPr>
            <w:r>
              <w:rPr>
                <w:rFonts w:hint="eastAsia" w:ascii="宋体" w:hAnsi="宋体" w:eastAsia="宋体"/>
                <w:color w:val="auto"/>
                <w:szCs w:val="28"/>
              </w:rPr>
              <w:t>工程概况：建设地址、建筑面积、建筑高度、占地面积、经济指标、层高、层数、结构形式、定额（计划）工期、质量目标、施工现场情况、自然地理条件、环境保护要求等。</w:t>
            </w:r>
          </w:p>
          <w:p>
            <w:pPr>
              <w:pStyle w:val="129"/>
              <w:widowControl/>
              <w:numPr>
                <w:ilvl w:val="3"/>
                <w:numId w:val="42"/>
              </w:numPr>
              <w:tabs>
                <w:tab w:val="center" w:pos="4755"/>
                <w:tab w:val="right" w:pos="9070"/>
              </w:tabs>
              <w:spacing w:before="100" w:beforeAutospacing="1" w:line="300" w:lineRule="auto"/>
              <w:ind w:left="0" w:firstLine="480" w:firstLineChars="200"/>
              <w:rPr>
                <w:rFonts w:ascii="宋体" w:hAnsi="宋体" w:eastAsia="宋体"/>
                <w:color w:val="auto"/>
                <w:szCs w:val="28"/>
              </w:rPr>
            </w:pPr>
            <w:r>
              <w:rPr>
                <w:rFonts w:hint="eastAsia" w:ascii="宋体" w:hAnsi="宋体" w:eastAsia="宋体"/>
                <w:color w:val="auto"/>
                <w:szCs w:val="28"/>
              </w:rPr>
              <w:t>编制依据：计价依据、标准与规范、施工图纸、标准图集等。</w:t>
            </w:r>
          </w:p>
          <w:p>
            <w:pPr>
              <w:pStyle w:val="129"/>
              <w:widowControl/>
              <w:numPr>
                <w:ilvl w:val="3"/>
                <w:numId w:val="42"/>
              </w:numPr>
              <w:tabs>
                <w:tab w:val="center" w:pos="4755"/>
                <w:tab w:val="right" w:pos="9070"/>
              </w:tabs>
              <w:spacing w:before="100" w:beforeAutospacing="1" w:line="300" w:lineRule="auto"/>
              <w:ind w:left="0" w:firstLine="480" w:firstLineChars="200"/>
              <w:rPr>
                <w:rFonts w:ascii="宋体" w:hAnsi="宋体" w:eastAsia="宋体"/>
                <w:color w:val="auto"/>
                <w:szCs w:val="28"/>
              </w:rPr>
            </w:pPr>
            <w:r>
              <w:rPr>
                <w:rFonts w:hint="eastAsia" w:ascii="宋体" w:hAnsi="宋体" w:eastAsia="宋体"/>
                <w:color w:val="auto"/>
                <w:szCs w:val="28"/>
              </w:rPr>
              <w:t>采用（或经合同双方批准、确认）的施工组织设计。</w:t>
            </w:r>
          </w:p>
          <w:p>
            <w:pPr>
              <w:pStyle w:val="129"/>
              <w:widowControl/>
              <w:numPr>
                <w:ilvl w:val="3"/>
                <w:numId w:val="42"/>
              </w:numPr>
              <w:tabs>
                <w:tab w:val="center" w:pos="4755"/>
                <w:tab w:val="right" w:pos="9070"/>
              </w:tabs>
              <w:spacing w:before="100" w:beforeAutospacing="1" w:line="300" w:lineRule="auto"/>
              <w:ind w:left="0" w:firstLine="480" w:firstLineChars="200"/>
              <w:rPr>
                <w:rFonts w:ascii="宋体" w:hAnsi="宋体" w:eastAsia="宋体"/>
                <w:color w:val="auto"/>
                <w:szCs w:val="28"/>
              </w:rPr>
            </w:pPr>
            <w:r>
              <w:rPr>
                <w:rFonts w:hint="eastAsia" w:ascii="宋体" w:hAnsi="宋体" w:eastAsia="宋体"/>
                <w:color w:val="auto"/>
                <w:szCs w:val="28"/>
              </w:rPr>
              <w:t>综合单价需（或已）包括的风险因素、范围（幅度）。</w:t>
            </w:r>
          </w:p>
          <w:p>
            <w:pPr>
              <w:pStyle w:val="129"/>
              <w:widowControl/>
              <w:numPr>
                <w:ilvl w:val="3"/>
                <w:numId w:val="42"/>
              </w:numPr>
              <w:tabs>
                <w:tab w:val="center" w:pos="4755"/>
                <w:tab w:val="right" w:pos="9070"/>
              </w:tabs>
              <w:spacing w:before="100" w:beforeAutospacing="1" w:line="300" w:lineRule="auto"/>
              <w:ind w:left="0" w:firstLine="480" w:firstLineChars="200"/>
              <w:rPr>
                <w:rFonts w:ascii="宋体" w:hAnsi="宋体" w:eastAsia="宋体"/>
                <w:color w:val="auto"/>
                <w:szCs w:val="28"/>
              </w:rPr>
            </w:pPr>
            <w:r>
              <w:rPr>
                <w:rFonts w:hint="eastAsia" w:ascii="宋体" w:hAnsi="宋体" w:eastAsia="宋体"/>
                <w:color w:val="auto"/>
                <w:szCs w:val="28"/>
              </w:rPr>
              <w:t>采用的计价、计税方法。</w:t>
            </w:r>
          </w:p>
          <w:p>
            <w:pPr>
              <w:pStyle w:val="129"/>
              <w:widowControl/>
              <w:numPr>
                <w:ilvl w:val="3"/>
                <w:numId w:val="42"/>
              </w:numPr>
              <w:tabs>
                <w:tab w:val="center" w:pos="4755"/>
                <w:tab w:val="right" w:pos="9070"/>
              </w:tabs>
              <w:spacing w:before="100" w:beforeAutospacing="1" w:line="300" w:lineRule="auto"/>
              <w:ind w:left="0" w:firstLine="480" w:firstLineChars="200"/>
              <w:rPr>
                <w:rFonts w:ascii="宋体" w:hAnsi="宋体" w:eastAsia="宋体"/>
                <w:color w:val="auto"/>
                <w:szCs w:val="28"/>
              </w:rPr>
            </w:pPr>
            <w:r>
              <w:rPr>
                <w:rFonts w:hint="eastAsia" w:ascii="宋体" w:hAnsi="宋体" w:eastAsia="宋体"/>
                <w:color w:val="auto"/>
                <w:szCs w:val="28"/>
              </w:rPr>
              <w:t>其他需要说明的问题。</w:t>
            </w:r>
          </w:p>
          <w:p>
            <w:pPr>
              <w:widowControl/>
              <w:tabs>
                <w:tab w:val="center" w:pos="4755"/>
                <w:tab w:val="right" w:pos="9070"/>
              </w:tabs>
              <w:spacing w:before="100" w:beforeAutospacing="1" w:line="300" w:lineRule="auto"/>
              <w:rPr>
                <w:rFonts w:ascii="宋体" w:hAnsi="宋体" w:eastAsia="宋体"/>
                <w:color w:val="auto"/>
                <w:szCs w:val="28"/>
              </w:rPr>
            </w:pPr>
          </w:p>
          <w:p>
            <w:pPr>
              <w:pStyle w:val="2"/>
              <w:spacing w:line="300" w:lineRule="auto"/>
              <w:rPr>
                <w:color w:val="auto"/>
              </w:rPr>
            </w:pPr>
          </w:p>
          <w:p>
            <w:pPr>
              <w:spacing w:line="300" w:lineRule="auto"/>
              <w:ind w:firstLine="480" w:firstLineChars="200"/>
              <w:rPr>
                <w:rFonts w:ascii="宋体" w:hAnsi="宋体"/>
                <w:color w:val="auto"/>
              </w:rPr>
            </w:pPr>
            <w:r>
              <w:rPr>
                <w:rFonts w:hint="eastAsia" w:ascii="宋体" w:hAnsi="宋体"/>
                <w:color w:val="auto"/>
              </w:rPr>
              <w:t>注：</w:t>
            </w:r>
            <w:r>
              <w:rPr>
                <w:rFonts w:ascii="宋体" w:hAnsi="宋体"/>
                <w:color w:val="auto"/>
              </w:rPr>
              <w:t>1.</w:t>
            </w:r>
            <w:r>
              <w:rPr>
                <w:rFonts w:hint="eastAsia" w:ascii="宋体" w:hAnsi="宋体"/>
                <w:color w:val="auto"/>
              </w:rPr>
              <w:t>工程概况须根据不同专业工程特征要求进行表述；</w:t>
            </w:r>
          </w:p>
          <w:p>
            <w:pPr>
              <w:pStyle w:val="2"/>
              <w:adjustRightInd w:val="0"/>
              <w:spacing w:line="300" w:lineRule="auto"/>
              <w:ind w:firstLine="960" w:firstLineChars="400"/>
              <w:rPr>
                <w:rFonts w:ascii="宋体" w:hAnsi="宋体" w:eastAsia="宋体"/>
                <w:color w:val="auto"/>
                <w:sz w:val="24"/>
                <w:szCs w:val="24"/>
              </w:rPr>
            </w:pPr>
            <w:r>
              <w:rPr>
                <w:rFonts w:ascii="宋体" w:hAnsi="宋体" w:eastAsia="宋体"/>
                <w:color w:val="auto"/>
                <w:sz w:val="24"/>
                <w:szCs w:val="24"/>
              </w:rPr>
              <w:t>2.</w:t>
            </w:r>
            <w:r>
              <w:rPr>
                <w:rFonts w:hint="eastAsia" w:ascii="宋体" w:hAnsi="宋体" w:eastAsia="宋体"/>
                <w:color w:val="auto"/>
                <w:sz w:val="24"/>
                <w:szCs w:val="24"/>
              </w:rPr>
              <w:t>必要时有关工程内容、数量、数据、工程特征等可列表表示；</w:t>
            </w:r>
          </w:p>
          <w:p>
            <w:pPr>
              <w:spacing w:line="300" w:lineRule="auto"/>
              <w:ind w:firstLine="960" w:firstLineChars="400"/>
              <w:rPr>
                <w:rFonts w:ascii="宋体" w:hAnsi="宋体"/>
                <w:color w:val="auto"/>
              </w:rPr>
            </w:pPr>
            <w:r>
              <w:rPr>
                <w:rFonts w:ascii="宋体" w:hAnsi="宋体"/>
                <w:color w:val="auto"/>
              </w:rPr>
              <w:t>3.</w:t>
            </w:r>
            <w:r>
              <w:rPr>
                <w:rFonts w:hint="eastAsia" w:ascii="宋体" w:hAnsi="宋体"/>
                <w:color w:val="auto"/>
              </w:rPr>
              <w:t>不同计价阶段应列明相应阶段涉及量、价、费的计价依据及取定标准。</w:t>
            </w:r>
          </w:p>
          <w:p>
            <w:pPr>
              <w:pStyle w:val="2"/>
              <w:rPr>
                <w:color w:val="auto"/>
              </w:rPr>
            </w:pPr>
          </w:p>
          <w:p>
            <w:pPr>
              <w:pStyle w:val="2"/>
              <w:spacing w:after="0" w:line="300" w:lineRule="auto"/>
              <w:rPr>
                <w:rFonts w:ascii="宋体" w:hAnsi="宋体" w:eastAsia="宋体"/>
                <w:color w:val="auto"/>
              </w:rPr>
            </w:pPr>
          </w:p>
          <w:p>
            <w:pPr>
              <w:pStyle w:val="2"/>
              <w:rPr>
                <w:color w:val="auto"/>
              </w:rPr>
            </w:pPr>
          </w:p>
          <w:p>
            <w:pPr>
              <w:rPr>
                <w:color w:val="auto"/>
              </w:rPr>
            </w:pPr>
          </w:p>
        </w:tc>
      </w:tr>
    </w:tbl>
    <w:p>
      <w:pPr>
        <w:pStyle w:val="18"/>
        <w:kinsoku w:val="0"/>
        <w:ind w:left="0"/>
        <w:jc w:val="center"/>
        <w:rPr>
          <w:rFonts w:ascii="Microsoft JhengHei" w:eastAsia="等线" w:cs="Microsoft JhengHei"/>
          <w:b/>
          <w:bCs/>
          <w:color w:val="auto"/>
          <w:sz w:val="20"/>
          <w:szCs w:val="20"/>
        </w:rPr>
      </w:pPr>
    </w:p>
    <w:p>
      <w:pPr>
        <w:pStyle w:val="3"/>
        <w:rPr>
          <w:bCs w:val="0"/>
          <w:color w:val="auto"/>
        </w:rPr>
      </w:pPr>
      <w:r>
        <w:rPr>
          <w:bCs w:val="0"/>
          <w:color w:val="auto"/>
        </w:rPr>
        <w:br w:type="page"/>
      </w:r>
      <w:bookmarkStart w:id="736" w:name="_Toc45697246"/>
      <w:bookmarkStart w:id="737" w:name="_Toc67589038"/>
    </w:p>
    <w:p>
      <w:pPr>
        <w:pStyle w:val="3"/>
        <w:rPr>
          <w:color w:val="auto"/>
        </w:rPr>
      </w:pPr>
      <w:r>
        <w:rPr>
          <w:rFonts w:hint="eastAsia"/>
          <w:color w:val="auto"/>
        </w:rPr>
        <w:t>第六章</w:t>
      </w:r>
      <w:r>
        <w:rPr>
          <w:color w:val="auto"/>
        </w:rPr>
        <w:t xml:space="preserve">  </w:t>
      </w:r>
      <w:r>
        <w:rPr>
          <w:rFonts w:hint="eastAsia"/>
          <w:color w:val="auto"/>
        </w:rPr>
        <w:t>图纸</w:t>
      </w:r>
    </w:p>
    <w:p>
      <w:pPr>
        <w:spacing w:line="360" w:lineRule="auto"/>
        <w:ind w:left="1290"/>
        <w:rPr>
          <w:rFonts w:ascii="宋体" w:hAnsi="宋体"/>
          <w:i/>
          <w:color w:val="auto"/>
          <w:sz w:val="28"/>
          <w:szCs w:val="28"/>
        </w:rPr>
      </w:pPr>
      <w:r>
        <w:rPr>
          <w:rFonts w:hint="eastAsia" w:ascii="宋体" w:hAnsi="宋体"/>
          <w:i/>
          <w:color w:val="auto"/>
          <w:sz w:val="28"/>
          <w:szCs w:val="28"/>
        </w:rPr>
        <w:t>（内容由招标人提供）</w:t>
      </w:r>
    </w:p>
    <w:p>
      <w:pPr>
        <w:pStyle w:val="25"/>
        <w:spacing w:line="440" w:lineRule="exact"/>
        <w:rPr>
          <w:rFonts w:hAnsi="宋体"/>
          <w:color w:val="auto"/>
          <w:sz w:val="24"/>
          <w:szCs w:val="24"/>
        </w:rPr>
      </w:pPr>
    </w:p>
    <w:bookmarkEnd w:id="736"/>
    <w:bookmarkEnd w:id="737"/>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p>
    <w:p>
      <w:pPr>
        <w:pStyle w:val="25"/>
        <w:spacing w:line="440" w:lineRule="exact"/>
        <w:jc w:val="center"/>
        <w:rPr>
          <w:rFonts w:hAnsi="宋体"/>
          <w:color w:val="auto"/>
          <w:sz w:val="24"/>
          <w:szCs w:val="24"/>
        </w:rPr>
      </w:pPr>
      <w:r>
        <w:rPr>
          <w:rFonts w:hint="eastAsia" w:hAnsi="宋体"/>
          <w:color w:val="auto"/>
          <w:sz w:val="44"/>
          <w:szCs w:val="44"/>
        </w:rPr>
        <w:t>□图纸清单</w:t>
      </w:r>
    </w:p>
    <w:p>
      <w:pPr>
        <w:pStyle w:val="25"/>
        <w:spacing w:line="440" w:lineRule="exact"/>
        <w:ind w:firstLine="480"/>
        <w:jc w:val="center"/>
        <w:rPr>
          <w:rFonts w:hAnsi="宋体"/>
          <w:color w:val="auto"/>
          <w:sz w:val="24"/>
          <w:szCs w:val="24"/>
        </w:rPr>
      </w:pPr>
      <w:r>
        <w:rPr>
          <w:rFonts w:hint="eastAsia" w:hAnsi="宋体"/>
          <w:color w:val="auto"/>
          <w:sz w:val="24"/>
          <w:szCs w:val="24"/>
        </w:rPr>
        <w:t>设计人：</w:t>
      </w:r>
      <w:r>
        <w:rPr>
          <w:rFonts w:hAnsi="宋体"/>
          <w:color w:val="auto"/>
          <w:sz w:val="24"/>
          <w:szCs w:val="24"/>
          <w:u w:val="single"/>
        </w:rPr>
        <w:t xml:space="preserve">                       </w:t>
      </w:r>
      <w:r>
        <w:rPr>
          <w:rFonts w:hAnsi="宋体"/>
          <w:color w:val="auto"/>
          <w:sz w:val="24"/>
          <w:szCs w:val="24"/>
        </w:rPr>
        <w:t xml:space="preserve">            第   页共   页</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3737"/>
        <w:gridCol w:w="1260"/>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25"/>
              <w:spacing w:line="440" w:lineRule="exact"/>
              <w:rPr>
                <w:rFonts w:hAnsi="宋体"/>
                <w:color w:val="auto"/>
                <w:kern w:val="2"/>
                <w:sz w:val="24"/>
                <w:szCs w:val="24"/>
              </w:rPr>
            </w:pPr>
            <w:r>
              <w:rPr>
                <w:rFonts w:hint="eastAsia" w:hAnsi="宋体"/>
                <w:color w:val="auto"/>
                <w:kern w:val="2"/>
                <w:sz w:val="24"/>
                <w:szCs w:val="24"/>
              </w:rPr>
              <w:t>序号</w:t>
            </w:r>
          </w:p>
        </w:tc>
        <w:tc>
          <w:tcPr>
            <w:tcW w:w="1440" w:type="dxa"/>
            <w:noWrap w:val="0"/>
            <w:vAlign w:val="top"/>
          </w:tcPr>
          <w:p>
            <w:pPr>
              <w:pStyle w:val="25"/>
              <w:spacing w:line="440" w:lineRule="exact"/>
              <w:ind w:firstLine="480"/>
              <w:jc w:val="center"/>
              <w:rPr>
                <w:rFonts w:hAnsi="宋体"/>
                <w:color w:val="auto"/>
                <w:kern w:val="2"/>
                <w:sz w:val="24"/>
                <w:szCs w:val="24"/>
              </w:rPr>
            </w:pPr>
            <w:r>
              <w:rPr>
                <w:rFonts w:hint="eastAsia" w:hAnsi="宋体"/>
                <w:color w:val="auto"/>
                <w:kern w:val="2"/>
                <w:sz w:val="24"/>
                <w:szCs w:val="24"/>
              </w:rPr>
              <w:t>图号</w:t>
            </w:r>
          </w:p>
        </w:tc>
        <w:tc>
          <w:tcPr>
            <w:tcW w:w="3737" w:type="dxa"/>
            <w:noWrap w:val="0"/>
            <w:vAlign w:val="top"/>
          </w:tcPr>
          <w:p>
            <w:pPr>
              <w:pStyle w:val="25"/>
              <w:spacing w:line="440" w:lineRule="exact"/>
              <w:ind w:firstLine="480"/>
              <w:jc w:val="center"/>
              <w:rPr>
                <w:rFonts w:hAnsi="宋体"/>
                <w:color w:val="auto"/>
                <w:kern w:val="2"/>
                <w:sz w:val="24"/>
                <w:szCs w:val="24"/>
              </w:rPr>
            </w:pPr>
            <w:r>
              <w:rPr>
                <w:rFonts w:hint="eastAsia" w:hAnsi="宋体"/>
                <w:color w:val="auto"/>
                <w:kern w:val="2"/>
                <w:sz w:val="24"/>
                <w:szCs w:val="24"/>
              </w:rPr>
              <w:t>图纸名称</w:t>
            </w:r>
          </w:p>
        </w:tc>
        <w:tc>
          <w:tcPr>
            <w:tcW w:w="1260" w:type="dxa"/>
            <w:noWrap w:val="0"/>
            <w:vAlign w:val="top"/>
          </w:tcPr>
          <w:p>
            <w:pPr>
              <w:pStyle w:val="25"/>
              <w:spacing w:line="440" w:lineRule="exact"/>
              <w:ind w:firstLine="480"/>
              <w:jc w:val="center"/>
              <w:rPr>
                <w:rFonts w:hAnsi="宋体"/>
                <w:color w:val="auto"/>
                <w:kern w:val="2"/>
                <w:sz w:val="24"/>
                <w:szCs w:val="24"/>
              </w:rPr>
            </w:pPr>
            <w:r>
              <w:rPr>
                <w:rFonts w:hint="eastAsia" w:hAnsi="宋体"/>
                <w:color w:val="auto"/>
                <w:kern w:val="2"/>
                <w:sz w:val="24"/>
                <w:szCs w:val="24"/>
              </w:rPr>
              <w:t>日期</w:t>
            </w:r>
          </w:p>
        </w:tc>
        <w:tc>
          <w:tcPr>
            <w:tcW w:w="1844" w:type="dxa"/>
            <w:noWrap w:val="0"/>
            <w:vAlign w:val="top"/>
          </w:tcPr>
          <w:p>
            <w:pPr>
              <w:pStyle w:val="25"/>
              <w:spacing w:line="440" w:lineRule="exact"/>
              <w:ind w:firstLine="480"/>
              <w:jc w:val="center"/>
              <w:rPr>
                <w:rFonts w:hAnsi="宋体"/>
                <w:color w:val="auto"/>
                <w:kern w:val="2"/>
                <w:sz w:val="24"/>
                <w:szCs w:val="24"/>
              </w:rPr>
            </w:pPr>
            <w:r>
              <w:rPr>
                <w:rFonts w:hint="eastAsia" w:hAnsi="宋体"/>
                <w:color w:val="auto"/>
                <w:kern w:val="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rFonts w:hAnsi="宋体"/>
                <w:color w:val="auto"/>
                <w:kern w:val="2"/>
                <w:sz w:val="24"/>
                <w:szCs w:val="24"/>
              </w:rPr>
            </w:pPr>
          </w:p>
        </w:tc>
        <w:tc>
          <w:tcPr>
            <w:tcW w:w="1440" w:type="dxa"/>
            <w:noWrap w:val="0"/>
            <w:vAlign w:val="top"/>
          </w:tcPr>
          <w:p>
            <w:pPr>
              <w:pStyle w:val="25"/>
              <w:spacing w:line="440" w:lineRule="exact"/>
              <w:ind w:firstLine="480"/>
              <w:jc w:val="center"/>
              <w:rPr>
                <w:rFonts w:hAnsi="宋体"/>
                <w:color w:val="auto"/>
                <w:kern w:val="2"/>
                <w:sz w:val="24"/>
                <w:szCs w:val="24"/>
              </w:rPr>
            </w:pPr>
          </w:p>
        </w:tc>
        <w:tc>
          <w:tcPr>
            <w:tcW w:w="3737" w:type="dxa"/>
            <w:noWrap w:val="0"/>
            <w:vAlign w:val="top"/>
          </w:tcPr>
          <w:p>
            <w:pPr>
              <w:pStyle w:val="25"/>
              <w:spacing w:line="440" w:lineRule="exact"/>
              <w:ind w:firstLine="480"/>
              <w:jc w:val="center"/>
              <w:rPr>
                <w:rFonts w:hAnsi="宋体"/>
                <w:color w:val="auto"/>
                <w:kern w:val="2"/>
                <w:sz w:val="24"/>
                <w:szCs w:val="24"/>
              </w:rPr>
            </w:pPr>
          </w:p>
        </w:tc>
        <w:tc>
          <w:tcPr>
            <w:tcW w:w="1260" w:type="dxa"/>
            <w:noWrap w:val="0"/>
            <w:vAlign w:val="top"/>
          </w:tcPr>
          <w:p>
            <w:pPr>
              <w:pStyle w:val="25"/>
              <w:spacing w:line="440" w:lineRule="exact"/>
              <w:ind w:firstLine="480"/>
              <w:jc w:val="center"/>
              <w:rPr>
                <w:rFonts w:hAnsi="宋体"/>
                <w:color w:val="auto"/>
                <w:kern w:val="2"/>
                <w:sz w:val="24"/>
                <w:szCs w:val="24"/>
              </w:rPr>
            </w:pPr>
          </w:p>
        </w:tc>
        <w:tc>
          <w:tcPr>
            <w:tcW w:w="1844" w:type="dxa"/>
            <w:noWrap w:val="0"/>
            <w:vAlign w:val="top"/>
          </w:tcPr>
          <w:p>
            <w:pPr>
              <w:pStyle w:val="25"/>
              <w:spacing w:line="440" w:lineRule="exact"/>
              <w:ind w:firstLine="480"/>
              <w:jc w:val="center"/>
              <w:rPr>
                <w:rFonts w:hAnsi="宋体"/>
                <w:color w:val="auto"/>
                <w:kern w:val="2"/>
                <w:sz w:val="24"/>
                <w:szCs w:val="24"/>
              </w:rPr>
            </w:pPr>
          </w:p>
        </w:tc>
      </w:tr>
    </w:tbl>
    <w:p>
      <w:pPr>
        <w:pStyle w:val="25"/>
        <w:spacing w:line="440" w:lineRule="exact"/>
        <w:ind w:firstLine="480"/>
        <w:jc w:val="center"/>
        <w:rPr>
          <w:rFonts w:hAnsi="宋体"/>
          <w:color w:val="auto"/>
          <w:sz w:val="24"/>
          <w:szCs w:val="24"/>
        </w:rPr>
      </w:pPr>
    </w:p>
    <w:p>
      <w:pPr>
        <w:pStyle w:val="25"/>
        <w:numPr>
          <w:ilvl w:val="0"/>
          <w:numId w:val="43"/>
        </w:numPr>
        <w:spacing w:line="440" w:lineRule="exact"/>
        <w:jc w:val="center"/>
        <w:rPr>
          <w:rFonts w:ascii="Times New Roman" w:hAnsi="Times New Roman" w:eastAsia="黑体"/>
          <w:bCs/>
          <w:color w:val="auto"/>
          <w:kern w:val="44"/>
          <w:sz w:val="44"/>
          <w:szCs w:val="44"/>
        </w:rPr>
      </w:pPr>
      <w:r>
        <w:rPr>
          <w:rFonts w:hAnsi="宋体"/>
          <w:color w:val="auto"/>
          <w:sz w:val="24"/>
          <w:szCs w:val="24"/>
        </w:rPr>
        <w:br w:type="page"/>
      </w:r>
      <w:bookmarkStart w:id="738" w:name="_Toc494360706"/>
      <w:bookmarkStart w:id="739" w:name="_Toc494121492"/>
      <w:r>
        <w:rPr>
          <w:rFonts w:hint="eastAsia" w:ascii="Times New Roman" w:hAnsi="Times New Roman" w:eastAsia="黑体"/>
          <w:bCs/>
          <w:color w:val="auto"/>
          <w:kern w:val="44"/>
          <w:sz w:val="44"/>
          <w:szCs w:val="44"/>
        </w:rPr>
        <w:t>技术标准和要求</w:t>
      </w:r>
      <w:bookmarkEnd w:id="738"/>
      <w:bookmarkEnd w:id="739"/>
    </w:p>
    <w:p>
      <w:pPr>
        <w:spacing w:line="360" w:lineRule="auto"/>
        <w:ind w:left="1290"/>
        <w:rPr>
          <w:rFonts w:ascii="宋体" w:hAnsi="宋体"/>
          <w:i/>
          <w:color w:val="auto"/>
          <w:sz w:val="28"/>
          <w:szCs w:val="28"/>
        </w:rPr>
      </w:pPr>
    </w:p>
    <w:p>
      <w:pPr>
        <w:spacing w:line="360" w:lineRule="auto"/>
        <w:ind w:left="1290"/>
        <w:rPr>
          <w:rFonts w:ascii="宋体" w:hAnsi="宋体"/>
          <w:i/>
          <w:color w:val="auto"/>
          <w:sz w:val="28"/>
          <w:szCs w:val="28"/>
        </w:rPr>
      </w:pPr>
      <w:r>
        <w:rPr>
          <w:rFonts w:hint="eastAsia" w:ascii="宋体" w:hAnsi="宋体"/>
          <w:i/>
          <w:color w:val="auto"/>
          <w:sz w:val="28"/>
          <w:szCs w:val="28"/>
        </w:rPr>
        <w:t>（内容由招标人提供）</w:t>
      </w: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rPr>
          <w:color w:val="auto"/>
          <w:sz w:val="24"/>
        </w:rPr>
      </w:pPr>
    </w:p>
    <w:p>
      <w:pPr>
        <w:pStyle w:val="25"/>
        <w:spacing w:line="440" w:lineRule="exact"/>
        <w:jc w:val="center"/>
        <w:rPr>
          <w:color w:val="auto"/>
          <w:sz w:val="44"/>
          <w:szCs w:val="44"/>
        </w:rPr>
      </w:pPr>
      <w:r>
        <w:rPr>
          <w:rFonts w:hint="eastAsia" w:hAnsi="宋体"/>
          <w:color w:val="auto"/>
          <w:sz w:val="44"/>
          <w:szCs w:val="44"/>
        </w:rPr>
        <w:sym w:font="Wingdings 2" w:char="00A3"/>
      </w:r>
      <w:r>
        <w:rPr>
          <w:rFonts w:hint="eastAsia"/>
          <w:color w:val="auto"/>
          <w:sz w:val="44"/>
          <w:szCs w:val="44"/>
        </w:rPr>
        <w:t>标准图集清单</w:t>
      </w:r>
    </w:p>
    <w:p>
      <w:pPr>
        <w:pStyle w:val="25"/>
        <w:spacing w:line="440" w:lineRule="exact"/>
        <w:ind w:firstLine="480"/>
        <w:jc w:val="center"/>
        <w:rPr>
          <w:color w:val="auto"/>
          <w:sz w:val="24"/>
        </w:rPr>
      </w:pPr>
      <w:r>
        <w:rPr>
          <w:rFonts w:hint="eastAsia"/>
          <w:color w:val="auto"/>
          <w:sz w:val="24"/>
        </w:rPr>
        <w:t>以下标准图集，限于招标文件中指明的章节和内容，构成图纸的一部分。</w:t>
      </w:r>
    </w:p>
    <w:p>
      <w:pPr>
        <w:pStyle w:val="25"/>
        <w:spacing w:line="440" w:lineRule="exact"/>
        <w:ind w:firstLine="1980" w:firstLineChars="825"/>
        <w:jc w:val="center"/>
        <w:rPr>
          <w:color w:val="auto"/>
          <w:sz w:val="24"/>
        </w:rPr>
      </w:pPr>
      <w:r>
        <w:rPr>
          <w:color w:val="auto"/>
          <w:sz w:val="24"/>
        </w:rPr>
        <w:t xml:space="preserve">                                        </w:t>
      </w:r>
      <w:r>
        <w:rPr>
          <w:rFonts w:hint="eastAsia"/>
          <w:color w:val="auto"/>
          <w:sz w:val="24"/>
        </w:rPr>
        <w:t>第</w:t>
      </w:r>
      <w:r>
        <w:rPr>
          <w:color w:val="auto"/>
          <w:sz w:val="24"/>
        </w:rPr>
        <w:t xml:space="preserve">    </w:t>
      </w:r>
      <w:r>
        <w:rPr>
          <w:rFonts w:hint="eastAsia"/>
          <w:color w:val="auto"/>
          <w:sz w:val="24"/>
        </w:rPr>
        <w:t>页共</w:t>
      </w:r>
      <w:r>
        <w:rPr>
          <w:color w:val="auto"/>
          <w:sz w:val="24"/>
        </w:rPr>
        <w:t xml:space="preserve">   </w:t>
      </w:r>
      <w:r>
        <w:rPr>
          <w:rFonts w:hint="eastAsia"/>
          <w:color w:val="auto"/>
          <w:sz w:val="24"/>
        </w:rPr>
        <w:t>页</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440"/>
        <w:gridCol w:w="3737"/>
        <w:gridCol w:w="1260"/>
        <w:gridCol w:w="1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8" w:type="dxa"/>
            <w:noWrap w:val="0"/>
            <w:vAlign w:val="top"/>
          </w:tcPr>
          <w:p>
            <w:pPr>
              <w:pStyle w:val="25"/>
              <w:spacing w:line="440" w:lineRule="exact"/>
              <w:jc w:val="center"/>
              <w:rPr>
                <w:color w:val="auto"/>
                <w:kern w:val="2"/>
                <w:sz w:val="24"/>
                <w:szCs w:val="21"/>
              </w:rPr>
            </w:pPr>
            <w:r>
              <w:rPr>
                <w:rFonts w:hint="eastAsia"/>
                <w:color w:val="auto"/>
                <w:kern w:val="2"/>
                <w:sz w:val="24"/>
                <w:szCs w:val="21"/>
              </w:rPr>
              <w:t>序号</w:t>
            </w:r>
          </w:p>
        </w:tc>
        <w:tc>
          <w:tcPr>
            <w:tcW w:w="1440" w:type="dxa"/>
            <w:noWrap w:val="0"/>
            <w:vAlign w:val="top"/>
          </w:tcPr>
          <w:p>
            <w:pPr>
              <w:pStyle w:val="25"/>
              <w:spacing w:line="440" w:lineRule="exact"/>
              <w:jc w:val="center"/>
              <w:rPr>
                <w:color w:val="auto"/>
                <w:kern w:val="2"/>
                <w:sz w:val="24"/>
                <w:szCs w:val="21"/>
              </w:rPr>
            </w:pPr>
            <w:r>
              <w:rPr>
                <w:rFonts w:hint="eastAsia"/>
                <w:color w:val="auto"/>
                <w:kern w:val="2"/>
                <w:sz w:val="24"/>
                <w:szCs w:val="21"/>
              </w:rPr>
              <w:t>图集编号</w:t>
            </w:r>
          </w:p>
        </w:tc>
        <w:tc>
          <w:tcPr>
            <w:tcW w:w="3737" w:type="dxa"/>
            <w:noWrap w:val="0"/>
            <w:vAlign w:val="top"/>
          </w:tcPr>
          <w:p>
            <w:pPr>
              <w:pStyle w:val="25"/>
              <w:spacing w:line="440" w:lineRule="exact"/>
              <w:jc w:val="center"/>
              <w:rPr>
                <w:color w:val="auto"/>
                <w:kern w:val="2"/>
                <w:sz w:val="24"/>
                <w:szCs w:val="21"/>
              </w:rPr>
            </w:pPr>
            <w:r>
              <w:rPr>
                <w:rFonts w:hint="eastAsia"/>
                <w:color w:val="auto"/>
                <w:kern w:val="2"/>
                <w:sz w:val="24"/>
                <w:szCs w:val="21"/>
              </w:rPr>
              <w:t>图集名称</w:t>
            </w:r>
          </w:p>
        </w:tc>
        <w:tc>
          <w:tcPr>
            <w:tcW w:w="1260" w:type="dxa"/>
            <w:noWrap w:val="0"/>
            <w:vAlign w:val="top"/>
          </w:tcPr>
          <w:p>
            <w:pPr>
              <w:pStyle w:val="25"/>
              <w:spacing w:line="440" w:lineRule="exact"/>
              <w:jc w:val="center"/>
              <w:rPr>
                <w:color w:val="auto"/>
                <w:kern w:val="2"/>
                <w:sz w:val="24"/>
                <w:szCs w:val="21"/>
              </w:rPr>
            </w:pPr>
            <w:r>
              <w:rPr>
                <w:rFonts w:hint="eastAsia"/>
                <w:color w:val="auto"/>
                <w:kern w:val="2"/>
                <w:sz w:val="24"/>
                <w:szCs w:val="21"/>
              </w:rPr>
              <w:t>日期</w:t>
            </w:r>
          </w:p>
        </w:tc>
        <w:tc>
          <w:tcPr>
            <w:tcW w:w="1844" w:type="dxa"/>
            <w:noWrap w:val="0"/>
            <w:vAlign w:val="top"/>
          </w:tcPr>
          <w:p>
            <w:pPr>
              <w:pStyle w:val="25"/>
              <w:spacing w:line="440" w:lineRule="exact"/>
              <w:jc w:val="center"/>
              <w:rPr>
                <w:color w:val="auto"/>
                <w:kern w:val="2"/>
                <w:sz w:val="24"/>
                <w:szCs w:val="21"/>
              </w:rPr>
            </w:pPr>
            <w:r>
              <w:rPr>
                <w:rFonts w:hint="eastAsia"/>
                <w:color w:val="auto"/>
                <w:kern w:val="2"/>
                <w:sz w:val="24"/>
                <w:szCs w:val="21"/>
              </w:rPr>
              <w:t>编写人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828" w:type="dxa"/>
            <w:noWrap w:val="0"/>
            <w:vAlign w:val="top"/>
          </w:tcPr>
          <w:p>
            <w:pPr>
              <w:pStyle w:val="25"/>
              <w:spacing w:line="440" w:lineRule="exact"/>
              <w:ind w:firstLine="480"/>
              <w:jc w:val="center"/>
              <w:rPr>
                <w:color w:val="auto"/>
                <w:kern w:val="2"/>
                <w:sz w:val="24"/>
                <w:szCs w:val="21"/>
              </w:rPr>
            </w:pPr>
          </w:p>
        </w:tc>
        <w:tc>
          <w:tcPr>
            <w:tcW w:w="1440" w:type="dxa"/>
            <w:noWrap w:val="0"/>
            <w:vAlign w:val="top"/>
          </w:tcPr>
          <w:p>
            <w:pPr>
              <w:pStyle w:val="25"/>
              <w:spacing w:line="440" w:lineRule="exact"/>
              <w:ind w:firstLine="480"/>
              <w:jc w:val="center"/>
              <w:rPr>
                <w:color w:val="auto"/>
                <w:kern w:val="2"/>
                <w:sz w:val="24"/>
                <w:szCs w:val="21"/>
              </w:rPr>
            </w:pPr>
          </w:p>
        </w:tc>
        <w:tc>
          <w:tcPr>
            <w:tcW w:w="3737" w:type="dxa"/>
            <w:noWrap w:val="0"/>
            <w:vAlign w:val="top"/>
          </w:tcPr>
          <w:p>
            <w:pPr>
              <w:pStyle w:val="25"/>
              <w:spacing w:line="440" w:lineRule="exact"/>
              <w:ind w:firstLine="480"/>
              <w:jc w:val="center"/>
              <w:rPr>
                <w:color w:val="auto"/>
                <w:kern w:val="2"/>
                <w:sz w:val="24"/>
                <w:szCs w:val="21"/>
              </w:rPr>
            </w:pPr>
          </w:p>
        </w:tc>
        <w:tc>
          <w:tcPr>
            <w:tcW w:w="1260" w:type="dxa"/>
            <w:noWrap w:val="0"/>
            <w:vAlign w:val="top"/>
          </w:tcPr>
          <w:p>
            <w:pPr>
              <w:pStyle w:val="25"/>
              <w:spacing w:line="440" w:lineRule="exact"/>
              <w:ind w:firstLine="480"/>
              <w:jc w:val="center"/>
              <w:rPr>
                <w:color w:val="auto"/>
                <w:kern w:val="2"/>
                <w:sz w:val="24"/>
                <w:szCs w:val="21"/>
              </w:rPr>
            </w:pPr>
          </w:p>
        </w:tc>
        <w:tc>
          <w:tcPr>
            <w:tcW w:w="1844" w:type="dxa"/>
            <w:noWrap w:val="0"/>
            <w:vAlign w:val="top"/>
          </w:tcPr>
          <w:p>
            <w:pPr>
              <w:pStyle w:val="25"/>
              <w:spacing w:line="440" w:lineRule="exact"/>
              <w:ind w:firstLine="480"/>
              <w:jc w:val="center"/>
              <w:rPr>
                <w:color w:val="auto"/>
                <w:kern w:val="2"/>
                <w:sz w:val="24"/>
                <w:szCs w:val="21"/>
              </w:rPr>
            </w:pPr>
          </w:p>
        </w:tc>
      </w:tr>
    </w:tbl>
    <w:p>
      <w:pPr>
        <w:pStyle w:val="18"/>
        <w:kinsoku w:val="0"/>
        <w:ind w:left="0"/>
        <w:jc w:val="center"/>
        <w:rPr>
          <w:rFonts w:ascii="Microsoft JhengHei" w:eastAsia="Microsoft JhengHei" w:cs="Microsoft JhengHei"/>
          <w:b/>
          <w:bCs/>
          <w:color w:val="auto"/>
          <w:sz w:val="20"/>
          <w:szCs w:val="20"/>
        </w:rPr>
      </w:pPr>
    </w:p>
    <w:p>
      <w:pPr>
        <w:pStyle w:val="19"/>
        <w:ind w:firstLine="200"/>
        <w:rPr>
          <w:rFonts w:ascii="Microsoft JhengHei" w:eastAsia="Microsoft JhengHei" w:cs="Microsoft JhengHei"/>
          <w:b/>
          <w:bCs/>
          <w:color w:val="auto"/>
          <w:sz w:val="20"/>
          <w:szCs w:val="20"/>
        </w:rPr>
      </w:pPr>
    </w:p>
    <w:p>
      <w:pPr>
        <w:pStyle w:val="20"/>
        <w:ind w:left="2400"/>
        <w:rPr>
          <w:color w:val="auto"/>
        </w:rPr>
      </w:pPr>
    </w:p>
    <w:p>
      <w:pPr>
        <w:pStyle w:val="3"/>
        <w:rPr>
          <w:color w:val="auto"/>
        </w:rPr>
      </w:pPr>
      <w:bookmarkStart w:id="740" w:name="_Toc45697247"/>
      <w:bookmarkStart w:id="741" w:name="_Toc67589039"/>
      <w:r>
        <w:rPr>
          <w:rFonts w:hint="eastAsia"/>
          <w:bCs w:val="0"/>
          <w:color w:val="auto"/>
        </w:rPr>
        <w:t>第八章</w:t>
      </w:r>
      <w:r>
        <w:rPr>
          <w:bCs w:val="0"/>
          <w:color w:val="auto"/>
        </w:rPr>
        <w:t xml:space="preserve">  </w:t>
      </w:r>
      <w:r>
        <w:rPr>
          <w:rFonts w:hint="eastAsia"/>
          <w:bCs w:val="0"/>
          <w:color w:val="auto"/>
        </w:rPr>
        <w:t>投标文件格式</w:t>
      </w:r>
      <w:bookmarkEnd w:id="740"/>
      <w:bookmarkEnd w:id="741"/>
    </w:p>
    <w:p>
      <w:pPr>
        <w:pStyle w:val="25"/>
        <w:spacing w:line="360" w:lineRule="auto"/>
        <w:ind w:firstLine="602"/>
        <w:jc w:val="center"/>
        <w:rPr>
          <w:b/>
          <w:bCs/>
          <w:color w:val="auto"/>
          <w:sz w:val="30"/>
        </w:rPr>
      </w:pPr>
    </w:p>
    <w:p>
      <w:pPr>
        <w:pStyle w:val="25"/>
        <w:spacing w:line="360" w:lineRule="auto"/>
        <w:ind w:firstLine="602"/>
        <w:jc w:val="center"/>
        <w:rPr>
          <w:b/>
          <w:bCs/>
          <w:color w:val="auto"/>
          <w:sz w:val="36"/>
          <w:szCs w:val="36"/>
        </w:rPr>
      </w:pPr>
      <w:r>
        <w:rPr>
          <w:rFonts w:hint="eastAsia"/>
          <w:b/>
          <w:bCs/>
          <w:color w:val="auto"/>
          <w:sz w:val="36"/>
          <w:szCs w:val="36"/>
        </w:rPr>
        <w:t>目</w:t>
      </w:r>
      <w:r>
        <w:rPr>
          <w:b/>
          <w:bCs/>
          <w:color w:val="auto"/>
          <w:sz w:val="36"/>
          <w:szCs w:val="36"/>
        </w:rPr>
        <w:t xml:space="preserve">    </w:t>
      </w:r>
      <w:r>
        <w:rPr>
          <w:rFonts w:hint="eastAsia"/>
          <w:b/>
          <w:bCs/>
          <w:color w:val="auto"/>
          <w:sz w:val="36"/>
          <w:szCs w:val="36"/>
        </w:rPr>
        <w:t>录</w:t>
      </w:r>
    </w:p>
    <w:p>
      <w:pPr>
        <w:pStyle w:val="25"/>
        <w:spacing w:line="360" w:lineRule="auto"/>
        <w:ind w:firstLine="602"/>
        <w:jc w:val="center"/>
        <w:rPr>
          <w:b/>
          <w:bCs/>
          <w:color w:val="auto"/>
          <w:sz w:val="30"/>
        </w:rPr>
      </w:pPr>
    </w:p>
    <w:p>
      <w:pPr>
        <w:pStyle w:val="25"/>
        <w:spacing w:line="480" w:lineRule="auto"/>
        <w:ind w:firstLine="708" w:firstLineChars="253"/>
        <w:rPr>
          <w:color w:val="auto"/>
          <w:sz w:val="28"/>
        </w:rPr>
      </w:pPr>
      <w:r>
        <w:rPr>
          <w:color w:val="auto"/>
          <w:sz w:val="28"/>
        </w:rPr>
        <w:t xml:space="preserve">1. </w:t>
      </w:r>
      <w:r>
        <w:rPr>
          <w:rFonts w:hint="eastAsia"/>
          <w:color w:val="auto"/>
          <w:sz w:val="28"/>
        </w:rPr>
        <w:t>投标文件商务标格式</w:t>
      </w:r>
    </w:p>
    <w:p>
      <w:pPr>
        <w:pStyle w:val="25"/>
        <w:spacing w:line="480" w:lineRule="auto"/>
        <w:ind w:firstLine="708" w:firstLineChars="253"/>
        <w:rPr>
          <w:color w:val="auto"/>
          <w:sz w:val="28"/>
        </w:rPr>
      </w:pPr>
      <w:r>
        <w:rPr>
          <w:color w:val="auto"/>
          <w:sz w:val="28"/>
        </w:rPr>
        <w:t xml:space="preserve">2. </w:t>
      </w:r>
      <w:r>
        <w:rPr>
          <w:rFonts w:hint="eastAsia"/>
          <w:color w:val="auto"/>
          <w:sz w:val="28"/>
        </w:rPr>
        <w:t>投标文件技术标格式</w:t>
      </w:r>
    </w:p>
    <w:p>
      <w:pPr>
        <w:pStyle w:val="25"/>
        <w:spacing w:line="480" w:lineRule="auto"/>
        <w:ind w:firstLine="708" w:firstLineChars="253"/>
        <w:rPr>
          <w:color w:val="auto"/>
          <w:sz w:val="28"/>
        </w:rPr>
      </w:pPr>
      <w:r>
        <w:rPr>
          <w:color w:val="auto"/>
          <w:sz w:val="28"/>
        </w:rPr>
        <w:t xml:space="preserve">3. </w:t>
      </w:r>
      <w:r>
        <w:rPr>
          <w:rFonts w:hint="eastAsia"/>
          <w:color w:val="auto"/>
          <w:sz w:val="28"/>
        </w:rPr>
        <w:t>投标文件资信标格式</w:t>
      </w:r>
    </w:p>
    <w:p>
      <w:pPr>
        <w:pStyle w:val="25"/>
        <w:spacing w:line="480" w:lineRule="auto"/>
        <w:ind w:firstLine="708" w:firstLineChars="253"/>
        <w:rPr>
          <w:color w:val="auto"/>
          <w:sz w:val="28"/>
        </w:rPr>
      </w:pPr>
      <w:r>
        <w:rPr>
          <w:color w:val="auto"/>
          <w:sz w:val="28"/>
        </w:rPr>
        <w:t xml:space="preserve">4. </w:t>
      </w:r>
      <w:r>
        <w:rPr>
          <w:rFonts w:hint="eastAsia"/>
          <w:color w:val="auto"/>
          <w:sz w:val="28"/>
        </w:rPr>
        <w:t>投标文件资格审查资料格式</w:t>
      </w:r>
    </w:p>
    <w:p>
      <w:pPr>
        <w:pStyle w:val="25"/>
        <w:jc w:val="center"/>
        <w:rPr>
          <w:rFonts w:ascii="Microsoft JhengHei" w:eastAsia="Microsoft JhengHei" w:cs="Microsoft JhengHei"/>
          <w:b/>
          <w:bCs/>
          <w:color w:val="auto"/>
          <w:sz w:val="24"/>
          <w:szCs w:val="24"/>
        </w:rPr>
      </w:pPr>
      <w:r>
        <w:rPr>
          <w:rFonts w:ascii="Microsoft JhengHei" w:eastAsia="Microsoft JhengHei" w:cs="Microsoft JhengHei"/>
          <w:b/>
          <w:bCs/>
          <w:color w:val="auto"/>
          <w:sz w:val="24"/>
          <w:szCs w:val="24"/>
        </w:rPr>
        <w:br w:type="page"/>
      </w:r>
    </w:p>
    <w:p>
      <w:pPr>
        <w:pStyle w:val="25"/>
        <w:jc w:val="center"/>
        <w:rPr>
          <w:rFonts w:ascii="Microsoft JhengHei" w:eastAsia="Microsoft JhengHei" w:cs="Microsoft JhengHei"/>
          <w:b/>
          <w:bCs/>
          <w:color w:val="auto"/>
          <w:sz w:val="24"/>
          <w:szCs w:val="24"/>
        </w:rPr>
      </w:pPr>
    </w:p>
    <w:p>
      <w:pPr>
        <w:pStyle w:val="25"/>
        <w:jc w:val="center"/>
        <w:rPr>
          <w:color w:val="auto"/>
          <w:sz w:val="84"/>
        </w:rPr>
      </w:pPr>
      <w:r>
        <w:rPr>
          <w:rFonts w:hint="eastAsia"/>
          <w:color w:val="auto"/>
          <w:sz w:val="84"/>
        </w:rPr>
        <w:t>建设工程施工投标文件</w:t>
      </w:r>
    </w:p>
    <w:p>
      <w:pPr>
        <w:pStyle w:val="25"/>
        <w:jc w:val="center"/>
        <w:rPr>
          <w:color w:val="auto"/>
          <w:sz w:val="36"/>
          <w:szCs w:val="8"/>
        </w:rPr>
      </w:pPr>
    </w:p>
    <w:p>
      <w:pPr>
        <w:pStyle w:val="25"/>
        <w:jc w:val="center"/>
        <w:rPr>
          <w:color w:val="auto"/>
          <w:sz w:val="36"/>
          <w:szCs w:val="8"/>
        </w:rPr>
      </w:pPr>
    </w:p>
    <w:p>
      <w:pPr>
        <w:pStyle w:val="25"/>
        <w:jc w:val="center"/>
        <w:rPr>
          <w:color w:val="auto"/>
          <w:sz w:val="36"/>
          <w:szCs w:val="8"/>
        </w:rPr>
      </w:pPr>
    </w:p>
    <w:p>
      <w:pPr>
        <w:pStyle w:val="25"/>
        <w:ind w:firstLine="480"/>
        <w:jc w:val="center"/>
        <w:rPr>
          <w:color w:val="auto"/>
        </w:rPr>
      </w:pPr>
    </w:p>
    <w:p>
      <w:pPr>
        <w:pStyle w:val="25"/>
        <w:ind w:firstLine="560"/>
        <w:jc w:val="center"/>
        <w:rPr>
          <w:color w:val="auto"/>
          <w:sz w:val="28"/>
        </w:rPr>
      </w:pPr>
      <w:r>
        <w:rPr>
          <w:rFonts w:hint="eastAsia"/>
          <w:color w:val="auto"/>
          <w:sz w:val="28"/>
        </w:rPr>
        <w:t>招标编号:___________________________</w:t>
      </w:r>
    </w:p>
    <w:p>
      <w:pPr>
        <w:pStyle w:val="25"/>
        <w:ind w:firstLine="560"/>
        <w:jc w:val="center"/>
        <w:rPr>
          <w:color w:val="auto"/>
          <w:sz w:val="28"/>
        </w:rPr>
      </w:pPr>
    </w:p>
    <w:p>
      <w:pPr>
        <w:pStyle w:val="25"/>
        <w:ind w:firstLine="560"/>
        <w:jc w:val="center"/>
        <w:rPr>
          <w:color w:val="auto"/>
          <w:sz w:val="28"/>
        </w:rPr>
      </w:pPr>
    </w:p>
    <w:p>
      <w:pPr>
        <w:pStyle w:val="25"/>
        <w:ind w:firstLine="560"/>
        <w:jc w:val="center"/>
        <w:rPr>
          <w:color w:val="auto"/>
          <w:sz w:val="28"/>
        </w:rPr>
      </w:pPr>
    </w:p>
    <w:p>
      <w:pPr>
        <w:pStyle w:val="25"/>
        <w:ind w:firstLine="560"/>
        <w:jc w:val="center"/>
        <w:rPr>
          <w:color w:val="auto"/>
          <w:sz w:val="28"/>
        </w:rPr>
      </w:pPr>
    </w:p>
    <w:p>
      <w:pPr>
        <w:pStyle w:val="25"/>
        <w:ind w:firstLine="560"/>
        <w:jc w:val="center"/>
        <w:rPr>
          <w:color w:val="auto"/>
          <w:sz w:val="28"/>
        </w:rPr>
      </w:pPr>
    </w:p>
    <w:p>
      <w:pPr>
        <w:pStyle w:val="25"/>
        <w:ind w:firstLine="560"/>
        <w:jc w:val="center"/>
        <w:rPr>
          <w:color w:val="auto"/>
          <w:sz w:val="28"/>
        </w:rPr>
      </w:pPr>
    </w:p>
    <w:p>
      <w:pPr>
        <w:pStyle w:val="25"/>
        <w:ind w:firstLine="560"/>
        <w:jc w:val="center"/>
        <w:rPr>
          <w:color w:val="auto"/>
          <w:sz w:val="28"/>
        </w:rPr>
      </w:pPr>
    </w:p>
    <w:p>
      <w:pPr>
        <w:pStyle w:val="25"/>
        <w:ind w:firstLine="560"/>
        <w:jc w:val="center"/>
        <w:rPr>
          <w:color w:val="auto"/>
          <w:sz w:val="28"/>
        </w:rPr>
      </w:pPr>
    </w:p>
    <w:p>
      <w:pPr>
        <w:pStyle w:val="25"/>
        <w:ind w:firstLine="640"/>
        <w:jc w:val="center"/>
        <w:rPr>
          <w:color w:val="auto"/>
          <w:sz w:val="32"/>
        </w:rPr>
      </w:pPr>
      <w:r>
        <w:rPr>
          <w:rFonts w:hint="eastAsia"/>
          <w:color w:val="auto"/>
          <w:sz w:val="32"/>
        </w:rPr>
        <w:t>工程名称:</w:t>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softHyphen/>
      </w:r>
      <w:r>
        <w:rPr>
          <w:color w:val="auto"/>
          <w:sz w:val="32"/>
        </w:rPr>
        <w:t>__________________________________________</w:t>
      </w:r>
    </w:p>
    <w:p>
      <w:pPr>
        <w:pStyle w:val="25"/>
        <w:ind w:firstLine="640"/>
        <w:jc w:val="center"/>
        <w:rPr>
          <w:color w:val="auto"/>
          <w:sz w:val="32"/>
        </w:rPr>
      </w:pPr>
    </w:p>
    <w:p>
      <w:pPr>
        <w:pStyle w:val="25"/>
        <w:ind w:firstLine="640"/>
        <w:jc w:val="center"/>
        <w:rPr>
          <w:color w:val="auto"/>
          <w:sz w:val="32"/>
        </w:rPr>
      </w:pPr>
    </w:p>
    <w:p>
      <w:pPr>
        <w:pStyle w:val="25"/>
        <w:ind w:firstLine="640"/>
        <w:jc w:val="center"/>
        <w:rPr>
          <w:color w:val="auto"/>
          <w:sz w:val="32"/>
        </w:rPr>
      </w:pPr>
      <w:r>
        <w:rPr>
          <w:rFonts w:hint="eastAsia"/>
          <w:color w:val="auto"/>
          <w:sz w:val="32"/>
        </w:rPr>
        <w:t>投标人</w:t>
      </w:r>
      <w:r>
        <w:rPr>
          <w:color w:val="auto"/>
          <w:sz w:val="32"/>
        </w:rPr>
        <w:t xml:space="preserve">:  </w:t>
      </w:r>
      <w:r>
        <w:rPr>
          <w:rFonts w:hint="eastAsia"/>
          <w:color w:val="auto"/>
          <w:sz w:val="32"/>
          <w:u w:val="single"/>
        </w:rPr>
        <w:t xml:space="preserve">                                (单位盖章)</w:t>
      </w:r>
    </w:p>
    <w:p>
      <w:pPr>
        <w:pStyle w:val="25"/>
        <w:spacing w:after="120" w:afterLines="50" w:line="480" w:lineRule="auto"/>
        <w:ind w:firstLine="640"/>
        <w:jc w:val="center"/>
        <w:rPr>
          <w:color w:val="auto"/>
          <w:sz w:val="32"/>
        </w:rPr>
      </w:pPr>
    </w:p>
    <w:p>
      <w:pPr>
        <w:pStyle w:val="25"/>
        <w:spacing w:after="120" w:afterLines="50" w:line="480" w:lineRule="auto"/>
        <w:ind w:firstLine="640"/>
        <w:jc w:val="center"/>
        <w:rPr>
          <w:color w:val="auto"/>
          <w:sz w:val="32"/>
          <w:u w:val="single"/>
        </w:rPr>
      </w:pPr>
      <w:r>
        <w:rPr>
          <w:rFonts w:hint="eastAsia"/>
          <w:color w:val="auto"/>
          <w:sz w:val="32"/>
        </w:rPr>
        <w:t>法定代表人或其委托代理人</w:t>
      </w:r>
      <w:r>
        <w:rPr>
          <w:color w:val="auto"/>
          <w:sz w:val="32"/>
        </w:rPr>
        <w:t>:</w:t>
      </w:r>
      <w:r>
        <w:rPr>
          <w:rFonts w:hint="eastAsia"/>
          <w:color w:val="auto"/>
          <w:sz w:val="32"/>
          <w:u w:val="single"/>
        </w:rPr>
        <w:t xml:space="preserve">               (签字或盖章)</w:t>
      </w:r>
    </w:p>
    <w:p>
      <w:pPr>
        <w:pStyle w:val="25"/>
        <w:spacing w:after="120" w:afterLines="50" w:line="480" w:lineRule="auto"/>
        <w:rPr>
          <w:color w:val="auto"/>
          <w:sz w:val="32"/>
          <w:u w:val="single"/>
        </w:rPr>
      </w:pPr>
    </w:p>
    <w:p>
      <w:pPr>
        <w:pStyle w:val="25"/>
        <w:spacing w:after="120" w:afterLines="50" w:line="480" w:lineRule="auto"/>
        <w:ind w:firstLine="640"/>
        <w:jc w:val="center"/>
        <w:rPr>
          <w:color w:val="auto"/>
          <w:sz w:val="32"/>
        </w:rPr>
      </w:pPr>
      <w:r>
        <w:rPr>
          <w:rFonts w:hint="eastAsia"/>
          <w:color w:val="auto"/>
          <w:sz w:val="32"/>
        </w:rPr>
        <w:t>日期:______年_____月______日</w:t>
      </w:r>
    </w:p>
    <w:p>
      <w:pPr>
        <w:pStyle w:val="25"/>
        <w:spacing w:line="440" w:lineRule="exact"/>
        <w:jc w:val="center"/>
        <w:rPr>
          <w:color w:val="auto"/>
          <w:sz w:val="24"/>
        </w:rPr>
      </w:pPr>
    </w:p>
    <w:p>
      <w:pPr>
        <w:pStyle w:val="25"/>
        <w:spacing w:line="440" w:lineRule="exact"/>
        <w:jc w:val="center"/>
        <w:rPr>
          <w:color w:val="auto"/>
          <w:sz w:val="24"/>
        </w:rPr>
      </w:pPr>
    </w:p>
    <w:p>
      <w:pPr>
        <w:jc w:val="center"/>
        <w:rPr>
          <w:b/>
          <w:bCs/>
          <w:color w:val="auto"/>
          <w:sz w:val="72"/>
        </w:rPr>
      </w:pPr>
      <w:r>
        <w:rPr>
          <w:rFonts w:hint="eastAsia"/>
          <w:b/>
          <w:bCs/>
          <w:color w:val="auto"/>
          <w:sz w:val="72"/>
        </w:rPr>
        <w:t>施工投标文件</w:t>
      </w:r>
    </w:p>
    <w:p>
      <w:pPr>
        <w:jc w:val="center"/>
        <w:rPr>
          <w:color w:val="auto"/>
          <w:sz w:val="36"/>
        </w:rPr>
      </w:pPr>
      <w:r>
        <w:rPr>
          <w:rFonts w:hint="eastAsia"/>
          <w:color w:val="auto"/>
          <w:sz w:val="36"/>
        </w:rPr>
        <w:t>（封面）</w:t>
      </w:r>
    </w:p>
    <w:p>
      <w:pPr>
        <w:rPr>
          <w:color w:val="auto"/>
        </w:rPr>
      </w:pPr>
    </w:p>
    <w:p>
      <w:pPr>
        <w:rPr>
          <w:color w:val="auto"/>
          <w:sz w:val="32"/>
        </w:rPr>
      </w:pPr>
    </w:p>
    <w:p>
      <w:pPr>
        <w:rPr>
          <w:color w:val="auto"/>
          <w:sz w:val="32"/>
        </w:rPr>
      </w:pPr>
    </w:p>
    <w:p>
      <w:pPr>
        <w:spacing w:after="360" w:afterLines="150" w:line="480" w:lineRule="auto"/>
        <w:ind w:firstLine="627" w:firstLineChars="196"/>
        <w:rPr>
          <w:rFonts w:ascii="宋体" w:hAnsi="宋体" w:eastAsia="宋体"/>
          <w:color w:val="auto"/>
          <w:sz w:val="32"/>
          <w:u w:val="single"/>
        </w:rPr>
      </w:pPr>
      <w:r>
        <w:rPr>
          <w:rFonts w:hint="eastAsia" w:ascii="宋体" w:hAnsi="宋体" w:eastAsia="宋体"/>
          <w:color w:val="auto"/>
          <w:sz w:val="32"/>
        </w:rPr>
        <w:t>工程名称：</w:t>
      </w:r>
      <w:r>
        <w:rPr>
          <w:rFonts w:ascii="宋体" w:hAnsi="宋体" w:eastAsia="宋体"/>
          <w:color w:val="auto"/>
          <w:sz w:val="32"/>
          <w:u w:val="single"/>
        </w:rPr>
        <w:t xml:space="preserve">                                  </w:t>
      </w:r>
    </w:p>
    <w:p>
      <w:pPr>
        <w:tabs>
          <w:tab w:val="left" w:pos="5529"/>
        </w:tabs>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投标文件内容：</w:t>
      </w:r>
      <w:r>
        <w:rPr>
          <w:rFonts w:ascii="宋体" w:hAnsi="宋体" w:eastAsia="宋体"/>
          <w:color w:val="auto"/>
          <w:sz w:val="32"/>
          <w:u w:val="single"/>
        </w:rPr>
        <w:t xml:space="preserve">      投标文件商务标格式      </w:t>
      </w:r>
    </w:p>
    <w:p>
      <w:pPr>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投标人：</w:t>
      </w:r>
      <w:r>
        <w:rPr>
          <w:rFonts w:ascii="宋体" w:hAnsi="宋体" w:eastAsia="宋体"/>
          <w:color w:val="auto"/>
          <w:sz w:val="32"/>
          <w:u w:val="single"/>
        </w:rPr>
        <w:t xml:space="preserve">                         （单位盖章）</w:t>
      </w:r>
    </w:p>
    <w:p>
      <w:pPr>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法定代表人或委托代理人：</w:t>
      </w:r>
      <w:r>
        <w:rPr>
          <w:rFonts w:ascii="宋体" w:hAnsi="宋体" w:eastAsia="宋体"/>
          <w:color w:val="auto"/>
          <w:sz w:val="32"/>
          <w:u w:val="single"/>
        </w:rPr>
        <w:t xml:space="preserve">       （</w:t>
      </w:r>
      <w:r>
        <w:rPr>
          <w:rFonts w:hint="eastAsia"/>
          <w:color w:val="auto"/>
          <w:u w:val="single"/>
        </w:rPr>
        <w:t>签字或盖章</w:t>
      </w:r>
      <w:r>
        <w:rPr>
          <w:rFonts w:hint="eastAsia" w:ascii="宋体" w:hAnsi="宋体" w:eastAsia="宋体"/>
          <w:color w:val="auto"/>
          <w:sz w:val="32"/>
          <w:u w:val="single"/>
        </w:rPr>
        <w:t>）</w:t>
      </w:r>
    </w:p>
    <w:p>
      <w:pPr>
        <w:spacing w:after="360" w:afterLines="150" w:line="480" w:lineRule="auto"/>
        <w:ind w:firstLine="627" w:firstLineChars="196"/>
        <w:rPr>
          <w:rFonts w:ascii="宋体" w:hAnsi="宋体" w:eastAsia="宋体"/>
          <w:color w:val="auto"/>
          <w:sz w:val="32"/>
        </w:rPr>
      </w:pPr>
    </w:p>
    <w:p>
      <w:pPr>
        <w:spacing w:after="360" w:afterLines="150" w:line="480" w:lineRule="auto"/>
        <w:ind w:firstLine="627" w:firstLineChars="196"/>
        <w:rPr>
          <w:rFonts w:ascii="宋体" w:hAnsi="宋体" w:eastAsia="宋体"/>
          <w:color w:val="auto"/>
          <w:sz w:val="32"/>
        </w:rPr>
      </w:pPr>
    </w:p>
    <w:p>
      <w:pPr>
        <w:spacing w:after="360" w:afterLines="150" w:line="480" w:lineRule="auto"/>
        <w:ind w:firstLine="627" w:firstLineChars="196"/>
        <w:jc w:val="center"/>
        <w:rPr>
          <w:color w:val="auto"/>
          <w:sz w:val="32"/>
        </w:rPr>
      </w:pPr>
      <w:r>
        <w:rPr>
          <w:rFonts w:hint="eastAsia" w:ascii="宋体" w:hAnsi="宋体" w:eastAsia="宋体"/>
          <w:color w:val="auto"/>
          <w:sz w:val="32"/>
        </w:rPr>
        <w:t>日期：</w:t>
      </w:r>
      <w:r>
        <w:rPr>
          <w:rFonts w:ascii="宋体" w:hAnsi="宋体" w:eastAsia="宋体"/>
          <w:color w:val="auto"/>
          <w:sz w:val="32"/>
        </w:rPr>
        <w:t xml:space="preserve">     </w:t>
      </w:r>
      <w:r>
        <w:rPr>
          <w:rFonts w:hint="eastAsia" w:ascii="宋体" w:hAnsi="宋体" w:eastAsia="宋体"/>
          <w:color w:val="auto"/>
          <w:sz w:val="32"/>
        </w:rPr>
        <w:t>年</w:t>
      </w:r>
      <w:r>
        <w:rPr>
          <w:rFonts w:ascii="宋体" w:hAnsi="宋体" w:eastAsia="宋体"/>
          <w:color w:val="auto"/>
          <w:sz w:val="32"/>
        </w:rPr>
        <w:t xml:space="preserve">     </w:t>
      </w:r>
      <w:r>
        <w:rPr>
          <w:rFonts w:hint="eastAsia" w:ascii="宋体" w:hAnsi="宋体" w:eastAsia="宋体"/>
          <w:color w:val="auto"/>
          <w:sz w:val="32"/>
        </w:rPr>
        <w:t>月</w:t>
      </w:r>
      <w:r>
        <w:rPr>
          <w:rFonts w:ascii="宋体" w:hAnsi="宋体" w:eastAsia="宋体"/>
          <w:color w:val="auto"/>
          <w:sz w:val="32"/>
        </w:rPr>
        <w:t xml:space="preserve">     </w:t>
      </w:r>
      <w:r>
        <w:rPr>
          <w:rFonts w:hint="eastAsia" w:ascii="宋体" w:hAnsi="宋体" w:eastAsia="宋体"/>
          <w:color w:val="auto"/>
          <w:sz w:val="32"/>
        </w:rPr>
        <w:t>日</w:t>
      </w:r>
    </w:p>
    <w:p>
      <w:pPr>
        <w:rPr>
          <w:color w:val="auto"/>
          <w:sz w:val="32"/>
          <w:u w:val="single"/>
        </w:rPr>
      </w:pPr>
    </w:p>
    <w:p>
      <w:pPr>
        <w:pStyle w:val="2"/>
        <w:rPr>
          <w:color w:val="auto"/>
          <w:sz w:val="32"/>
          <w:u w:val="single"/>
        </w:rPr>
      </w:pPr>
    </w:p>
    <w:p>
      <w:pPr>
        <w:rPr>
          <w:color w:val="auto"/>
          <w:sz w:val="32"/>
          <w:u w:val="single"/>
        </w:rPr>
      </w:pPr>
    </w:p>
    <w:p>
      <w:pPr>
        <w:pStyle w:val="2"/>
        <w:rPr>
          <w:color w:val="auto"/>
          <w:sz w:val="32"/>
          <w:u w:val="single"/>
        </w:rPr>
      </w:pPr>
    </w:p>
    <w:p>
      <w:pPr>
        <w:rPr>
          <w:color w:val="auto"/>
        </w:rPr>
      </w:pPr>
    </w:p>
    <w:p>
      <w:pPr>
        <w:pStyle w:val="25"/>
        <w:spacing w:line="360" w:lineRule="auto"/>
        <w:ind w:firstLine="602"/>
        <w:jc w:val="center"/>
        <w:rPr>
          <w:b/>
          <w:bCs/>
          <w:color w:val="auto"/>
          <w:sz w:val="36"/>
          <w:szCs w:val="36"/>
        </w:rPr>
      </w:pPr>
      <w:r>
        <w:rPr>
          <w:rFonts w:hint="eastAsia"/>
          <w:b/>
          <w:bCs/>
          <w:color w:val="auto"/>
          <w:sz w:val="36"/>
          <w:szCs w:val="36"/>
        </w:rPr>
        <w:t>目</w:t>
      </w:r>
      <w:r>
        <w:rPr>
          <w:b/>
          <w:bCs/>
          <w:color w:val="auto"/>
          <w:sz w:val="36"/>
          <w:szCs w:val="36"/>
        </w:rPr>
        <w:t xml:space="preserve">    </w:t>
      </w:r>
      <w:r>
        <w:rPr>
          <w:rFonts w:hint="eastAsia"/>
          <w:b/>
          <w:bCs/>
          <w:color w:val="auto"/>
          <w:sz w:val="36"/>
          <w:szCs w:val="36"/>
        </w:rPr>
        <w:t>录</w:t>
      </w:r>
    </w:p>
    <w:p>
      <w:pPr>
        <w:autoSpaceDE/>
        <w:autoSpaceDN/>
        <w:adjustRightInd/>
        <w:spacing w:line="360" w:lineRule="auto"/>
        <w:ind w:left="560"/>
        <w:rPr>
          <w:rFonts w:ascii="宋体" w:hAnsi="宋体"/>
          <w:color w:val="auto"/>
          <w:sz w:val="28"/>
          <w:szCs w:val="28"/>
        </w:rPr>
      </w:pPr>
      <w:r>
        <w:rPr>
          <w:rFonts w:ascii="宋体" w:hAnsi="宋体"/>
          <w:color w:val="auto"/>
          <w:sz w:val="28"/>
          <w:szCs w:val="28"/>
        </w:rPr>
        <w:t>1.</w:t>
      </w:r>
      <w:r>
        <w:rPr>
          <w:rFonts w:hint="eastAsia" w:ascii="宋体" w:hAnsi="宋体"/>
          <w:color w:val="auto"/>
          <w:sz w:val="28"/>
          <w:szCs w:val="28"/>
        </w:rPr>
        <w:t>法定代表人身份证明书</w:t>
      </w:r>
    </w:p>
    <w:p>
      <w:pPr>
        <w:autoSpaceDE/>
        <w:autoSpaceDN/>
        <w:adjustRightInd/>
        <w:spacing w:line="360" w:lineRule="auto"/>
        <w:ind w:left="560"/>
        <w:jc w:val="both"/>
        <w:rPr>
          <w:rFonts w:ascii="宋体" w:hAnsi="宋体"/>
          <w:color w:val="auto"/>
          <w:sz w:val="28"/>
          <w:szCs w:val="28"/>
        </w:rPr>
      </w:pPr>
      <w:r>
        <w:rPr>
          <w:rFonts w:ascii="宋体" w:hAnsi="宋体"/>
          <w:color w:val="auto"/>
          <w:sz w:val="28"/>
          <w:szCs w:val="28"/>
        </w:rPr>
        <w:t>2.</w:t>
      </w:r>
      <w:r>
        <w:rPr>
          <w:rFonts w:hint="eastAsia" w:ascii="宋体" w:hAnsi="宋体"/>
          <w:color w:val="auto"/>
          <w:sz w:val="28"/>
          <w:szCs w:val="28"/>
        </w:rPr>
        <w:t>授权委托书</w:t>
      </w:r>
    </w:p>
    <w:p>
      <w:pPr>
        <w:autoSpaceDE/>
        <w:autoSpaceDN/>
        <w:adjustRightInd/>
        <w:spacing w:line="360" w:lineRule="auto"/>
        <w:ind w:firstLine="560" w:firstLineChars="200"/>
        <w:rPr>
          <w:rFonts w:ascii="宋体" w:hAnsi="宋体"/>
          <w:color w:val="auto"/>
          <w:sz w:val="28"/>
          <w:szCs w:val="28"/>
        </w:rPr>
      </w:pPr>
      <w:r>
        <w:rPr>
          <w:rFonts w:ascii="宋体" w:hAnsi="宋体"/>
          <w:color w:val="auto"/>
          <w:sz w:val="28"/>
          <w:szCs w:val="28"/>
        </w:rPr>
        <w:t>3.</w:t>
      </w:r>
      <w:r>
        <w:rPr>
          <w:rFonts w:hint="eastAsia" w:ascii="宋体" w:hAnsi="宋体"/>
          <w:color w:val="auto"/>
          <w:sz w:val="28"/>
          <w:szCs w:val="28"/>
        </w:rPr>
        <w:t>投标函</w:t>
      </w:r>
    </w:p>
    <w:p>
      <w:pPr>
        <w:autoSpaceDE/>
        <w:autoSpaceDN/>
        <w:adjustRightInd/>
        <w:spacing w:line="360" w:lineRule="auto"/>
        <w:ind w:firstLine="560" w:firstLineChars="200"/>
        <w:rPr>
          <w:rFonts w:ascii="宋体" w:hAnsi="宋体"/>
          <w:color w:val="auto"/>
          <w:sz w:val="28"/>
          <w:szCs w:val="28"/>
        </w:rPr>
      </w:pPr>
      <w:r>
        <w:rPr>
          <w:rFonts w:ascii="宋体" w:hAnsi="宋体" w:eastAsia="等线"/>
          <w:color w:val="auto"/>
          <w:sz w:val="28"/>
          <w:szCs w:val="28"/>
        </w:rPr>
        <w:t>4.</w:t>
      </w:r>
      <w:r>
        <w:rPr>
          <w:rFonts w:hint="eastAsia" w:ascii="宋体" w:hAnsi="宋体"/>
          <w:color w:val="auto"/>
          <w:sz w:val="28"/>
          <w:szCs w:val="28"/>
        </w:rPr>
        <w:t>投标函附录</w:t>
      </w:r>
    </w:p>
    <w:p>
      <w:pPr>
        <w:autoSpaceDE/>
        <w:autoSpaceDN/>
        <w:adjustRightInd/>
        <w:spacing w:line="360" w:lineRule="auto"/>
        <w:ind w:left="560"/>
        <w:jc w:val="both"/>
        <w:rPr>
          <w:rFonts w:ascii="宋体" w:hAnsi="宋体"/>
          <w:color w:val="auto"/>
          <w:sz w:val="28"/>
          <w:szCs w:val="28"/>
        </w:rPr>
      </w:pPr>
      <w:r>
        <w:rPr>
          <w:rFonts w:ascii="宋体" w:hAnsi="宋体"/>
          <w:color w:val="auto"/>
          <w:sz w:val="28"/>
          <w:szCs w:val="28"/>
        </w:rPr>
        <w:t>5.</w:t>
      </w:r>
      <w:r>
        <w:rPr>
          <w:rFonts w:hint="eastAsia" w:ascii="宋体" w:hAnsi="宋体"/>
          <w:color w:val="auto"/>
          <w:sz w:val="28"/>
          <w:szCs w:val="28"/>
        </w:rPr>
        <w:t>投标总价封面</w:t>
      </w:r>
    </w:p>
    <w:p>
      <w:pPr>
        <w:autoSpaceDE/>
        <w:autoSpaceDN/>
        <w:adjustRightInd/>
        <w:spacing w:line="360" w:lineRule="auto"/>
        <w:ind w:left="560"/>
        <w:jc w:val="both"/>
        <w:rPr>
          <w:rFonts w:ascii="宋体" w:hAnsi="宋体"/>
          <w:color w:val="auto"/>
          <w:sz w:val="28"/>
          <w:szCs w:val="28"/>
        </w:rPr>
      </w:pPr>
      <w:r>
        <w:rPr>
          <w:rFonts w:ascii="宋体" w:hAnsi="宋体"/>
          <w:color w:val="auto"/>
          <w:sz w:val="28"/>
          <w:szCs w:val="28"/>
        </w:rPr>
        <w:t>6.</w:t>
      </w:r>
      <w:r>
        <w:rPr>
          <w:rFonts w:hint="eastAsia" w:ascii="宋体" w:hAnsi="宋体"/>
          <w:color w:val="auto"/>
          <w:sz w:val="28"/>
          <w:szCs w:val="28"/>
        </w:rPr>
        <w:t>工程量清单报价说明</w:t>
      </w:r>
    </w:p>
    <w:p>
      <w:pPr>
        <w:autoSpaceDE/>
        <w:autoSpaceDN/>
        <w:adjustRightInd/>
        <w:spacing w:line="360" w:lineRule="auto"/>
        <w:ind w:left="560"/>
        <w:jc w:val="both"/>
        <w:rPr>
          <w:rFonts w:ascii="宋体" w:hAnsi="宋体"/>
          <w:color w:val="auto"/>
          <w:sz w:val="28"/>
          <w:szCs w:val="28"/>
        </w:rPr>
      </w:pPr>
      <w:r>
        <w:rPr>
          <w:rFonts w:ascii="宋体" w:hAnsi="宋体"/>
          <w:color w:val="auto"/>
          <w:sz w:val="28"/>
          <w:szCs w:val="28"/>
        </w:rPr>
        <w:t>7.</w:t>
      </w:r>
      <w:r>
        <w:rPr>
          <w:rFonts w:hint="eastAsia" w:ascii="宋体" w:hAnsi="宋体"/>
          <w:color w:val="auto"/>
          <w:sz w:val="28"/>
          <w:szCs w:val="28"/>
        </w:rPr>
        <w:t>已标明价格的工程量清单</w:t>
      </w:r>
    </w:p>
    <w:p>
      <w:pPr>
        <w:tabs>
          <w:tab w:val="left" w:pos="284"/>
        </w:tabs>
        <w:autoSpaceDE/>
        <w:autoSpaceDN/>
        <w:adjustRightInd/>
        <w:spacing w:line="360" w:lineRule="auto"/>
        <w:ind w:left="560"/>
        <w:jc w:val="both"/>
        <w:rPr>
          <w:rFonts w:ascii="宋体" w:hAnsi="宋体"/>
          <w:color w:val="auto"/>
          <w:sz w:val="28"/>
          <w:szCs w:val="28"/>
        </w:rPr>
      </w:pPr>
      <w:r>
        <w:rPr>
          <w:rFonts w:ascii="宋体" w:hAnsi="宋体"/>
          <w:color w:val="auto"/>
          <w:sz w:val="28"/>
          <w:szCs w:val="28"/>
        </w:rPr>
        <w:t>8.</w:t>
      </w:r>
      <w:r>
        <w:rPr>
          <w:rFonts w:hint="eastAsia" w:ascii="宋体" w:hAnsi="宋体"/>
          <w:color w:val="auto"/>
          <w:sz w:val="28"/>
          <w:szCs w:val="28"/>
        </w:rPr>
        <w:t>招标文件要求投标人提交的其它投标资料（本项无表格，需要时由招标人用文字提出）</w:t>
      </w:r>
    </w:p>
    <w:p>
      <w:pPr>
        <w:pStyle w:val="150"/>
        <w:rPr>
          <w:color w:val="auto"/>
          <w:lang w:val="en-US"/>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b/>
          <w:bCs/>
          <w:color w:val="auto"/>
          <w:sz w:val="32"/>
        </w:rPr>
      </w:pPr>
    </w:p>
    <w:p>
      <w:pPr>
        <w:jc w:val="center"/>
        <w:rPr>
          <w:color w:val="auto"/>
          <w:sz w:val="36"/>
        </w:rPr>
      </w:pPr>
      <w:r>
        <w:rPr>
          <w:b/>
          <w:bCs/>
          <w:color w:val="auto"/>
          <w:sz w:val="36"/>
        </w:rPr>
        <w:br w:type="page"/>
      </w:r>
      <w:r>
        <w:rPr>
          <w:rFonts w:hint="eastAsia"/>
          <w:b/>
          <w:bCs/>
          <w:color w:val="auto"/>
          <w:sz w:val="36"/>
        </w:rPr>
        <w:t>法定代表人身份证明书</w:t>
      </w:r>
    </w:p>
    <w:p>
      <w:pPr>
        <w:rPr>
          <w:color w:val="auto"/>
        </w:rPr>
      </w:pPr>
    </w:p>
    <w:p>
      <w:pPr>
        <w:spacing w:line="480" w:lineRule="auto"/>
        <w:rPr>
          <w:color w:val="auto"/>
          <w:u w:val="single"/>
        </w:rPr>
      </w:pPr>
      <w:r>
        <w:rPr>
          <w:rFonts w:hint="eastAsia"/>
          <w:color w:val="auto"/>
        </w:rPr>
        <w:t>单位名称：</w:t>
      </w:r>
      <w:r>
        <w:rPr>
          <w:color w:val="auto"/>
          <w:u w:val="single"/>
        </w:rPr>
        <w:t xml:space="preserve">                                    </w:t>
      </w:r>
    </w:p>
    <w:p>
      <w:pPr>
        <w:spacing w:line="480" w:lineRule="auto"/>
        <w:rPr>
          <w:color w:val="auto"/>
          <w:u w:val="single"/>
        </w:rPr>
      </w:pPr>
      <w:r>
        <w:rPr>
          <w:rFonts w:hint="eastAsia"/>
          <w:color w:val="auto"/>
        </w:rPr>
        <w:t>地</w:t>
      </w:r>
      <w:r>
        <w:rPr>
          <w:color w:val="auto"/>
        </w:rPr>
        <w:t xml:space="preserve">         </w:t>
      </w:r>
      <w:r>
        <w:rPr>
          <w:rFonts w:hint="eastAsia"/>
          <w:color w:val="auto"/>
        </w:rPr>
        <w:t>址：</w:t>
      </w:r>
      <w:r>
        <w:rPr>
          <w:color w:val="auto"/>
          <w:u w:val="single"/>
        </w:rPr>
        <w:t xml:space="preserve">                                     </w:t>
      </w:r>
    </w:p>
    <w:p>
      <w:pPr>
        <w:spacing w:line="480" w:lineRule="auto"/>
        <w:rPr>
          <w:color w:val="auto"/>
        </w:rPr>
      </w:pPr>
      <w:r>
        <w:rPr>
          <w:rFonts w:hint="eastAsia"/>
          <w:color w:val="auto"/>
        </w:rPr>
        <w:t>姓名：</w:t>
      </w:r>
      <w:r>
        <w:rPr>
          <w:color w:val="auto"/>
          <w:u w:val="single"/>
        </w:rPr>
        <w:t xml:space="preserve">          </w:t>
      </w:r>
      <w:r>
        <w:rPr>
          <w:rFonts w:hint="eastAsia"/>
          <w:color w:val="auto"/>
        </w:rPr>
        <w:t>性别：</w:t>
      </w:r>
      <w:r>
        <w:rPr>
          <w:color w:val="auto"/>
          <w:u w:val="single"/>
        </w:rPr>
        <w:t xml:space="preserve">      </w:t>
      </w:r>
      <w:r>
        <w:rPr>
          <w:rFonts w:hint="eastAsia"/>
          <w:color w:val="auto"/>
        </w:rPr>
        <w:t>年龄：</w:t>
      </w:r>
      <w:r>
        <w:rPr>
          <w:color w:val="auto"/>
          <w:u w:val="single"/>
        </w:rPr>
        <w:t xml:space="preserve">      </w:t>
      </w:r>
      <w:r>
        <w:rPr>
          <w:rFonts w:hint="eastAsia"/>
          <w:color w:val="auto"/>
        </w:rPr>
        <w:t>职务：</w:t>
      </w:r>
      <w:r>
        <w:rPr>
          <w:color w:val="auto"/>
          <w:u w:val="single"/>
        </w:rPr>
        <w:t xml:space="preserve">                         </w:t>
      </w:r>
      <w:r>
        <w:rPr>
          <w:rFonts w:hint="eastAsia"/>
          <w:color w:val="auto"/>
        </w:rPr>
        <w:t>系</w:t>
      </w:r>
      <w:r>
        <w:rPr>
          <w:color w:val="auto"/>
          <w:u w:val="single"/>
        </w:rPr>
        <w:t xml:space="preserve">                          </w:t>
      </w:r>
      <w:r>
        <w:rPr>
          <w:rFonts w:hint="eastAsia"/>
          <w:color w:val="auto"/>
        </w:rPr>
        <w:t>的法定代表人。</w:t>
      </w:r>
    </w:p>
    <w:p>
      <w:pPr>
        <w:tabs>
          <w:tab w:val="left" w:pos="482"/>
          <w:tab w:val="left" w:pos="2183"/>
          <w:tab w:val="left" w:pos="3884"/>
          <w:tab w:val="left" w:pos="5585"/>
        </w:tabs>
        <w:spacing w:line="500" w:lineRule="exact"/>
        <w:ind w:firstLine="240" w:firstLineChars="100"/>
        <w:rPr>
          <w:rFonts w:ascii="宋体" w:hAnsi="宋体" w:cs="宋体"/>
          <w:color w:val="auto"/>
        </w:rPr>
      </w:pPr>
    </w:p>
    <w:p>
      <w:pPr>
        <w:tabs>
          <w:tab w:val="left" w:pos="482"/>
          <w:tab w:val="left" w:pos="2183"/>
          <w:tab w:val="left" w:pos="3884"/>
          <w:tab w:val="left" w:pos="5585"/>
        </w:tabs>
        <w:spacing w:line="500" w:lineRule="exact"/>
        <w:ind w:firstLine="240" w:firstLineChars="100"/>
        <w:rPr>
          <w:rFonts w:ascii="宋体" w:hAnsi="宋体" w:cs="宋体"/>
          <w:color w:val="auto"/>
        </w:rPr>
      </w:pPr>
      <w:r>
        <w:rPr>
          <w:rFonts w:hint="eastAsia" w:ascii="宋体" w:hAnsi="宋体" w:cs="宋体"/>
          <w:color w:val="auto"/>
        </w:rPr>
        <w:t>附</w:t>
      </w:r>
    </w:p>
    <w:tbl>
      <w:tblPr>
        <w:tblStyle w:val="40"/>
        <w:tblW w:w="0" w:type="auto"/>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6662" w:type="dxa"/>
            <w:noWrap w:val="0"/>
            <w:vAlign w:val="center"/>
          </w:tcPr>
          <w:p>
            <w:pPr>
              <w:tabs>
                <w:tab w:val="left" w:leader="middleDot" w:pos="8400"/>
              </w:tabs>
              <w:spacing w:line="360" w:lineRule="auto"/>
              <w:jc w:val="center"/>
              <w:rPr>
                <w:rFonts w:ascii="宋体" w:hAnsi="宋体"/>
                <w:color w:val="auto"/>
              </w:rPr>
            </w:pPr>
            <w:r>
              <w:rPr>
                <w:rFonts w:hint="eastAsia" w:ascii="宋体" w:hAnsi="宋体"/>
                <w:color w:val="auto"/>
              </w:rPr>
              <w:t>法定代表人身份证正面复印件粘贴处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trPr>
        <w:tc>
          <w:tcPr>
            <w:tcW w:w="6662" w:type="dxa"/>
            <w:noWrap w:val="0"/>
            <w:vAlign w:val="center"/>
          </w:tcPr>
          <w:p>
            <w:pPr>
              <w:tabs>
                <w:tab w:val="left" w:leader="middleDot" w:pos="8400"/>
              </w:tabs>
              <w:spacing w:line="360" w:lineRule="auto"/>
              <w:jc w:val="center"/>
              <w:rPr>
                <w:rFonts w:ascii="宋体" w:hAnsi="宋体"/>
                <w:color w:val="auto"/>
              </w:rPr>
            </w:pPr>
            <w:r>
              <w:rPr>
                <w:rFonts w:hint="eastAsia" w:ascii="宋体" w:hAnsi="宋体"/>
                <w:color w:val="auto"/>
              </w:rPr>
              <w:t>法定代表人身份证背面复印件粘贴处</w:t>
            </w:r>
          </w:p>
        </w:tc>
      </w:tr>
    </w:tbl>
    <w:p>
      <w:pPr>
        <w:spacing w:line="480" w:lineRule="auto"/>
        <w:rPr>
          <w:color w:val="auto"/>
        </w:rPr>
      </w:pPr>
      <w:r>
        <w:rPr>
          <w:rFonts w:hint="eastAsia"/>
          <w:color w:val="auto"/>
        </w:rPr>
        <w:t>特此证明。</w:t>
      </w:r>
    </w:p>
    <w:p>
      <w:pPr>
        <w:spacing w:line="480" w:lineRule="auto"/>
        <w:ind w:firstLine="4560" w:firstLineChars="1900"/>
        <w:rPr>
          <w:color w:val="auto"/>
          <w:u w:val="single"/>
        </w:rPr>
      </w:pPr>
      <w:r>
        <w:rPr>
          <w:rFonts w:hint="eastAsia"/>
          <w:color w:val="auto"/>
        </w:rPr>
        <w:t>投标人：</w:t>
      </w:r>
      <w:r>
        <w:rPr>
          <w:color w:val="auto"/>
          <w:u w:val="single"/>
        </w:rPr>
        <w:t xml:space="preserve">           </w:t>
      </w:r>
      <w:r>
        <w:rPr>
          <w:rFonts w:hint="eastAsia"/>
          <w:color w:val="auto"/>
          <w:u w:val="single"/>
        </w:rPr>
        <w:t>（单位盖章）</w:t>
      </w:r>
      <w:r>
        <w:rPr>
          <w:color w:val="auto"/>
          <w:u w:val="single"/>
        </w:rPr>
        <w:t xml:space="preserve">         </w:t>
      </w:r>
    </w:p>
    <w:p>
      <w:pPr>
        <w:spacing w:line="480" w:lineRule="auto"/>
        <w:ind w:firstLine="4560" w:firstLineChars="1900"/>
        <w:rPr>
          <w:color w:val="auto"/>
        </w:rPr>
      </w:pPr>
      <w:r>
        <w:rPr>
          <w:rFonts w:hint="eastAsia"/>
          <w:color w:val="auto"/>
        </w:rPr>
        <w:t>日</w:t>
      </w:r>
      <w:r>
        <w:rPr>
          <w:color w:val="auto"/>
        </w:rPr>
        <w:t xml:space="preserve">    </w:t>
      </w:r>
      <w:r>
        <w:rPr>
          <w:rFonts w:hint="eastAsia"/>
          <w:color w:val="auto"/>
        </w:rPr>
        <w:t>期：</w:t>
      </w:r>
      <w:r>
        <w:rPr>
          <w:color w:val="auto"/>
          <w:u w:val="single"/>
        </w:rPr>
        <w:t xml:space="preserve">       </w:t>
      </w:r>
      <w:r>
        <w:rPr>
          <w:rFonts w:hint="eastAsia"/>
          <w:color w:val="auto"/>
        </w:rPr>
        <w:t>年</w:t>
      </w:r>
      <w:r>
        <w:rPr>
          <w:color w:val="auto"/>
          <w:u w:val="single"/>
        </w:rPr>
        <w:t xml:space="preserve">       </w:t>
      </w:r>
      <w:r>
        <w:rPr>
          <w:rFonts w:hint="eastAsia"/>
          <w:color w:val="auto"/>
        </w:rPr>
        <w:t>月</w:t>
      </w:r>
      <w:r>
        <w:rPr>
          <w:color w:val="auto"/>
          <w:u w:val="single"/>
        </w:rPr>
        <w:t xml:space="preserve">        </w:t>
      </w:r>
      <w:r>
        <w:rPr>
          <w:rFonts w:hint="eastAsia"/>
          <w:color w:val="auto"/>
        </w:rPr>
        <w:t>日</w:t>
      </w:r>
    </w:p>
    <w:p>
      <w:pPr>
        <w:rPr>
          <w:rFonts w:ascii="宋体" w:hAnsi="宋体" w:cs="宋体"/>
          <w:color w:val="auto"/>
          <w:szCs w:val="21"/>
        </w:rPr>
      </w:pPr>
    </w:p>
    <w:p>
      <w:pPr>
        <w:spacing w:line="480" w:lineRule="auto"/>
        <w:rPr>
          <w:color w:val="auto"/>
        </w:rPr>
      </w:pPr>
      <w:r>
        <w:rPr>
          <w:rFonts w:hint="eastAsia" w:ascii="宋体" w:hAnsi="宋体"/>
          <w:color w:val="auto"/>
        </w:rPr>
        <w:t>（注：此证明书格式供参考，各地可根据实际需求更改</w:t>
      </w:r>
      <w:r>
        <w:rPr>
          <w:rFonts w:hint="eastAsia"/>
          <w:color w:val="auto"/>
          <w:sz w:val="28"/>
          <w:szCs w:val="28"/>
        </w:rPr>
        <w:t>）</w:t>
      </w:r>
    </w:p>
    <w:p>
      <w:pPr>
        <w:spacing w:line="480" w:lineRule="auto"/>
        <w:rPr>
          <w:color w:val="auto"/>
        </w:rPr>
      </w:pPr>
    </w:p>
    <w:p>
      <w:pPr>
        <w:pStyle w:val="2"/>
        <w:rPr>
          <w:color w:val="auto"/>
        </w:rPr>
      </w:pPr>
    </w:p>
    <w:p>
      <w:pPr>
        <w:rPr>
          <w:color w:val="auto"/>
        </w:rPr>
      </w:pPr>
    </w:p>
    <w:p>
      <w:pPr>
        <w:pStyle w:val="2"/>
        <w:rPr>
          <w:color w:val="auto"/>
        </w:rPr>
      </w:pPr>
    </w:p>
    <w:p>
      <w:pPr>
        <w:pStyle w:val="164"/>
        <w:jc w:val="center"/>
        <w:rPr>
          <w:rFonts w:ascii="宋体" w:hAnsi="宋体" w:cs="宋体"/>
          <w:b/>
          <w:color w:val="auto"/>
          <w:sz w:val="36"/>
          <w:szCs w:val="36"/>
        </w:rPr>
      </w:pPr>
      <w:r>
        <w:rPr>
          <w:rFonts w:hint="eastAsia" w:ascii="宋体" w:hAnsi="宋体" w:cs="宋体"/>
          <w:b/>
          <w:color w:val="auto"/>
          <w:sz w:val="36"/>
          <w:szCs w:val="36"/>
        </w:rPr>
        <w:t>授权委托书</w:t>
      </w:r>
    </w:p>
    <w:p>
      <w:pPr>
        <w:spacing w:line="480" w:lineRule="auto"/>
        <w:ind w:firstLine="720" w:firstLineChars="300"/>
        <w:rPr>
          <w:rFonts w:ascii="宋体" w:hAnsi="宋体" w:cs="宋体"/>
          <w:color w:val="auto"/>
        </w:rPr>
      </w:pPr>
    </w:p>
    <w:p>
      <w:pPr>
        <w:spacing w:line="480" w:lineRule="auto"/>
        <w:ind w:firstLine="720" w:firstLineChars="300"/>
        <w:rPr>
          <w:color w:val="auto"/>
          <w:sz w:val="28"/>
          <w:szCs w:val="28"/>
        </w:rPr>
      </w:pPr>
      <w:r>
        <w:rPr>
          <w:rFonts w:hint="eastAsia" w:ascii="宋体" w:hAnsi="宋体" w:cs="宋体"/>
          <w:color w:val="auto"/>
        </w:rPr>
        <w:t>本授权委托书声明：我</w:t>
      </w:r>
      <w:r>
        <w:rPr>
          <w:rFonts w:ascii="宋体" w:hAnsi="宋体" w:cs="宋体"/>
          <w:color w:val="auto"/>
          <w:u w:val="single"/>
        </w:rPr>
        <w:t xml:space="preserve">      （姓名） </w:t>
      </w:r>
      <w:r>
        <w:rPr>
          <w:rFonts w:hint="eastAsia" w:ascii="宋体" w:hAnsi="宋体" w:cs="宋体"/>
          <w:color w:val="auto"/>
        </w:rPr>
        <w:t>系</w:t>
      </w:r>
      <w:r>
        <w:rPr>
          <w:rFonts w:ascii="宋体" w:hAnsi="宋体" w:cs="宋体"/>
          <w:color w:val="auto"/>
          <w:u w:val="single"/>
        </w:rPr>
        <w:t xml:space="preserve">                 （投标单位名称） </w:t>
      </w:r>
      <w:r>
        <w:rPr>
          <w:rFonts w:hint="eastAsia" w:ascii="宋体" w:hAnsi="宋体" w:cs="宋体"/>
          <w:color w:val="auto"/>
        </w:rPr>
        <w:t>的法定代表人，现授权委托</w:t>
      </w:r>
      <w:r>
        <w:rPr>
          <w:rFonts w:ascii="宋体" w:hAnsi="宋体" w:cs="宋体"/>
          <w:color w:val="auto"/>
          <w:u w:val="single"/>
        </w:rPr>
        <w:t xml:space="preserve">       （姓名） </w:t>
      </w:r>
      <w:r>
        <w:rPr>
          <w:rFonts w:hint="eastAsia" w:ascii="宋体" w:hAnsi="宋体" w:cs="宋体"/>
          <w:color w:val="auto"/>
        </w:rPr>
        <w:t>在</w:t>
      </w: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月  </w:t>
      </w:r>
      <w:r>
        <w:rPr>
          <w:rFonts w:hint="eastAsia" w:ascii="宋体" w:hAnsi="宋体" w:cs="宋体"/>
          <w:color w:val="auto"/>
        </w:rPr>
        <w:t>日至</w:t>
      </w: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日（代理时限）为我公司的代理人，以本公司的名义参加</w:t>
      </w:r>
      <w:r>
        <w:rPr>
          <w:rFonts w:ascii="宋体" w:hAnsi="宋体" w:cs="宋体"/>
          <w:color w:val="auto"/>
          <w:u w:val="single"/>
        </w:rPr>
        <w:t xml:space="preserve">     工程 </w:t>
      </w:r>
      <w:r>
        <w:rPr>
          <w:rFonts w:hint="eastAsia" w:ascii="宋体" w:hAnsi="宋体" w:cs="宋体"/>
          <w:color w:val="auto"/>
        </w:rPr>
        <w:t>的投标活动。代理人在代理时间内参加投标、开标、询标过程中所签署的一切文件和处理与之相关的一切事务，本人均予以承认</w:t>
      </w:r>
      <w:r>
        <w:rPr>
          <w:rFonts w:hint="eastAsia"/>
          <w:color w:val="auto"/>
          <w:sz w:val="28"/>
          <w:szCs w:val="28"/>
        </w:rPr>
        <w:t>。</w:t>
      </w:r>
    </w:p>
    <w:p>
      <w:pPr>
        <w:pStyle w:val="164"/>
        <w:spacing w:line="500" w:lineRule="exact"/>
        <w:rPr>
          <w:rFonts w:ascii="宋体" w:hAnsi="宋体" w:cs="宋体"/>
          <w:color w:val="auto"/>
        </w:rPr>
      </w:pPr>
      <w:r>
        <w:rPr>
          <w:rFonts w:hint="eastAsia" w:ascii="宋体" w:hAnsi="宋体" w:cs="宋体"/>
          <w:color w:val="auto"/>
        </w:rPr>
        <w:t>代理人无权转委托。特此委托。</w:t>
      </w:r>
    </w:p>
    <w:p>
      <w:pPr>
        <w:tabs>
          <w:tab w:val="left" w:pos="482"/>
          <w:tab w:val="left" w:pos="2183"/>
          <w:tab w:val="left" w:pos="3884"/>
          <w:tab w:val="left" w:pos="5585"/>
        </w:tabs>
        <w:spacing w:line="500" w:lineRule="exact"/>
        <w:ind w:firstLine="240" w:firstLineChars="100"/>
        <w:rPr>
          <w:rFonts w:ascii="宋体" w:hAnsi="宋体" w:cs="宋体"/>
          <w:color w:val="auto"/>
        </w:rPr>
      </w:pPr>
      <w:r>
        <w:rPr>
          <w:rFonts w:hint="eastAsia" w:ascii="宋体" w:hAnsi="宋体" w:cs="宋体"/>
          <w:color w:val="auto"/>
        </w:rPr>
        <w:t>附</w:t>
      </w:r>
    </w:p>
    <w:tbl>
      <w:tblPr>
        <w:tblStyle w:val="40"/>
        <w:tblW w:w="0" w:type="auto"/>
        <w:tblInd w:w="11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trPr>
        <w:tc>
          <w:tcPr>
            <w:tcW w:w="6662" w:type="dxa"/>
            <w:noWrap w:val="0"/>
            <w:vAlign w:val="center"/>
          </w:tcPr>
          <w:p>
            <w:pPr>
              <w:tabs>
                <w:tab w:val="left" w:leader="middleDot" w:pos="8400"/>
              </w:tabs>
              <w:spacing w:line="360" w:lineRule="auto"/>
              <w:jc w:val="center"/>
              <w:rPr>
                <w:rFonts w:ascii="宋体" w:hAnsi="宋体"/>
                <w:color w:val="auto"/>
              </w:rPr>
            </w:pPr>
            <w:r>
              <w:rPr>
                <w:rFonts w:hint="eastAsia" w:ascii="宋体" w:hAnsi="宋体"/>
                <w:color w:val="auto"/>
              </w:rPr>
              <w:t>代理人身份证正面复印件粘贴处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2" w:hRule="atLeast"/>
        </w:trPr>
        <w:tc>
          <w:tcPr>
            <w:tcW w:w="6662" w:type="dxa"/>
            <w:noWrap w:val="0"/>
            <w:vAlign w:val="center"/>
          </w:tcPr>
          <w:p>
            <w:pPr>
              <w:tabs>
                <w:tab w:val="left" w:leader="middleDot" w:pos="8400"/>
              </w:tabs>
              <w:spacing w:line="360" w:lineRule="auto"/>
              <w:jc w:val="center"/>
              <w:rPr>
                <w:rFonts w:ascii="宋体" w:hAnsi="宋体"/>
                <w:color w:val="auto"/>
              </w:rPr>
            </w:pPr>
            <w:r>
              <w:rPr>
                <w:rFonts w:hint="eastAsia" w:ascii="宋体" w:hAnsi="宋体"/>
                <w:color w:val="auto"/>
              </w:rPr>
              <w:t>代理人身份证背面复印件粘贴处</w:t>
            </w:r>
          </w:p>
        </w:tc>
      </w:tr>
    </w:tbl>
    <w:p>
      <w:pPr>
        <w:tabs>
          <w:tab w:val="left" w:leader="middleDot" w:pos="8400"/>
        </w:tabs>
        <w:spacing w:line="360" w:lineRule="auto"/>
        <w:ind w:firstLine="5280" w:firstLineChars="2200"/>
        <w:rPr>
          <w:rFonts w:ascii="宋体" w:hAnsi="宋体"/>
          <w:color w:val="auto"/>
          <w:u w:val="single"/>
        </w:rPr>
      </w:pPr>
      <w:r>
        <w:rPr>
          <w:rFonts w:hint="eastAsia" w:ascii="宋体" w:hAnsi="宋体"/>
          <w:color w:val="auto"/>
        </w:rPr>
        <w:t>投标人（单位盖章）：</w:t>
      </w:r>
      <w:r>
        <w:rPr>
          <w:rFonts w:ascii="宋体" w:hAnsi="宋体"/>
          <w:color w:val="auto"/>
          <w:u w:val="single"/>
        </w:rPr>
        <w:t xml:space="preserve">                         </w:t>
      </w:r>
    </w:p>
    <w:p>
      <w:pPr>
        <w:tabs>
          <w:tab w:val="left" w:leader="middleDot" w:pos="8400"/>
        </w:tabs>
        <w:spacing w:line="360" w:lineRule="auto"/>
        <w:ind w:firstLine="5280" w:firstLineChars="2200"/>
        <w:rPr>
          <w:rFonts w:ascii="宋体" w:hAnsi="宋体"/>
          <w:color w:val="auto"/>
          <w:u w:val="single"/>
        </w:rPr>
      </w:pPr>
      <w:r>
        <w:rPr>
          <w:rFonts w:hint="eastAsia" w:ascii="宋体" w:hAnsi="宋体"/>
          <w:color w:val="auto"/>
        </w:rPr>
        <w:t>法定代表人（签字或盖章）：</w:t>
      </w:r>
      <w:r>
        <w:rPr>
          <w:rFonts w:ascii="宋体" w:hAnsi="宋体"/>
          <w:color w:val="auto"/>
        </w:rPr>
        <w:t xml:space="preserve"> </w:t>
      </w:r>
      <w:r>
        <w:rPr>
          <w:rFonts w:ascii="宋体" w:hAnsi="宋体"/>
          <w:color w:val="auto"/>
          <w:u w:val="single"/>
        </w:rPr>
        <w:t xml:space="preserve">              </w:t>
      </w:r>
    </w:p>
    <w:p>
      <w:pPr>
        <w:tabs>
          <w:tab w:val="left" w:leader="middleDot" w:pos="8400"/>
        </w:tabs>
        <w:spacing w:line="360" w:lineRule="auto"/>
        <w:ind w:firstLine="5280" w:firstLineChars="2200"/>
        <w:rPr>
          <w:rFonts w:ascii="宋体" w:hAnsi="宋体"/>
          <w:color w:val="auto"/>
        </w:rPr>
      </w:pPr>
      <w:r>
        <w:rPr>
          <w:rFonts w:hint="eastAsia" w:ascii="宋体" w:hAnsi="宋体"/>
          <w:color w:val="auto"/>
        </w:rPr>
        <w:t>日期：</w:t>
      </w:r>
      <w:r>
        <w:rPr>
          <w:rFonts w:ascii="宋体" w:hAnsi="宋体"/>
          <w:color w:val="auto"/>
          <w:u w:val="single"/>
        </w:rPr>
        <w:t xml:space="preserve">         </w:t>
      </w:r>
      <w:r>
        <w:rPr>
          <w:rFonts w:hint="eastAsia" w:ascii="宋体" w:hAnsi="宋体"/>
          <w:color w:val="auto"/>
        </w:rPr>
        <w:t>年</w:t>
      </w:r>
      <w:r>
        <w:rPr>
          <w:rFonts w:ascii="宋体" w:hAnsi="宋体"/>
          <w:color w:val="auto"/>
        </w:rPr>
        <w:t xml:space="preserve"> </w:t>
      </w:r>
      <w:r>
        <w:rPr>
          <w:rFonts w:ascii="宋体" w:hAnsi="宋体"/>
          <w:color w:val="auto"/>
          <w:u w:val="single"/>
        </w:rPr>
        <w:t xml:space="preserve">   </w:t>
      </w:r>
      <w:r>
        <w:rPr>
          <w:rFonts w:hint="eastAsia" w:ascii="宋体" w:hAnsi="宋体"/>
          <w:color w:val="auto"/>
        </w:rPr>
        <w:t>月</w:t>
      </w:r>
      <w:r>
        <w:rPr>
          <w:rFonts w:ascii="宋体" w:hAnsi="宋体"/>
          <w:color w:val="auto"/>
        </w:rPr>
        <w:t xml:space="preserve"> </w:t>
      </w:r>
      <w:r>
        <w:rPr>
          <w:rFonts w:ascii="宋体" w:hAnsi="宋体"/>
          <w:color w:val="auto"/>
          <w:u w:val="single"/>
        </w:rPr>
        <w:t xml:space="preserve">   </w:t>
      </w:r>
      <w:r>
        <w:rPr>
          <w:rFonts w:hint="eastAsia" w:ascii="宋体" w:hAnsi="宋体"/>
          <w:color w:val="auto"/>
        </w:rPr>
        <w:t>日</w:t>
      </w:r>
    </w:p>
    <w:p>
      <w:pPr>
        <w:rPr>
          <w:rFonts w:ascii="宋体" w:hAnsi="宋体" w:cs="宋体"/>
          <w:color w:val="auto"/>
          <w:szCs w:val="21"/>
        </w:rPr>
      </w:pPr>
    </w:p>
    <w:p>
      <w:pPr>
        <w:tabs>
          <w:tab w:val="left" w:leader="middleDot" w:pos="8400"/>
        </w:tabs>
        <w:spacing w:line="360" w:lineRule="auto"/>
        <w:jc w:val="both"/>
        <w:rPr>
          <w:rFonts w:ascii="宋体" w:hAnsi="宋体"/>
          <w:color w:val="auto"/>
        </w:rPr>
      </w:pPr>
      <w:r>
        <w:rPr>
          <w:rFonts w:hint="eastAsia" w:ascii="宋体" w:hAnsi="宋体"/>
          <w:color w:val="auto"/>
        </w:rPr>
        <w:t>（注：此委托书格式供参考，各地可根据实际需求更改）</w:t>
      </w:r>
    </w:p>
    <w:p>
      <w:pPr>
        <w:tabs>
          <w:tab w:val="left" w:pos="0"/>
        </w:tabs>
        <w:spacing w:line="400" w:lineRule="exact"/>
        <w:jc w:val="center"/>
        <w:rPr>
          <w:rFonts w:ascii="宋体" w:hAnsi="宋体"/>
          <w:color w:val="auto"/>
          <w:u w:val="single"/>
        </w:rPr>
      </w:pPr>
      <w:r>
        <w:rPr>
          <w:color w:val="auto"/>
          <w:sz w:val="28"/>
          <w:szCs w:val="28"/>
        </w:rPr>
        <w:br w:type="page"/>
      </w:r>
      <w:r>
        <w:rPr>
          <w:rFonts w:hint="eastAsia"/>
          <w:b/>
          <w:bCs/>
          <w:color w:val="auto"/>
          <w:sz w:val="32"/>
        </w:rPr>
        <w:t>投</w:t>
      </w:r>
      <w:r>
        <w:rPr>
          <w:b/>
          <w:bCs/>
          <w:color w:val="auto"/>
          <w:sz w:val="32"/>
        </w:rPr>
        <w:t xml:space="preserve"> </w:t>
      </w:r>
      <w:r>
        <w:rPr>
          <w:rFonts w:hint="eastAsia"/>
          <w:b/>
          <w:bCs/>
          <w:color w:val="auto"/>
          <w:sz w:val="32"/>
        </w:rPr>
        <w:t>标</w:t>
      </w:r>
      <w:r>
        <w:rPr>
          <w:b/>
          <w:bCs/>
          <w:color w:val="auto"/>
          <w:sz w:val="32"/>
        </w:rPr>
        <w:t xml:space="preserve"> </w:t>
      </w:r>
      <w:r>
        <w:rPr>
          <w:rFonts w:hint="eastAsia"/>
          <w:b/>
          <w:bCs/>
          <w:color w:val="auto"/>
          <w:sz w:val="32"/>
        </w:rPr>
        <w:t>函</w:t>
      </w:r>
    </w:p>
    <w:p>
      <w:pPr>
        <w:snapToGrid w:val="0"/>
        <w:spacing w:line="360" w:lineRule="auto"/>
        <w:rPr>
          <w:rFonts w:ascii="宋体" w:hAnsi="宋体"/>
          <w:color w:val="auto"/>
        </w:rPr>
      </w:pPr>
      <w:r>
        <w:rPr>
          <w:rFonts w:hint="eastAsia" w:ascii="宋体" w:hAnsi="宋体"/>
          <w:color w:val="auto"/>
          <w:u w:val="single"/>
        </w:rPr>
        <w:t>（招标人名称）</w:t>
      </w:r>
      <w:r>
        <w:rPr>
          <w:rFonts w:ascii="宋体" w:hAnsi="宋体"/>
          <w:color w:val="auto"/>
        </w:rPr>
        <w:t>:</w:t>
      </w:r>
    </w:p>
    <w:p>
      <w:pPr>
        <w:snapToGrid w:val="0"/>
        <w:spacing w:line="360" w:lineRule="auto"/>
        <w:ind w:firstLine="480" w:firstLineChars="200"/>
        <w:rPr>
          <w:rFonts w:ascii="宋体" w:hAnsi="宋体"/>
          <w:color w:val="auto"/>
        </w:rPr>
      </w:pPr>
      <w:r>
        <w:rPr>
          <w:rFonts w:ascii="宋体" w:hAnsi="宋体"/>
          <w:color w:val="auto"/>
        </w:rPr>
        <w:t>1.我方己仔细研究了</w:t>
      </w:r>
      <w:r>
        <w:rPr>
          <w:rFonts w:hint="eastAsia"/>
          <w:color w:val="auto"/>
          <w:szCs w:val="18"/>
        </w:rPr>
        <w:t>贵方的招标编号为</w:t>
      </w:r>
      <w:r>
        <w:rPr>
          <w:color w:val="auto"/>
          <w:szCs w:val="18"/>
          <w:u w:val="single"/>
        </w:rPr>
        <w:t xml:space="preserve">            </w:t>
      </w:r>
      <w:r>
        <w:rPr>
          <w:rFonts w:hint="eastAsia"/>
          <w:color w:val="auto"/>
          <w:szCs w:val="18"/>
        </w:rPr>
        <w:t>的</w:t>
      </w:r>
      <w:r>
        <w:rPr>
          <w:rFonts w:hint="eastAsia" w:ascii="宋体" w:hAnsi="宋体"/>
          <w:color w:val="auto"/>
          <w:u w:val="single"/>
        </w:rPr>
        <w:t>（项目名称）</w:t>
      </w:r>
      <w:r>
        <w:rPr>
          <w:rFonts w:hint="eastAsia" w:ascii="宋体" w:hAnsi="宋体"/>
          <w:color w:val="auto"/>
        </w:rPr>
        <w:t>标段施工招标文件的全部内容，愿意以人民币（大写）</w:t>
      </w:r>
      <w:r>
        <w:rPr>
          <w:rFonts w:ascii="宋体" w:hAnsi="宋体"/>
          <w:color w:val="auto"/>
          <w:u w:val="single"/>
        </w:rPr>
        <w:t xml:space="preserve">       </w:t>
      </w:r>
      <w:r>
        <w:rPr>
          <w:rFonts w:hint="eastAsia" w:ascii="宋体" w:hAnsi="宋体"/>
          <w:color w:val="auto"/>
        </w:rPr>
        <w:t>元（￥</w:t>
      </w:r>
      <w:r>
        <w:rPr>
          <w:rFonts w:ascii="宋体" w:hAnsi="宋体"/>
          <w:color w:val="auto"/>
          <w:u w:val="single"/>
        </w:rPr>
        <w:t xml:space="preserve">     </w:t>
      </w:r>
      <w:r>
        <w:rPr>
          <w:rFonts w:hint="eastAsia" w:ascii="宋体" w:hAnsi="宋体"/>
          <w:color w:val="auto"/>
        </w:rPr>
        <w:t>）的投标总报价，项目负责人</w:t>
      </w:r>
      <w:r>
        <w:rPr>
          <w:rFonts w:ascii="宋体" w:hAnsi="宋体"/>
          <w:color w:val="auto"/>
          <w:u w:val="single"/>
        </w:rPr>
        <w:t xml:space="preserve">     </w:t>
      </w:r>
      <w:r>
        <w:rPr>
          <w:rFonts w:hint="eastAsia" w:ascii="宋体" w:hAnsi="宋体"/>
          <w:color w:val="auto"/>
        </w:rPr>
        <w:t>，身份证号码</w:t>
      </w:r>
      <w:r>
        <w:rPr>
          <w:rFonts w:ascii="宋体" w:hAnsi="宋体"/>
          <w:color w:val="auto"/>
          <w:u w:val="single"/>
        </w:rPr>
        <w:t xml:space="preserve">     </w:t>
      </w:r>
      <w:r>
        <w:rPr>
          <w:rFonts w:hint="eastAsia" w:ascii="宋体" w:hAnsi="宋体"/>
          <w:color w:val="auto"/>
        </w:rPr>
        <w:t>，工期</w:t>
      </w:r>
      <w:r>
        <w:rPr>
          <w:rFonts w:ascii="宋体" w:hAnsi="宋体"/>
          <w:color w:val="auto"/>
          <w:u w:val="single"/>
        </w:rPr>
        <w:t xml:space="preserve">     </w:t>
      </w:r>
      <w:r>
        <w:rPr>
          <w:rFonts w:hint="eastAsia" w:ascii="宋体" w:hAnsi="宋体"/>
          <w:color w:val="auto"/>
        </w:rPr>
        <w:t>个日历天，按合同约定实施和完成承包工程，修补工程中的任何缺陷，工程质量达到</w:t>
      </w:r>
      <w:r>
        <w:rPr>
          <w:rFonts w:ascii="宋体" w:hAnsi="宋体"/>
          <w:color w:val="auto"/>
          <w:u w:val="single"/>
        </w:rPr>
        <w:t xml:space="preserve">     </w:t>
      </w:r>
      <w:r>
        <w:rPr>
          <w:rFonts w:ascii="宋体" w:hAnsi="宋体"/>
          <w:color w:val="auto"/>
        </w:rPr>
        <w:t xml:space="preserve"> 。</w:t>
      </w:r>
    </w:p>
    <w:p>
      <w:pPr>
        <w:snapToGrid w:val="0"/>
        <w:spacing w:line="360" w:lineRule="auto"/>
        <w:ind w:firstLine="480" w:firstLineChars="200"/>
        <w:rPr>
          <w:rFonts w:ascii="宋体" w:hAnsi="宋体"/>
          <w:color w:val="auto"/>
        </w:rPr>
      </w:pPr>
      <w:r>
        <w:rPr>
          <w:rFonts w:ascii="宋体" w:hAnsi="宋体"/>
          <w:color w:val="auto"/>
        </w:rPr>
        <w:t>2.我方承诺在投标有效期内不修改、撤销投标文件。</w:t>
      </w:r>
    </w:p>
    <w:p>
      <w:pPr>
        <w:pStyle w:val="2"/>
        <w:spacing w:line="360" w:lineRule="auto"/>
        <w:rPr>
          <w:color w:val="auto"/>
        </w:rPr>
      </w:pPr>
      <w:r>
        <w:rPr>
          <w:rFonts w:ascii="宋体" w:hAnsi="宋体"/>
          <w:color w:val="auto"/>
          <w:sz w:val="24"/>
          <w:szCs w:val="24"/>
        </w:rPr>
        <w:t xml:space="preserve">  </w:t>
      </w:r>
      <w:r>
        <w:rPr>
          <w:rFonts w:ascii="宋体" w:hAnsi="宋体" w:eastAsia="宋体"/>
          <w:color w:val="auto"/>
          <w:sz w:val="24"/>
          <w:szCs w:val="24"/>
        </w:rPr>
        <w:t xml:space="preserve">  3.</w:t>
      </w:r>
      <w:r>
        <w:rPr>
          <w:rFonts w:hint="eastAsia" w:ascii="宋体" w:hAnsi="宋体" w:eastAsia="宋体"/>
          <w:color w:val="auto"/>
          <w:sz w:val="24"/>
          <w:szCs w:val="24"/>
        </w:rPr>
        <w:t>我方承认投标函附录是我方投标函的组成部分。</w:t>
      </w:r>
      <w:r>
        <w:rPr>
          <w:rFonts w:ascii="宋体" w:hAnsi="宋体" w:eastAsia="宋体"/>
          <w:color w:val="auto"/>
          <w:sz w:val="24"/>
          <w:szCs w:val="24"/>
        </w:rPr>
        <w:t>投标人投标函与投标函附录不一致的，以投标函为准；除招标文件另有规定外，投标函的投标报价与工程量清单汇总报价不一致的，以投标函报价为准</w:t>
      </w:r>
      <w:r>
        <w:rPr>
          <w:rFonts w:hint="eastAsia" w:ascii="宋体" w:hAnsi="宋体" w:eastAsia="宋体"/>
          <w:color w:val="auto"/>
          <w:sz w:val="24"/>
          <w:szCs w:val="24"/>
        </w:rPr>
        <w:t>。</w:t>
      </w:r>
    </w:p>
    <w:p>
      <w:pPr>
        <w:snapToGrid w:val="0"/>
        <w:spacing w:line="360" w:lineRule="auto"/>
        <w:ind w:firstLine="480" w:firstLineChars="200"/>
        <w:rPr>
          <w:rFonts w:ascii="宋体" w:hAnsi="宋体"/>
          <w:color w:val="auto"/>
        </w:rPr>
      </w:pPr>
      <w:r>
        <w:rPr>
          <w:rFonts w:ascii="宋体" w:hAnsi="宋体"/>
          <w:color w:val="auto"/>
        </w:rPr>
        <w:t>4.随同本投标函提交投标保证金一份，金额为人民币（大写）</w:t>
      </w:r>
      <w:r>
        <w:rPr>
          <w:rFonts w:ascii="宋体" w:hAnsi="宋体"/>
          <w:color w:val="auto"/>
          <w:u w:val="single"/>
        </w:rPr>
        <w:t xml:space="preserve">    </w:t>
      </w:r>
      <w:r>
        <w:rPr>
          <w:rFonts w:hint="eastAsia" w:ascii="宋体" w:hAnsi="宋体"/>
          <w:color w:val="auto"/>
        </w:rPr>
        <w:t>元（￥</w:t>
      </w:r>
      <w:r>
        <w:rPr>
          <w:rFonts w:ascii="宋体" w:hAnsi="宋体"/>
          <w:color w:val="auto"/>
          <w:u w:val="single"/>
        </w:rPr>
        <w:t xml:space="preserve">   </w:t>
      </w:r>
      <w:r>
        <w:rPr>
          <w:rFonts w:hint="eastAsia" w:ascii="宋体" w:hAnsi="宋体"/>
          <w:color w:val="auto"/>
        </w:rPr>
        <w:t>）。</w:t>
      </w:r>
    </w:p>
    <w:p>
      <w:pPr>
        <w:snapToGrid w:val="0"/>
        <w:spacing w:line="360" w:lineRule="auto"/>
        <w:ind w:firstLine="480" w:firstLineChars="200"/>
        <w:rPr>
          <w:rFonts w:ascii="宋体" w:hAnsi="宋体"/>
          <w:color w:val="auto"/>
        </w:rPr>
      </w:pPr>
      <w:r>
        <w:rPr>
          <w:rFonts w:ascii="宋体" w:hAnsi="宋体"/>
          <w:color w:val="auto"/>
        </w:rPr>
        <w:t>5.如我方中标：</w:t>
      </w:r>
    </w:p>
    <w:p>
      <w:pPr>
        <w:snapToGrid w:val="0"/>
        <w:spacing w:line="360" w:lineRule="auto"/>
        <w:ind w:firstLine="480" w:firstLineChars="200"/>
        <w:rPr>
          <w:rFonts w:ascii="宋体" w:hAnsi="宋体"/>
          <w:color w:val="auto"/>
        </w:rPr>
      </w:pPr>
      <w:r>
        <w:rPr>
          <w:rFonts w:ascii="宋体" w:hAnsi="宋体"/>
          <w:color w:val="auto"/>
        </w:rPr>
        <w:t>(l）我方承诺在收到中标通知书后，在中标通知书规定期限内与你方签订合同。</w:t>
      </w:r>
    </w:p>
    <w:p>
      <w:pPr>
        <w:snapToGrid w:val="0"/>
        <w:spacing w:line="360" w:lineRule="auto"/>
        <w:ind w:firstLine="480" w:firstLineChars="200"/>
        <w:rPr>
          <w:rFonts w:ascii="宋体" w:hAnsi="宋体"/>
          <w:color w:val="auto"/>
        </w:rPr>
      </w:pPr>
      <w:r>
        <w:rPr>
          <w:rFonts w:ascii="宋体" w:hAnsi="宋体"/>
          <w:color w:val="auto"/>
        </w:rPr>
        <w:t>(2）随同本投标函递交的投标函附录属于合同文件的组成部分。</w:t>
      </w:r>
    </w:p>
    <w:p>
      <w:pPr>
        <w:snapToGrid w:val="0"/>
        <w:spacing w:line="360" w:lineRule="auto"/>
        <w:ind w:firstLine="480" w:firstLineChars="200"/>
        <w:rPr>
          <w:rFonts w:ascii="宋体" w:hAnsi="宋体"/>
          <w:color w:val="auto"/>
        </w:rPr>
      </w:pPr>
      <w:r>
        <w:rPr>
          <w:rFonts w:ascii="宋体" w:hAnsi="宋体"/>
          <w:color w:val="auto"/>
        </w:rPr>
        <w:t>(3）我方承诺按照招标文件规定向你方递交履约担保。</w:t>
      </w:r>
    </w:p>
    <w:p>
      <w:pPr>
        <w:snapToGrid w:val="0"/>
        <w:spacing w:line="360" w:lineRule="auto"/>
        <w:ind w:firstLine="480" w:firstLineChars="200"/>
        <w:rPr>
          <w:rFonts w:ascii="宋体" w:hAnsi="宋体"/>
          <w:color w:val="auto"/>
        </w:rPr>
      </w:pPr>
      <w:r>
        <w:rPr>
          <w:rFonts w:ascii="宋体" w:hAnsi="宋体"/>
          <w:color w:val="auto"/>
        </w:rPr>
        <w:t>(4）我方承诺在合同约定的期限内完成并</w:t>
      </w:r>
      <w:r>
        <w:rPr>
          <w:rFonts w:hint="eastAsia" w:ascii="宋体" w:hAnsi="宋体"/>
          <w:color w:val="auto"/>
        </w:rPr>
        <w:t>交付全部合同工程。</w:t>
      </w:r>
    </w:p>
    <w:p>
      <w:pPr>
        <w:snapToGrid w:val="0"/>
        <w:spacing w:line="360" w:lineRule="auto"/>
        <w:ind w:firstLine="480" w:firstLineChars="200"/>
        <w:rPr>
          <w:rFonts w:ascii="宋体" w:hAnsi="宋体"/>
          <w:color w:val="auto"/>
        </w:rPr>
      </w:pPr>
      <w:r>
        <w:rPr>
          <w:rFonts w:ascii="宋体" w:hAnsi="宋体"/>
          <w:color w:val="auto"/>
        </w:rPr>
        <w:t xml:space="preserve">6.我方在此声明，所递交的投标文件及有关资料内容完整、真实和准确，且不存在第二章“投标人须知”第1.4.4 </w:t>
      </w:r>
      <w:r>
        <w:rPr>
          <w:rFonts w:hint="eastAsia" w:ascii="宋体" w:hAnsi="宋体"/>
          <w:color w:val="auto"/>
        </w:rPr>
        <w:t>项规定的任何一种情形。</w:t>
      </w:r>
    </w:p>
    <w:p>
      <w:pPr>
        <w:snapToGrid w:val="0"/>
        <w:spacing w:line="360" w:lineRule="auto"/>
        <w:ind w:firstLine="480" w:firstLineChars="200"/>
        <w:rPr>
          <w:rFonts w:ascii="宋体" w:hAnsi="宋体"/>
          <w:color w:val="auto"/>
        </w:rPr>
      </w:pPr>
      <w:r>
        <w:rPr>
          <w:rFonts w:ascii="宋体" w:hAnsi="宋体"/>
          <w:color w:val="auto"/>
        </w:rPr>
        <w:t>7.</w:t>
      </w:r>
      <w:r>
        <w:rPr>
          <w:rFonts w:hint="eastAsia" w:ascii="宋体" w:hAnsi="宋体"/>
          <w:color w:val="auto"/>
          <w:u w:val="single"/>
        </w:rPr>
        <w:t>（招标人可补充其他说明）</w:t>
      </w:r>
      <w:r>
        <w:rPr>
          <w:rFonts w:hint="eastAsia" w:ascii="宋体" w:hAnsi="宋体"/>
          <w:color w:val="auto"/>
        </w:rPr>
        <w:t>。</w:t>
      </w:r>
    </w:p>
    <w:p>
      <w:pPr>
        <w:spacing w:line="360" w:lineRule="auto"/>
        <w:ind w:firstLine="240"/>
        <w:jc w:val="right"/>
        <w:rPr>
          <w:rFonts w:ascii="宋体" w:hAnsi="宋体" w:cs="宋体"/>
          <w:color w:val="auto"/>
        </w:rPr>
      </w:pPr>
      <w:r>
        <w:rPr>
          <w:rFonts w:ascii="宋体" w:hAnsi="宋体" w:cs="宋体"/>
          <w:color w:val="auto"/>
        </w:rPr>
        <w:t xml:space="preserve"> </w:t>
      </w:r>
      <w:r>
        <w:rPr>
          <w:rFonts w:hint="eastAsia" w:ascii="宋体" w:hAnsi="宋体" w:cs="宋体"/>
          <w:color w:val="auto"/>
        </w:rPr>
        <w:t>投标人：</w:t>
      </w:r>
      <w:r>
        <w:rPr>
          <w:rFonts w:ascii="宋体" w:hAnsi="宋体" w:cs="宋体"/>
          <w:color w:val="auto"/>
          <w:u w:val="single"/>
        </w:rPr>
        <w:t xml:space="preserve">                </w:t>
      </w:r>
      <w:r>
        <w:rPr>
          <w:rFonts w:hint="eastAsia" w:ascii="宋体" w:hAnsi="宋体" w:cs="宋体"/>
          <w:color w:val="auto"/>
        </w:rPr>
        <w:t>（单位盖章）</w:t>
      </w:r>
    </w:p>
    <w:p>
      <w:pPr>
        <w:spacing w:line="360" w:lineRule="auto"/>
        <w:ind w:firstLine="240"/>
        <w:jc w:val="right"/>
        <w:rPr>
          <w:rFonts w:ascii="宋体" w:cs="宋体"/>
          <w:color w:val="auto"/>
          <w:u w:val="single"/>
        </w:rPr>
      </w:pPr>
      <w:r>
        <w:rPr>
          <w:rFonts w:ascii="宋体" w:hAnsi="宋体" w:cs="宋体"/>
          <w:color w:val="auto"/>
        </w:rPr>
        <w:t xml:space="preserve">                   法定代表或委托代理人：</w:t>
      </w:r>
      <w:r>
        <w:rPr>
          <w:rFonts w:ascii="宋体" w:hAnsi="宋体" w:cs="宋体"/>
          <w:color w:val="auto"/>
          <w:u w:val="single"/>
        </w:rPr>
        <w:t xml:space="preserve">         </w:t>
      </w:r>
      <w:r>
        <w:rPr>
          <w:rFonts w:hint="eastAsia" w:ascii="宋体" w:hAnsi="宋体" w:cs="宋体"/>
          <w:color w:val="auto"/>
        </w:rPr>
        <w:t>（签字或盖章）</w:t>
      </w:r>
    </w:p>
    <w:p>
      <w:pPr>
        <w:spacing w:line="360" w:lineRule="auto"/>
        <w:ind w:firstLine="240"/>
        <w:rPr>
          <w:rFonts w:ascii="宋体" w:hAnsi="宋体" w:cs="宋体"/>
          <w:color w:val="auto"/>
          <w:u w:val="single"/>
        </w:rPr>
      </w:pPr>
      <w:r>
        <w:rPr>
          <w:rFonts w:ascii="宋体" w:hAnsi="宋体" w:cs="宋体"/>
          <w:color w:val="auto"/>
        </w:rPr>
        <w:t xml:space="preserve">                                      联系人：</w:t>
      </w:r>
      <w:r>
        <w:rPr>
          <w:rFonts w:ascii="宋体" w:hAnsi="宋体" w:cs="宋体"/>
          <w:color w:val="auto"/>
          <w:u w:val="single"/>
        </w:rPr>
        <w:t xml:space="preserve">                      </w:t>
      </w:r>
    </w:p>
    <w:p>
      <w:pPr>
        <w:spacing w:line="360" w:lineRule="auto"/>
        <w:ind w:firstLine="240"/>
        <w:rPr>
          <w:rFonts w:ascii="宋体" w:hAnsi="宋体" w:cs="宋体"/>
          <w:color w:val="auto"/>
          <w:u w:val="single"/>
        </w:rPr>
      </w:pPr>
      <w:r>
        <w:rPr>
          <w:rFonts w:ascii="宋体" w:hAnsi="宋体" w:cs="宋体"/>
          <w:color w:val="auto"/>
        </w:rPr>
        <w:t xml:space="preserve">                                      </w:t>
      </w:r>
      <w:r>
        <w:rPr>
          <w:rFonts w:hint="eastAsia" w:ascii="宋体" w:hAnsi="宋体" w:cs="宋体"/>
          <w:color w:val="auto"/>
        </w:rPr>
        <w:t>联系地址：</w:t>
      </w:r>
      <w:r>
        <w:rPr>
          <w:rFonts w:ascii="宋体" w:hAnsi="宋体" w:cs="宋体"/>
          <w:color w:val="auto"/>
          <w:u w:val="single"/>
        </w:rPr>
        <w:t xml:space="preserve">                    </w:t>
      </w:r>
    </w:p>
    <w:p>
      <w:pPr>
        <w:spacing w:line="360" w:lineRule="auto"/>
        <w:ind w:firstLine="240"/>
        <w:rPr>
          <w:rFonts w:ascii="宋体" w:hAnsi="宋体" w:cs="宋体"/>
          <w:color w:val="auto"/>
        </w:rPr>
      </w:pPr>
      <w:r>
        <w:rPr>
          <w:rFonts w:ascii="宋体" w:hAnsi="宋体" w:cs="宋体"/>
          <w:color w:val="auto"/>
        </w:rPr>
        <w:t xml:space="preserve">                                      </w:t>
      </w:r>
      <w:r>
        <w:rPr>
          <w:rFonts w:hint="eastAsia" w:ascii="宋体" w:hAnsi="宋体" w:cs="宋体"/>
          <w:color w:val="auto"/>
        </w:rPr>
        <w:t>电话：</w:t>
      </w:r>
      <w:r>
        <w:rPr>
          <w:rFonts w:ascii="宋体" w:hAnsi="宋体" w:cs="宋体"/>
          <w:color w:val="auto"/>
          <w:u w:val="single"/>
        </w:rPr>
        <w:t xml:space="preserve">                        </w:t>
      </w:r>
      <w:r>
        <w:rPr>
          <w:rFonts w:ascii="宋体" w:hAnsi="宋体" w:cs="宋体"/>
          <w:color w:val="auto"/>
        </w:rPr>
        <w:t xml:space="preserve">                                       </w:t>
      </w:r>
    </w:p>
    <w:p>
      <w:pPr>
        <w:widowControl/>
        <w:spacing w:line="360" w:lineRule="auto"/>
        <w:ind w:left="5959" w:leftChars="83" w:hanging="5760" w:hangingChars="2400"/>
        <w:rPr>
          <w:rFonts w:hint="eastAsia" w:ascii="inherit" w:hAnsi="inherit" w:cs="宋体"/>
          <w:color w:val="auto"/>
        </w:rPr>
      </w:pPr>
      <w:r>
        <w:rPr>
          <w:rFonts w:ascii="宋体" w:hAnsi="宋体" w:cs="宋体"/>
          <w:color w:val="auto"/>
        </w:rPr>
        <w:t xml:space="preserve">                                       </w:t>
      </w:r>
      <w:r>
        <w:rPr>
          <w:rFonts w:hint="eastAsia" w:ascii="宋体" w:hAnsi="宋体" w:cs="宋体"/>
          <w:color w:val="auto"/>
        </w:rPr>
        <w:t>邮编：</w:t>
      </w:r>
      <w:r>
        <w:rPr>
          <w:rFonts w:ascii="宋体" w:hAnsi="宋体" w:cs="宋体"/>
          <w:color w:val="auto"/>
          <w:u w:val="single"/>
        </w:rPr>
        <w:t xml:space="preserve">                        </w:t>
      </w:r>
      <w:r>
        <w:rPr>
          <w:rFonts w:ascii="宋体" w:hAnsi="宋体" w:cs="宋体"/>
          <w:color w:val="auto"/>
        </w:rPr>
        <w:t xml:space="preserve">                                             </w:t>
      </w:r>
      <w:r>
        <w:rPr>
          <w:rFonts w:ascii="宋体" w:hAnsi="宋体" w:cs="宋体"/>
          <w:color w:val="auto"/>
          <w:u w:val="single"/>
        </w:rPr>
        <w:t xml:space="preserve">       </w:t>
      </w:r>
    </w:p>
    <w:p>
      <w:pPr>
        <w:tabs>
          <w:tab w:val="left" w:leader="middleDot" w:pos="8400"/>
        </w:tabs>
        <w:spacing w:line="360" w:lineRule="auto"/>
        <w:ind w:firstLine="5280" w:firstLineChars="2200"/>
        <w:rPr>
          <w:rFonts w:ascii="宋体" w:hAnsi="宋体"/>
          <w:color w:val="auto"/>
        </w:rPr>
      </w:pP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w:t>
      </w:r>
      <w:r>
        <w:rPr>
          <w:rFonts w:ascii="宋体" w:hAnsi="宋体" w:cs="宋体"/>
          <w:color w:val="auto"/>
        </w:rPr>
        <w:t xml:space="preserve">      </w:t>
      </w:r>
      <w:r>
        <w:rPr>
          <w:b/>
          <w:bCs/>
          <w:color w:val="auto"/>
          <w:sz w:val="36"/>
          <w:szCs w:val="36"/>
        </w:rPr>
        <w:t xml:space="preserve">                                    </w:t>
      </w:r>
    </w:p>
    <w:p>
      <w:pPr>
        <w:widowControl/>
        <w:autoSpaceDE/>
        <w:autoSpaceDN/>
        <w:adjustRightInd/>
        <w:rPr>
          <w:b/>
          <w:bCs/>
          <w:color w:val="auto"/>
          <w:sz w:val="28"/>
          <w:szCs w:val="28"/>
        </w:rPr>
      </w:pPr>
      <w:r>
        <w:rPr>
          <w:b/>
          <w:bCs/>
          <w:color w:val="auto"/>
          <w:sz w:val="36"/>
          <w:szCs w:val="36"/>
        </w:rPr>
        <w:br w:type="page"/>
      </w:r>
    </w:p>
    <w:p>
      <w:pPr>
        <w:spacing w:line="480" w:lineRule="auto"/>
        <w:jc w:val="center"/>
        <w:rPr>
          <w:b/>
          <w:bCs/>
          <w:color w:val="auto"/>
          <w:sz w:val="36"/>
        </w:rPr>
      </w:pPr>
      <w:r>
        <w:rPr>
          <w:rFonts w:hint="eastAsia"/>
          <w:b/>
          <w:bCs/>
          <w:color w:val="auto"/>
          <w:sz w:val="36"/>
          <w:szCs w:val="36"/>
        </w:rPr>
        <w:t>投标函附录</w:t>
      </w:r>
    </w:p>
    <w:tbl>
      <w:tblPr>
        <w:tblStyle w:val="40"/>
        <w:tblW w:w="9334"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3060"/>
        <w:gridCol w:w="1704"/>
        <w:gridCol w:w="2597"/>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spacing w:line="480" w:lineRule="auto"/>
              <w:jc w:val="center"/>
              <w:rPr>
                <w:color w:val="auto"/>
              </w:rPr>
            </w:pPr>
            <w:r>
              <w:rPr>
                <w:rFonts w:hint="eastAsia"/>
                <w:color w:val="auto"/>
              </w:rPr>
              <w:t>序号</w:t>
            </w:r>
          </w:p>
        </w:tc>
        <w:tc>
          <w:tcPr>
            <w:tcW w:w="3060" w:type="dxa"/>
            <w:noWrap w:val="0"/>
            <w:vAlign w:val="center"/>
          </w:tcPr>
          <w:p>
            <w:pPr>
              <w:spacing w:line="480" w:lineRule="auto"/>
              <w:jc w:val="center"/>
              <w:rPr>
                <w:color w:val="auto"/>
              </w:rPr>
            </w:pPr>
            <w:r>
              <w:rPr>
                <w:rFonts w:hint="eastAsia"/>
                <w:color w:val="auto"/>
              </w:rPr>
              <w:t>项目内容</w:t>
            </w:r>
          </w:p>
        </w:tc>
        <w:tc>
          <w:tcPr>
            <w:tcW w:w="1704" w:type="dxa"/>
            <w:noWrap w:val="0"/>
            <w:vAlign w:val="center"/>
          </w:tcPr>
          <w:p>
            <w:pPr>
              <w:spacing w:line="480" w:lineRule="auto"/>
              <w:jc w:val="center"/>
              <w:rPr>
                <w:color w:val="auto"/>
              </w:rPr>
            </w:pPr>
            <w:r>
              <w:rPr>
                <w:rFonts w:hint="eastAsia"/>
                <w:color w:val="auto"/>
              </w:rPr>
              <w:t>合同条款号</w:t>
            </w:r>
          </w:p>
        </w:tc>
        <w:tc>
          <w:tcPr>
            <w:tcW w:w="2597" w:type="dxa"/>
            <w:noWrap w:val="0"/>
            <w:vAlign w:val="center"/>
          </w:tcPr>
          <w:p>
            <w:pPr>
              <w:spacing w:line="480" w:lineRule="auto"/>
              <w:jc w:val="center"/>
              <w:rPr>
                <w:color w:val="auto"/>
              </w:rPr>
            </w:pPr>
            <w:r>
              <w:rPr>
                <w:rFonts w:hint="eastAsia"/>
                <w:color w:val="auto"/>
              </w:rPr>
              <w:t>约定内容</w:t>
            </w:r>
          </w:p>
        </w:tc>
        <w:tc>
          <w:tcPr>
            <w:tcW w:w="1253" w:type="dxa"/>
            <w:noWrap w:val="0"/>
            <w:vAlign w:val="center"/>
          </w:tcPr>
          <w:p>
            <w:pPr>
              <w:spacing w:line="480" w:lineRule="auto"/>
              <w:jc w:val="center"/>
              <w:rPr>
                <w:color w:val="auto"/>
              </w:rPr>
            </w:pPr>
            <w:r>
              <w:rPr>
                <w:rFonts w:hint="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1</w:t>
            </w:r>
          </w:p>
        </w:tc>
        <w:tc>
          <w:tcPr>
            <w:tcW w:w="3060" w:type="dxa"/>
            <w:noWrap w:val="0"/>
            <w:vAlign w:val="center"/>
          </w:tcPr>
          <w:p>
            <w:pPr>
              <w:rPr>
                <w:color w:val="auto"/>
              </w:rPr>
            </w:pPr>
            <w:r>
              <w:rPr>
                <w:rFonts w:hint="eastAsia"/>
                <w:color w:val="auto"/>
              </w:rPr>
              <w:t>履约担保</w:t>
            </w:r>
          </w:p>
          <w:p>
            <w:pPr>
              <w:rPr>
                <w:color w:val="auto"/>
              </w:rPr>
            </w:pPr>
            <w:r>
              <w:rPr>
                <w:rFonts w:hint="eastAsia"/>
                <w:color w:val="auto"/>
              </w:rPr>
              <w:t>银行保函金额</w:t>
            </w:r>
          </w:p>
          <w:p>
            <w:pPr>
              <w:rPr>
                <w:color w:val="auto"/>
              </w:rPr>
            </w:pPr>
            <w:r>
              <w:rPr>
                <w:rFonts w:hint="eastAsia"/>
                <w:color w:val="auto"/>
              </w:rPr>
              <w:t>履约担保书金额</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20" w:type="dxa"/>
            <w:noWrap w:val="0"/>
            <w:vAlign w:val="center"/>
          </w:tcPr>
          <w:p>
            <w:pPr>
              <w:jc w:val="center"/>
              <w:rPr>
                <w:color w:val="auto"/>
              </w:rPr>
            </w:pPr>
            <w:r>
              <w:rPr>
                <w:color w:val="auto"/>
              </w:rPr>
              <w:t>2</w:t>
            </w:r>
          </w:p>
        </w:tc>
        <w:tc>
          <w:tcPr>
            <w:tcW w:w="3060" w:type="dxa"/>
            <w:noWrap w:val="0"/>
            <w:vAlign w:val="center"/>
          </w:tcPr>
          <w:p>
            <w:pPr>
              <w:rPr>
                <w:color w:val="auto"/>
              </w:rPr>
            </w:pPr>
            <w:r>
              <w:rPr>
                <w:rFonts w:hint="eastAsia"/>
                <w:color w:val="auto"/>
              </w:rPr>
              <w:t>施工准备时间</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3</w:t>
            </w:r>
          </w:p>
        </w:tc>
        <w:tc>
          <w:tcPr>
            <w:tcW w:w="3060" w:type="dxa"/>
            <w:noWrap w:val="0"/>
            <w:vAlign w:val="center"/>
          </w:tcPr>
          <w:p>
            <w:pPr>
              <w:rPr>
                <w:color w:val="auto"/>
              </w:rPr>
            </w:pPr>
            <w:r>
              <w:rPr>
                <w:rFonts w:hint="eastAsia"/>
                <w:color w:val="auto"/>
              </w:rPr>
              <w:t>误期违约金额</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4</w:t>
            </w:r>
          </w:p>
        </w:tc>
        <w:tc>
          <w:tcPr>
            <w:tcW w:w="3060" w:type="dxa"/>
            <w:noWrap w:val="0"/>
            <w:vAlign w:val="center"/>
          </w:tcPr>
          <w:p>
            <w:pPr>
              <w:rPr>
                <w:color w:val="auto"/>
              </w:rPr>
            </w:pPr>
            <w:r>
              <w:rPr>
                <w:rFonts w:hint="eastAsia"/>
                <w:color w:val="auto"/>
              </w:rPr>
              <w:t>误期赔偿费限额</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5</w:t>
            </w:r>
          </w:p>
        </w:tc>
        <w:tc>
          <w:tcPr>
            <w:tcW w:w="3060" w:type="dxa"/>
            <w:noWrap w:val="0"/>
            <w:vAlign w:val="center"/>
          </w:tcPr>
          <w:p>
            <w:pPr>
              <w:rPr>
                <w:color w:val="auto"/>
              </w:rPr>
            </w:pPr>
            <w:r>
              <w:rPr>
                <w:rFonts w:hint="eastAsia"/>
                <w:color w:val="auto"/>
              </w:rPr>
              <w:t>提前工期奖</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6</w:t>
            </w:r>
          </w:p>
        </w:tc>
        <w:tc>
          <w:tcPr>
            <w:tcW w:w="3060" w:type="dxa"/>
            <w:noWrap w:val="0"/>
            <w:vAlign w:val="center"/>
          </w:tcPr>
          <w:p>
            <w:pPr>
              <w:rPr>
                <w:color w:val="auto"/>
              </w:rPr>
            </w:pPr>
            <w:r>
              <w:rPr>
                <w:rFonts w:hint="eastAsia"/>
                <w:color w:val="auto"/>
              </w:rPr>
              <w:t>施工总工期</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7</w:t>
            </w:r>
          </w:p>
        </w:tc>
        <w:tc>
          <w:tcPr>
            <w:tcW w:w="3060" w:type="dxa"/>
            <w:noWrap w:val="0"/>
            <w:vAlign w:val="center"/>
          </w:tcPr>
          <w:p>
            <w:pPr>
              <w:rPr>
                <w:color w:val="auto"/>
              </w:rPr>
            </w:pPr>
            <w:r>
              <w:rPr>
                <w:rFonts w:hint="eastAsia"/>
                <w:color w:val="auto"/>
              </w:rPr>
              <w:t>质量标准：</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8</w:t>
            </w:r>
          </w:p>
        </w:tc>
        <w:tc>
          <w:tcPr>
            <w:tcW w:w="3060" w:type="dxa"/>
            <w:noWrap w:val="0"/>
            <w:vAlign w:val="center"/>
          </w:tcPr>
          <w:p>
            <w:pPr>
              <w:rPr>
                <w:color w:val="auto"/>
              </w:rPr>
            </w:pPr>
            <w:r>
              <w:rPr>
                <w:rFonts w:hint="eastAsia"/>
                <w:color w:val="auto"/>
              </w:rPr>
              <w:t>工程质量违约金最高金额</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9</w:t>
            </w:r>
          </w:p>
        </w:tc>
        <w:tc>
          <w:tcPr>
            <w:tcW w:w="3060" w:type="dxa"/>
            <w:noWrap w:val="0"/>
            <w:vAlign w:val="center"/>
          </w:tcPr>
          <w:p>
            <w:pPr>
              <w:rPr>
                <w:color w:val="auto"/>
              </w:rPr>
            </w:pPr>
            <w:r>
              <w:rPr>
                <w:rFonts w:hint="eastAsia"/>
                <w:color w:val="auto"/>
              </w:rPr>
              <w:t>预付款金额：</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10</w:t>
            </w:r>
          </w:p>
        </w:tc>
        <w:tc>
          <w:tcPr>
            <w:tcW w:w="3060" w:type="dxa"/>
            <w:noWrap w:val="0"/>
            <w:vAlign w:val="center"/>
          </w:tcPr>
          <w:p>
            <w:pPr>
              <w:rPr>
                <w:color w:val="auto"/>
              </w:rPr>
            </w:pPr>
            <w:r>
              <w:rPr>
                <w:rFonts w:hint="eastAsia"/>
                <w:color w:val="auto"/>
              </w:rPr>
              <w:t>预付款保函金额</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11</w:t>
            </w:r>
          </w:p>
        </w:tc>
        <w:tc>
          <w:tcPr>
            <w:tcW w:w="3060" w:type="dxa"/>
            <w:noWrap w:val="0"/>
            <w:vAlign w:val="center"/>
          </w:tcPr>
          <w:p>
            <w:pPr>
              <w:rPr>
                <w:color w:val="auto"/>
              </w:rPr>
            </w:pPr>
            <w:r>
              <w:rPr>
                <w:rFonts w:hint="eastAsia"/>
                <w:color w:val="auto"/>
              </w:rPr>
              <w:t>进度款付款金额</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12</w:t>
            </w:r>
          </w:p>
        </w:tc>
        <w:tc>
          <w:tcPr>
            <w:tcW w:w="3060" w:type="dxa"/>
            <w:noWrap w:val="0"/>
            <w:vAlign w:val="center"/>
          </w:tcPr>
          <w:p>
            <w:pPr>
              <w:rPr>
                <w:color w:val="auto"/>
              </w:rPr>
            </w:pPr>
            <w:r>
              <w:rPr>
                <w:rFonts w:hint="eastAsia"/>
                <w:color w:val="auto"/>
              </w:rPr>
              <w:t>竣工结算款付款时间：</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noWrap w:val="0"/>
            <w:vAlign w:val="center"/>
          </w:tcPr>
          <w:p>
            <w:pPr>
              <w:jc w:val="center"/>
              <w:rPr>
                <w:color w:val="auto"/>
              </w:rPr>
            </w:pPr>
            <w:r>
              <w:rPr>
                <w:color w:val="auto"/>
              </w:rPr>
              <w:t>13</w:t>
            </w:r>
          </w:p>
        </w:tc>
        <w:tc>
          <w:tcPr>
            <w:tcW w:w="3060" w:type="dxa"/>
            <w:noWrap w:val="0"/>
            <w:vAlign w:val="center"/>
          </w:tcPr>
          <w:p>
            <w:pPr>
              <w:rPr>
                <w:color w:val="auto"/>
              </w:rPr>
            </w:pPr>
            <w:r>
              <w:rPr>
                <w:rFonts w:hint="eastAsia"/>
                <w:color w:val="auto"/>
              </w:rPr>
              <w:t>保修期：</w:t>
            </w:r>
          </w:p>
        </w:tc>
        <w:tc>
          <w:tcPr>
            <w:tcW w:w="1704" w:type="dxa"/>
            <w:noWrap w:val="0"/>
            <w:vAlign w:val="center"/>
          </w:tcPr>
          <w:p>
            <w:pPr>
              <w:rPr>
                <w:color w:val="auto"/>
              </w:rPr>
            </w:pPr>
          </w:p>
        </w:tc>
        <w:tc>
          <w:tcPr>
            <w:tcW w:w="2597" w:type="dxa"/>
            <w:noWrap w:val="0"/>
            <w:vAlign w:val="center"/>
          </w:tcPr>
          <w:p>
            <w:pPr>
              <w:rPr>
                <w:color w:val="auto"/>
              </w:rPr>
            </w:pPr>
            <w:r>
              <w:rPr>
                <w:rFonts w:hint="eastAsia"/>
                <w:color w:val="auto"/>
              </w:rPr>
              <w:t>按照招标文件要求</w:t>
            </w:r>
          </w:p>
        </w:tc>
        <w:tc>
          <w:tcPr>
            <w:tcW w:w="1253" w:type="dxa"/>
            <w:noWrap w:val="0"/>
            <w:vAlign w:val="top"/>
          </w:tcPr>
          <w:p>
            <w:pPr>
              <w:spacing w:line="480" w:lineRule="auto"/>
              <w:rPr>
                <w:color w:val="auto"/>
              </w:rPr>
            </w:pPr>
          </w:p>
        </w:tc>
      </w:tr>
    </w:tbl>
    <w:p>
      <w:pPr>
        <w:rPr>
          <w:color w:val="auto"/>
        </w:rPr>
      </w:pPr>
    </w:p>
    <w:p>
      <w:pPr>
        <w:spacing w:line="480" w:lineRule="auto"/>
        <w:rPr>
          <w:color w:val="auto"/>
        </w:rPr>
      </w:pPr>
    </w:p>
    <w:p>
      <w:pPr>
        <w:tabs>
          <w:tab w:val="left" w:pos="6000"/>
        </w:tabs>
        <w:spacing w:line="360" w:lineRule="auto"/>
        <w:ind w:left="420"/>
        <w:jc w:val="center"/>
        <w:rPr>
          <w:rFonts w:ascii="宋体" w:hAnsi="宋体"/>
          <w:b/>
          <w:bCs/>
          <w:color w:val="auto"/>
          <w:sz w:val="36"/>
          <w:szCs w:val="36"/>
        </w:rPr>
      </w:pPr>
      <w:r>
        <w:rPr>
          <w:b/>
          <w:bCs/>
          <w:color w:val="auto"/>
        </w:rPr>
        <w:br w:type="page"/>
      </w:r>
      <w:r>
        <w:rPr>
          <w:rFonts w:hint="eastAsia" w:ascii="宋体" w:hAnsi="宋体"/>
          <w:b/>
          <w:bCs/>
          <w:color w:val="auto"/>
          <w:sz w:val="36"/>
          <w:szCs w:val="36"/>
        </w:rPr>
        <w:t>工程量清单报价</w:t>
      </w:r>
    </w:p>
    <w:p>
      <w:pPr>
        <w:snapToGrid w:val="0"/>
        <w:spacing w:line="360" w:lineRule="auto"/>
        <w:ind w:firstLine="480" w:firstLineChars="200"/>
        <w:rPr>
          <w:rFonts w:ascii="宋体" w:hAnsi="宋体" w:cs="仿宋_GB2312"/>
          <w:color w:val="auto"/>
        </w:rPr>
      </w:pPr>
      <w:r>
        <w:rPr>
          <w:rFonts w:ascii="宋体" w:hAnsi="宋体" w:cs="仿宋_GB2312"/>
          <w:color w:val="auto"/>
        </w:rPr>
        <w:t>(</w:t>
      </w:r>
      <w:r>
        <w:rPr>
          <w:rFonts w:hint="eastAsia" w:ascii="宋体" w:hAnsi="宋体" w:cs="仿宋_GB2312"/>
          <w:color w:val="auto"/>
        </w:rPr>
        <w:t>一</w:t>
      </w:r>
      <w:r>
        <w:rPr>
          <w:rFonts w:ascii="宋体" w:hAnsi="宋体" w:cs="仿宋_GB2312"/>
          <w:color w:val="auto"/>
        </w:rPr>
        <w:t>)</w:t>
      </w:r>
      <w:r>
        <w:rPr>
          <w:rFonts w:hint="eastAsia" w:ascii="宋体" w:hAnsi="宋体" w:cs="仿宋_GB2312"/>
          <w:color w:val="auto"/>
        </w:rPr>
        <w:t>投标报价应根据下列依据进行编制：相关专业工程的国家标准《工程量计算规范》；省、市建设主管部门以及工程造价管理机构颁发的相关计价规定；本企业定额或参照省建设主管部门颁发的计价依据；招标文件、招标工程量清单及其补充通知、答疑纪要；达到规定设计深度的施工图纸；与工程项目有关的规范、标准、技术资料；施工现场实际情况、工程特点和投标人自行拟定的施工组织设计或施工方案；市场价格或工程造价管理机构发布的价格信息；其他相关资料。</w:t>
      </w:r>
    </w:p>
    <w:p>
      <w:pPr>
        <w:snapToGrid w:val="0"/>
        <w:spacing w:line="360" w:lineRule="auto"/>
        <w:ind w:firstLine="480" w:firstLineChars="200"/>
        <w:rPr>
          <w:rFonts w:ascii="宋体" w:hAnsi="宋体" w:cs="仿宋_GB2312"/>
          <w:color w:val="auto"/>
        </w:rPr>
      </w:pPr>
      <w:r>
        <w:rPr>
          <w:rFonts w:ascii="宋体" w:hAnsi="宋体" w:cs="仿宋_GB2312"/>
          <w:color w:val="auto"/>
        </w:rPr>
        <w:t>(</w:t>
      </w:r>
      <w:r>
        <w:rPr>
          <w:rFonts w:hint="eastAsia" w:ascii="宋体" w:hAnsi="宋体" w:cs="仿宋_GB2312"/>
          <w:color w:val="auto"/>
        </w:rPr>
        <w:t>二</w:t>
      </w:r>
      <w:r>
        <w:rPr>
          <w:rFonts w:ascii="宋体" w:hAnsi="宋体" w:cs="仿宋_GB2312"/>
          <w:color w:val="auto"/>
        </w:rPr>
        <w:t>)</w:t>
      </w:r>
      <w:r>
        <w:rPr>
          <w:rFonts w:hint="eastAsia" w:ascii="宋体" w:hAnsi="宋体" w:cs="仿宋_GB2312"/>
          <w:color w:val="auto"/>
        </w:rPr>
        <w:t>投标人应当根据本企业的具体经营状况、技术装备水平、管理水平，视工程的实际情况、风险程度，自主报价。投标人不得以低于其企业成本的投标报价竞标。</w:t>
      </w:r>
    </w:p>
    <w:p>
      <w:pPr>
        <w:tabs>
          <w:tab w:val="left" w:pos="3780"/>
        </w:tabs>
        <w:snapToGrid w:val="0"/>
        <w:spacing w:line="360" w:lineRule="auto"/>
        <w:ind w:firstLine="480" w:firstLineChars="200"/>
        <w:rPr>
          <w:rFonts w:ascii="宋体" w:hAnsi="宋体" w:cs="仿宋_GB2312"/>
          <w:color w:val="auto"/>
        </w:rPr>
      </w:pPr>
      <w:r>
        <w:rPr>
          <w:rFonts w:hint="eastAsia" w:ascii="宋体" w:hAnsi="宋体" w:cs="仿宋_GB2312"/>
          <w:color w:val="auto"/>
        </w:rPr>
        <w:t>投标人应根据其投标报价情况提供书面报价说明。报价说明的主要内容包括：投标报价的编制依据；对投标工期、质量、安全、材料、施工等方面的承诺；综合单价中考虑的风险因素、风险范围（幅度）；措施项目的依据；其他需要说明的问题。</w:t>
      </w:r>
    </w:p>
    <w:p>
      <w:pPr>
        <w:snapToGrid w:val="0"/>
        <w:spacing w:line="360" w:lineRule="auto"/>
        <w:ind w:firstLine="480" w:firstLineChars="200"/>
        <w:rPr>
          <w:rFonts w:ascii="宋体" w:hAnsi="宋体" w:cs="仿宋_GB2312"/>
          <w:color w:val="auto"/>
        </w:rPr>
      </w:pPr>
      <w:r>
        <w:rPr>
          <w:rFonts w:hint="eastAsia" w:ascii="宋体" w:hAnsi="宋体" w:cs="仿宋_GB2312"/>
          <w:color w:val="auto"/>
        </w:rPr>
        <w:t>（三）投标报价应按照以下原则计价：</w:t>
      </w:r>
    </w:p>
    <w:p>
      <w:pPr>
        <w:pStyle w:val="2"/>
        <w:adjustRightInd w:val="0"/>
        <w:snapToGrid w:val="0"/>
        <w:spacing w:after="0" w:line="360" w:lineRule="auto"/>
        <w:ind w:firstLine="480" w:firstLineChars="200"/>
        <w:rPr>
          <w:rFonts w:ascii="宋体" w:hAnsi="宋体" w:eastAsia="宋体"/>
          <w:color w:val="auto"/>
          <w:sz w:val="24"/>
          <w:szCs w:val="24"/>
        </w:rPr>
      </w:pPr>
      <w:r>
        <w:rPr>
          <w:rFonts w:ascii="宋体" w:hAnsi="宋体" w:eastAsia="宋体"/>
          <w:color w:val="auto"/>
          <w:sz w:val="24"/>
          <w:szCs w:val="24"/>
        </w:rPr>
        <w:t>1.分部分项工程项目清单费用</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1）投标人按招标工程量清单填报价格。投标报价采用综合单价计价，投标人应根据综合单价的组成、工程量清单项目特征描述和工程内容确定综合单价。综合单价包括完成工程量清单中一个规定计量单位项目所需的人工费、材料费、机械使用费、企业管理费和利润，并考虑一定的风险因素。综合单价中应包括招标文件中确定的由投标人承担的风险范围及其费用。</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2）人工费、材料费、机械使用费、企业管理费和利润的费用所涵盖内容</w:t>
      </w:r>
      <w:r>
        <w:rPr>
          <w:rFonts w:hint="eastAsia" w:ascii="宋体" w:hAnsi="宋体" w:eastAsia="宋体"/>
          <w:color w:val="auto"/>
          <w:sz w:val="24"/>
          <w:szCs w:val="24"/>
        </w:rPr>
        <w:t>可自主确定或按省级建设主管部门颁发的计价依据确定。</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3）综合单价应包括招标人自行采购材料的价款。招标文件提供</w:t>
      </w:r>
      <w:r>
        <w:rPr>
          <w:rFonts w:hint="eastAsia" w:ascii="宋体" w:hAnsi="宋体" w:eastAsia="宋体"/>
          <w:color w:val="auto"/>
          <w:sz w:val="24"/>
          <w:szCs w:val="24"/>
        </w:rPr>
        <w:t>暂估</w:t>
      </w:r>
      <w:r>
        <w:rPr>
          <w:rFonts w:ascii="宋体" w:hAnsi="宋体" w:eastAsia="宋体"/>
          <w:color w:val="auto"/>
          <w:sz w:val="24"/>
          <w:szCs w:val="24"/>
        </w:rPr>
        <w:t>价的材料，投标人按</w:t>
      </w:r>
      <w:r>
        <w:rPr>
          <w:rFonts w:hint="eastAsia" w:ascii="宋体" w:hAnsi="宋体" w:eastAsia="宋体"/>
          <w:color w:val="auto"/>
          <w:sz w:val="24"/>
          <w:szCs w:val="24"/>
        </w:rPr>
        <w:t>暂估</w:t>
      </w:r>
      <w:r>
        <w:rPr>
          <w:rFonts w:ascii="宋体" w:hAnsi="宋体" w:eastAsia="宋体"/>
          <w:color w:val="auto"/>
          <w:sz w:val="24"/>
          <w:szCs w:val="24"/>
        </w:rPr>
        <w:t>的单价计入综合单价。</w:t>
      </w:r>
      <w:r>
        <w:rPr>
          <w:rFonts w:hint="eastAsia" w:ascii="宋体" w:hAnsi="宋体" w:eastAsia="宋体"/>
          <w:color w:val="auto"/>
          <w:sz w:val="24"/>
          <w:szCs w:val="24"/>
        </w:rPr>
        <w:t>暂估价的材料如遇本省计价依据中无相类似的材料时，投标人应该在投标文件报价说明中明确该材料的损耗率。</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4）企业管理费、利润的费用计算由投标人自主确定或参照省</w:t>
      </w:r>
      <w:r>
        <w:rPr>
          <w:rFonts w:hint="eastAsia" w:ascii="宋体" w:hAnsi="宋体" w:eastAsia="宋体"/>
          <w:color w:val="auto"/>
          <w:sz w:val="24"/>
          <w:szCs w:val="24"/>
        </w:rPr>
        <w:t>建设主管部门</w:t>
      </w:r>
      <w:r>
        <w:rPr>
          <w:rFonts w:ascii="宋体" w:hAnsi="宋体" w:eastAsia="宋体"/>
          <w:color w:val="auto"/>
          <w:sz w:val="24"/>
          <w:szCs w:val="24"/>
        </w:rPr>
        <w:t>颁发的计价依据计算。</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投标报价时，企业管理费中应包括施工企业现场监控和现场临时宿舍取暖降温费用，以及施工企业对建筑以及材料、构件和建筑安装物进行一般鉴定、检查所发生的检验试验费等相关费用。为保障工程质量和安全，企业管理费报价可参照省建设主管部门颁发的计价依据和相关取费计价文件规定由投标人自主确定</w:t>
      </w:r>
      <w:r>
        <w:rPr>
          <w:rFonts w:ascii="宋体" w:hAnsi="宋体" w:eastAsia="宋体"/>
          <w:color w:val="auto"/>
          <w:sz w:val="24"/>
          <w:szCs w:val="24"/>
        </w:rPr>
        <w:t>。</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5）综合单价中的风险费计算应根据招标文件中所明确的投标人应承担的风险范围和幅度由投标人自主确定。</w:t>
      </w:r>
    </w:p>
    <w:p>
      <w:pPr>
        <w:pStyle w:val="2"/>
        <w:adjustRightInd w:val="0"/>
        <w:snapToGrid w:val="0"/>
        <w:spacing w:after="0" w:line="360" w:lineRule="auto"/>
        <w:ind w:firstLine="480" w:firstLineChars="200"/>
        <w:rPr>
          <w:rFonts w:ascii="宋体" w:hAnsi="宋体" w:eastAsia="宋体"/>
          <w:color w:val="auto"/>
          <w:sz w:val="24"/>
          <w:szCs w:val="24"/>
        </w:rPr>
      </w:pPr>
      <w:r>
        <w:rPr>
          <w:rFonts w:ascii="宋体" w:hAnsi="宋体" w:eastAsia="宋体"/>
          <w:color w:val="auto"/>
          <w:sz w:val="24"/>
          <w:szCs w:val="24"/>
        </w:rPr>
        <w:t>2.措施项目清单费用</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1）投标人应根据招标人提供的措施项目清单和投标人自行确定的施工组织设计或施工方案填报数量和价格，不发生的措施项目金额以“O”计价。遇有措施项目清单未列项的，投标人可补充措施项目并报价。</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2）技术措施项目中的单价项目报价可参照综合单价的组成自主确定或参照省</w:t>
      </w:r>
      <w:r>
        <w:rPr>
          <w:rFonts w:hint="eastAsia" w:ascii="宋体" w:hAnsi="宋体" w:eastAsia="宋体"/>
          <w:color w:val="auto"/>
          <w:sz w:val="24"/>
          <w:szCs w:val="24"/>
        </w:rPr>
        <w:t>建设主管部门</w:t>
      </w:r>
      <w:r>
        <w:rPr>
          <w:rFonts w:ascii="宋体" w:hAnsi="宋体" w:eastAsia="宋体"/>
          <w:color w:val="auto"/>
          <w:sz w:val="24"/>
          <w:szCs w:val="24"/>
        </w:rPr>
        <w:t>发布的</w:t>
      </w:r>
      <w:r>
        <w:rPr>
          <w:rFonts w:hint="eastAsia" w:ascii="宋体" w:hAnsi="宋体" w:eastAsia="宋体"/>
          <w:color w:val="auto"/>
          <w:sz w:val="24"/>
          <w:szCs w:val="24"/>
        </w:rPr>
        <w:t>计价依据</w:t>
      </w:r>
      <w:r>
        <w:rPr>
          <w:rFonts w:ascii="宋体" w:hAnsi="宋体" w:eastAsia="宋体"/>
          <w:color w:val="auto"/>
          <w:sz w:val="24"/>
          <w:szCs w:val="24"/>
        </w:rPr>
        <w:t>。</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3）措施项目中凡属周转使用的设备、材料，均应按单次使用摊销量报价。</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4）并按招标工程量清单中的相应措施清单提供数量和报价。遇有缺项时，投标人可补充措施项目。</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5）施工取费费率依照本省现行计价依据的有关规定执行</w:t>
      </w:r>
      <w:r>
        <w:rPr>
          <w:rFonts w:hint="eastAsia" w:ascii="宋体" w:hAnsi="宋体" w:eastAsia="宋体"/>
          <w:color w:val="auto"/>
          <w:sz w:val="24"/>
          <w:szCs w:val="24"/>
        </w:rPr>
        <w:t>。</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安全文明施工措施费不得挪作他用。工程实施过程中应根据投标文件的承诺和合同约定，经监理单位审查认可后由建设单位足额支付。安全文明施工基本费投标</w:t>
      </w:r>
      <w:r>
        <w:rPr>
          <w:rFonts w:ascii="宋体" w:hAnsi="宋体" w:eastAsia="宋体"/>
          <w:color w:val="auto"/>
          <w:sz w:val="24"/>
          <w:szCs w:val="24"/>
        </w:rPr>
        <w:t>报价</w:t>
      </w:r>
      <w:r>
        <w:rPr>
          <w:rFonts w:hint="eastAsia" w:ascii="宋体" w:hAnsi="宋体" w:eastAsia="宋体"/>
          <w:color w:val="auto"/>
          <w:sz w:val="24"/>
          <w:szCs w:val="24"/>
        </w:rPr>
        <w:t>不得</w:t>
      </w:r>
      <w:r>
        <w:rPr>
          <w:rFonts w:ascii="宋体" w:hAnsi="宋体" w:eastAsia="宋体"/>
          <w:color w:val="auto"/>
          <w:sz w:val="24"/>
          <w:szCs w:val="24"/>
        </w:rPr>
        <w:t>低于</w:t>
      </w:r>
      <w:r>
        <w:rPr>
          <w:rFonts w:hint="eastAsia" w:ascii="宋体" w:hAnsi="宋体" w:eastAsia="宋体"/>
          <w:color w:val="auto"/>
          <w:sz w:val="24"/>
          <w:szCs w:val="24"/>
        </w:rPr>
        <w:t>建设主管部门</w:t>
      </w:r>
      <w:r>
        <w:rPr>
          <w:rFonts w:ascii="宋体" w:hAnsi="宋体" w:eastAsia="宋体"/>
          <w:color w:val="auto"/>
          <w:sz w:val="24"/>
          <w:szCs w:val="24"/>
        </w:rPr>
        <w:t>颁发的取费计价文件规定的弹性费率下限计算值</w:t>
      </w:r>
      <w:r>
        <w:rPr>
          <w:rFonts w:hint="eastAsia" w:ascii="宋体" w:hAnsi="宋体" w:eastAsia="宋体"/>
          <w:color w:val="auto"/>
          <w:sz w:val="24"/>
          <w:szCs w:val="24"/>
        </w:rPr>
        <w:t>。</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6）投标人措施项目各分项之间不得重复报价。</w:t>
      </w:r>
    </w:p>
    <w:p>
      <w:pPr>
        <w:pStyle w:val="2"/>
        <w:adjustRightInd w:val="0"/>
        <w:snapToGrid w:val="0"/>
        <w:spacing w:after="0" w:line="360" w:lineRule="auto"/>
        <w:ind w:firstLine="480" w:firstLineChars="200"/>
        <w:rPr>
          <w:rFonts w:ascii="宋体" w:hAnsi="宋体" w:eastAsia="宋体"/>
          <w:color w:val="auto"/>
          <w:sz w:val="24"/>
          <w:szCs w:val="24"/>
        </w:rPr>
      </w:pPr>
      <w:r>
        <w:rPr>
          <w:rFonts w:ascii="宋体" w:hAnsi="宋体" w:eastAsia="宋体"/>
          <w:color w:val="auto"/>
          <w:sz w:val="24"/>
          <w:szCs w:val="24"/>
        </w:rPr>
        <w:t>3.其他项目清单费用</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1）暂列金额，投标人按招标工程量清单确定的金额填报；总承包服务费，投标人按招标工程量清单确定的项目内容和要求自主确定费率并报价；计日工费，投标人按招标工程量清单列出的项目内容和数量自主确定综合单价并计算报价。招标人对计日工</w:t>
      </w:r>
      <w:r>
        <w:rPr>
          <w:rFonts w:hint="eastAsia" w:ascii="宋体" w:hAnsi="宋体" w:eastAsia="宋体"/>
          <w:color w:val="auto"/>
          <w:sz w:val="24"/>
          <w:szCs w:val="24"/>
        </w:rPr>
        <w:t>费内容和数量未作要求的，投标人不需要作出报价。</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w:t>
      </w:r>
      <w:r>
        <w:rPr>
          <w:rFonts w:ascii="宋体" w:hAnsi="宋体" w:eastAsia="宋体"/>
          <w:color w:val="auto"/>
          <w:sz w:val="24"/>
          <w:szCs w:val="24"/>
        </w:rPr>
        <w:t>2）其他项目清单中的暂列金额和计日工，均为招标人估算、预测数量，投标时计入投标人的报价中，竣工结算时应按承包人实际完成的工程内容结算。</w:t>
      </w:r>
    </w:p>
    <w:p>
      <w:pPr>
        <w:pStyle w:val="2"/>
        <w:adjustRightInd w:val="0"/>
        <w:snapToGrid w:val="0"/>
        <w:spacing w:after="0" w:line="360" w:lineRule="auto"/>
        <w:ind w:firstLine="480" w:firstLineChars="200"/>
        <w:rPr>
          <w:rFonts w:ascii="宋体" w:hAnsi="宋体" w:eastAsia="宋体"/>
          <w:color w:val="auto"/>
          <w:sz w:val="24"/>
          <w:szCs w:val="24"/>
        </w:rPr>
      </w:pPr>
      <w:r>
        <w:rPr>
          <w:rFonts w:ascii="宋体" w:hAnsi="宋体" w:eastAsia="宋体"/>
          <w:color w:val="auto"/>
          <w:sz w:val="24"/>
          <w:szCs w:val="24"/>
        </w:rPr>
        <w:t>4.规费、税金</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规费、税金按省建设主管部门颁发的计价规则内容和计费标准计算报价。省、市政府及有关权力部门颁发的政策性文件对规费、税金的内容和计费标准有调整的，按其规定执行。</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规费费率不得低于现行标准费率的</w:t>
      </w:r>
      <w:r>
        <w:rPr>
          <w:rFonts w:ascii="宋体" w:hAnsi="宋体" w:eastAsia="宋体"/>
          <w:color w:val="auto"/>
          <w:sz w:val="24"/>
          <w:szCs w:val="24"/>
        </w:rPr>
        <w:t>30%；</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税金作为不可竞争费用，投标税率必须与现行规定相符；</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（四）投标人不得擅自修改招标工程量清单的分部分项工程项目清单内容。</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工程量清单报价应与工、料、机报价及对应的报价分析相符，与拟建工程的施工组织设计或施工方案相符。</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投标人应根据自己的企业定额或参照省建设主管部门颁发的计价规则向招标人提供具体的报价计算分析，其各项报价分析表与工程量清单计价表之间的金额（价格）应前后对应一致。</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（五）清单报价中的任何算术性错误，招标人按下列原则予以调整：</w:t>
      </w:r>
    </w:p>
    <w:p>
      <w:pPr>
        <w:pStyle w:val="2"/>
        <w:adjustRightInd w:val="0"/>
        <w:snapToGrid w:val="0"/>
        <w:spacing w:after="0" w:line="360" w:lineRule="auto"/>
        <w:ind w:firstLine="480" w:firstLineChars="200"/>
        <w:rPr>
          <w:rFonts w:ascii="宋体" w:hAnsi="宋体" w:eastAsia="宋体"/>
          <w:color w:val="auto"/>
          <w:sz w:val="24"/>
          <w:szCs w:val="24"/>
        </w:rPr>
      </w:pPr>
      <w:r>
        <w:rPr>
          <w:rFonts w:ascii="宋体" w:hAnsi="宋体" w:eastAsia="宋体"/>
          <w:color w:val="auto"/>
          <w:sz w:val="24"/>
          <w:szCs w:val="24"/>
        </w:rPr>
        <w:t>1.大写金额和小写金额不一致，以大写金额为准；</w:t>
      </w:r>
    </w:p>
    <w:p>
      <w:pPr>
        <w:pStyle w:val="2"/>
        <w:adjustRightInd w:val="0"/>
        <w:snapToGrid w:val="0"/>
        <w:spacing w:after="0" w:line="360" w:lineRule="auto"/>
        <w:ind w:firstLine="480" w:firstLineChars="200"/>
        <w:rPr>
          <w:rFonts w:ascii="宋体" w:hAnsi="宋体" w:eastAsia="宋体"/>
          <w:color w:val="auto"/>
          <w:sz w:val="24"/>
          <w:szCs w:val="24"/>
        </w:rPr>
      </w:pPr>
      <w:r>
        <w:rPr>
          <w:rFonts w:ascii="宋体" w:hAnsi="宋体" w:eastAsia="宋体"/>
          <w:color w:val="auto"/>
          <w:sz w:val="24"/>
          <w:szCs w:val="24"/>
        </w:rPr>
        <w:t>2.合</w:t>
      </w:r>
      <w:r>
        <w:rPr>
          <w:rFonts w:hint="eastAsia" w:ascii="宋体" w:hAnsi="宋体" w:eastAsia="宋体"/>
          <w:color w:val="auto"/>
          <w:sz w:val="24"/>
          <w:szCs w:val="24"/>
        </w:rPr>
        <w:t>价金额与单价金额和工程量的乘积不一致的，以单价金额为准，但单价金额有明显错误的除外；</w:t>
      </w:r>
    </w:p>
    <w:p>
      <w:pPr>
        <w:pStyle w:val="2"/>
        <w:adjustRightInd w:val="0"/>
        <w:snapToGrid w:val="0"/>
        <w:spacing w:after="0" w:line="360" w:lineRule="auto"/>
        <w:ind w:firstLine="480" w:firstLineChars="200"/>
        <w:rPr>
          <w:rFonts w:ascii="宋体" w:hAnsi="宋体" w:eastAsia="宋体"/>
          <w:color w:val="auto"/>
          <w:sz w:val="24"/>
          <w:szCs w:val="24"/>
        </w:rPr>
      </w:pPr>
      <w:r>
        <w:rPr>
          <w:rFonts w:ascii="宋体" w:hAnsi="宋体" w:eastAsia="宋体"/>
          <w:color w:val="auto"/>
          <w:sz w:val="24"/>
          <w:szCs w:val="24"/>
        </w:rPr>
        <w:t>3.合价累计金额与小计（合计）金额不一致的，以合价累计金额为准，并修改小计（合计）金额及总报价。</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（六）根据住房和城乡建设部、省级造价主管部门对造价从业人员执业管理的相关法律法规规定以及《建设工程工程量清单计价规范》（GB50500-2013）的规定，投标报价的编制必须遵守以下规定：</w:t>
      </w:r>
    </w:p>
    <w:p>
      <w:pPr>
        <w:pStyle w:val="2"/>
        <w:adjustRightInd w:val="0"/>
        <w:snapToGrid w:val="0"/>
        <w:spacing w:after="0" w:line="360" w:lineRule="auto"/>
        <w:ind w:firstLine="480" w:firstLineChars="200"/>
        <w:rPr>
          <w:rFonts w:ascii="宋体" w:hAnsi="宋体" w:eastAsia="宋体"/>
          <w:color w:val="auto"/>
          <w:sz w:val="24"/>
          <w:szCs w:val="24"/>
        </w:rPr>
      </w:pPr>
      <w:r>
        <w:rPr>
          <w:rFonts w:ascii="宋体" w:hAnsi="宋体" w:eastAsia="宋体"/>
          <w:color w:val="auto"/>
          <w:sz w:val="24"/>
          <w:szCs w:val="24"/>
        </w:rPr>
        <w:t>1.投标报价应由投标人或受其委托具有相应能力的工程造价咨询人编制。投标人委托具有相应</w:t>
      </w:r>
      <w:r>
        <w:rPr>
          <w:rFonts w:hint="eastAsia" w:ascii="宋体" w:hAnsi="宋体" w:eastAsia="宋体"/>
          <w:color w:val="auto"/>
          <w:sz w:val="24"/>
          <w:szCs w:val="24"/>
        </w:rPr>
        <w:t>能力</w:t>
      </w:r>
      <w:r>
        <w:rPr>
          <w:rFonts w:ascii="宋体" w:hAnsi="宋体" w:eastAsia="宋体"/>
          <w:color w:val="auto"/>
          <w:sz w:val="24"/>
          <w:szCs w:val="24"/>
        </w:rPr>
        <w:t>的工程造价咨询人编制投标报价书的，投标文件中应</w:t>
      </w:r>
      <w:r>
        <w:rPr>
          <w:rFonts w:hint="eastAsia" w:ascii="宋体" w:hAnsi="宋体" w:eastAsia="宋体"/>
          <w:color w:val="auto"/>
          <w:sz w:val="24"/>
          <w:szCs w:val="24"/>
        </w:rPr>
        <w:t>附情况说明、委托编制投标报价的咨询合同书等。</w:t>
      </w:r>
    </w:p>
    <w:p>
      <w:pPr>
        <w:pStyle w:val="2"/>
        <w:adjustRightInd w:val="0"/>
        <w:snapToGrid w:val="0"/>
        <w:spacing w:after="0" w:line="360" w:lineRule="auto"/>
        <w:ind w:firstLine="480" w:firstLineChars="200"/>
        <w:rPr>
          <w:rFonts w:ascii="宋体" w:hAnsi="宋体" w:eastAsia="宋体"/>
          <w:color w:val="auto"/>
          <w:sz w:val="24"/>
          <w:szCs w:val="24"/>
        </w:rPr>
      </w:pPr>
      <w:r>
        <w:rPr>
          <w:rFonts w:ascii="宋体" w:hAnsi="宋体" w:eastAsia="宋体"/>
          <w:color w:val="auto"/>
          <w:sz w:val="24"/>
          <w:szCs w:val="24"/>
        </w:rPr>
        <w:t>2.投标文件的编制人</w:t>
      </w:r>
      <w:r>
        <w:rPr>
          <w:rFonts w:hint="eastAsia" w:ascii="宋体" w:hAnsi="宋体" w:eastAsia="宋体"/>
          <w:color w:val="auto"/>
          <w:sz w:val="24"/>
          <w:szCs w:val="24"/>
        </w:rPr>
        <w:t>不得</w:t>
      </w:r>
      <w:r>
        <w:rPr>
          <w:rFonts w:ascii="宋体" w:hAnsi="宋体" w:eastAsia="宋体"/>
          <w:color w:val="auto"/>
          <w:sz w:val="24"/>
          <w:szCs w:val="24"/>
        </w:rPr>
        <w:t>接受同一工程招标人</w:t>
      </w:r>
      <w:r>
        <w:rPr>
          <w:rFonts w:hint="eastAsia" w:ascii="宋体" w:hAnsi="宋体" w:eastAsia="宋体"/>
          <w:color w:val="auto"/>
          <w:sz w:val="24"/>
          <w:szCs w:val="24"/>
        </w:rPr>
        <w:t>委托</w:t>
      </w:r>
      <w:r>
        <w:rPr>
          <w:rFonts w:ascii="宋体" w:hAnsi="宋体" w:eastAsia="宋体"/>
          <w:color w:val="auto"/>
          <w:sz w:val="24"/>
          <w:szCs w:val="24"/>
        </w:rPr>
        <w:t>编制</w:t>
      </w:r>
      <w:r>
        <w:rPr>
          <w:rFonts w:hint="eastAsia" w:ascii="宋体" w:hAnsi="宋体" w:eastAsia="宋体"/>
          <w:color w:val="auto"/>
          <w:sz w:val="24"/>
          <w:szCs w:val="24"/>
        </w:rPr>
        <w:t>招标文件（含招标控制价</w:t>
      </w:r>
      <w:r>
        <w:rPr>
          <w:rFonts w:ascii="宋体" w:hAnsi="宋体" w:eastAsia="宋体"/>
          <w:color w:val="auto"/>
          <w:sz w:val="24"/>
          <w:szCs w:val="24"/>
        </w:rPr>
        <w:t>)</w:t>
      </w:r>
      <w:r>
        <w:rPr>
          <w:rFonts w:hint="eastAsia" w:ascii="宋体" w:hAnsi="宋体" w:eastAsia="宋体"/>
          <w:color w:val="auto"/>
          <w:sz w:val="24"/>
          <w:szCs w:val="24"/>
        </w:rPr>
        <w:t>，并不得</w:t>
      </w:r>
      <w:r>
        <w:rPr>
          <w:rFonts w:ascii="宋体" w:hAnsi="宋体" w:eastAsia="宋体"/>
          <w:color w:val="auto"/>
          <w:sz w:val="24"/>
          <w:szCs w:val="24"/>
        </w:rPr>
        <w:t>接受其他投标人</w:t>
      </w:r>
      <w:r>
        <w:rPr>
          <w:rFonts w:hint="eastAsia" w:ascii="宋体" w:hAnsi="宋体" w:eastAsia="宋体"/>
          <w:color w:val="auto"/>
          <w:sz w:val="24"/>
          <w:szCs w:val="24"/>
        </w:rPr>
        <w:t>委托编制投标文件。</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附：</w:t>
      </w:r>
    </w:p>
    <w:p>
      <w:pPr>
        <w:pStyle w:val="2"/>
        <w:adjustRightInd w:val="0"/>
        <w:snapToGrid w:val="0"/>
        <w:spacing w:after="0" w:line="360" w:lineRule="auto"/>
        <w:ind w:firstLine="480" w:firstLineChars="200"/>
        <w:rPr>
          <w:rFonts w:ascii="宋体" w:hAnsi="宋体" w:eastAsia="宋体"/>
          <w:color w:val="auto"/>
          <w:sz w:val="24"/>
          <w:szCs w:val="24"/>
        </w:rPr>
      </w:pPr>
      <w:r>
        <w:rPr>
          <w:rFonts w:hint="eastAsia" w:ascii="宋体" w:hAnsi="宋体" w:eastAsia="宋体"/>
          <w:color w:val="auto"/>
          <w:sz w:val="24"/>
          <w:szCs w:val="24"/>
        </w:rPr>
        <w:t>工程量清单及计价采用的表格格式如下（具体见附件）：</w:t>
      </w:r>
    </w:p>
    <w:p>
      <w:pPr>
        <w:pStyle w:val="2"/>
        <w:adjustRightInd w:val="0"/>
        <w:snapToGrid w:val="0"/>
        <w:spacing w:after="0" w:line="360" w:lineRule="auto"/>
        <w:ind w:firstLine="480" w:firstLineChars="200"/>
        <w:rPr>
          <w:rFonts w:ascii="宋体" w:hAnsi="宋体" w:eastAsia="宋体"/>
          <w:color w:val="auto"/>
          <w:sz w:val="24"/>
          <w:szCs w:val="24"/>
        </w:rPr>
      </w:pPr>
      <w:r>
        <w:rPr>
          <w:rFonts w:ascii="宋体" w:hAnsi="宋体" w:eastAsia="宋体"/>
          <w:color w:val="auto"/>
          <w:sz w:val="24"/>
          <w:szCs w:val="24"/>
        </w:rPr>
        <w:t>1.工程量清单及计价表：</w:t>
      </w:r>
    </w:p>
    <w:p>
      <w:pPr>
        <w:pStyle w:val="129"/>
        <w:numPr>
          <w:ilvl w:val="0"/>
          <w:numId w:val="44"/>
        </w:numPr>
        <w:snapToGrid w:val="0"/>
        <w:spacing w:line="360" w:lineRule="auto"/>
        <w:ind w:left="0" w:firstLine="480" w:firstLineChars="200"/>
        <w:rPr>
          <w:color w:val="auto"/>
        </w:rPr>
      </w:pPr>
      <w:r>
        <w:rPr>
          <w:rFonts w:hint="eastAsia"/>
          <w:color w:val="auto"/>
        </w:rPr>
        <w:t>投标报价封面</w:t>
      </w:r>
    </w:p>
    <w:p>
      <w:pPr>
        <w:pStyle w:val="129"/>
        <w:numPr>
          <w:ilvl w:val="0"/>
          <w:numId w:val="44"/>
        </w:numPr>
        <w:snapToGrid w:val="0"/>
        <w:spacing w:line="360" w:lineRule="auto"/>
        <w:ind w:left="0" w:firstLine="480" w:firstLineChars="200"/>
        <w:rPr>
          <w:color w:val="auto"/>
        </w:rPr>
      </w:pPr>
      <w:r>
        <w:rPr>
          <w:rFonts w:hint="eastAsia"/>
          <w:color w:val="auto"/>
        </w:rPr>
        <w:t>投标报价扉页</w:t>
      </w:r>
    </w:p>
    <w:p>
      <w:pPr>
        <w:pStyle w:val="129"/>
        <w:numPr>
          <w:ilvl w:val="0"/>
          <w:numId w:val="44"/>
        </w:numPr>
        <w:snapToGrid w:val="0"/>
        <w:spacing w:line="360" w:lineRule="auto"/>
        <w:ind w:left="0" w:firstLine="480" w:firstLineChars="200"/>
        <w:rPr>
          <w:color w:val="auto"/>
        </w:rPr>
      </w:pPr>
      <w:r>
        <w:rPr>
          <w:rFonts w:hint="eastAsia"/>
          <w:color w:val="auto"/>
        </w:rPr>
        <w:t>编制说明</w:t>
      </w:r>
    </w:p>
    <w:p>
      <w:pPr>
        <w:pStyle w:val="129"/>
        <w:numPr>
          <w:ilvl w:val="0"/>
          <w:numId w:val="44"/>
        </w:numPr>
        <w:snapToGrid w:val="0"/>
        <w:spacing w:line="360" w:lineRule="auto"/>
        <w:ind w:left="0" w:firstLine="480" w:firstLineChars="200"/>
        <w:rPr>
          <w:color w:val="auto"/>
        </w:rPr>
      </w:pPr>
      <w:r>
        <w:rPr>
          <w:rFonts w:hint="eastAsia"/>
          <w:color w:val="auto"/>
        </w:rPr>
        <w:t>投标报价费用表</w:t>
      </w:r>
    </w:p>
    <w:p>
      <w:pPr>
        <w:pStyle w:val="129"/>
        <w:numPr>
          <w:ilvl w:val="0"/>
          <w:numId w:val="44"/>
        </w:numPr>
        <w:snapToGrid w:val="0"/>
        <w:spacing w:line="360" w:lineRule="auto"/>
        <w:ind w:left="0" w:firstLine="480" w:firstLineChars="200"/>
        <w:rPr>
          <w:color w:val="auto"/>
        </w:rPr>
      </w:pPr>
      <w:r>
        <w:rPr>
          <w:rFonts w:hint="eastAsia"/>
          <w:color w:val="auto"/>
        </w:rPr>
        <w:t>单位（专业）工程投标报价费用表</w:t>
      </w:r>
    </w:p>
    <w:p>
      <w:pPr>
        <w:pStyle w:val="129"/>
        <w:numPr>
          <w:ilvl w:val="0"/>
          <w:numId w:val="44"/>
        </w:numPr>
        <w:snapToGrid w:val="0"/>
        <w:spacing w:line="360" w:lineRule="auto"/>
        <w:ind w:left="0" w:firstLine="480" w:firstLineChars="200"/>
        <w:rPr>
          <w:color w:val="auto"/>
        </w:rPr>
      </w:pPr>
      <w:r>
        <w:rPr>
          <w:rFonts w:hint="eastAsia"/>
          <w:color w:val="auto"/>
        </w:rPr>
        <w:t>分部分项工程和施工技术措施费项目清单与计价表</w:t>
      </w:r>
    </w:p>
    <w:p>
      <w:pPr>
        <w:pStyle w:val="129"/>
        <w:numPr>
          <w:ilvl w:val="0"/>
          <w:numId w:val="44"/>
        </w:numPr>
        <w:snapToGrid w:val="0"/>
        <w:spacing w:line="360" w:lineRule="auto"/>
        <w:ind w:left="0" w:firstLine="480" w:firstLineChars="200"/>
        <w:rPr>
          <w:color w:val="auto"/>
        </w:rPr>
      </w:pPr>
      <w:r>
        <w:rPr>
          <w:rFonts w:hint="eastAsia"/>
          <w:color w:val="auto"/>
        </w:rPr>
        <w:t>综合单价计算表</w:t>
      </w:r>
    </w:p>
    <w:p>
      <w:pPr>
        <w:pStyle w:val="129"/>
        <w:numPr>
          <w:ilvl w:val="0"/>
          <w:numId w:val="44"/>
        </w:numPr>
        <w:snapToGrid w:val="0"/>
        <w:spacing w:line="360" w:lineRule="auto"/>
        <w:ind w:left="0" w:firstLine="480" w:firstLineChars="200"/>
        <w:rPr>
          <w:color w:val="auto"/>
        </w:rPr>
      </w:pPr>
      <w:r>
        <w:rPr>
          <w:rFonts w:hint="eastAsia"/>
          <w:color w:val="auto"/>
        </w:rPr>
        <w:t>综合单价工料机分析表</w:t>
      </w:r>
    </w:p>
    <w:p>
      <w:pPr>
        <w:pStyle w:val="129"/>
        <w:numPr>
          <w:ilvl w:val="0"/>
          <w:numId w:val="44"/>
        </w:numPr>
        <w:snapToGrid w:val="0"/>
        <w:spacing w:line="360" w:lineRule="auto"/>
        <w:ind w:left="0" w:firstLine="480" w:firstLineChars="200"/>
        <w:rPr>
          <w:color w:val="auto"/>
        </w:rPr>
      </w:pPr>
      <w:r>
        <w:rPr>
          <w:rFonts w:hint="eastAsia"/>
          <w:color w:val="auto"/>
        </w:rPr>
        <w:t>施工组织措施项目清单与计价表</w:t>
      </w:r>
    </w:p>
    <w:p>
      <w:pPr>
        <w:pStyle w:val="129"/>
        <w:numPr>
          <w:ilvl w:val="0"/>
          <w:numId w:val="44"/>
        </w:numPr>
        <w:snapToGrid w:val="0"/>
        <w:spacing w:line="360" w:lineRule="auto"/>
        <w:ind w:left="0" w:firstLine="480" w:firstLineChars="200"/>
        <w:rPr>
          <w:color w:val="auto"/>
        </w:rPr>
      </w:pPr>
      <w:r>
        <w:rPr>
          <w:rFonts w:hint="eastAsia"/>
          <w:color w:val="auto"/>
        </w:rPr>
        <w:t>其他项目清单与计价汇总表</w:t>
      </w:r>
    </w:p>
    <w:p>
      <w:pPr>
        <w:pStyle w:val="129"/>
        <w:numPr>
          <w:ilvl w:val="0"/>
          <w:numId w:val="44"/>
        </w:numPr>
        <w:snapToGrid w:val="0"/>
        <w:spacing w:line="360" w:lineRule="auto"/>
        <w:ind w:left="0" w:firstLine="480" w:firstLineChars="200"/>
        <w:rPr>
          <w:color w:val="auto"/>
        </w:rPr>
      </w:pPr>
      <w:r>
        <w:rPr>
          <w:rFonts w:hint="eastAsia"/>
          <w:color w:val="auto"/>
        </w:rPr>
        <w:t>暂列金额明细表</w:t>
      </w:r>
    </w:p>
    <w:p>
      <w:pPr>
        <w:pStyle w:val="129"/>
        <w:numPr>
          <w:ilvl w:val="0"/>
          <w:numId w:val="44"/>
        </w:numPr>
        <w:snapToGrid w:val="0"/>
        <w:spacing w:line="360" w:lineRule="auto"/>
        <w:ind w:left="0" w:firstLine="480" w:firstLineChars="200"/>
        <w:rPr>
          <w:color w:val="auto"/>
        </w:rPr>
      </w:pPr>
      <w:r>
        <w:rPr>
          <w:rFonts w:hint="eastAsia"/>
          <w:color w:val="auto"/>
        </w:rPr>
        <w:t>材料（工程设备）暂估单价及调整表</w:t>
      </w:r>
    </w:p>
    <w:p>
      <w:pPr>
        <w:pStyle w:val="129"/>
        <w:numPr>
          <w:ilvl w:val="0"/>
          <w:numId w:val="44"/>
        </w:numPr>
        <w:snapToGrid w:val="0"/>
        <w:spacing w:line="360" w:lineRule="auto"/>
        <w:ind w:left="0" w:firstLine="480" w:firstLineChars="200"/>
        <w:rPr>
          <w:color w:val="auto"/>
        </w:rPr>
      </w:pPr>
      <w:r>
        <w:rPr>
          <w:rFonts w:hint="eastAsia"/>
          <w:color w:val="auto"/>
        </w:rPr>
        <w:t>专业工程暂估价表</w:t>
      </w:r>
    </w:p>
    <w:p>
      <w:pPr>
        <w:pStyle w:val="129"/>
        <w:numPr>
          <w:ilvl w:val="0"/>
          <w:numId w:val="44"/>
        </w:numPr>
        <w:snapToGrid w:val="0"/>
        <w:spacing w:line="360" w:lineRule="auto"/>
        <w:ind w:left="0" w:firstLine="480" w:firstLineChars="200"/>
        <w:rPr>
          <w:color w:val="auto"/>
        </w:rPr>
      </w:pPr>
      <w:r>
        <w:rPr>
          <w:rFonts w:hint="eastAsia"/>
          <w:color w:val="auto"/>
        </w:rPr>
        <w:t>专项技术措施暂估价表</w:t>
      </w:r>
    </w:p>
    <w:p>
      <w:pPr>
        <w:pStyle w:val="129"/>
        <w:numPr>
          <w:ilvl w:val="0"/>
          <w:numId w:val="44"/>
        </w:numPr>
        <w:snapToGrid w:val="0"/>
        <w:spacing w:line="360" w:lineRule="auto"/>
        <w:ind w:left="0" w:firstLine="480" w:firstLineChars="200"/>
        <w:rPr>
          <w:color w:val="auto"/>
        </w:rPr>
      </w:pPr>
      <w:r>
        <w:rPr>
          <w:rFonts w:hint="eastAsia"/>
          <w:color w:val="auto"/>
        </w:rPr>
        <w:t>计日工表</w:t>
      </w:r>
    </w:p>
    <w:p>
      <w:pPr>
        <w:pStyle w:val="129"/>
        <w:numPr>
          <w:ilvl w:val="0"/>
          <w:numId w:val="44"/>
        </w:numPr>
        <w:snapToGrid w:val="0"/>
        <w:spacing w:line="360" w:lineRule="auto"/>
        <w:ind w:left="0" w:firstLine="480" w:firstLineChars="200"/>
        <w:rPr>
          <w:color w:val="auto"/>
        </w:rPr>
      </w:pPr>
      <w:r>
        <w:rPr>
          <w:rFonts w:hint="eastAsia"/>
          <w:color w:val="auto"/>
        </w:rPr>
        <w:t>总承包服务费计价表</w:t>
      </w:r>
    </w:p>
    <w:p>
      <w:pPr>
        <w:pStyle w:val="129"/>
        <w:numPr>
          <w:ilvl w:val="0"/>
          <w:numId w:val="44"/>
        </w:numPr>
        <w:snapToGrid w:val="0"/>
        <w:spacing w:line="360" w:lineRule="auto"/>
        <w:ind w:left="0" w:firstLine="480" w:firstLineChars="200"/>
        <w:rPr>
          <w:color w:val="auto"/>
        </w:rPr>
      </w:pPr>
      <w:r>
        <w:rPr>
          <w:rFonts w:hint="eastAsia"/>
          <w:color w:val="auto"/>
        </w:rPr>
        <w:t>主要工日一览表</w:t>
      </w:r>
    </w:p>
    <w:p>
      <w:pPr>
        <w:pStyle w:val="129"/>
        <w:numPr>
          <w:ilvl w:val="0"/>
          <w:numId w:val="44"/>
        </w:numPr>
        <w:snapToGrid w:val="0"/>
        <w:spacing w:line="360" w:lineRule="auto"/>
        <w:ind w:left="0" w:firstLine="480" w:firstLineChars="200"/>
        <w:rPr>
          <w:color w:val="auto"/>
        </w:rPr>
      </w:pPr>
      <w:r>
        <w:rPr>
          <w:rFonts w:hint="eastAsia"/>
          <w:color w:val="auto"/>
        </w:rPr>
        <w:t>发包人提供材料和设备一览表</w:t>
      </w:r>
    </w:p>
    <w:p>
      <w:pPr>
        <w:pStyle w:val="129"/>
        <w:numPr>
          <w:ilvl w:val="0"/>
          <w:numId w:val="44"/>
        </w:numPr>
        <w:snapToGrid w:val="0"/>
        <w:spacing w:line="360" w:lineRule="auto"/>
        <w:ind w:left="0" w:firstLine="480" w:firstLineChars="200"/>
        <w:rPr>
          <w:color w:val="auto"/>
        </w:rPr>
      </w:pPr>
      <w:r>
        <w:rPr>
          <w:rFonts w:hint="eastAsia"/>
          <w:color w:val="auto"/>
        </w:rPr>
        <w:t>主要材料和工程设备一览表</w:t>
      </w:r>
    </w:p>
    <w:p>
      <w:pPr>
        <w:pStyle w:val="129"/>
        <w:numPr>
          <w:ilvl w:val="0"/>
          <w:numId w:val="44"/>
        </w:numPr>
        <w:snapToGrid w:val="0"/>
        <w:spacing w:line="360" w:lineRule="auto"/>
        <w:ind w:left="0" w:firstLine="480" w:firstLineChars="200"/>
        <w:rPr>
          <w:color w:val="auto"/>
        </w:rPr>
      </w:pPr>
      <w:r>
        <w:rPr>
          <w:rFonts w:hint="eastAsia"/>
          <w:color w:val="auto"/>
        </w:rPr>
        <w:t>主要机械台班一览表</w:t>
      </w:r>
    </w:p>
    <w:p>
      <w:pPr>
        <w:pStyle w:val="2"/>
        <w:adjustRightInd w:val="0"/>
        <w:snapToGrid w:val="0"/>
        <w:spacing w:after="0" w:line="360" w:lineRule="auto"/>
        <w:ind w:firstLine="480" w:firstLineChars="200"/>
        <w:rPr>
          <w:rFonts w:ascii="Calibri" w:hAnsi="Calibri" w:eastAsia="宋体"/>
          <w:color w:val="auto"/>
          <w:sz w:val="24"/>
          <w:szCs w:val="24"/>
        </w:rPr>
      </w:pPr>
      <w:r>
        <w:rPr>
          <w:rFonts w:hint="eastAsia" w:ascii="Calibri" w:hAnsi="Calibri" w:eastAsia="宋体"/>
          <w:color w:val="auto"/>
          <w:sz w:val="24"/>
          <w:szCs w:val="24"/>
        </w:rPr>
        <w:t>2.根据招标人工程量清单编制要求填报具体的表格。</w:t>
      </w:r>
      <w:r>
        <w:rPr>
          <w:rFonts w:ascii="Calibri" w:hAnsi="Calibri" w:eastAsia="宋体"/>
          <w:color w:val="auto"/>
          <w:sz w:val="24"/>
          <w:szCs w:val="24"/>
        </w:rPr>
        <w:br w:type="page"/>
      </w:r>
    </w:p>
    <w:p>
      <w:pPr>
        <w:widowControl/>
        <w:tabs>
          <w:tab w:val="center" w:pos="4755"/>
          <w:tab w:val="right" w:pos="9070"/>
        </w:tabs>
        <w:spacing w:before="100" w:beforeAutospacing="1" w:after="100" w:afterAutospacing="1"/>
        <w:ind w:firstLine="240" w:firstLineChars="100"/>
        <w:jc w:val="center"/>
        <w:rPr>
          <w:rFonts w:ascii="宋体" w:hAnsi="宋体"/>
          <w:color w:val="auto"/>
          <w:szCs w:val="21"/>
        </w:rPr>
      </w:pPr>
      <w:r>
        <w:rPr>
          <w:rFonts w:hint="eastAsia" w:ascii="宋体" w:hAnsi="宋体"/>
          <w:color w:val="auto"/>
          <w:szCs w:val="21"/>
        </w:rPr>
        <w:t>投标报价封面</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noWrap w:val="0"/>
            <w:vAlign w:val="top"/>
          </w:tcPr>
          <w:p>
            <w:pPr>
              <w:widowControl/>
              <w:tabs>
                <w:tab w:val="center" w:pos="4755"/>
                <w:tab w:val="right" w:pos="9070"/>
              </w:tabs>
              <w:spacing w:before="100" w:beforeAutospacing="1" w:after="100" w:afterAutospacing="1"/>
              <w:rPr>
                <w:rFonts w:hAnsi="宋体"/>
                <w:color w:val="auto"/>
                <w:szCs w:val="28"/>
              </w:rPr>
            </w:pPr>
          </w:p>
          <w:p>
            <w:pPr>
              <w:pStyle w:val="2"/>
              <w:rPr>
                <w:color w:val="auto"/>
              </w:rPr>
            </w:pPr>
          </w:p>
          <w:p>
            <w:pPr>
              <w:rPr>
                <w:color w:val="auto"/>
              </w:rPr>
            </w:pPr>
          </w:p>
          <w:p>
            <w:pPr>
              <w:pStyle w:val="2"/>
              <w:rPr>
                <w:color w:val="auto"/>
              </w:rPr>
            </w:pPr>
          </w:p>
          <w:p>
            <w:pPr>
              <w:jc w:val="center"/>
              <w:rPr>
                <w:color w:val="auto"/>
              </w:rPr>
            </w:pPr>
            <w:r>
              <w:rPr>
                <w:color w:val="auto"/>
                <w:sz w:val="28"/>
                <w:szCs w:val="28"/>
                <w:u w:val="single"/>
              </w:rPr>
              <w:t xml:space="preserve">                                     </w:t>
            </w:r>
            <w:r>
              <w:rPr>
                <w:rFonts w:hint="eastAsia"/>
                <w:color w:val="auto"/>
                <w:sz w:val="28"/>
                <w:szCs w:val="28"/>
              </w:rPr>
              <w:t>工程</w:t>
            </w:r>
          </w:p>
          <w:p>
            <w:pPr>
              <w:pStyle w:val="2"/>
              <w:jc w:val="center"/>
              <w:rPr>
                <w:color w:val="auto"/>
              </w:rPr>
            </w:pPr>
          </w:p>
          <w:p>
            <w:pPr>
              <w:rPr>
                <w:color w:val="auto"/>
              </w:rPr>
            </w:pPr>
          </w:p>
          <w:p>
            <w:pPr>
              <w:pStyle w:val="2"/>
              <w:jc w:val="center"/>
              <w:rPr>
                <w:rFonts w:ascii="宋体" w:hAnsi="宋体" w:eastAsia="宋体"/>
                <w:b/>
                <w:bCs/>
                <w:color w:val="auto"/>
                <w:sz w:val="40"/>
                <w:szCs w:val="40"/>
              </w:rPr>
            </w:pPr>
            <w:r>
              <w:rPr>
                <w:rFonts w:hint="eastAsia" w:ascii="宋体" w:hAnsi="宋体" w:eastAsia="宋体"/>
                <w:b/>
                <w:bCs/>
                <w:color w:val="auto"/>
                <w:sz w:val="40"/>
                <w:szCs w:val="40"/>
              </w:rPr>
              <w:t>投</w:t>
            </w:r>
            <w:r>
              <w:rPr>
                <w:rFonts w:ascii="宋体" w:hAnsi="宋体" w:eastAsia="宋体"/>
                <w:b/>
                <w:bCs/>
                <w:color w:val="auto"/>
                <w:sz w:val="40"/>
                <w:szCs w:val="40"/>
              </w:rPr>
              <w:t xml:space="preserve"> </w:t>
            </w:r>
            <w:r>
              <w:rPr>
                <w:rFonts w:hint="eastAsia" w:ascii="宋体" w:hAnsi="宋体" w:eastAsia="宋体"/>
                <w:b/>
                <w:bCs/>
                <w:color w:val="auto"/>
                <w:sz w:val="40"/>
                <w:szCs w:val="40"/>
              </w:rPr>
              <w:t>标</w:t>
            </w:r>
            <w:r>
              <w:rPr>
                <w:rFonts w:ascii="宋体" w:hAnsi="宋体" w:eastAsia="宋体"/>
                <w:b/>
                <w:bCs/>
                <w:color w:val="auto"/>
                <w:sz w:val="40"/>
                <w:szCs w:val="40"/>
              </w:rPr>
              <w:t xml:space="preserve"> </w:t>
            </w:r>
            <w:r>
              <w:rPr>
                <w:rFonts w:hint="eastAsia" w:ascii="宋体" w:hAnsi="宋体" w:eastAsia="宋体"/>
                <w:b/>
                <w:bCs/>
                <w:color w:val="auto"/>
                <w:sz w:val="40"/>
                <w:szCs w:val="40"/>
              </w:rPr>
              <w:t>报</w:t>
            </w:r>
            <w:r>
              <w:rPr>
                <w:rFonts w:ascii="宋体" w:hAnsi="宋体" w:eastAsia="宋体"/>
                <w:b/>
                <w:bCs/>
                <w:color w:val="auto"/>
                <w:sz w:val="40"/>
                <w:szCs w:val="40"/>
              </w:rPr>
              <w:t xml:space="preserve"> </w:t>
            </w:r>
            <w:r>
              <w:rPr>
                <w:rFonts w:hint="eastAsia" w:ascii="宋体" w:hAnsi="宋体" w:eastAsia="宋体"/>
                <w:b/>
                <w:bCs/>
                <w:color w:val="auto"/>
                <w:sz w:val="40"/>
                <w:szCs w:val="40"/>
              </w:rPr>
              <w:t>价</w:t>
            </w:r>
          </w:p>
          <w:p>
            <w:pPr>
              <w:rPr>
                <w:color w:val="auto"/>
              </w:rPr>
            </w:pPr>
          </w:p>
          <w:p>
            <w:pPr>
              <w:pStyle w:val="2"/>
              <w:rPr>
                <w:color w:val="auto"/>
              </w:rPr>
            </w:pPr>
          </w:p>
          <w:p>
            <w:pPr>
              <w:rPr>
                <w:color w:val="auto"/>
              </w:rPr>
            </w:pPr>
          </w:p>
          <w:p>
            <w:pPr>
              <w:pStyle w:val="2"/>
              <w:jc w:val="center"/>
              <w:rPr>
                <w:color w:val="auto"/>
              </w:rPr>
            </w:pPr>
          </w:p>
          <w:p>
            <w:pPr>
              <w:pStyle w:val="2"/>
              <w:jc w:val="center"/>
              <w:rPr>
                <w:rFonts w:ascii="宋体" w:hAnsi="宋体" w:eastAsia="宋体"/>
                <w:color w:val="auto"/>
              </w:rPr>
            </w:pPr>
            <w:r>
              <w:rPr>
                <w:rFonts w:hint="eastAsia" w:ascii="宋体" w:hAnsi="宋体"/>
                <w:color w:val="auto"/>
              </w:rPr>
              <w:t>投</w:t>
            </w:r>
            <w:r>
              <w:rPr>
                <w:rFonts w:ascii="宋体" w:hAnsi="宋体"/>
                <w:color w:val="auto"/>
              </w:rPr>
              <w:t xml:space="preserve">  </w:t>
            </w:r>
            <w:r>
              <w:rPr>
                <w:rFonts w:hint="eastAsia" w:ascii="宋体" w:hAnsi="宋体"/>
                <w:color w:val="auto"/>
              </w:rPr>
              <w:t>标</w:t>
            </w:r>
            <w:r>
              <w:rPr>
                <w:rFonts w:ascii="宋体" w:hAnsi="宋体"/>
                <w:color w:val="auto"/>
              </w:rPr>
              <w:t xml:space="preserve">  </w:t>
            </w:r>
            <w:r>
              <w:rPr>
                <w:rFonts w:hint="eastAsia" w:ascii="宋体" w:hAnsi="宋体"/>
                <w:color w:val="auto"/>
              </w:rPr>
              <w:t>人：</w:t>
            </w:r>
            <w:r>
              <w:rPr>
                <w:rFonts w:ascii="宋体" w:hAnsi="宋体"/>
                <w:color w:val="auto"/>
                <w:u w:val="single"/>
              </w:rPr>
              <w:t xml:space="preserve">                          </w:t>
            </w:r>
            <w:r>
              <w:rPr>
                <w:rFonts w:hint="eastAsia" w:ascii="宋体" w:hAnsi="宋体" w:eastAsia="宋体"/>
                <w:color w:val="auto"/>
              </w:rPr>
              <w:t>（单位盖章）</w:t>
            </w:r>
          </w:p>
          <w:p>
            <w:pPr>
              <w:ind w:firstLine="1800" w:firstLineChars="750"/>
              <w:rPr>
                <w:rFonts w:ascii="宋体" w:hAnsi="宋体"/>
                <w:color w:val="auto"/>
              </w:rPr>
            </w:pPr>
          </w:p>
          <w:p>
            <w:pPr>
              <w:jc w:val="center"/>
              <w:rPr>
                <w:rFonts w:ascii="宋体" w:hAnsi="宋体"/>
                <w:color w:val="auto"/>
              </w:rPr>
            </w:pPr>
          </w:p>
          <w:p>
            <w:pPr>
              <w:pStyle w:val="2"/>
              <w:jc w:val="center"/>
              <w:rPr>
                <w:rFonts w:ascii="宋体" w:hAnsi="宋体" w:eastAsia="宋体"/>
                <w:color w:val="auto"/>
              </w:rPr>
            </w:pPr>
          </w:p>
          <w:p>
            <w:pPr>
              <w:pStyle w:val="2"/>
              <w:jc w:val="center"/>
              <w:rPr>
                <w:rFonts w:ascii="宋体" w:hAnsi="宋体" w:eastAsia="宋体"/>
                <w:color w:val="auto"/>
              </w:rPr>
            </w:pPr>
          </w:p>
          <w:p>
            <w:pPr>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jc w:val="center"/>
              <w:rPr>
                <w:rFonts w:ascii="宋体" w:hAnsi="宋体" w:eastAsia="宋体"/>
                <w:color w:val="auto"/>
              </w:rPr>
            </w:pPr>
            <w:r>
              <w:rPr>
                <w:rFonts w:hint="eastAsia" w:ascii="宋体" w:hAnsi="宋体" w:eastAsia="宋体"/>
                <w:color w:val="auto"/>
              </w:rPr>
              <w:t>年</w:t>
            </w:r>
            <w:r>
              <w:rPr>
                <w:rFonts w:ascii="宋体" w:hAnsi="宋体" w:eastAsia="宋体"/>
                <w:color w:val="auto"/>
              </w:rPr>
              <w:t xml:space="preserve">     </w:t>
            </w:r>
            <w:r>
              <w:rPr>
                <w:rFonts w:hint="eastAsia" w:ascii="宋体" w:hAnsi="宋体" w:eastAsia="宋体"/>
                <w:color w:val="auto"/>
              </w:rPr>
              <w:t>月</w:t>
            </w:r>
            <w:r>
              <w:rPr>
                <w:rFonts w:ascii="宋体" w:hAnsi="宋体" w:eastAsia="宋体"/>
                <w:color w:val="auto"/>
              </w:rPr>
              <w:t xml:space="preserve">     </w:t>
            </w:r>
            <w:r>
              <w:rPr>
                <w:rFonts w:hint="eastAsia" w:ascii="宋体" w:hAnsi="宋体" w:eastAsia="宋体"/>
                <w:color w:val="auto"/>
              </w:rPr>
              <w:t>日</w:t>
            </w:r>
          </w:p>
          <w:p>
            <w:pPr>
              <w:pStyle w:val="2"/>
              <w:rPr>
                <w:color w:val="auto"/>
              </w:rPr>
            </w:pPr>
          </w:p>
          <w:p>
            <w:pPr>
              <w:rPr>
                <w:color w:val="auto"/>
              </w:rPr>
            </w:pPr>
          </w:p>
          <w:p>
            <w:pPr>
              <w:pStyle w:val="2"/>
              <w:rPr>
                <w:color w:val="auto"/>
              </w:rPr>
            </w:pPr>
          </w:p>
          <w:p>
            <w:pPr>
              <w:rPr>
                <w:color w:val="auto"/>
              </w:rPr>
            </w:pPr>
          </w:p>
        </w:tc>
      </w:tr>
    </w:tbl>
    <w:p>
      <w:pPr>
        <w:pStyle w:val="2"/>
        <w:adjustRightInd w:val="0"/>
        <w:snapToGrid w:val="0"/>
        <w:spacing w:after="0" w:line="360" w:lineRule="auto"/>
        <w:ind w:firstLine="440" w:firstLineChars="200"/>
        <w:rPr>
          <w:rFonts w:ascii="宋体" w:hAnsi="宋体"/>
          <w:color w:val="auto"/>
        </w:rPr>
      </w:pPr>
      <w:r>
        <w:rPr>
          <w:color w:val="auto"/>
        </w:rPr>
        <w:br w:type="page"/>
      </w:r>
    </w:p>
    <w:p>
      <w:pPr>
        <w:widowControl/>
        <w:tabs>
          <w:tab w:val="center" w:pos="4755"/>
          <w:tab w:val="right" w:pos="9070"/>
        </w:tabs>
        <w:spacing w:before="100" w:beforeAutospacing="1" w:after="100" w:afterAutospacing="1"/>
        <w:ind w:firstLine="240" w:firstLineChars="100"/>
        <w:jc w:val="center"/>
        <w:rPr>
          <w:rFonts w:ascii="宋体" w:hAnsi="宋体"/>
          <w:color w:val="auto"/>
          <w:szCs w:val="21"/>
        </w:rPr>
      </w:pPr>
      <w:r>
        <w:rPr>
          <w:rFonts w:hint="eastAsia" w:ascii="宋体" w:hAnsi="宋体"/>
          <w:color w:val="auto"/>
          <w:szCs w:val="21"/>
        </w:rPr>
        <w:t>投标报价扉页</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noWrap w:val="0"/>
            <w:vAlign w:val="top"/>
          </w:tcPr>
          <w:p>
            <w:pPr>
              <w:rPr>
                <w:rFonts w:hAnsi="宋体"/>
                <w:color w:val="auto"/>
                <w:szCs w:val="28"/>
              </w:rPr>
            </w:pPr>
          </w:p>
          <w:p>
            <w:pPr>
              <w:pStyle w:val="2"/>
              <w:rPr>
                <w:color w:val="auto"/>
              </w:rPr>
            </w:pPr>
          </w:p>
          <w:p>
            <w:pPr>
              <w:pStyle w:val="2"/>
              <w:rPr>
                <w:color w:val="auto"/>
              </w:rPr>
            </w:pPr>
          </w:p>
          <w:p>
            <w:pPr>
              <w:rPr>
                <w:color w:val="auto"/>
              </w:rPr>
            </w:pPr>
          </w:p>
          <w:p>
            <w:pPr>
              <w:pStyle w:val="2"/>
              <w:jc w:val="center"/>
              <w:rPr>
                <w:rFonts w:ascii="宋体" w:hAnsi="宋体" w:eastAsia="宋体"/>
                <w:b/>
                <w:bCs/>
                <w:color w:val="auto"/>
                <w:sz w:val="40"/>
                <w:szCs w:val="40"/>
              </w:rPr>
            </w:pPr>
            <w:r>
              <w:rPr>
                <w:rFonts w:hint="eastAsia" w:ascii="宋体" w:hAnsi="宋体" w:eastAsia="宋体"/>
                <w:b/>
                <w:bCs/>
                <w:color w:val="auto"/>
                <w:sz w:val="40"/>
                <w:szCs w:val="40"/>
              </w:rPr>
              <w:t>投</w:t>
            </w:r>
            <w:r>
              <w:rPr>
                <w:rFonts w:ascii="宋体" w:hAnsi="宋体" w:eastAsia="宋体"/>
                <w:b/>
                <w:bCs/>
                <w:color w:val="auto"/>
                <w:sz w:val="40"/>
                <w:szCs w:val="40"/>
              </w:rPr>
              <w:t xml:space="preserve"> </w:t>
            </w:r>
            <w:r>
              <w:rPr>
                <w:rFonts w:hint="eastAsia" w:ascii="宋体" w:hAnsi="宋体" w:eastAsia="宋体"/>
                <w:b/>
                <w:bCs/>
                <w:color w:val="auto"/>
                <w:sz w:val="40"/>
                <w:szCs w:val="40"/>
              </w:rPr>
              <w:t>标</w:t>
            </w:r>
            <w:r>
              <w:rPr>
                <w:rFonts w:ascii="宋体" w:hAnsi="宋体" w:eastAsia="宋体"/>
                <w:b/>
                <w:bCs/>
                <w:color w:val="auto"/>
                <w:sz w:val="40"/>
                <w:szCs w:val="40"/>
              </w:rPr>
              <w:t xml:space="preserve"> </w:t>
            </w:r>
            <w:r>
              <w:rPr>
                <w:rFonts w:hint="eastAsia" w:ascii="宋体" w:hAnsi="宋体" w:eastAsia="宋体"/>
                <w:b/>
                <w:bCs/>
                <w:color w:val="auto"/>
                <w:sz w:val="40"/>
                <w:szCs w:val="40"/>
              </w:rPr>
              <w:t>报</w:t>
            </w:r>
            <w:r>
              <w:rPr>
                <w:rFonts w:ascii="宋体" w:hAnsi="宋体" w:eastAsia="宋体"/>
                <w:b/>
                <w:bCs/>
                <w:color w:val="auto"/>
                <w:sz w:val="40"/>
                <w:szCs w:val="40"/>
              </w:rPr>
              <w:t xml:space="preserve"> </w:t>
            </w:r>
            <w:r>
              <w:rPr>
                <w:rFonts w:hint="eastAsia" w:ascii="宋体" w:hAnsi="宋体" w:eastAsia="宋体"/>
                <w:b/>
                <w:bCs/>
                <w:color w:val="auto"/>
                <w:sz w:val="40"/>
                <w:szCs w:val="40"/>
              </w:rPr>
              <w:t>价</w:t>
            </w:r>
          </w:p>
          <w:p>
            <w:pPr>
              <w:pStyle w:val="2"/>
              <w:rPr>
                <w:color w:val="auto"/>
              </w:rPr>
            </w:pPr>
          </w:p>
          <w:p>
            <w:pPr>
              <w:rPr>
                <w:color w:val="auto"/>
              </w:rPr>
            </w:pPr>
          </w:p>
          <w:p>
            <w:pPr>
              <w:pStyle w:val="2"/>
              <w:jc w:val="center"/>
              <w:rPr>
                <w:color w:val="auto"/>
              </w:rPr>
            </w:pPr>
          </w:p>
          <w:p>
            <w:pPr>
              <w:ind w:firstLine="1800" w:firstLineChars="750"/>
              <w:rPr>
                <w:rFonts w:ascii="宋体" w:hAnsi="宋体"/>
                <w:color w:val="auto"/>
              </w:rPr>
            </w:pPr>
            <w:r>
              <w:rPr>
                <w:rFonts w:hint="eastAsia" w:ascii="宋体" w:hAnsi="宋体"/>
                <w:color w:val="auto"/>
              </w:rPr>
              <w:t>招</w:t>
            </w:r>
            <w:r>
              <w:rPr>
                <w:rFonts w:ascii="宋体" w:hAnsi="宋体"/>
                <w:color w:val="auto"/>
              </w:rPr>
              <w:t xml:space="preserve">   </w:t>
            </w:r>
            <w:r>
              <w:rPr>
                <w:rFonts w:hint="eastAsia" w:ascii="宋体" w:hAnsi="宋体"/>
                <w:color w:val="auto"/>
              </w:rPr>
              <w:t>标</w:t>
            </w:r>
            <w:r>
              <w:rPr>
                <w:rFonts w:ascii="宋体" w:hAnsi="宋体"/>
                <w:color w:val="auto"/>
              </w:rPr>
              <w:t xml:space="preserve">  </w:t>
            </w:r>
            <w:r>
              <w:rPr>
                <w:rFonts w:hint="eastAsia" w:ascii="宋体" w:hAnsi="宋体"/>
                <w:color w:val="auto"/>
              </w:rPr>
              <w:t>人：</w:t>
            </w:r>
            <w:r>
              <w:rPr>
                <w:rFonts w:ascii="宋体" w:hAnsi="宋体"/>
                <w:color w:val="auto"/>
                <w:u w:val="single"/>
              </w:rPr>
              <w:t xml:space="preserve">                                </w:t>
            </w:r>
          </w:p>
          <w:p>
            <w:pPr>
              <w:pStyle w:val="2"/>
              <w:jc w:val="center"/>
              <w:rPr>
                <w:rFonts w:ascii="宋体" w:hAnsi="宋体" w:eastAsia="宋体"/>
                <w:color w:val="auto"/>
              </w:rPr>
            </w:pPr>
          </w:p>
          <w:p>
            <w:pPr>
              <w:ind w:firstLine="1800" w:firstLineChars="750"/>
              <w:rPr>
                <w:rFonts w:ascii="宋体" w:hAnsi="宋体"/>
                <w:color w:val="auto"/>
              </w:rPr>
            </w:pPr>
            <w:r>
              <w:rPr>
                <w:rFonts w:hint="eastAsia" w:ascii="宋体" w:hAnsi="宋体"/>
                <w:color w:val="auto"/>
              </w:rPr>
              <w:t>工</w:t>
            </w:r>
            <w:r>
              <w:rPr>
                <w:rFonts w:ascii="宋体" w:hAnsi="宋体"/>
                <w:color w:val="auto"/>
              </w:rPr>
              <w:t xml:space="preserve"> </w:t>
            </w:r>
            <w:r>
              <w:rPr>
                <w:rFonts w:hint="eastAsia" w:ascii="宋体" w:hAnsi="宋体"/>
                <w:color w:val="auto"/>
              </w:rPr>
              <w:t>程</w:t>
            </w:r>
            <w:r>
              <w:rPr>
                <w:rFonts w:ascii="宋体" w:hAnsi="宋体"/>
                <w:color w:val="auto"/>
              </w:rPr>
              <w:t xml:space="preserve"> </w:t>
            </w:r>
            <w:r>
              <w:rPr>
                <w:rFonts w:hint="eastAsia" w:ascii="宋体" w:hAnsi="宋体"/>
                <w:color w:val="auto"/>
              </w:rPr>
              <w:t>名</w:t>
            </w:r>
            <w:r>
              <w:rPr>
                <w:rFonts w:ascii="宋体" w:hAnsi="宋体"/>
                <w:color w:val="auto"/>
              </w:rPr>
              <w:t xml:space="preserve"> </w:t>
            </w:r>
            <w:r>
              <w:rPr>
                <w:rFonts w:hint="eastAsia" w:ascii="宋体" w:hAnsi="宋体"/>
                <w:color w:val="auto"/>
              </w:rPr>
              <w:t>称：</w:t>
            </w:r>
            <w:r>
              <w:rPr>
                <w:rFonts w:ascii="宋体" w:hAnsi="宋体"/>
                <w:color w:val="auto"/>
                <w:u w:val="single"/>
              </w:rPr>
              <w:t xml:space="preserve">                                </w:t>
            </w:r>
          </w:p>
          <w:p>
            <w:pPr>
              <w:pStyle w:val="2"/>
              <w:jc w:val="center"/>
              <w:rPr>
                <w:rFonts w:ascii="宋体" w:hAnsi="宋体" w:eastAsia="宋体"/>
                <w:color w:val="auto"/>
              </w:rPr>
            </w:pPr>
          </w:p>
          <w:p>
            <w:pPr>
              <w:ind w:firstLine="1800" w:firstLineChars="750"/>
              <w:rPr>
                <w:rFonts w:ascii="宋体" w:hAnsi="宋体"/>
                <w:color w:val="auto"/>
              </w:rPr>
            </w:pPr>
            <w:r>
              <w:rPr>
                <w:rFonts w:hint="eastAsia" w:ascii="宋体" w:hAnsi="宋体"/>
                <w:color w:val="auto"/>
              </w:rPr>
              <w:t>投标总价（小写）：</w:t>
            </w:r>
            <w:r>
              <w:rPr>
                <w:rFonts w:ascii="宋体" w:hAnsi="宋体"/>
                <w:color w:val="auto"/>
                <w:u w:val="single"/>
              </w:rPr>
              <w:t xml:space="preserve">                           </w:t>
            </w:r>
          </w:p>
          <w:p>
            <w:pPr>
              <w:pStyle w:val="2"/>
              <w:jc w:val="center"/>
              <w:rPr>
                <w:rFonts w:ascii="宋体" w:hAnsi="宋体" w:eastAsia="宋体"/>
                <w:color w:val="auto"/>
              </w:rPr>
            </w:pPr>
          </w:p>
          <w:p>
            <w:pPr>
              <w:ind w:firstLine="2760" w:firstLineChars="1150"/>
              <w:rPr>
                <w:rFonts w:ascii="宋体" w:hAnsi="宋体"/>
                <w:color w:val="auto"/>
              </w:rPr>
            </w:pPr>
            <w:r>
              <w:rPr>
                <w:rFonts w:hint="eastAsia" w:ascii="宋体" w:hAnsi="宋体"/>
                <w:color w:val="auto"/>
              </w:rPr>
              <w:t>（大写）：</w:t>
            </w:r>
            <w:r>
              <w:rPr>
                <w:rFonts w:ascii="宋体" w:hAnsi="宋体"/>
                <w:color w:val="auto"/>
                <w:u w:val="single"/>
              </w:rPr>
              <w:t xml:space="preserve">                           </w:t>
            </w:r>
          </w:p>
          <w:p>
            <w:pPr>
              <w:pStyle w:val="2"/>
              <w:jc w:val="center"/>
              <w:rPr>
                <w:rFonts w:ascii="宋体" w:hAnsi="宋体" w:eastAsia="宋体"/>
                <w:color w:val="auto"/>
              </w:rPr>
            </w:pPr>
          </w:p>
          <w:p>
            <w:pPr>
              <w:ind w:firstLine="1800" w:firstLineChars="750"/>
              <w:rPr>
                <w:rFonts w:ascii="宋体" w:hAnsi="宋体"/>
                <w:color w:val="auto"/>
              </w:rPr>
            </w:pPr>
            <w:r>
              <w:rPr>
                <w:rFonts w:hint="eastAsia" w:ascii="宋体" w:hAnsi="宋体"/>
                <w:color w:val="auto"/>
              </w:rPr>
              <w:t>投</w:t>
            </w:r>
            <w:r>
              <w:rPr>
                <w:rFonts w:ascii="宋体" w:hAnsi="宋体"/>
                <w:color w:val="auto"/>
              </w:rPr>
              <w:t xml:space="preserve">  </w:t>
            </w:r>
            <w:r>
              <w:rPr>
                <w:rFonts w:hint="eastAsia" w:ascii="宋体" w:hAnsi="宋体"/>
                <w:color w:val="auto"/>
              </w:rPr>
              <w:t>标</w:t>
            </w:r>
            <w:r>
              <w:rPr>
                <w:rFonts w:ascii="宋体" w:hAnsi="宋体"/>
                <w:color w:val="auto"/>
              </w:rPr>
              <w:t xml:space="preserve">  </w:t>
            </w:r>
            <w:r>
              <w:rPr>
                <w:rFonts w:hint="eastAsia" w:ascii="宋体" w:hAnsi="宋体"/>
                <w:color w:val="auto"/>
              </w:rPr>
              <w:t>人：</w:t>
            </w:r>
            <w:r>
              <w:rPr>
                <w:rFonts w:ascii="宋体" w:hAnsi="宋体"/>
                <w:color w:val="auto"/>
                <w:u w:val="single"/>
              </w:rPr>
              <w:t xml:space="preserve">                      </w:t>
            </w:r>
            <w:r>
              <w:rPr>
                <w:rFonts w:hint="eastAsia" w:ascii="宋体" w:hAnsi="宋体"/>
                <w:color w:val="auto"/>
              </w:rPr>
              <w:t>（单位盖章）</w:t>
            </w:r>
          </w:p>
          <w:p>
            <w:pPr>
              <w:pStyle w:val="2"/>
              <w:jc w:val="center"/>
              <w:rPr>
                <w:rFonts w:ascii="宋体" w:hAnsi="宋体" w:eastAsia="宋体"/>
                <w:color w:val="auto"/>
              </w:rPr>
            </w:pPr>
            <w:r>
              <w:rPr>
                <w:rFonts w:ascii="宋体" w:hAnsi="宋体" w:eastAsia="宋体"/>
                <w:color w:val="auto"/>
              </w:rPr>
              <w:t xml:space="preserve">            </w:t>
            </w:r>
          </w:p>
          <w:p>
            <w:pPr>
              <w:ind w:firstLine="1800" w:firstLineChars="750"/>
              <w:rPr>
                <w:rFonts w:ascii="宋体" w:hAnsi="宋体"/>
                <w:color w:val="auto"/>
              </w:rPr>
            </w:pPr>
            <w:r>
              <w:rPr>
                <w:rFonts w:hint="eastAsia" w:ascii="宋体" w:hAnsi="宋体"/>
                <w:color w:val="auto"/>
              </w:rPr>
              <w:t>法定代表人</w:t>
            </w:r>
          </w:p>
          <w:p>
            <w:pPr>
              <w:pStyle w:val="2"/>
              <w:jc w:val="center"/>
              <w:rPr>
                <w:rFonts w:ascii="宋体" w:hAnsi="宋体" w:eastAsia="宋体"/>
                <w:color w:val="auto"/>
              </w:rPr>
            </w:pPr>
            <w:r>
              <w:rPr>
                <w:rFonts w:hint="eastAsia" w:ascii="宋体" w:hAnsi="宋体"/>
                <w:color w:val="auto"/>
              </w:rPr>
              <w:t>或其授权人：</w:t>
            </w:r>
            <w:r>
              <w:rPr>
                <w:rFonts w:ascii="宋体" w:hAnsi="宋体"/>
                <w:color w:val="auto"/>
                <w:u w:val="single"/>
              </w:rPr>
              <w:t xml:space="preserve">                         </w:t>
            </w:r>
            <w:r>
              <w:rPr>
                <w:rFonts w:hint="eastAsia" w:ascii="宋体" w:hAnsi="宋体" w:eastAsia="宋体"/>
                <w:color w:val="auto"/>
              </w:rPr>
              <w:t>（签字或盖章）</w:t>
            </w:r>
          </w:p>
          <w:p>
            <w:pPr>
              <w:ind w:firstLine="1800" w:firstLineChars="750"/>
              <w:rPr>
                <w:rFonts w:ascii="宋体" w:hAnsi="宋体"/>
                <w:color w:val="auto"/>
              </w:rPr>
            </w:pPr>
            <w:r>
              <w:rPr>
                <w:rFonts w:ascii="宋体" w:hAnsi="宋体"/>
                <w:color w:val="auto"/>
              </w:rPr>
              <w:t xml:space="preserve">             </w:t>
            </w:r>
          </w:p>
          <w:p>
            <w:pPr>
              <w:ind w:firstLine="1800" w:firstLineChars="750"/>
              <w:rPr>
                <w:rFonts w:ascii="宋体" w:hAnsi="宋体"/>
                <w:color w:val="auto"/>
              </w:rPr>
            </w:pPr>
            <w:r>
              <w:rPr>
                <w:rFonts w:hint="eastAsia" w:ascii="宋体" w:hAnsi="宋体"/>
                <w:color w:val="auto"/>
              </w:rPr>
              <w:t>编</w:t>
            </w:r>
            <w:r>
              <w:rPr>
                <w:rFonts w:ascii="宋体" w:hAnsi="宋体"/>
                <w:color w:val="auto"/>
              </w:rPr>
              <w:t xml:space="preserve">  </w:t>
            </w:r>
            <w:r>
              <w:rPr>
                <w:rFonts w:hint="eastAsia" w:ascii="宋体" w:hAnsi="宋体"/>
                <w:color w:val="auto"/>
              </w:rPr>
              <w:t>制</w:t>
            </w:r>
            <w:r>
              <w:rPr>
                <w:rFonts w:ascii="宋体" w:hAnsi="宋体"/>
                <w:color w:val="auto"/>
              </w:rPr>
              <w:t xml:space="preserve">  </w:t>
            </w:r>
            <w:r>
              <w:rPr>
                <w:rFonts w:hint="eastAsia" w:ascii="宋体" w:hAnsi="宋体"/>
                <w:color w:val="auto"/>
              </w:rPr>
              <w:t>人：</w:t>
            </w:r>
            <w:r>
              <w:rPr>
                <w:rFonts w:ascii="宋体" w:hAnsi="宋体"/>
                <w:color w:val="auto"/>
                <w:u w:val="single"/>
              </w:rPr>
              <w:t xml:space="preserve">                                </w:t>
            </w:r>
          </w:p>
          <w:p>
            <w:pPr>
              <w:pStyle w:val="2"/>
              <w:jc w:val="center"/>
              <w:rPr>
                <w:rFonts w:ascii="宋体" w:hAnsi="宋体" w:eastAsia="宋体"/>
                <w:color w:val="auto"/>
              </w:rPr>
            </w:pPr>
            <w:r>
              <w:rPr>
                <w:rFonts w:ascii="宋体" w:hAnsi="宋体" w:eastAsia="宋体"/>
                <w:color w:val="auto"/>
              </w:rPr>
              <w:t xml:space="preserve">            </w:t>
            </w:r>
          </w:p>
          <w:p>
            <w:pPr>
              <w:pStyle w:val="2"/>
              <w:rPr>
                <w:color w:val="auto"/>
              </w:rPr>
            </w:pPr>
          </w:p>
          <w:p>
            <w:pPr>
              <w:rPr>
                <w:color w:val="auto"/>
              </w:rPr>
            </w:pPr>
          </w:p>
          <w:p>
            <w:pPr>
              <w:pStyle w:val="2"/>
              <w:jc w:val="center"/>
              <w:rPr>
                <w:rFonts w:ascii="宋体" w:hAnsi="宋体" w:eastAsia="宋体"/>
                <w:color w:val="auto"/>
              </w:rPr>
            </w:pPr>
            <w:r>
              <w:rPr>
                <w:rFonts w:hint="eastAsia" w:ascii="宋体" w:hAnsi="宋体" w:eastAsia="宋体"/>
                <w:color w:val="auto"/>
              </w:rPr>
              <w:t>年</w:t>
            </w:r>
            <w:r>
              <w:rPr>
                <w:rFonts w:ascii="宋体" w:hAnsi="宋体" w:eastAsia="宋体"/>
                <w:color w:val="auto"/>
              </w:rPr>
              <w:t xml:space="preserve">     </w:t>
            </w:r>
            <w:r>
              <w:rPr>
                <w:rFonts w:hint="eastAsia" w:ascii="宋体" w:hAnsi="宋体" w:eastAsia="宋体"/>
                <w:color w:val="auto"/>
              </w:rPr>
              <w:t>月</w:t>
            </w:r>
            <w:r>
              <w:rPr>
                <w:rFonts w:ascii="宋体" w:hAnsi="宋体" w:eastAsia="宋体"/>
                <w:color w:val="auto"/>
              </w:rPr>
              <w:t xml:space="preserve">     </w:t>
            </w:r>
            <w:r>
              <w:rPr>
                <w:rFonts w:hint="eastAsia" w:ascii="宋体" w:hAnsi="宋体" w:eastAsia="宋体"/>
                <w:color w:val="auto"/>
              </w:rPr>
              <w:t>日</w:t>
            </w:r>
          </w:p>
          <w:p>
            <w:pPr>
              <w:pStyle w:val="2"/>
              <w:rPr>
                <w:color w:val="auto"/>
              </w:rPr>
            </w:pPr>
          </w:p>
          <w:p>
            <w:pPr>
              <w:rPr>
                <w:color w:val="auto"/>
              </w:rPr>
            </w:pPr>
          </w:p>
          <w:p>
            <w:pPr>
              <w:rPr>
                <w:color w:val="auto"/>
              </w:rPr>
            </w:pPr>
          </w:p>
        </w:tc>
      </w:tr>
    </w:tbl>
    <w:p>
      <w:pPr>
        <w:widowControl/>
        <w:spacing w:before="100" w:beforeAutospacing="1" w:after="100" w:afterAutospacing="1" w:line="360" w:lineRule="auto"/>
        <w:rPr>
          <w:rFonts w:ascii="宋体" w:hAnsi="宋体"/>
          <w:color w:val="auto"/>
          <w:sz w:val="28"/>
          <w:szCs w:val="32"/>
        </w:rPr>
      </w:pPr>
      <w:r>
        <w:rPr>
          <w:color w:val="auto"/>
        </w:rPr>
        <w:br w:type="page"/>
      </w:r>
    </w:p>
    <w:p>
      <w:pPr>
        <w:pStyle w:val="2"/>
        <w:jc w:val="center"/>
        <w:rPr>
          <w:rFonts w:ascii="宋体" w:hAnsi="宋体" w:eastAsia="宋体"/>
          <w:color w:val="auto"/>
          <w:sz w:val="24"/>
          <w:szCs w:val="24"/>
        </w:rPr>
      </w:pPr>
      <w:r>
        <w:rPr>
          <w:rFonts w:hint="eastAsia" w:ascii="宋体" w:hAnsi="宋体" w:eastAsia="宋体"/>
          <w:color w:val="auto"/>
          <w:sz w:val="24"/>
          <w:szCs w:val="24"/>
        </w:rPr>
        <w:t>编制说明</w:t>
      </w:r>
    </w:p>
    <w:p>
      <w:pPr>
        <w:widowControl/>
        <w:tabs>
          <w:tab w:val="center" w:pos="4755"/>
          <w:tab w:val="right" w:pos="9070"/>
        </w:tabs>
        <w:snapToGrid w:val="0"/>
        <w:rPr>
          <w:rFonts w:ascii="宋体" w:hAnsi="宋体"/>
          <w:color w:val="auto"/>
        </w:rPr>
      </w:pPr>
      <w:r>
        <w:rPr>
          <w:rFonts w:hint="eastAsia" w:ascii="宋体" w:hAnsi="宋体"/>
          <w:color w:val="auto"/>
        </w:rPr>
        <w:t>工程名称：</w:t>
      </w:r>
      <w:r>
        <w:rPr>
          <w:rFonts w:ascii="宋体" w:hAnsi="宋体"/>
          <w:color w:val="auto"/>
        </w:rPr>
        <w:t xml:space="preserve">                                                 </w:t>
      </w:r>
      <w:r>
        <w:rPr>
          <w:rFonts w:hint="eastAsia" w:ascii="宋体" w:hAnsi="宋体"/>
          <w:color w:val="auto"/>
        </w:rPr>
        <w:t>第</w:t>
      </w:r>
      <w:r>
        <w:rPr>
          <w:rFonts w:ascii="宋体" w:hAnsi="宋体"/>
          <w:color w:val="auto"/>
        </w:rPr>
        <w:t xml:space="preserve">  </w:t>
      </w:r>
      <w:r>
        <w:rPr>
          <w:rFonts w:hint="eastAsia" w:ascii="宋体" w:hAnsi="宋体"/>
          <w:color w:val="auto"/>
        </w:rPr>
        <w:t>页</w:t>
      </w:r>
      <w:r>
        <w:rPr>
          <w:rFonts w:ascii="宋体" w:hAnsi="宋体"/>
          <w:color w:val="auto"/>
        </w:rPr>
        <w:t xml:space="preserve"> </w:t>
      </w:r>
      <w:r>
        <w:rPr>
          <w:rFonts w:hint="eastAsia" w:ascii="宋体" w:hAnsi="宋体"/>
          <w:color w:val="auto"/>
        </w:rPr>
        <w:t>共</w:t>
      </w:r>
      <w:r>
        <w:rPr>
          <w:rFonts w:ascii="宋体" w:hAnsi="宋体"/>
          <w:color w:val="auto"/>
        </w:rPr>
        <w:t xml:space="preserve"> </w:t>
      </w:r>
      <w:r>
        <w:rPr>
          <w:rFonts w:hint="eastAsia" w:ascii="宋体" w:hAnsi="宋体"/>
          <w:color w:val="auto"/>
        </w:rPr>
        <w:t>页</w:t>
      </w:r>
    </w:p>
    <w:tbl>
      <w:tblPr>
        <w:tblStyle w:val="40"/>
        <w:tblW w:w="0" w:type="auto"/>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8" w:hRule="atLeast"/>
        </w:trPr>
        <w:tc>
          <w:tcPr>
            <w:tcW w:w="9286" w:type="dxa"/>
            <w:noWrap w:val="0"/>
            <w:vAlign w:val="top"/>
          </w:tcPr>
          <w:p>
            <w:pPr>
              <w:widowControl/>
              <w:tabs>
                <w:tab w:val="center" w:pos="4755"/>
                <w:tab w:val="right" w:pos="9070"/>
              </w:tabs>
              <w:spacing w:before="100" w:beforeAutospacing="1" w:line="300" w:lineRule="auto"/>
              <w:ind w:firstLine="480" w:firstLineChars="200"/>
              <w:rPr>
                <w:rFonts w:ascii="宋体" w:hAnsi="宋体" w:eastAsia="宋体"/>
                <w:color w:val="auto"/>
                <w:szCs w:val="28"/>
              </w:rPr>
            </w:pPr>
          </w:p>
          <w:p>
            <w:pPr>
              <w:pStyle w:val="2"/>
              <w:rPr>
                <w:color w:val="auto"/>
              </w:rPr>
            </w:pPr>
          </w:p>
          <w:p>
            <w:pPr>
              <w:pStyle w:val="2"/>
              <w:spacing w:after="0" w:line="300" w:lineRule="auto"/>
              <w:rPr>
                <w:rFonts w:ascii="宋体" w:hAnsi="宋体" w:eastAsia="宋体"/>
                <w:color w:val="auto"/>
              </w:rPr>
            </w:pPr>
          </w:p>
          <w:p>
            <w:pPr>
              <w:pStyle w:val="2"/>
              <w:rPr>
                <w:color w:val="auto"/>
              </w:rPr>
            </w:pPr>
          </w:p>
          <w:p>
            <w:pPr>
              <w:rPr>
                <w:color w:val="auto"/>
              </w:rPr>
            </w:pPr>
          </w:p>
        </w:tc>
      </w:tr>
    </w:tbl>
    <w:p>
      <w:pPr>
        <w:jc w:val="center"/>
        <w:rPr>
          <w:rFonts w:ascii="宋体" w:hAnsi="宋体" w:eastAsia="宋体"/>
          <w:color w:val="auto"/>
        </w:rPr>
      </w:pPr>
    </w:p>
    <w:p>
      <w:pPr>
        <w:pStyle w:val="2"/>
        <w:rPr>
          <w:color w:val="auto"/>
        </w:rPr>
      </w:pPr>
      <w:r>
        <w:rPr>
          <w:color w:val="auto"/>
        </w:rPr>
        <w:br w:type="page"/>
      </w:r>
    </w:p>
    <w:p>
      <w:pPr>
        <w:jc w:val="center"/>
        <w:rPr>
          <w:rFonts w:ascii="宋体" w:hAnsi="宋体" w:eastAsia="宋体"/>
          <w:color w:val="auto"/>
        </w:rPr>
      </w:pPr>
      <w:r>
        <w:rPr>
          <w:rFonts w:hint="eastAsia" w:ascii="宋体" w:hAnsi="宋体" w:eastAsia="宋体"/>
          <w:color w:val="auto"/>
        </w:rPr>
        <w:t>投标报价费用表</w:t>
      </w:r>
    </w:p>
    <w:p>
      <w:pPr>
        <w:pStyle w:val="2"/>
        <w:rPr>
          <w:color w:val="auto"/>
        </w:rPr>
      </w:pPr>
    </w:p>
    <w:p>
      <w:pPr>
        <w:ind w:firstLine="410" w:firstLineChars="171"/>
        <w:rPr>
          <w:rFonts w:ascii="宋体" w:hAnsi="宋体" w:eastAsia="宋体" w:cs="宋体"/>
          <w:color w:val="auto"/>
          <w:szCs w:val="21"/>
        </w:rPr>
      </w:pPr>
      <w:r>
        <w:rPr>
          <w:rFonts w:hint="eastAsia" w:ascii="宋体" w:hAnsi="宋体" w:eastAsia="宋体" w:cs="宋体"/>
          <w:color w:val="auto"/>
          <w:szCs w:val="21"/>
        </w:rPr>
        <w:t>工程名称：</w:t>
      </w:r>
      <w:r>
        <w:rPr>
          <w:rFonts w:ascii="宋体" w:hAnsi="宋体" w:eastAsia="宋体" w:cs="宋体"/>
          <w:color w:val="auto"/>
          <w:szCs w:val="21"/>
        </w:rPr>
        <w:t xml:space="preserve">                                            </w:t>
      </w:r>
      <w:r>
        <w:rPr>
          <w:rFonts w:hint="eastAsia" w:ascii="宋体" w:hAnsi="宋体" w:eastAsia="宋体" w:cs="宋体"/>
          <w:color w:val="auto"/>
          <w:szCs w:val="21"/>
        </w:rPr>
        <w:t>第</w:t>
      </w:r>
      <w:r>
        <w:rPr>
          <w:rFonts w:ascii="宋体" w:hAnsi="宋体" w:eastAsia="宋体" w:cs="宋体"/>
          <w:color w:val="auto"/>
          <w:szCs w:val="21"/>
        </w:rPr>
        <w:t xml:space="preserve">  </w:t>
      </w:r>
      <w:r>
        <w:rPr>
          <w:rFonts w:hint="eastAsia" w:ascii="宋体" w:hAnsi="宋体" w:eastAsia="宋体" w:cs="宋体"/>
          <w:color w:val="auto"/>
          <w:szCs w:val="21"/>
        </w:rPr>
        <w:t>页</w:t>
      </w:r>
      <w:r>
        <w:rPr>
          <w:rFonts w:ascii="宋体" w:hAnsi="宋体" w:eastAsia="宋体" w:cs="宋体"/>
          <w:color w:val="auto"/>
          <w:szCs w:val="21"/>
        </w:rPr>
        <w:t xml:space="preserve">  </w:t>
      </w:r>
      <w:r>
        <w:rPr>
          <w:rFonts w:hint="eastAsia" w:ascii="宋体" w:hAnsi="宋体" w:eastAsia="宋体" w:cs="宋体"/>
          <w:color w:val="auto"/>
          <w:szCs w:val="21"/>
        </w:rPr>
        <w:t>共</w:t>
      </w:r>
      <w:r>
        <w:rPr>
          <w:rFonts w:ascii="宋体" w:hAnsi="宋体" w:eastAsia="宋体" w:cs="宋体"/>
          <w:color w:val="auto"/>
          <w:szCs w:val="21"/>
        </w:rPr>
        <w:t xml:space="preserve">  </w:t>
      </w:r>
      <w:r>
        <w:rPr>
          <w:rFonts w:hint="eastAsia" w:ascii="宋体" w:hAnsi="宋体" w:eastAsia="宋体" w:cs="宋体"/>
          <w:color w:val="auto"/>
          <w:szCs w:val="21"/>
        </w:rPr>
        <w:t>页</w:t>
      </w:r>
    </w:p>
    <w:tbl>
      <w:tblPr>
        <w:tblStyle w:val="40"/>
        <w:tblW w:w="88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800"/>
        <w:gridCol w:w="1080"/>
        <w:gridCol w:w="900"/>
        <w:gridCol w:w="1440"/>
        <w:gridCol w:w="90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r>
              <w:rPr>
                <w:rFonts w:hint="eastAsia" w:ascii="宋体" w:hAnsi="宋体" w:cs="宋体"/>
                <w:color w:val="auto"/>
              </w:rPr>
              <w:t>序号</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r>
              <w:rPr>
                <w:rFonts w:hint="eastAsia" w:ascii="宋体" w:hAnsi="宋体" w:cs="宋体"/>
                <w:color w:val="auto"/>
              </w:rPr>
              <w:t>工程名称</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r>
              <w:rPr>
                <w:rFonts w:hint="eastAsia" w:ascii="宋体" w:hAnsi="宋体" w:cs="宋体"/>
                <w:color w:val="auto"/>
              </w:rPr>
              <w:t>金额（元）</w:t>
            </w:r>
          </w:p>
        </w:tc>
        <w:tc>
          <w:tcPr>
            <w:tcW w:w="414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r>
              <w:rPr>
                <w:rFonts w:hint="eastAsia" w:ascii="宋体" w:hAnsi="宋体" w:cs="宋体"/>
                <w:color w:val="auto"/>
              </w:rPr>
              <w:t>其中：（元）</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r>
              <w:rPr>
                <w:rFonts w:hint="eastAsia" w:ascii="宋体" w:hAnsi="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27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rPr>
            </w:pP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r>
              <w:rPr>
                <w:rFonts w:hint="eastAsia" w:ascii="宋体" w:hAnsi="宋体" w:cs="宋体"/>
                <w:color w:val="auto"/>
              </w:rPr>
              <w:t>暂估价</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r>
              <w:rPr>
                <w:rFonts w:hint="eastAsia" w:ascii="宋体" w:hAnsi="宋体" w:cs="宋体"/>
                <w:color w:val="auto"/>
              </w:rPr>
              <w:t>安全文明</w:t>
            </w:r>
          </w:p>
          <w:p>
            <w:pPr>
              <w:jc w:val="center"/>
              <w:rPr>
                <w:rFonts w:ascii="宋体" w:hAnsi="宋体" w:cs="宋体"/>
                <w:color w:val="auto"/>
              </w:rPr>
            </w:pPr>
            <w:r>
              <w:rPr>
                <w:rFonts w:hint="eastAsia" w:ascii="宋体" w:hAnsi="宋体" w:cs="宋体"/>
                <w:color w:val="auto"/>
              </w:rPr>
              <w:t>施工基本费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r>
              <w:rPr>
                <w:rFonts w:hint="eastAsia" w:ascii="宋体" w:hAnsi="宋体" w:cs="宋体"/>
                <w:color w:val="auto"/>
              </w:rPr>
              <w:t>规费</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r>
              <w:rPr>
                <w:rFonts w:hint="eastAsia" w:ascii="宋体" w:hAnsi="宋体" w:cs="宋体"/>
                <w:color w:val="auto"/>
              </w:rPr>
              <w:t>税金</w:t>
            </w: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1" w:leftChars="-38" w:right="-113" w:rightChars="-47" w:hanging="92" w:hangingChars="38"/>
              <w:jc w:val="center"/>
              <w:rPr>
                <w:rFonts w:ascii="宋体" w:hAnsi="宋体"/>
                <w:b/>
                <w:color w:val="auto"/>
                <w:kern w:val="2"/>
              </w:rPr>
            </w:pPr>
            <w:r>
              <w:rPr>
                <w:rFonts w:ascii="宋体" w:hAnsi="宋体"/>
                <w:b/>
                <w:color w:val="auto"/>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 w:leftChars="-38" w:right="-113" w:rightChars="-47" w:hanging="92" w:hangingChars="38"/>
              <w:jc w:val="center"/>
              <w:rPr>
                <w:rFonts w:ascii="宋体" w:hAnsi="宋体"/>
                <w:b/>
                <w:color w:val="auto"/>
              </w:rPr>
            </w:pPr>
            <w:r>
              <w:rPr>
                <w:rFonts w:hint="eastAsia" w:ascii="宋体" w:hAnsi="宋体"/>
                <w:b/>
                <w:color w:val="auto"/>
              </w:rPr>
              <w:t>××单项工程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ascii="宋体" w:hAnsi="宋体"/>
                <w:color w:val="auto"/>
              </w:rPr>
              <w:t>1.1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r>
              <w:rPr>
                <w:rFonts w:hint="eastAsia" w:ascii="宋体" w:hAnsi="宋体"/>
                <w:color w:val="auto"/>
              </w:rPr>
              <w:t>××单位工程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ascii="宋体" w:hAnsi="宋体"/>
                <w:color w:val="auto"/>
              </w:rPr>
              <w:t>1.1.1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r>
              <w:rPr>
                <w:rFonts w:hint="eastAsia" w:ascii="宋体" w:hAnsi="宋体"/>
                <w:color w:val="auto"/>
              </w:rPr>
              <w:t>××专业工程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hint="eastAsia" w:ascii="宋体" w:hAnsi="宋体"/>
                <w:color w:val="auto"/>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ascii="宋体" w:hAnsi="宋体"/>
                <w:color w:val="auto"/>
              </w:rPr>
              <w:t>1.2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r>
              <w:rPr>
                <w:rFonts w:hint="eastAsia" w:ascii="宋体" w:hAnsi="宋体"/>
                <w:color w:val="auto"/>
              </w:rPr>
              <w:t>××单位工程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ascii="宋体" w:hAnsi="宋体"/>
                <w:color w:val="auto"/>
              </w:rPr>
              <w:t>1.2.1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r>
              <w:rPr>
                <w:rFonts w:hint="eastAsia" w:ascii="宋体" w:hAnsi="宋体"/>
                <w:color w:val="auto"/>
              </w:rPr>
              <w:t>××专业工程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hint="eastAsia" w:ascii="宋体" w:hAnsi="宋体"/>
                <w:color w:val="auto"/>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1" w:leftChars="-38" w:right="-113" w:rightChars="-47" w:hanging="92" w:hangingChars="38"/>
              <w:jc w:val="center"/>
              <w:rPr>
                <w:rFonts w:ascii="宋体" w:hAnsi="宋体"/>
                <w:b/>
                <w:color w:val="auto"/>
                <w:kern w:val="2"/>
              </w:rPr>
            </w:pPr>
            <w:r>
              <w:rPr>
                <w:rFonts w:ascii="宋体" w:hAnsi="宋体"/>
                <w:b/>
                <w:color w:val="auto"/>
              </w:rPr>
              <w:t>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1" w:leftChars="-38" w:right="-113" w:rightChars="-47" w:hanging="92" w:hangingChars="38"/>
              <w:jc w:val="center"/>
              <w:rPr>
                <w:rFonts w:ascii="宋体" w:hAnsi="宋体"/>
                <w:b/>
                <w:color w:val="auto"/>
              </w:rPr>
            </w:pPr>
            <w:r>
              <w:rPr>
                <w:rFonts w:hint="eastAsia" w:ascii="宋体" w:hAnsi="宋体"/>
                <w:b/>
                <w:color w:val="auto"/>
              </w:rPr>
              <w:t>××单项工程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ascii="宋体" w:hAnsi="宋体"/>
                <w:color w:val="auto"/>
              </w:rPr>
              <w:t>2.1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r>
              <w:rPr>
                <w:rFonts w:hint="eastAsia" w:ascii="宋体" w:hAnsi="宋体"/>
                <w:color w:val="auto"/>
              </w:rPr>
              <w:t>××单位工程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ascii="宋体" w:hAnsi="宋体"/>
                <w:color w:val="auto"/>
              </w:rPr>
              <w:t>2.1.1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r>
              <w:rPr>
                <w:rFonts w:hint="eastAsia" w:ascii="宋体" w:hAnsi="宋体"/>
                <w:color w:val="auto"/>
              </w:rPr>
              <w:t>××专业工程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hint="eastAsia" w:ascii="宋体" w:hAnsi="宋体"/>
                <w:color w:val="auto"/>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ascii="宋体" w:hAnsi="宋体"/>
                <w:color w:val="auto"/>
              </w:rPr>
              <w:t>2.2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r>
              <w:rPr>
                <w:rFonts w:hint="eastAsia" w:ascii="宋体" w:hAnsi="宋体"/>
                <w:color w:val="auto"/>
              </w:rPr>
              <w:t>××单位工程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ascii="宋体" w:hAnsi="宋体"/>
                <w:color w:val="auto"/>
              </w:rPr>
              <w:t>2.2.1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r>
              <w:rPr>
                <w:rFonts w:hint="eastAsia" w:ascii="宋体" w:hAnsi="宋体"/>
                <w:color w:val="auto"/>
              </w:rPr>
              <w:t>××专业工程</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kern w:val="2"/>
              </w:rPr>
            </w:pPr>
            <w:r>
              <w:rPr>
                <w:rFonts w:hint="eastAsia" w:ascii="宋体" w:hAnsi="宋体"/>
                <w:color w:val="auto"/>
              </w:rPr>
              <w:t>···</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ind w:leftChars="-38" w:right="-113" w:rightChars="-47" w:hanging="91" w:hangingChars="38"/>
              <w:jc w:val="center"/>
              <w:rPr>
                <w:rFonts w:ascii="宋体" w:hAnsi="宋体"/>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 w:hRule="atLeast"/>
        </w:trPr>
        <w:tc>
          <w:tcPr>
            <w:tcW w:w="270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r>
              <w:rPr>
                <w:rFonts w:hint="eastAsia" w:ascii="宋体" w:hAnsi="宋体" w:cs="宋体"/>
                <w:color w:val="auto"/>
              </w:rPr>
              <w:t>合计</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rPr>
            </w:pPr>
          </w:p>
        </w:tc>
      </w:tr>
    </w:tbl>
    <w:p>
      <w:pPr>
        <w:ind w:firstLine="180" w:firstLineChars="100"/>
        <w:rPr>
          <w:rFonts w:ascii="宋体" w:hAnsi="宋体" w:eastAsia="宋体" w:cs="宋体"/>
          <w:color w:val="auto"/>
          <w:sz w:val="18"/>
          <w:szCs w:val="18"/>
        </w:rPr>
      </w:pPr>
    </w:p>
    <w:p>
      <w:pPr>
        <w:ind w:firstLine="180" w:firstLineChars="100"/>
        <w:rPr>
          <w:rFonts w:ascii="宋体" w:hAnsi="宋体" w:eastAsia="宋体" w:cs="宋体"/>
          <w:color w:val="auto"/>
          <w:sz w:val="18"/>
          <w:szCs w:val="18"/>
        </w:rPr>
      </w:pPr>
      <w:r>
        <w:rPr>
          <w:rFonts w:hint="eastAsia" w:ascii="宋体" w:hAnsi="宋体" w:eastAsia="宋体" w:cs="宋体"/>
          <w:color w:val="auto"/>
          <w:sz w:val="18"/>
          <w:szCs w:val="18"/>
        </w:rPr>
        <w:t>注：</w:t>
      </w:r>
    </w:p>
    <w:p>
      <w:pPr>
        <w:ind w:firstLine="540" w:firstLineChars="300"/>
        <w:rPr>
          <w:rFonts w:ascii="宋体" w:hAnsi="宋体" w:eastAsia="宋体" w:cs="宋体"/>
          <w:color w:val="auto"/>
          <w:sz w:val="18"/>
          <w:szCs w:val="18"/>
        </w:rPr>
      </w:pPr>
      <w:r>
        <w:rPr>
          <w:rFonts w:ascii="宋体" w:hAnsi="宋体" w:eastAsia="宋体" w:cs="宋体"/>
          <w:color w:val="auto"/>
          <w:sz w:val="18"/>
          <w:szCs w:val="18"/>
        </w:rPr>
        <w:t>1.本表适用于建设工程项目或单项工程招标控制价或投标报价的汇总。</w:t>
      </w:r>
    </w:p>
    <w:p>
      <w:pPr>
        <w:ind w:firstLine="360" w:firstLineChars="200"/>
        <w:rPr>
          <w:rFonts w:ascii="宋体" w:hAnsi="宋体" w:eastAsia="宋体" w:cs="宋体"/>
          <w:color w:val="auto"/>
          <w:sz w:val="18"/>
          <w:szCs w:val="18"/>
        </w:rPr>
      </w:pPr>
      <w:r>
        <w:rPr>
          <w:rFonts w:ascii="宋体" w:hAnsi="宋体" w:eastAsia="宋体" w:cs="宋体"/>
          <w:color w:val="auto"/>
          <w:sz w:val="18"/>
          <w:szCs w:val="18"/>
        </w:rPr>
        <w:t xml:space="preserve">  2.暂估价包括分部分项工程中的暂估价和专业工程暂估价不含发包人单独发包的专业工程暂估价。</w:t>
      </w:r>
    </w:p>
    <w:p>
      <w:pPr>
        <w:widowControl/>
        <w:autoSpaceDE/>
        <w:autoSpaceDN/>
        <w:adjustRightInd/>
        <w:rPr>
          <w:rFonts w:ascii="宋体" w:hAnsi="宋体" w:eastAsia="宋体"/>
          <w:color w:val="auto"/>
          <w:sz w:val="22"/>
          <w:szCs w:val="22"/>
        </w:rPr>
      </w:pPr>
      <w:r>
        <w:rPr>
          <w:rFonts w:ascii="宋体" w:hAnsi="宋体" w:eastAsia="宋体"/>
          <w:color w:val="auto"/>
        </w:rPr>
        <w:br w:type="page"/>
      </w:r>
    </w:p>
    <w:p>
      <w:pPr>
        <w:jc w:val="center"/>
        <w:rPr>
          <w:rFonts w:ascii="宋体" w:hAnsi="宋体" w:cs="宋体"/>
          <w:color w:val="auto"/>
          <w:sz w:val="21"/>
          <w:szCs w:val="21"/>
        </w:rPr>
      </w:pPr>
      <w:commentRangeStart w:id="0"/>
      <w:commentRangeStart w:id="1"/>
      <w:r>
        <w:rPr>
          <w:rFonts w:hint="eastAsia" w:ascii="宋体" w:hAnsi="宋体" w:cs="宋体"/>
          <w:color w:val="auto"/>
          <w:szCs w:val="21"/>
        </w:rPr>
        <w:t>单位（专业）工程投标报价费用表</w:t>
      </w:r>
      <w:commentRangeEnd w:id="0"/>
      <w:r>
        <w:rPr>
          <w:color w:val="auto"/>
        </w:rPr>
        <w:commentReference w:id="0"/>
      </w:r>
      <w:commentRangeEnd w:id="1"/>
      <w:r>
        <w:rPr>
          <w:color w:val="auto"/>
        </w:rPr>
        <w:commentReference w:id="1"/>
      </w:r>
    </w:p>
    <w:p>
      <w:pPr>
        <w:snapToGrid w:val="0"/>
        <w:ind w:firstLine="410" w:firstLineChars="171"/>
        <w:rPr>
          <w:rFonts w:ascii="宋体" w:hAnsi="宋体" w:cs="宋体"/>
          <w:color w:val="auto"/>
          <w:szCs w:val="21"/>
        </w:rPr>
      </w:pPr>
      <w:r>
        <w:rPr>
          <w:rFonts w:hint="eastAsia" w:ascii="宋体" w:hAnsi="宋体" w:cs="宋体"/>
          <w:color w:val="auto"/>
          <w:szCs w:val="21"/>
        </w:rPr>
        <w:t>工程名称：</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pPr w:leftFromText="180" w:rightFromText="180" w:vertAnchor="text" w:tblpXSpec="center" w:tblpY="166"/>
        <w:tblW w:w="93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40"/>
        <w:gridCol w:w="448"/>
        <w:gridCol w:w="224"/>
        <w:gridCol w:w="14"/>
        <w:gridCol w:w="1992"/>
        <w:gridCol w:w="3730"/>
        <w:gridCol w:w="857"/>
        <w:gridCol w:w="1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0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hint="eastAsia" w:ascii="宋体" w:hAnsi="宋体" w:eastAsia="宋体" w:cs="宋体"/>
                <w:color w:val="auto"/>
                <w:sz w:val="18"/>
                <w:szCs w:val="18"/>
              </w:rPr>
              <w:t>序号</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费用名称</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计算公式</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金额（元）</w:t>
            </w: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1</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分部分项工程费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bCs/>
                <w:color w:val="auto"/>
                <w:sz w:val="18"/>
                <w:szCs w:val="18"/>
              </w:rPr>
              <w:t>∑</w:t>
            </w:r>
            <w:r>
              <w:rPr>
                <w:rFonts w:ascii="宋体" w:hAnsi="宋体" w:eastAsia="宋体"/>
                <w:bCs/>
                <w:color w:val="auto"/>
                <w:sz w:val="18"/>
                <w:szCs w:val="18"/>
              </w:rPr>
              <w:t>(分部分项工程量×综合单价）</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p>
        </w:tc>
        <w:tc>
          <w:tcPr>
            <w:tcW w:w="68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其中</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0" w:leftChars="-11" w:hanging="16" w:hangingChars="9"/>
              <w:rPr>
                <w:rFonts w:ascii="宋体" w:hAnsi="宋体" w:eastAsia="宋体" w:cs="宋体"/>
                <w:color w:val="auto"/>
                <w:sz w:val="18"/>
                <w:szCs w:val="18"/>
              </w:rPr>
            </w:pPr>
            <w:r>
              <w:rPr>
                <w:rFonts w:ascii="宋体" w:hAnsi="宋体" w:eastAsia="宋体" w:cs="宋体"/>
                <w:color w:val="auto"/>
                <w:sz w:val="18"/>
                <w:szCs w:val="18"/>
              </w:rPr>
              <w:t>1.1</w:t>
            </w:r>
            <w:r>
              <w:rPr>
                <w:rFonts w:hint="eastAsia" w:ascii="宋体" w:hAnsi="宋体" w:eastAsia="宋体" w:cs="宋体"/>
                <w:color w:val="auto"/>
                <w:sz w:val="18"/>
                <w:szCs w:val="18"/>
              </w:rPr>
              <w:t>人工费</w:t>
            </w:r>
            <w:r>
              <w:rPr>
                <w:rFonts w:ascii="宋体" w:hAnsi="宋体" w:eastAsia="宋体" w:cs="宋体"/>
                <w:color w:val="auto"/>
                <w:sz w:val="18"/>
                <w:szCs w:val="18"/>
              </w:rPr>
              <w:t>+机械费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bCs/>
                <w:color w:val="auto"/>
                <w:sz w:val="18"/>
                <w:szCs w:val="18"/>
              </w:rPr>
              <w:t>∑分部分项（</w:t>
            </w:r>
            <w:r>
              <w:rPr>
                <w:rFonts w:hint="eastAsia" w:ascii="宋体" w:hAnsi="宋体" w:eastAsia="宋体" w:cs="宋体"/>
                <w:color w:val="auto"/>
                <w:sz w:val="18"/>
                <w:szCs w:val="18"/>
              </w:rPr>
              <w:t>人工费</w:t>
            </w:r>
            <w:r>
              <w:rPr>
                <w:rFonts w:ascii="宋体" w:hAnsi="宋体" w:eastAsia="宋体" w:cs="宋体"/>
                <w:color w:val="auto"/>
                <w:sz w:val="18"/>
                <w:szCs w:val="18"/>
              </w:rPr>
              <w:t>+机械费）</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2</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措施项目费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w:t>
            </w:r>
            <w:r>
              <w:rPr>
                <w:rFonts w:ascii="宋体" w:hAnsi="宋体" w:eastAsia="宋体" w:cs="宋体"/>
                <w:color w:val="auto"/>
                <w:sz w:val="18"/>
                <w:szCs w:val="18"/>
              </w:rPr>
              <w:t>2.1+2.2）</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2.1</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施工技术措施项目费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bCs/>
                <w:color w:val="auto"/>
                <w:sz w:val="18"/>
                <w:szCs w:val="18"/>
              </w:rPr>
              <w:t>∑</w:t>
            </w:r>
            <w:r>
              <w:rPr>
                <w:rFonts w:ascii="宋体" w:hAnsi="宋体" w:eastAsia="宋体"/>
                <w:bCs/>
                <w:color w:val="auto"/>
                <w:sz w:val="18"/>
                <w:szCs w:val="18"/>
              </w:rPr>
              <w:t>(</w:t>
            </w:r>
            <w:r>
              <w:rPr>
                <w:rFonts w:hint="eastAsia" w:ascii="宋体" w:hAnsi="宋体" w:eastAsia="宋体" w:cs="宋体"/>
                <w:color w:val="auto"/>
                <w:sz w:val="18"/>
                <w:szCs w:val="18"/>
              </w:rPr>
              <w:t>技措项目</w:t>
            </w:r>
            <w:r>
              <w:rPr>
                <w:rFonts w:hint="eastAsia" w:ascii="宋体" w:hAnsi="宋体" w:eastAsia="宋体"/>
                <w:bCs/>
                <w:color w:val="auto"/>
                <w:sz w:val="18"/>
                <w:szCs w:val="18"/>
              </w:rPr>
              <w:t>工程量×综合单价）</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9"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p>
        </w:tc>
        <w:tc>
          <w:tcPr>
            <w:tcW w:w="68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其中</w:t>
            </w:r>
          </w:p>
        </w:tc>
        <w:tc>
          <w:tcPr>
            <w:tcW w:w="199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ascii="宋体" w:hAnsi="宋体" w:eastAsia="宋体" w:cs="宋体"/>
                <w:color w:val="auto"/>
                <w:sz w:val="18"/>
                <w:szCs w:val="18"/>
              </w:rPr>
              <w:t>2.1.1</w:t>
            </w:r>
            <w:r>
              <w:rPr>
                <w:rFonts w:hint="eastAsia" w:ascii="宋体" w:hAnsi="宋体" w:eastAsia="宋体" w:cs="宋体"/>
                <w:color w:val="auto"/>
                <w:sz w:val="18"/>
                <w:szCs w:val="18"/>
              </w:rPr>
              <w:t>人工费</w:t>
            </w:r>
            <w:r>
              <w:rPr>
                <w:rFonts w:ascii="宋体" w:hAnsi="宋体" w:eastAsia="宋体" w:cs="宋体"/>
                <w:color w:val="auto"/>
                <w:sz w:val="18"/>
                <w:szCs w:val="18"/>
              </w:rPr>
              <w:t>+机械费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bCs/>
                <w:color w:val="auto"/>
                <w:sz w:val="18"/>
                <w:szCs w:val="18"/>
              </w:rPr>
              <w:t>∑</w:t>
            </w:r>
            <w:r>
              <w:rPr>
                <w:rFonts w:hint="eastAsia" w:ascii="宋体" w:hAnsi="宋体" w:eastAsia="宋体" w:cs="宋体"/>
                <w:color w:val="auto"/>
                <w:sz w:val="18"/>
                <w:szCs w:val="18"/>
              </w:rPr>
              <w:t>技措项目</w:t>
            </w:r>
            <w:r>
              <w:rPr>
                <w:rFonts w:hint="eastAsia" w:ascii="宋体" w:hAnsi="宋体" w:eastAsia="宋体"/>
                <w:bCs/>
                <w:color w:val="auto"/>
                <w:sz w:val="18"/>
                <w:szCs w:val="18"/>
              </w:rPr>
              <w:t>（</w:t>
            </w:r>
            <w:r>
              <w:rPr>
                <w:rFonts w:hint="eastAsia" w:ascii="宋体" w:hAnsi="宋体" w:eastAsia="宋体" w:cs="宋体"/>
                <w:color w:val="auto"/>
                <w:sz w:val="18"/>
                <w:szCs w:val="18"/>
              </w:rPr>
              <w:t>人工费</w:t>
            </w:r>
            <w:r>
              <w:rPr>
                <w:rFonts w:ascii="宋体" w:hAnsi="宋体" w:eastAsia="宋体" w:cs="宋体"/>
                <w:color w:val="auto"/>
                <w:sz w:val="18"/>
                <w:szCs w:val="18"/>
              </w:rPr>
              <w:t>+机械费）</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9"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2.2</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施工组织措施项目</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bCs/>
                <w:color w:val="auto"/>
                <w:sz w:val="18"/>
                <w:szCs w:val="18"/>
              </w:rPr>
              <w:t>∑计费基数×费率</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p>
        </w:tc>
        <w:tc>
          <w:tcPr>
            <w:tcW w:w="672"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其中</w:t>
            </w:r>
          </w:p>
        </w:tc>
        <w:tc>
          <w:tcPr>
            <w:tcW w:w="2006"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安全文明施工基本费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bCs/>
                <w:color w:val="auto"/>
                <w:sz w:val="18"/>
                <w:szCs w:val="18"/>
              </w:rPr>
              <w:t>∑计费基数×费率</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45"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olor w:val="auto"/>
                <w:kern w:val="2"/>
                <w:sz w:val="18"/>
                <w:szCs w:val="18"/>
              </w:rPr>
            </w:pPr>
            <w:r>
              <w:rPr>
                <w:rFonts w:ascii="宋体" w:hAnsi="宋体" w:eastAsia="宋体"/>
                <w:color w:val="auto"/>
                <w:sz w:val="18"/>
                <w:szCs w:val="18"/>
              </w:rPr>
              <w:t>3</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hanging="91"/>
              <w:rPr>
                <w:rFonts w:ascii="宋体" w:hAnsi="宋体" w:eastAsia="宋体" w:cs="宋体"/>
                <w:color w:val="auto"/>
                <w:sz w:val="18"/>
                <w:szCs w:val="18"/>
              </w:rPr>
            </w:pPr>
            <w:r>
              <w:rPr>
                <w:rFonts w:hint="eastAsia" w:ascii="宋体" w:hAnsi="宋体" w:eastAsia="宋体" w:cs="宋体"/>
                <w:color w:val="auto"/>
                <w:sz w:val="18"/>
                <w:szCs w:val="18"/>
              </w:rPr>
              <w:t>其他项目</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olor w:val="auto"/>
                <w:sz w:val="18"/>
                <w:szCs w:val="18"/>
              </w:rPr>
              <w:t>（</w:t>
            </w:r>
            <w:r>
              <w:rPr>
                <w:rFonts w:ascii="宋体" w:hAnsi="宋体" w:eastAsia="宋体"/>
                <w:color w:val="auto"/>
                <w:sz w:val="18"/>
                <w:szCs w:val="18"/>
              </w:rPr>
              <w:t>3.1+3.2+3.3+3.4</w:t>
            </w:r>
            <w:r>
              <w:rPr>
                <w:rFonts w:hint="eastAsia" w:ascii="宋体" w:hAnsi="宋体" w:eastAsia="宋体"/>
                <w:color w:val="auto"/>
                <w:sz w:val="18"/>
                <w:szCs w:val="18"/>
              </w:rPr>
              <w:t>）</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olor w:val="auto"/>
                <w:kern w:val="2"/>
                <w:sz w:val="18"/>
                <w:szCs w:val="18"/>
              </w:rPr>
            </w:pPr>
            <w:r>
              <w:rPr>
                <w:rFonts w:ascii="宋体" w:hAnsi="宋体" w:eastAsia="宋体"/>
                <w:color w:val="auto"/>
                <w:sz w:val="18"/>
                <w:szCs w:val="18"/>
              </w:rPr>
              <w:t>3.1</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hanging="91"/>
              <w:rPr>
                <w:rFonts w:ascii="宋体" w:hAnsi="宋体" w:eastAsia="宋体" w:cs="宋体"/>
                <w:color w:val="auto"/>
                <w:sz w:val="18"/>
                <w:szCs w:val="18"/>
              </w:rPr>
            </w:pPr>
            <w:r>
              <w:rPr>
                <w:rFonts w:hint="eastAsia" w:ascii="宋体" w:hAnsi="宋体" w:eastAsia="宋体" w:cs="宋体"/>
                <w:color w:val="auto"/>
                <w:sz w:val="18"/>
                <w:szCs w:val="18"/>
              </w:rPr>
              <w:t>暂列金额</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3.1.1+3.1.2+3.1.3</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3.1.1</w:t>
            </w:r>
          </w:p>
        </w:tc>
        <w:tc>
          <w:tcPr>
            <w:tcW w:w="44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其中</w:t>
            </w:r>
          </w:p>
        </w:tc>
        <w:tc>
          <w:tcPr>
            <w:tcW w:w="22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left="-23" w:leftChars="-38" w:right="-113" w:rightChars="-47" w:hanging="68" w:hangingChars="38"/>
              <w:jc w:val="center"/>
              <w:rPr>
                <w:rFonts w:ascii="宋体" w:hAnsi="宋体" w:eastAsia="宋体" w:cs="宋体"/>
                <w:color w:val="auto"/>
                <w:sz w:val="18"/>
                <w:szCs w:val="18"/>
              </w:rPr>
            </w:pPr>
            <w:r>
              <w:rPr>
                <w:rFonts w:hint="eastAsia" w:ascii="宋体" w:hAnsi="宋体" w:eastAsia="宋体" w:cs="宋体"/>
                <w:color w:val="auto"/>
                <w:sz w:val="18"/>
                <w:szCs w:val="18"/>
              </w:rPr>
              <w:t>标化工地增加费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按招标文件规定额度列计</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3.1.2</w:t>
            </w:r>
          </w:p>
        </w:tc>
        <w:tc>
          <w:tcPr>
            <w:tcW w:w="44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p>
        </w:tc>
        <w:tc>
          <w:tcPr>
            <w:tcW w:w="22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hanging="91"/>
              <w:rPr>
                <w:rFonts w:ascii="宋体" w:hAnsi="宋体" w:eastAsia="宋体" w:cs="宋体"/>
                <w:color w:val="auto"/>
                <w:sz w:val="18"/>
                <w:szCs w:val="18"/>
              </w:rPr>
            </w:pPr>
            <w:r>
              <w:rPr>
                <w:rFonts w:hint="eastAsia" w:ascii="宋体" w:hAnsi="宋体" w:eastAsia="宋体" w:cs="宋体"/>
                <w:color w:val="auto"/>
                <w:sz w:val="18"/>
                <w:szCs w:val="18"/>
              </w:rPr>
              <w:t>优质工程增加费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按招标文件规定额度列计</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3.1.3</w:t>
            </w:r>
          </w:p>
        </w:tc>
        <w:tc>
          <w:tcPr>
            <w:tcW w:w="44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p>
        </w:tc>
        <w:tc>
          <w:tcPr>
            <w:tcW w:w="22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hanging="91"/>
              <w:rPr>
                <w:rFonts w:ascii="宋体" w:hAnsi="宋体" w:eastAsia="宋体" w:cs="宋体"/>
                <w:color w:val="auto"/>
                <w:sz w:val="18"/>
                <w:szCs w:val="18"/>
              </w:rPr>
            </w:pPr>
            <w:r>
              <w:rPr>
                <w:rFonts w:hint="eastAsia" w:ascii="宋体" w:hAnsi="宋体" w:eastAsia="宋体" w:cs="宋体"/>
                <w:color w:val="auto"/>
                <w:sz w:val="18"/>
                <w:szCs w:val="18"/>
              </w:rPr>
              <w:t>其他暂列金额</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按招标文件规定额度列计</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3.2</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暂估价</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3.2.1+3.2.2+3.2.3</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3.2.1</w:t>
            </w:r>
          </w:p>
        </w:tc>
        <w:tc>
          <w:tcPr>
            <w:tcW w:w="44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其中</w:t>
            </w:r>
          </w:p>
        </w:tc>
        <w:tc>
          <w:tcPr>
            <w:tcW w:w="22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hanging="91"/>
              <w:rPr>
                <w:rFonts w:ascii="宋体" w:hAnsi="宋体" w:eastAsia="宋体" w:cs="宋体"/>
                <w:color w:val="auto"/>
                <w:sz w:val="18"/>
                <w:szCs w:val="18"/>
              </w:rPr>
            </w:pPr>
            <w:r>
              <w:rPr>
                <w:rFonts w:hint="eastAsia" w:ascii="宋体" w:hAnsi="宋体" w:eastAsia="宋体" w:cs="宋体"/>
                <w:color w:val="auto"/>
                <w:sz w:val="18"/>
                <w:szCs w:val="18"/>
              </w:rPr>
              <w:t>材料（工程设备）暂估价</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按招标文件规定额度列计</w:t>
            </w:r>
            <w:r>
              <w:rPr>
                <w:rFonts w:ascii="宋体" w:hAnsi="宋体" w:eastAsia="宋体" w:cs="宋体"/>
                <w:color w:val="auto"/>
                <w:sz w:val="18"/>
                <w:szCs w:val="18"/>
              </w:rPr>
              <w:t>(或计入综合单价)</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3.2.2</w:t>
            </w:r>
          </w:p>
        </w:tc>
        <w:tc>
          <w:tcPr>
            <w:tcW w:w="44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p>
        </w:tc>
        <w:tc>
          <w:tcPr>
            <w:tcW w:w="22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hanging="91"/>
              <w:rPr>
                <w:rFonts w:ascii="宋体" w:hAnsi="宋体" w:eastAsia="宋体" w:cs="宋体"/>
                <w:color w:val="auto"/>
                <w:sz w:val="18"/>
                <w:szCs w:val="18"/>
              </w:rPr>
            </w:pPr>
            <w:r>
              <w:rPr>
                <w:rFonts w:hint="eastAsia" w:ascii="宋体" w:hAnsi="宋体" w:eastAsia="宋体" w:cs="宋体"/>
                <w:color w:val="auto"/>
                <w:sz w:val="18"/>
                <w:szCs w:val="18"/>
              </w:rPr>
              <w:t>专业工程暂估价</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按招标文件规定额度列计</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3.2.3</w:t>
            </w:r>
          </w:p>
        </w:tc>
        <w:tc>
          <w:tcPr>
            <w:tcW w:w="44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p>
        </w:tc>
        <w:tc>
          <w:tcPr>
            <w:tcW w:w="22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hanging="91"/>
              <w:rPr>
                <w:rFonts w:ascii="宋体" w:hAnsi="宋体" w:eastAsia="宋体" w:cs="宋体"/>
                <w:color w:val="auto"/>
                <w:sz w:val="18"/>
                <w:szCs w:val="18"/>
              </w:rPr>
            </w:pPr>
            <w:r>
              <w:rPr>
                <w:rFonts w:hint="eastAsia" w:ascii="宋体" w:hAnsi="宋体" w:eastAsia="宋体" w:cs="宋体"/>
                <w:color w:val="auto"/>
                <w:sz w:val="18"/>
                <w:szCs w:val="18"/>
              </w:rPr>
              <w:t>专项技术措施暂估价</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按招标文件规定额度列计</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3.3</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计日工</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∑计日工（暂估数量</w:t>
            </w:r>
            <w:r>
              <w:rPr>
                <w:rFonts w:hint="eastAsia" w:ascii="宋体" w:hAnsi="宋体" w:eastAsia="宋体"/>
                <w:bCs/>
                <w:color w:val="auto"/>
                <w:sz w:val="18"/>
                <w:szCs w:val="18"/>
              </w:rPr>
              <w:t>×综合单价）</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3.4</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施工总承包服务费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3.4.1+3.4.2</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3.4.1</w:t>
            </w:r>
          </w:p>
        </w:tc>
        <w:tc>
          <w:tcPr>
            <w:tcW w:w="44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其中</w:t>
            </w:r>
          </w:p>
        </w:tc>
        <w:tc>
          <w:tcPr>
            <w:tcW w:w="22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hanging="91"/>
              <w:rPr>
                <w:rFonts w:ascii="宋体" w:hAnsi="宋体" w:eastAsia="宋体" w:cs="宋体"/>
                <w:color w:val="auto"/>
                <w:sz w:val="18"/>
                <w:szCs w:val="18"/>
              </w:rPr>
            </w:pPr>
            <w:r>
              <w:rPr>
                <w:rFonts w:hint="eastAsia" w:ascii="宋体" w:hAnsi="宋体" w:eastAsia="宋体" w:cs="宋体"/>
                <w:color w:val="auto"/>
                <w:sz w:val="18"/>
                <w:szCs w:val="18"/>
              </w:rPr>
              <w:t>专业发包工程管理费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∑专业发包工程（暂估金额</w:t>
            </w:r>
            <w:r>
              <w:rPr>
                <w:rFonts w:hint="eastAsia" w:ascii="宋体" w:hAnsi="宋体" w:eastAsia="宋体" w:cs="宋体"/>
                <w:bCs/>
                <w:color w:val="auto"/>
                <w:sz w:val="18"/>
                <w:szCs w:val="18"/>
              </w:rPr>
              <w:t>×</w:t>
            </w:r>
            <w:r>
              <w:rPr>
                <w:rFonts w:hint="eastAsia" w:ascii="宋体" w:hAnsi="宋体" w:eastAsia="宋体" w:cs="宋体"/>
                <w:color w:val="auto"/>
                <w:sz w:val="18"/>
                <w:szCs w:val="18"/>
              </w:rPr>
              <w:t>费率）</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3.4.2</w:t>
            </w:r>
          </w:p>
        </w:tc>
        <w:tc>
          <w:tcPr>
            <w:tcW w:w="44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p>
        </w:tc>
        <w:tc>
          <w:tcPr>
            <w:tcW w:w="2230"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ind w:hanging="91"/>
              <w:rPr>
                <w:rFonts w:ascii="宋体" w:hAnsi="宋体" w:eastAsia="宋体" w:cs="宋体"/>
                <w:color w:val="auto"/>
                <w:sz w:val="18"/>
                <w:szCs w:val="18"/>
              </w:rPr>
            </w:pPr>
            <w:r>
              <w:rPr>
                <w:rFonts w:hint="eastAsia" w:ascii="宋体" w:hAnsi="宋体" w:eastAsia="宋体" w:cs="宋体"/>
                <w:color w:val="auto"/>
                <w:sz w:val="18"/>
                <w:szCs w:val="18"/>
              </w:rPr>
              <w:t>甲供材料设备管理费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ascii="宋体" w:hAnsi="宋体" w:eastAsia="宋体" w:cs="宋体"/>
                <w:color w:val="auto"/>
                <w:spacing w:val="-10"/>
                <w:sz w:val="18"/>
                <w:szCs w:val="18"/>
              </w:rPr>
            </w:pPr>
            <w:r>
              <w:rPr>
                <w:rFonts w:hint="eastAsia" w:ascii="宋体" w:hAnsi="宋体" w:eastAsia="宋体" w:cs="宋体"/>
                <w:color w:val="auto"/>
                <w:spacing w:val="-10"/>
                <w:sz w:val="18"/>
                <w:szCs w:val="18"/>
              </w:rPr>
              <w:t>甲供材料暂估金额×费率</w:t>
            </w:r>
            <w:r>
              <w:rPr>
                <w:rFonts w:ascii="宋体" w:hAnsi="宋体" w:eastAsia="宋体" w:cs="宋体"/>
                <w:color w:val="auto"/>
                <w:spacing w:val="-10"/>
                <w:sz w:val="18"/>
                <w:szCs w:val="18"/>
              </w:rPr>
              <w:t>+</w:t>
            </w:r>
            <w:r>
              <w:rPr>
                <w:rFonts w:hint="eastAsia" w:ascii="宋体" w:hAnsi="宋体" w:eastAsia="宋体" w:cs="宋体"/>
                <w:color w:val="auto"/>
                <w:spacing w:val="-10"/>
                <w:sz w:val="18"/>
                <w:szCs w:val="18"/>
              </w:rPr>
              <w:t>甲供设备暂估金额×费率</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4</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规费</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（计算基数×费率）</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64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left="-16" w:leftChars="-26" w:right="-65" w:rightChars="-27" w:hanging="46" w:hangingChars="26"/>
              <w:jc w:val="center"/>
              <w:rPr>
                <w:rFonts w:ascii="宋体" w:hAnsi="宋体" w:eastAsia="宋体" w:cs="宋体"/>
                <w:color w:val="auto"/>
                <w:sz w:val="18"/>
                <w:szCs w:val="18"/>
              </w:rPr>
            </w:pPr>
            <w:r>
              <w:rPr>
                <w:rFonts w:ascii="宋体" w:hAnsi="宋体" w:eastAsia="宋体" w:cs="宋体"/>
                <w:color w:val="auto"/>
                <w:sz w:val="18"/>
                <w:szCs w:val="18"/>
              </w:rPr>
              <w:t>5</w:t>
            </w:r>
          </w:p>
        </w:tc>
        <w:tc>
          <w:tcPr>
            <w:tcW w:w="2678"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r>
              <w:rPr>
                <w:rFonts w:hint="eastAsia" w:ascii="宋体" w:hAnsi="宋体" w:eastAsia="宋体" w:cs="宋体"/>
                <w:color w:val="auto"/>
                <w:sz w:val="18"/>
                <w:szCs w:val="18"/>
              </w:rPr>
              <w:t>增值税</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（计算基数×税率）</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202" w:rightChars="-84" w:firstLine="226"/>
              <w:rPr>
                <w:rFonts w:ascii="宋体" w:hAnsi="宋体" w:eastAsia="宋体" w:cs="ËÎÌå"/>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0" w:hRule="atLeast"/>
        </w:trPr>
        <w:tc>
          <w:tcPr>
            <w:tcW w:w="3318"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hint="eastAsia" w:ascii="宋体" w:hAnsi="宋体" w:eastAsia="宋体" w:cs="宋体"/>
                <w:color w:val="auto"/>
                <w:sz w:val="18"/>
                <w:szCs w:val="18"/>
              </w:rPr>
              <w:t>投标报价合计</w:t>
            </w:r>
          </w:p>
        </w:tc>
        <w:tc>
          <w:tcPr>
            <w:tcW w:w="373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r>
              <w:rPr>
                <w:rFonts w:ascii="宋体" w:hAnsi="宋体" w:eastAsia="宋体" w:cs="宋体"/>
                <w:color w:val="auto"/>
                <w:sz w:val="18"/>
                <w:szCs w:val="18"/>
              </w:rPr>
              <w:t>1+2+3+4+5</w:t>
            </w:r>
          </w:p>
        </w:tc>
        <w:tc>
          <w:tcPr>
            <w:tcW w:w="85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eastAsia="宋体" w:cs="宋体"/>
                <w:color w:val="auto"/>
                <w:sz w:val="18"/>
                <w:szCs w:val="18"/>
              </w:rPr>
            </w:pPr>
          </w:p>
        </w:tc>
        <w:tc>
          <w:tcPr>
            <w:tcW w:w="148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eastAsia="宋体" w:cs="宋体"/>
                <w:color w:val="auto"/>
                <w:sz w:val="18"/>
                <w:szCs w:val="18"/>
              </w:rPr>
            </w:pPr>
          </w:p>
        </w:tc>
      </w:tr>
    </w:tbl>
    <w:p>
      <w:pPr>
        <w:ind w:left="811" w:leftChars="68" w:hanging="648" w:hangingChars="360"/>
        <w:rPr>
          <w:rFonts w:ascii="宋体" w:hAnsi="宋体" w:cs="宋体"/>
          <w:color w:val="auto"/>
          <w:sz w:val="18"/>
          <w:szCs w:val="18"/>
        </w:rPr>
      </w:pPr>
    </w:p>
    <w:p>
      <w:pPr>
        <w:ind w:left="811" w:leftChars="68" w:hanging="648" w:hangingChars="360"/>
        <w:rPr>
          <w:rFonts w:ascii="宋体" w:hAnsi="宋体" w:cs="宋体"/>
          <w:color w:val="auto"/>
          <w:sz w:val="18"/>
          <w:szCs w:val="18"/>
        </w:rPr>
      </w:pPr>
      <w:r>
        <w:rPr>
          <w:rFonts w:hint="eastAsia" w:ascii="宋体" w:hAnsi="宋体" w:cs="宋体"/>
          <w:color w:val="auto"/>
          <w:sz w:val="18"/>
          <w:szCs w:val="18"/>
        </w:rPr>
        <w:t>注：</w:t>
      </w:r>
    </w:p>
    <w:p>
      <w:pPr>
        <w:ind w:firstLine="360" w:firstLineChars="200"/>
        <w:rPr>
          <w:rFonts w:ascii="宋体" w:hAnsi="宋体" w:cs="宋体"/>
          <w:color w:val="auto"/>
          <w:sz w:val="18"/>
          <w:szCs w:val="18"/>
        </w:rPr>
      </w:pPr>
      <w:r>
        <w:rPr>
          <w:rFonts w:ascii="宋体" w:hAnsi="宋体" w:cs="宋体"/>
          <w:color w:val="auto"/>
          <w:sz w:val="18"/>
          <w:szCs w:val="18"/>
        </w:rPr>
        <w:t>1.本表适用于单位工程招标控制价或投标报价的汇总，如无单位工程划分，单项工程也使用本表汇总。</w:t>
      </w:r>
    </w:p>
    <w:p>
      <w:pPr>
        <w:ind w:firstLine="360" w:firstLineChars="200"/>
        <w:rPr>
          <w:rFonts w:ascii="宋体" w:hAnsi="宋体" w:cs="宋体"/>
          <w:color w:val="auto"/>
          <w:sz w:val="18"/>
          <w:szCs w:val="18"/>
        </w:rPr>
      </w:pPr>
      <w:r>
        <w:rPr>
          <w:rFonts w:ascii="宋体" w:hAnsi="宋体" w:cs="宋体"/>
          <w:color w:val="auto"/>
          <w:sz w:val="18"/>
          <w:szCs w:val="18"/>
        </w:rPr>
        <w:t>2.材料（工程设备）暂估单价已进入清单项目综合单价的，所含“暂估价”需在本表“分部分项工程”、“措施项目（施工技术措施项目）”的对应栏目填写，“其他项目”栏目内不再汇总。</w:t>
      </w:r>
    </w:p>
    <w:p>
      <w:pPr>
        <w:ind w:firstLine="360" w:firstLineChars="200"/>
        <w:rPr>
          <w:rFonts w:ascii="宋体" w:hAnsi="宋体" w:cs="宋体"/>
          <w:color w:val="auto"/>
          <w:sz w:val="18"/>
          <w:szCs w:val="18"/>
        </w:rPr>
      </w:pPr>
      <w:r>
        <w:rPr>
          <w:rFonts w:ascii="宋体" w:hAnsi="宋体" w:cs="宋体"/>
          <w:color w:val="auto"/>
          <w:sz w:val="18"/>
          <w:szCs w:val="18"/>
        </w:rPr>
        <w:t>3.专业工程暂估价内不含发包人单独发包的专业工程暂估价。</w:t>
      </w:r>
    </w:p>
    <w:p>
      <w:pPr>
        <w:pStyle w:val="2"/>
        <w:ind w:firstLine="440" w:firstLineChars="200"/>
        <w:rPr>
          <w:rFonts w:ascii="宋体" w:hAnsi="宋体" w:cs="宋体"/>
          <w:color w:val="auto"/>
          <w:sz w:val="18"/>
          <w:szCs w:val="18"/>
        </w:rPr>
        <w:sectPr>
          <w:footerReference r:id="rId9" w:type="default"/>
          <w:pgSz w:w="12240" w:h="15840"/>
          <w:pgMar w:top="1400" w:right="1720" w:bottom="1120" w:left="1720" w:header="0" w:footer="921" w:gutter="0"/>
          <w:cols w:space="720" w:num="1"/>
        </w:sectPr>
      </w:pPr>
      <w:r>
        <w:rPr>
          <w:color w:val="auto"/>
        </w:rPr>
        <w:br w:type="page"/>
      </w:r>
    </w:p>
    <w:p>
      <w:pPr>
        <w:jc w:val="center"/>
        <w:rPr>
          <w:rFonts w:ascii="宋体" w:hAnsi="宋体" w:cs="宋体"/>
          <w:color w:val="auto"/>
        </w:rPr>
      </w:pPr>
      <w:r>
        <w:rPr>
          <w:rFonts w:hint="eastAsia" w:ascii="宋体" w:hAnsi="宋体" w:cs="宋体"/>
          <w:color w:val="auto"/>
        </w:rPr>
        <w:t>分部分项工程和施工技术措施项目清单与计价表</w:t>
      </w:r>
    </w:p>
    <w:p>
      <w:pPr>
        <w:ind w:firstLine="410" w:firstLineChars="171"/>
        <w:rPr>
          <w:rFonts w:ascii="宋体" w:hAnsi="宋体" w:cs="宋体"/>
          <w:color w:val="auto"/>
          <w:sz w:val="21"/>
          <w:szCs w:val="21"/>
        </w:rPr>
      </w:pPr>
      <w:r>
        <w:rPr>
          <w:rFonts w:ascii="宋体" w:hAnsi="宋体" w:cs="宋体"/>
          <w:color w:val="auto"/>
          <w:szCs w:val="21"/>
        </w:rPr>
        <w:t xml:space="preserve"> 单位（专业）工程名称：                                             标段：                       第   页 共   页</w:t>
      </w:r>
    </w:p>
    <w:tbl>
      <w:tblPr>
        <w:tblStyle w:val="40"/>
        <w:tblW w:w="135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080"/>
        <w:gridCol w:w="1080"/>
        <w:gridCol w:w="1980"/>
        <w:gridCol w:w="720"/>
        <w:gridCol w:w="900"/>
        <w:gridCol w:w="1080"/>
        <w:gridCol w:w="1260"/>
        <w:gridCol w:w="1080"/>
        <w:gridCol w:w="1260"/>
        <w:gridCol w:w="126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项目编码</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项目名称</w:t>
            </w:r>
          </w:p>
        </w:tc>
        <w:tc>
          <w:tcPr>
            <w:tcW w:w="19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项目特征</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计量单位</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工程量</w:t>
            </w:r>
          </w:p>
        </w:tc>
        <w:tc>
          <w:tcPr>
            <w:tcW w:w="59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金</w:t>
            </w:r>
            <w:r>
              <w:rPr>
                <w:rFonts w:ascii="宋体" w:hAnsi="宋体" w:cs="宋体"/>
                <w:color w:val="auto"/>
                <w:sz w:val="18"/>
                <w:szCs w:val="18"/>
              </w:rPr>
              <w:t xml:space="preserve">    </w:t>
            </w:r>
            <w:r>
              <w:rPr>
                <w:rFonts w:hint="eastAsia" w:ascii="宋体" w:hAnsi="宋体" w:cs="宋体"/>
                <w:color w:val="auto"/>
                <w:sz w:val="18"/>
                <w:szCs w:val="18"/>
              </w:rPr>
              <w:t>额（元）</w:t>
            </w: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7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08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综合单价</w:t>
            </w:r>
          </w:p>
        </w:tc>
        <w:tc>
          <w:tcPr>
            <w:tcW w:w="12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合价</w:t>
            </w:r>
          </w:p>
        </w:tc>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其中</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5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9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59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2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人工费</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机械费</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暂估价</w:t>
            </w:r>
          </w:p>
        </w:tc>
        <w:tc>
          <w:tcPr>
            <w:tcW w:w="108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9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56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本页小计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560"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w:t>
            </w:r>
            <w:r>
              <w:rPr>
                <w:rFonts w:ascii="宋体" w:hAnsi="宋体" w:cs="宋体"/>
                <w:color w:val="auto"/>
                <w:sz w:val="18"/>
                <w:szCs w:val="18"/>
              </w:rPr>
              <w:t xml:space="preserve">     </w:t>
            </w:r>
            <w:r>
              <w:rPr>
                <w:rFonts w:hint="eastAsia" w:ascii="宋体" w:hAnsi="宋体" w:cs="宋体"/>
                <w:color w:val="auto"/>
                <w:sz w:val="18"/>
                <w:szCs w:val="18"/>
              </w:rPr>
              <w:t>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firstLine="420"/>
        <w:rPr>
          <w:rFonts w:ascii="宋体" w:hAnsi="宋体" w:cs="宋体"/>
          <w:color w:val="auto"/>
          <w:sz w:val="18"/>
          <w:szCs w:val="18"/>
        </w:rPr>
      </w:pPr>
      <w:r>
        <w:rPr>
          <w:rFonts w:hint="eastAsia" w:ascii="宋体" w:hAnsi="宋体" w:cs="宋体"/>
          <w:color w:val="auto"/>
          <w:sz w:val="18"/>
          <w:szCs w:val="18"/>
        </w:rPr>
        <w:t>注：</w:t>
      </w:r>
    </w:p>
    <w:p>
      <w:pPr>
        <w:ind w:firstLine="777" w:firstLineChars="432"/>
        <w:rPr>
          <w:rFonts w:ascii="宋体" w:hAnsi="宋体" w:cs="宋体"/>
          <w:color w:val="auto"/>
          <w:sz w:val="18"/>
          <w:szCs w:val="18"/>
        </w:rPr>
      </w:pPr>
      <w:r>
        <w:rPr>
          <w:rFonts w:ascii="宋体" w:hAnsi="宋体" w:cs="宋体"/>
          <w:color w:val="auto"/>
          <w:sz w:val="18"/>
          <w:szCs w:val="18"/>
        </w:rPr>
        <w:t>1.本表为分部分项和施工技术措施项目清单及计价表通用表式，使用时表头名称可简化为其中一类的计价表。</w:t>
      </w:r>
    </w:p>
    <w:p>
      <w:pPr>
        <w:ind w:firstLine="777" w:firstLineChars="432"/>
        <w:rPr>
          <w:rFonts w:ascii="宋体" w:hAnsi="宋体" w:cs="宋体"/>
          <w:color w:val="auto"/>
          <w:sz w:val="18"/>
          <w:szCs w:val="18"/>
        </w:rPr>
      </w:pPr>
      <w:r>
        <w:rPr>
          <w:rFonts w:ascii="宋体" w:hAnsi="宋体" w:cs="宋体"/>
          <w:color w:val="auto"/>
          <w:sz w:val="18"/>
          <w:szCs w:val="18"/>
        </w:rPr>
        <w:t>2.工程招投标时“暂估价”按招标文件指定价格计入，竣工结算时以合同双方确认价格替换计入综合单价内。</w:t>
      </w:r>
    </w:p>
    <w:p>
      <w:pPr>
        <w:jc w:val="right"/>
        <w:rPr>
          <w:rFonts w:ascii="宋体" w:hAnsi="宋体" w:cs="ËÎÌå"/>
          <w:color w:val="auto"/>
          <w:sz w:val="21"/>
          <w:szCs w:val="21"/>
        </w:rPr>
      </w:pPr>
    </w:p>
    <w:p>
      <w:pPr>
        <w:pStyle w:val="2"/>
        <w:rPr>
          <w:color w:val="auto"/>
        </w:rPr>
      </w:pPr>
    </w:p>
    <w:p>
      <w:pPr>
        <w:rPr>
          <w:color w:val="auto"/>
        </w:rPr>
      </w:pPr>
    </w:p>
    <w:p>
      <w:pPr>
        <w:widowControl/>
        <w:rPr>
          <w:rFonts w:ascii="宋体" w:hAnsi="宋体" w:cs="宋体"/>
          <w:b/>
          <w:color w:val="auto"/>
          <w:sz w:val="30"/>
          <w:szCs w:val="30"/>
        </w:rPr>
        <w:sectPr>
          <w:pgSz w:w="16838" w:h="11906" w:orient="landscape"/>
          <w:pgMar w:top="1440" w:right="1440" w:bottom="1287" w:left="1440" w:header="851" w:footer="992" w:gutter="0"/>
          <w:cols w:space="720" w:num="1"/>
        </w:sectPr>
      </w:pPr>
    </w:p>
    <w:p>
      <w:pPr>
        <w:jc w:val="center"/>
        <w:rPr>
          <w:rFonts w:ascii="宋体" w:hAnsi="宋体" w:cs="宋体"/>
          <w:b/>
          <w:bCs/>
          <w:color w:val="auto"/>
        </w:rPr>
      </w:pPr>
      <w:r>
        <w:rPr>
          <w:rFonts w:ascii="宋体" w:hAnsi="宋体" w:cs="宋体"/>
          <w:b/>
          <w:bCs/>
          <w:color w:val="auto"/>
        </w:rPr>
        <w:t>综合单价计算表</w:t>
      </w:r>
    </w:p>
    <w:p>
      <w:pPr>
        <w:pStyle w:val="2"/>
        <w:rPr>
          <w:color w:val="auto"/>
        </w:rPr>
      </w:pPr>
    </w:p>
    <w:p>
      <w:pPr>
        <w:spacing w:line="280" w:lineRule="exact"/>
        <w:ind w:firstLine="480" w:firstLineChars="200"/>
        <w:rPr>
          <w:color w:val="auto"/>
        </w:rPr>
      </w:pPr>
      <w:r>
        <w:rPr>
          <w:rFonts w:hint="eastAsia"/>
          <w:color w:val="auto"/>
        </w:rPr>
        <w:t>单位（专业）工程名称：</w:t>
      </w:r>
      <w:r>
        <w:rPr>
          <w:color w:val="auto"/>
        </w:rPr>
        <w:t xml:space="preserve">                   </w:t>
      </w:r>
      <w:r>
        <w:rPr>
          <w:rFonts w:hint="eastAsia"/>
          <w:color w:val="auto"/>
        </w:rPr>
        <w:t>标段：</w:t>
      </w:r>
      <w:r>
        <w:rPr>
          <w:color w:val="auto"/>
        </w:rPr>
        <w:t xml:space="preserve">                  </w:t>
      </w:r>
      <w:r>
        <w:rPr>
          <w:rFonts w:hint="eastAsia"/>
          <w:color w:val="auto"/>
        </w:rPr>
        <w:t>第</w:t>
      </w:r>
      <w:r>
        <w:rPr>
          <w:color w:val="auto"/>
        </w:rPr>
        <w:t xml:space="preserve">   </w:t>
      </w:r>
      <w:r>
        <w:rPr>
          <w:rFonts w:hint="eastAsia"/>
          <w:color w:val="auto"/>
        </w:rPr>
        <w:t>页</w:t>
      </w:r>
      <w:r>
        <w:rPr>
          <w:color w:val="auto"/>
        </w:rPr>
        <w:t xml:space="preserve"> </w:t>
      </w:r>
      <w:r>
        <w:rPr>
          <w:rFonts w:hint="eastAsia"/>
          <w:color w:val="auto"/>
        </w:rPr>
        <w:t>共</w:t>
      </w:r>
      <w:r>
        <w:rPr>
          <w:color w:val="auto"/>
        </w:rPr>
        <w:t xml:space="preserve">    </w:t>
      </w:r>
      <w:r>
        <w:rPr>
          <w:rFonts w:hint="eastAsia"/>
          <w:color w:val="auto"/>
        </w:rPr>
        <w:t>页</w:t>
      </w:r>
    </w:p>
    <w:tbl>
      <w:tblPr>
        <w:tblStyle w:val="4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443"/>
        <w:gridCol w:w="1351"/>
        <w:gridCol w:w="555"/>
        <w:gridCol w:w="652"/>
        <w:gridCol w:w="574"/>
        <w:gridCol w:w="728"/>
        <w:gridCol w:w="587"/>
        <w:gridCol w:w="658"/>
        <w:gridCol w:w="644"/>
        <w:gridCol w:w="600"/>
        <w:gridCol w:w="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jc w:val="center"/>
        </w:trPr>
        <w:tc>
          <w:tcPr>
            <w:tcW w:w="426" w:type="dxa"/>
            <w:vMerge w:val="restart"/>
            <w:noWrap w:val="0"/>
            <w:vAlign w:val="center"/>
          </w:tcPr>
          <w:p>
            <w:pPr>
              <w:spacing w:line="240" w:lineRule="exact"/>
              <w:ind w:left="-53" w:leftChars="-39" w:right="-79" w:rightChars="-33" w:hanging="41" w:hangingChars="23"/>
              <w:jc w:val="center"/>
              <w:rPr>
                <w:rFonts w:ascii="宋体" w:hAnsi="宋体"/>
                <w:color w:val="auto"/>
                <w:sz w:val="18"/>
                <w:szCs w:val="18"/>
              </w:rPr>
            </w:pPr>
            <w:r>
              <w:rPr>
                <w:rFonts w:hint="eastAsia" w:ascii="宋体" w:hAnsi="宋体"/>
                <w:color w:val="auto"/>
                <w:sz w:val="18"/>
                <w:szCs w:val="18"/>
              </w:rPr>
              <w:t>清单</w:t>
            </w:r>
          </w:p>
          <w:p>
            <w:pPr>
              <w:spacing w:line="240" w:lineRule="exact"/>
              <w:ind w:left="-53" w:leftChars="-39" w:right="-79" w:rightChars="-33" w:hanging="41" w:hangingChars="23"/>
              <w:jc w:val="center"/>
              <w:rPr>
                <w:rFonts w:ascii="宋体" w:hAnsi="宋体"/>
                <w:color w:val="auto"/>
                <w:sz w:val="18"/>
                <w:szCs w:val="18"/>
              </w:rPr>
            </w:pPr>
            <w:r>
              <w:rPr>
                <w:rFonts w:hint="eastAsia" w:ascii="宋体" w:hAnsi="宋体"/>
                <w:color w:val="auto"/>
                <w:sz w:val="18"/>
                <w:szCs w:val="18"/>
              </w:rPr>
              <w:t>序号</w:t>
            </w:r>
          </w:p>
        </w:tc>
        <w:tc>
          <w:tcPr>
            <w:tcW w:w="1443" w:type="dxa"/>
            <w:vMerge w:val="restart"/>
            <w:noWrap w:val="0"/>
            <w:vAlign w:val="center"/>
          </w:tcPr>
          <w:p>
            <w:pPr>
              <w:spacing w:line="240" w:lineRule="exact"/>
              <w:jc w:val="center"/>
              <w:rPr>
                <w:rFonts w:ascii="宋体" w:hAnsi="宋体"/>
                <w:color w:val="auto"/>
                <w:sz w:val="18"/>
                <w:szCs w:val="18"/>
              </w:rPr>
            </w:pPr>
            <w:r>
              <w:rPr>
                <w:rFonts w:hint="eastAsia" w:ascii="宋体" w:hAnsi="宋体"/>
                <w:color w:val="auto"/>
                <w:sz w:val="18"/>
                <w:szCs w:val="18"/>
              </w:rPr>
              <w:t>项目编码</w:t>
            </w:r>
          </w:p>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（定额编号）</w:t>
            </w:r>
          </w:p>
        </w:tc>
        <w:tc>
          <w:tcPr>
            <w:tcW w:w="1351" w:type="dxa"/>
            <w:vMerge w:val="restart"/>
            <w:noWrap w:val="0"/>
            <w:vAlign w:val="center"/>
          </w:tcPr>
          <w:p>
            <w:pPr>
              <w:spacing w:line="240" w:lineRule="exact"/>
              <w:jc w:val="center"/>
              <w:rPr>
                <w:rFonts w:ascii="宋体" w:hAnsi="宋体"/>
                <w:color w:val="auto"/>
                <w:sz w:val="18"/>
                <w:szCs w:val="18"/>
              </w:rPr>
            </w:pPr>
            <w:r>
              <w:rPr>
                <w:rFonts w:hint="eastAsia" w:ascii="宋体" w:hAnsi="宋体"/>
                <w:color w:val="auto"/>
                <w:sz w:val="18"/>
                <w:szCs w:val="18"/>
              </w:rPr>
              <w:t>清单（定额）</w:t>
            </w:r>
          </w:p>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项目名称</w:t>
            </w:r>
          </w:p>
        </w:tc>
        <w:tc>
          <w:tcPr>
            <w:tcW w:w="555" w:type="dxa"/>
            <w:vMerge w:val="restart"/>
            <w:noWrap w:val="0"/>
            <w:vAlign w:val="center"/>
          </w:tcPr>
          <w:p>
            <w:pPr>
              <w:spacing w:line="240" w:lineRule="exact"/>
              <w:ind w:left="-43" w:leftChars="-23" w:right="-67" w:rightChars="-28" w:hanging="12" w:hangingChars="7"/>
              <w:jc w:val="center"/>
              <w:rPr>
                <w:rFonts w:ascii="宋体" w:hAnsi="宋体"/>
                <w:color w:val="auto"/>
                <w:sz w:val="18"/>
                <w:szCs w:val="18"/>
              </w:rPr>
            </w:pPr>
            <w:r>
              <w:rPr>
                <w:rFonts w:hint="eastAsia" w:ascii="宋体" w:hAnsi="宋体"/>
                <w:color w:val="auto"/>
                <w:sz w:val="18"/>
                <w:szCs w:val="18"/>
              </w:rPr>
              <w:t>计量</w:t>
            </w:r>
          </w:p>
          <w:p>
            <w:pPr>
              <w:spacing w:line="240" w:lineRule="exact"/>
              <w:ind w:left="-43" w:leftChars="-23" w:right="-67" w:rightChars="-28" w:hanging="12" w:hangingChars="7"/>
              <w:jc w:val="center"/>
              <w:rPr>
                <w:rFonts w:ascii="宋体" w:hAnsi="宋体"/>
                <w:color w:val="auto"/>
                <w:sz w:val="18"/>
                <w:szCs w:val="18"/>
              </w:rPr>
            </w:pPr>
            <w:r>
              <w:rPr>
                <w:rFonts w:hint="eastAsia" w:ascii="宋体" w:hAnsi="宋体"/>
                <w:color w:val="auto"/>
                <w:sz w:val="18"/>
                <w:szCs w:val="18"/>
              </w:rPr>
              <w:t>单位</w:t>
            </w:r>
          </w:p>
        </w:tc>
        <w:tc>
          <w:tcPr>
            <w:tcW w:w="652" w:type="dxa"/>
            <w:vMerge w:val="restart"/>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数量</w:t>
            </w:r>
          </w:p>
        </w:tc>
        <w:tc>
          <w:tcPr>
            <w:tcW w:w="3791" w:type="dxa"/>
            <w:gridSpan w:val="6"/>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综</w:t>
            </w:r>
            <w:r>
              <w:rPr>
                <w:rFonts w:ascii="宋体" w:hAnsi="宋体"/>
                <w:color w:val="auto"/>
                <w:sz w:val="18"/>
                <w:szCs w:val="18"/>
              </w:rPr>
              <w:t xml:space="preserve"> </w:t>
            </w:r>
            <w:r>
              <w:rPr>
                <w:rFonts w:hint="eastAsia" w:ascii="宋体" w:hAnsi="宋体"/>
                <w:color w:val="auto"/>
                <w:sz w:val="18"/>
                <w:szCs w:val="18"/>
              </w:rPr>
              <w:t>合</w:t>
            </w:r>
            <w:r>
              <w:rPr>
                <w:rFonts w:ascii="宋体" w:hAnsi="宋体"/>
                <w:color w:val="auto"/>
                <w:sz w:val="18"/>
                <w:szCs w:val="18"/>
              </w:rPr>
              <w:t xml:space="preserve"> </w:t>
            </w:r>
            <w:r>
              <w:rPr>
                <w:rFonts w:hint="eastAsia" w:ascii="宋体" w:hAnsi="宋体"/>
                <w:color w:val="auto"/>
                <w:sz w:val="18"/>
                <w:szCs w:val="18"/>
              </w:rPr>
              <w:t>单</w:t>
            </w:r>
            <w:r>
              <w:rPr>
                <w:rFonts w:ascii="宋体" w:hAnsi="宋体"/>
                <w:color w:val="auto"/>
                <w:sz w:val="18"/>
                <w:szCs w:val="18"/>
              </w:rPr>
              <w:t xml:space="preserve"> </w:t>
            </w:r>
            <w:r>
              <w:rPr>
                <w:rFonts w:hint="eastAsia" w:ascii="宋体" w:hAnsi="宋体"/>
                <w:color w:val="auto"/>
                <w:sz w:val="18"/>
                <w:szCs w:val="18"/>
              </w:rPr>
              <w:t>价（元）</w:t>
            </w:r>
          </w:p>
        </w:tc>
        <w:tc>
          <w:tcPr>
            <w:tcW w:w="784" w:type="dxa"/>
            <w:vMerge w:val="restart"/>
            <w:noWrap w:val="0"/>
            <w:vAlign w:val="center"/>
          </w:tcPr>
          <w:p>
            <w:pPr>
              <w:spacing w:line="240" w:lineRule="exact"/>
              <w:jc w:val="center"/>
              <w:rPr>
                <w:rFonts w:ascii="宋体" w:hAnsi="宋体"/>
                <w:color w:val="auto"/>
                <w:sz w:val="18"/>
                <w:szCs w:val="18"/>
              </w:rPr>
            </w:pPr>
            <w:r>
              <w:rPr>
                <w:rFonts w:hint="eastAsia" w:ascii="宋体" w:hAnsi="宋体"/>
                <w:color w:val="auto"/>
                <w:sz w:val="18"/>
                <w:szCs w:val="18"/>
              </w:rPr>
              <w:t>合</w:t>
            </w:r>
            <w:r>
              <w:rPr>
                <w:rFonts w:ascii="宋体" w:hAnsi="宋体"/>
                <w:color w:val="auto"/>
                <w:sz w:val="18"/>
                <w:szCs w:val="18"/>
              </w:rPr>
              <w:t xml:space="preserve"> </w:t>
            </w:r>
            <w:r>
              <w:rPr>
                <w:rFonts w:hint="eastAsia" w:ascii="宋体" w:hAnsi="宋体"/>
                <w:color w:val="auto"/>
                <w:sz w:val="18"/>
                <w:szCs w:val="18"/>
              </w:rPr>
              <w:t>计</w:t>
            </w:r>
          </w:p>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43"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351"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55"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52"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74" w:type="dxa"/>
            <w:noWrap w:val="0"/>
            <w:vAlign w:val="center"/>
          </w:tcPr>
          <w:p>
            <w:pPr>
              <w:spacing w:line="240" w:lineRule="exact"/>
              <w:ind w:left="-211" w:leftChars="-88" w:right="-113" w:rightChars="-47"/>
              <w:jc w:val="center"/>
              <w:rPr>
                <w:rFonts w:ascii="宋体" w:hAnsi="宋体"/>
                <w:color w:val="auto"/>
                <w:sz w:val="18"/>
                <w:szCs w:val="18"/>
              </w:rPr>
            </w:pPr>
            <w:r>
              <w:rPr>
                <w:rFonts w:hint="eastAsia" w:ascii="宋体" w:hAnsi="宋体"/>
                <w:color w:val="auto"/>
                <w:sz w:val="18"/>
                <w:szCs w:val="18"/>
              </w:rPr>
              <w:t>人工</w:t>
            </w:r>
          </w:p>
          <w:p>
            <w:pPr>
              <w:spacing w:line="240" w:lineRule="exact"/>
              <w:ind w:left="-211" w:leftChars="-88" w:right="-113" w:rightChars="-47"/>
              <w:jc w:val="center"/>
              <w:rPr>
                <w:rFonts w:ascii="宋体" w:hAnsi="宋体"/>
                <w:color w:val="auto"/>
                <w:sz w:val="18"/>
                <w:szCs w:val="18"/>
              </w:rPr>
            </w:pPr>
            <w:r>
              <w:rPr>
                <w:rFonts w:hint="eastAsia" w:ascii="宋体" w:hAnsi="宋体"/>
                <w:color w:val="auto"/>
                <w:sz w:val="18"/>
                <w:szCs w:val="18"/>
              </w:rPr>
              <w:t>费</w:t>
            </w:r>
          </w:p>
        </w:tc>
        <w:tc>
          <w:tcPr>
            <w:tcW w:w="728" w:type="dxa"/>
            <w:noWrap w:val="0"/>
            <w:vAlign w:val="center"/>
          </w:tcPr>
          <w:p>
            <w:pPr>
              <w:spacing w:line="240" w:lineRule="exact"/>
              <w:ind w:left="-1" w:leftChars="-1" w:right="-113" w:rightChars="-47" w:hanging="1"/>
              <w:jc w:val="center"/>
              <w:rPr>
                <w:rFonts w:ascii="宋体" w:hAnsi="宋体"/>
                <w:color w:val="auto"/>
                <w:sz w:val="18"/>
                <w:szCs w:val="18"/>
              </w:rPr>
            </w:pPr>
            <w:r>
              <w:rPr>
                <w:rFonts w:hint="eastAsia" w:ascii="宋体" w:hAnsi="宋体"/>
                <w:color w:val="auto"/>
                <w:sz w:val="18"/>
                <w:szCs w:val="18"/>
              </w:rPr>
              <w:t>材料</w:t>
            </w:r>
          </w:p>
          <w:p>
            <w:pPr>
              <w:spacing w:line="240" w:lineRule="exact"/>
              <w:ind w:left="-1" w:leftChars="-1" w:right="-113" w:rightChars="-47" w:hanging="1"/>
              <w:jc w:val="center"/>
              <w:rPr>
                <w:rFonts w:ascii="宋体" w:hAnsi="宋体"/>
                <w:color w:val="auto"/>
                <w:sz w:val="18"/>
                <w:szCs w:val="18"/>
              </w:rPr>
            </w:pPr>
            <w:r>
              <w:rPr>
                <w:rFonts w:ascii="宋体" w:hAnsi="宋体"/>
                <w:color w:val="auto"/>
                <w:sz w:val="18"/>
                <w:szCs w:val="18"/>
              </w:rPr>
              <w:t>(设备)费</w:t>
            </w:r>
          </w:p>
        </w:tc>
        <w:tc>
          <w:tcPr>
            <w:tcW w:w="587" w:type="dxa"/>
            <w:noWrap w:val="0"/>
            <w:vAlign w:val="center"/>
          </w:tcPr>
          <w:p>
            <w:pPr>
              <w:spacing w:line="240" w:lineRule="exact"/>
              <w:ind w:left="-1" w:leftChars="-1" w:right="-113" w:rightChars="-47" w:hanging="1"/>
              <w:jc w:val="center"/>
              <w:rPr>
                <w:rFonts w:ascii="宋体" w:hAnsi="宋体"/>
                <w:color w:val="auto"/>
                <w:sz w:val="18"/>
                <w:szCs w:val="18"/>
              </w:rPr>
            </w:pPr>
            <w:r>
              <w:rPr>
                <w:rFonts w:hint="eastAsia" w:ascii="宋体" w:hAnsi="宋体"/>
                <w:color w:val="auto"/>
                <w:sz w:val="18"/>
                <w:szCs w:val="18"/>
              </w:rPr>
              <w:t>机械费</w:t>
            </w:r>
          </w:p>
        </w:tc>
        <w:tc>
          <w:tcPr>
            <w:tcW w:w="658" w:type="dxa"/>
            <w:noWrap w:val="0"/>
            <w:vAlign w:val="center"/>
          </w:tcPr>
          <w:p>
            <w:pPr>
              <w:spacing w:line="240" w:lineRule="exact"/>
              <w:ind w:left="-1" w:leftChars="-1" w:right="-113" w:rightChars="-47" w:hanging="1"/>
              <w:jc w:val="center"/>
              <w:rPr>
                <w:rFonts w:ascii="宋体" w:hAnsi="宋体"/>
                <w:color w:val="auto"/>
                <w:sz w:val="18"/>
                <w:szCs w:val="18"/>
              </w:rPr>
            </w:pPr>
            <w:r>
              <w:rPr>
                <w:rFonts w:hint="eastAsia" w:ascii="宋体" w:hAnsi="宋体"/>
                <w:color w:val="auto"/>
                <w:sz w:val="18"/>
                <w:szCs w:val="18"/>
              </w:rPr>
              <w:t>管理</w:t>
            </w:r>
          </w:p>
          <w:p>
            <w:pPr>
              <w:spacing w:line="240" w:lineRule="exact"/>
              <w:ind w:left="-1" w:leftChars="-1" w:right="-113" w:rightChars="-47" w:hanging="1"/>
              <w:jc w:val="center"/>
              <w:rPr>
                <w:rFonts w:ascii="宋体" w:hAnsi="宋体"/>
                <w:color w:val="auto"/>
                <w:sz w:val="18"/>
                <w:szCs w:val="18"/>
              </w:rPr>
            </w:pPr>
            <w:r>
              <w:rPr>
                <w:rFonts w:hint="eastAsia" w:ascii="宋体" w:hAnsi="宋体"/>
                <w:color w:val="auto"/>
                <w:sz w:val="18"/>
                <w:szCs w:val="18"/>
              </w:rPr>
              <w:t>费</w:t>
            </w:r>
          </w:p>
        </w:tc>
        <w:tc>
          <w:tcPr>
            <w:tcW w:w="644" w:type="dxa"/>
            <w:noWrap w:val="0"/>
            <w:vAlign w:val="center"/>
          </w:tcPr>
          <w:p>
            <w:pPr>
              <w:spacing w:line="240" w:lineRule="exact"/>
              <w:ind w:left="-1" w:leftChars="-1" w:right="-113" w:rightChars="-47" w:hanging="1"/>
              <w:jc w:val="center"/>
              <w:rPr>
                <w:rFonts w:ascii="宋体" w:hAnsi="宋体"/>
                <w:color w:val="auto"/>
                <w:sz w:val="18"/>
                <w:szCs w:val="18"/>
              </w:rPr>
            </w:pPr>
            <w:r>
              <w:rPr>
                <w:rFonts w:hint="eastAsia" w:ascii="宋体" w:hAnsi="宋体"/>
                <w:color w:val="auto"/>
                <w:sz w:val="18"/>
                <w:szCs w:val="18"/>
              </w:rPr>
              <w:t>利润</w:t>
            </w:r>
          </w:p>
        </w:tc>
        <w:tc>
          <w:tcPr>
            <w:tcW w:w="600"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小计</w:t>
            </w:r>
          </w:p>
        </w:tc>
        <w:tc>
          <w:tcPr>
            <w:tcW w:w="784"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426"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ascii="宋体" w:hAnsi="宋体"/>
                <w:color w:val="auto"/>
                <w:sz w:val="18"/>
                <w:szCs w:val="18"/>
              </w:rPr>
              <w:t>1</w:t>
            </w:r>
          </w:p>
        </w:tc>
        <w:tc>
          <w:tcPr>
            <w:tcW w:w="1443"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（清单编码）</w:t>
            </w:r>
          </w:p>
        </w:tc>
        <w:tc>
          <w:tcPr>
            <w:tcW w:w="1351"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（清单名称）</w:t>
            </w:r>
          </w:p>
        </w:tc>
        <w:tc>
          <w:tcPr>
            <w:tcW w:w="555" w:type="dxa"/>
            <w:noWrap w:val="0"/>
            <w:vAlign w:val="top"/>
          </w:tcPr>
          <w:p>
            <w:pPr>
              <w:spacing w:line="240" w:lineRule="exact"/>
              <w:jc w:val="center"/>
              <w:rPr>
                <w:rFonts w:ascii="宋体" w:hAnsi="宋体"/>
                <w:color w:val="auto"/>
                <w:sz w:val="18"/>
                <w:szCs w:val="18"/>
              </w:rPr>
            </w:pPr>
          </w:p>
        </w:tc>
        <w:tc>
          <w:tcPr>
            <w:tcW w:w="652" w:type="dxa"/>
            <w:noWrap w:val="0"/>
            <w:vAlign w:val="top"/>
          </w:tcPr>
          <w:p>
            <w:pPr>
              <w:spacing w:line="240" w:lineRule="exact"/>
              <w:jc w:val="center"/>
              <w:rPr>
                <w:rFonts w:ascii="宋体" w:hAnsi="宋体"/>
                <w:color w:val="auto"/>
                <w:sz w:val="18"/>
                <w:szCs w:val="18"/>
              </w:rPr>
            </w:pPr>
          </w:p>
        </w:tc>
        <w:tc>
          <w:tcPr>
            <w:tcW w:w="574" w:type="dxa"/>
            <w:noWrap w:val="0"/>
            <w:vAlign w:val="top"/>
          </w:tcPr>
          <w:p>
            <w:pPr>
              <w:spacing w:line="240" w:lineRule="exact"/>
              <w:jc w:val="center"/>
              <w:rPr>
                <w:rFonts w:ascii="宋体" w:hAnsi="宋体"/>
                <w:color w:val="auto"/>
                <w:sz w:val="18"/>
                <w:szCs w:val="18"/>
              </w:rPr>
            </w:pPr>
          </w:p>
        </w:tc>
        <w:tc>
          <w:tcPr>
            <w:tcW w:w="728" w:type="dxa"/>
            <w:noWrap w:val="0"/>
            <w:vAlign w:val="top"/>
          </w:tcPr>
          <w:p>
            <w:pPr>
              <w:spacing w:line="240" w:lineRule="exact"/>
              <w:jc w:val="center"/>
              <w:rPr>
                <w:rFonts w:ascii="宋体" w:hAnsi="宋体"/>
                <w:color w:val="auto"/>
                <w:sz w:val="18"/>
                <w:szCs w:val="18"/>
              </w:rPr>
            </w:pPr>
          </w:p>
        </w:tc>
        <w:tc>
          <w:tcPr>
            <w:tcW w:w="587" w:type="dxa"/>
            <w:noWrap w:val="0"/>
            <w:vAlign w:val="top"/>
          </w:tcPr>
          <w:p>
            <w:pPr>
              <w:spacing w:line="240" w:lineRule="exact"/>
              <w:jc w:val="center"/>
              <w:rPr>
                <w:rFonts w:ascii="宋体" w:hAnsi="宋体"/>
                <w:color w:val="auto"/>
                <w:sz w:val="18"/>
                <w:szCs w:val="18"/>
              </w:rPr>
            </w:pPr>
          </w:p>
        </w:tc>
        <w:tc>
          <w:tcPr>
            <w:tcW w:w="658" w:type="dxa"/>
            <w:noWrap w:val="0"/>
            <w:vAlign w:val="top"/>
          </w:tcPr>
          <w:p>
            <w:pPr>
              <w:spacing w:line="240" w:lineRule="exact"/>
              <w:jc w:val="center"/>
              <w:rPr>
                <w:rFonts w:ascii="宋体" w:hAnsi="宋体"/>
                <w:color w:val="auto"/>
                <w:sz w:val="18"/>
                <w:szCs w:val="18"/>
              </w:rPr>
            </w:pPr>
          </w:p>
        </w:tc>
        <w:tc>
          <w:tcPr>
            <w:tcW w:w="644" w:type="dxa"/>
            <w:noWrap w:val="0"/>
            <w:vAlign w:val="top"/>
          </w:tcPr>
          <w:p>
            <w:pPr>
              <w:spacing w:line="240" w:lineRule="exact"/>
              <w:jc w:val="center"/>
              <w:rPr>
                <w:rFonts w:ascii="宋体" w:hAnsi="宋体"/>
                <w:color w:val="auto"/>
                <w:sz w:val="18"/>
                <w:szCs w:val="18"/>
              </w:rPr>
            </w:pPr>
          </w:p>
        </w:tc>
        <w:tc>
          <w:tcPr>
            <w:tcW w:w="600"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8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426"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c>
          <w:tcPr>
            <w:tcW w:w="1443"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（定额编号）</w:t>
            </w:r>
          </w:p>
        </w:tc>
        <w:tc>
          <w:tcPr>
            <w:tcW w:w="1351"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（定额名称）</w:t>
            </w:r>
          </w:p>
        </w:tc>
        <w:tc>
          <w:tcPr>
            <w:tcW w:w="555"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52"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7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28"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7"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58"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4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00"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8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26"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43"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351"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55"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52"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7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28"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7"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58"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4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00"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8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26"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c>
          <w:tcPr>
            <w:tcW w:w="1443"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c>
          <w:tcPr>
            <w:tcW w:w="1351"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c>
          <w:tcPr>
            <w:tcW w:w="555"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52"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7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28"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7"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58"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4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00"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8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26"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43"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351"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55"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52"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7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28"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7"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58"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4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600"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8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8218" w:type="dxa"/>
            <w:gridSpan w:val="11"/>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合</w:t>
            </w:r>
            <w:r>
              <w:rPr>
                <w:rFonts w:ascii="宋体" w:hAnsi="宋体"/>
                <w:color w:val="auto"/>
                <w:sz w:val="18"/>
                <w:szCs w:val="18"/>
              </w:rPr>
              <w:t xml:space="preserve">   </w:t>
            </w:r>
            <w:r>
              <w:rPr>
                <w:rFonts w:hint="eastAsia" w:ascii="宋体" w:hAnsi="宋体"/>
                <w:color w:val="auto"/>
                <w:sz w:val="18"/>
                <w:szCs w:val="18"/>
              </w:rPr>
              <w:t>计</w:t>
            </w:r>
          </w:p>
        </w:tc>
        <w:tc>
          <w:tcPr>
            <w:tcW w:w="784"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r>
    </w:tbl>
    <w:p>
      <w:pPr>
        <w:spacing w:line="240" w:lineRule="exact"/>
        <w:ind w:left="1" w:leftChars="-38" w:right="-113" w:rightChars="-47" w:hanging="92" w:hangingChars="38"/>
        <w:rPr>
          <w:rFonts w:ascii="宋体" w:hAnsi="宋体"/>
          <w:color w:val="auto"/>
          <w:sz w:val="18"/>
          <w:szCs w:val="18"/>
        </w:rPr>
      </w:pPr>
      <w:r>
        <w:rPr>
          <w:rFonts w:ascii="宋体" w:hAnsi="宋体"/>
          <w:b/>
          <w:color w:val="auto"/>
          <w:szCs w:val="21"/>
        </w:rPr>
        <w:t xml:space="preserve">    </w:t>
      </w:r>
      <w:r>
        <w:rPr>
          <w:rFonts w:hint="eastAsia" w:ascii="宋体" w:hAnsi="宋体"/>
          <w:color w:val="auto"/>
          <w:sz w:val="18"/>
          <w:szCs w:val="18"/>
        </w:rPr>
        <w:t>注：</w:t>
      </w:r>
    </w:p>
    <w:p>
      <w:pPr>
        <w:spacing w:line="240" w:lineRule="exact"/>
        <w:ind w:left="-14" w:leftChars="-6" w:right="-113" w:rightChars="-47" w:firstLine="540" w:firstLineChars="300"/>
        <w:rPr>
          <w:rFonts w:ascii="宋体" w:hAnsi="宋体"/>
          <w:color w:val="auto"/>
          <w:sz w:val="18"/>
          <w:szCs w:val="18"/>
        </w:rPr>
      </w:pPr>
      <w:r>
        <w:rPr>
          <w:rFonts w:hint="eastAsia" w:ascii="宋体" w:hAnsi="宋体"/>
          <w:color w:val="auto"/>
          <w:sz w:val="18"/>
          <w:szCs w:val="18"/>
        </w:rPr>
        <w:t>本表中涉及的计费标准请填入以下公式括号内：</w:t>
      </w:r>
    </w:p>
    <w:p>
      <w:pPr>
        <w:spacing w:line="240" w:lineRule="exact"/>
        <w:ind w:left="-23" w:leftChars="-38" w:right="-113" w:rightChars="-47" w:hanging="68" w:hangingChars="38"/>
        <w:rPr>
          <w:rFonts w:ascii="宋体" w:hAnsi="宋体"/>
          <w:color w:val="auto"/>
          <w:sz w:val="18"/>
          <w:szCs w:val="18"/>
        </w:rPr>
      </w:pPr>
      <w:r>
        <w:rPr>
          <w:rFonts w:ascii="宋体" w:hAnsi="宋体"/>
          <w:color w:val="auto"/>
          <w:sz w:val="18"/>
          <w:szCs w:val="18"/>
        </w:rPr>
        <w:t xml:space="preserve">       管理费=（计算基数名称）×（费率）、利润=（计算基数名称）×（费率）</w:t>
      </w:r>
    </w:p>
    <w:p>
      <w:pPr>
        <w:rPr>
          <w:color w:val="auto"/>
        </w:rPr>
      </w:pPr>
    </w:p>
    <w:p>
      <w:pPr>
        <w:jc w:val="center"/>
        <w:rPr>
          <w:rFonts w:ascii="宋体" w:hAnsi="宋体" w:cs="宋体"/>
          <w:b/>
          <w:bCs/>
          <w:color w:val="auto"/>
        </w:rPr>
      </w:pPr>
      <w:r>
        <w:rPr>
          <w:rFonts w:ascii="宋体" w:hAnsi="宋体" w:cs="宋体"/>
          <w:b/>
          <w:bCs/>
          <w:color w:val="auto"/>
        </w:rPr>
        <w:t>综合单价工料机分析表</w:t>
      </w:r>
    </w:p>
    <w:p>
      <w:pPr>
        <w:pStyle w:val="2"/>
        <w:rPr>
          <w:color w:val="auto"/>
        </w:rPr>
      </w:pPr>
    </w:p>
    <w:p>
      <w:pPr>
        <w:spacing w:line="240" w:lineRule="exact"/>
        <w:ind w:leftChars="-38" w:right="-113" w:rightChars="-47" w:hanging="91" w:hangingChars="38"/>
        <w:rPr>
          <w:rFonts w:ascii="宋体" w:hAnsi="宋体"/>
          <w:color w:val="auto"/>
          <w:sz w:val="18"/>
          <w:szCs w:val="18"/>
        </w:rPr>
      </w:pPr>
      <w:r>
        <w:rPr>
          <w:rFonts w:hint="eastAsia"/>
          <w:color w:val="auto"/>
        </w:rPr>
        <w:t>单位（专业）工程名称：</w:t>
      </w:r>
      <w:r>
        <w:rPr>
          <w:color w:val="auto"/>
        </w:rPr>
        <w:t xml:space="preserve">                        </w:t>
      </w:r>
      <w:r>
        <w:rPr>
          <w:rFonts w:hint="eastAsia"/>
          <w:color w:val="auto"/>
        </w:rPr>
        <w:t>标段：</w:t>
      </w:r>
      <w:r>
        <w:rPr>
          <w:color w:val="auto"/>
        </w:rPr>
        <w:t xml:space="preserve">                   </w:t>
      </w:r>
      <w:r>
        <w:rPr>
          <w:rFonts w:hint="eastAsia"/>
          <w:color w:val="auto"/>
        </w:rPr>
        <w:t>第</w:t>
      </w:r>
      <w:r>
        <w:rPr>
          <w:color w:val="auto"/>
        </w:rPr>
        <w:t xml:space="preserve">  </w:t>
      </w:r>
      <w:r>
        <w:rPr>
          <w:rFonts w:hint="eastAsia"/>
          <w:color w:val="auto"/>
        </w:rPr>
        <w:t>页</w:t>
      </w:r>
      <w:r>
        <w:rPr>
          <w:color w:val="auto"/>
        </w:rPr>
        <w:t xml:space="preserve"> </w:t>
      </w:r>
      <w:r>
        <w:rPr>
          <w:rFonts w:hint="eastAsia"/>
          <w:color w:val="auto"/>
        </w:rPr>
        <w:t>共</w:t>
      </w:r>
      <w:r>
        <w:rPr>
          <w:color w:val="auto"/>
        </w:rPr>
        <w:t xml:space="preserve">    </w:t>
      </w:r>
      <w:r>
        <w:rPr>
          <w:rFonts w:hint="eastAsia"/>
          <w:color w:val="auto"/>
        </w:rPr>
        <w:t>页</w:t>
      </w:r>
    </w:p>
    <w:tbl>
      <w:tblPr>
        <w:tblStyle w:val="40"/>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585"/>
        <w:gridCol w:w="161"/>
        <w:gridCol w:w="1301"/>
        <w:gridCol w:w="540"/>
        <w:gridCol w:w="91"/>
        <w:gridCol w:w="700"/>
        <w:gridCol w:w="248"/>
        <w:gridCol w:w="709"/>
        <w:gridCol w:w="1440"/>
        <w:gridCol w:w="731"/>
        <w:gridCol w:w="558"/>
        <w:gridCol w:w="522"/>
        <w:gridCol w:w="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2" w:type="dxa"/>
            <w:gridSpan w:val="3"/>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项目编码</w:t>
            </w:r>
          </w:p>
        </w:tc>
        <w:tc>
          <w:tcPr>
            <w:tcW w:w="1932" w:type="dxa"/>
            <w:gridSpan w:val="3"/>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948"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项目名称</w:t>
            </w:r>
          </w:p>
        </w:tc>
        <w:tc>
          <w:tcPr>
            <w:tcW w:w="2880" w:type="dxa"/>
            <w:gridSpan w:val="3"/>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080"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计量单位</w:t>
            </w:r>
          </w:p>
        </w:tc>
        <w:tc>
          <w:tcPr>
            <w:tcW w:w="990"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9002" w:type="dxa"/>
            <w:gridSpan w:val="14"/>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清单综合单价组成明细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426" w:type="dxa"/>
            <w:vMerge w:val="restart"/>
            <w:noWrap w:val="0"/>
            <w:vAlign w:val="center"/>
          </w:tcPr>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序号</w:t>
            </w:r>
          </w:p>
        </w:tc>
        <w:tc>
          <w:tcPr>
            <w:tcW w:w="2047" w:type="dxa"/>
            <w:gridSpan w:val="3"/>
            <w:vMerge w:val="restart"/>
            <w:noWrap w:val="0"/>
            <w:vAlign w:val="center"/>
          </w:tcPr>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名称及规格、型号</w:t>
            </w:r>
          </w:p>
        </w:tc>
        <w:tc>
          <w:tcPr>
            <w:tcW w:w="540" w:type="dxa"/>
            <w:vMerge w:val="restart"/>
            <w:noWrap w:val="0"/>
            <w:vAlign w:val="center"/>
          </w:tcPr>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单位</w:t>
            </w:r>
          </w:p>
        </w:tc>
        <w:tc>
          <w:tcPr>
            <w:tcW w:w="791" w:type="dxa"/>
            <w:gridSpan w:val="2"/>
            <w:vMerge w:val="restart"/>
            <w:noWrap w:val="0"/>
            <w:vAlign w:val="center"/>
          </w:tcPr>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数量</w:t>
            </w:r>
          </w:p>
        </w:tc>
        <w:tc>
          <w:tcPr>
            <w:tcW w:w="957" w:type="dxa"/>
            <w:gridSpan w:val="2"/>
            <w:vMerge w:val="restart"/>
            <w:noWrap w:val="0"/>
            <w:vAlign w:val="center"/>
          </w:tcPr>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单价</w:t>
            </w:r>
          </w:p>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（元）</w:t>
            </w:r>
          </w:p>
        </w:tc>
        <w:tc>
          <w:tcPr>
            <w:tcW w:w="1440" w:type="dxa"/>
            <w:noWrap w:val="0"/>
            <w:vAlign w:val="center"/>
          </w:tcPr>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其</w:t>
            </w:r>
            <w:r>
              <w:rPr>
                <w:rFonts w:ascii="宋体" w:hAnsi="宋体"/>
                <w:color w:val="auto"/>
                <w:sz w:val="18"/>
                <w:szCs w:val="18"/>
              </w:rPr>
              <w:t xml:space="preserve"> </w:t>
            </w:r>
            <w:r>
              <w:rPr>
                <w:rFonts w:hint="eastAsia" w:ascii="宋体" w:hAnsi="宋体"/>
                <w:color w:val="auto"/>
                <w:sz w:val="18"/>
                <w:szCs w:val="18"/>
              </w:rPr>
              <w:t>中</w:t>
            </w:r>
          </w:p>
        </w:tc>
        <w:tc>
          <w:tcPr>
            <w:tcW w:w="1289" w:type="dxa"/>
            <w:gridSpan w:val="2"/>
            <w:vMerge w:val="restart"/>
            <w:noWrap w:val="0"/>
            <w:vAlign w:val="center"/>
          </w:tcPr>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合价（元）</w:t>
            </w:r>
          </w:p>
        </w:tc>
        <w:tc>
          <w:tcPr>
            <w:tcW w:w="1512" w:type="dxa"/>
            <w:gridSpan w:val="2"/>
            <w:noWrap w:val="0"/>
            <w:vAlign w:val="center"/>
          </w:tcPr>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其</w:t>
            </w:r>
            <w:r>
              <w:rPr>
                <w:rFonts w:ascii="宋体" w:hAnsi="宋体"/>
                <w:color w:val="auto"/>
                <w:sz w:val="18"/>
                <w:szCs w:val="18"/>
              </w:rPr>
              <w:t xml:space="preserve"> </w:t>
            </w:r>
            <w:r>
              <w:rPr>
                <w:rFonts w:hint="eastAsia" w:ascii="宋体" w:hAnsi="宋体"/>
                <w:color w:val="auto"/>
                <w:sz w:val="18"/>
                <w:szCs w:val="18"/>
              </w:rPr>
              <w:t>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426" w:type="dxa"/>
            <w:vMerge w:val="continue"/>
            <w:noWrap w:val="0"/>
            <w:vAlign w:val="center"/>
          </w:tcPr>
          <w:p>
            <w:pPr>
              <w:spacing w:line="280" w:lineRule="exact"/>
              <w:ind w:left="-23" w:leftChars="-38" w:right="-113" w:rightChars="-47" w:hanging="68" w:hangingChars="38"/>
              <w:jc w:val="center"/>
              <w:rPr>
                <w:rFonts w:ascii="宋体" w:hAnsi="宋体"/>
                <w:color w:val="auto"/>
                <w:sz w:val="18"/>
                <w:szCs w:val="18"/>
              </w:rPr>
            </w:pPr>
          </w:p>
        </w:tc>
        <w:tc>
          <w:tcPr>
            <w:tcW w:w="2047" w:type="dxa"/>
            <w:gridSpan w:val="3"/>
            <w:vMerge w:val="continue"/>
            <w:noWrap w:val="0"/>
            <w:vAlign w:val="center"/>
          </w:tcPr>
          <w:p>
            <w:pPr>
              <w:spacing w:line="280" w:lineRule="exact"/>
              <w:ind w:left="-23" w:leftChars="-38" w:right="-113" w:rightChars="-47" w:hanging="68" w:hangingChars="38"/>
              <w:jc w:val="center"/>
              <w:rPr>
                <w:rFonts w:ascii="宋体" w:hAnsi="宋体"/>
                <w:color w:val="auto"/>
                <w:sz w:val="18"/>
                <w:szCs w:val="18"/>
              </w:rPr>
            </w:pPr>
          </w:p>
        </w:tc>
        <w:tc>
          <w:tcPr>
            <w:tcW w:w="540" w:type="dxa"/>
            <w:vMerge w:val="continue"/>
            <w:noWrap w:val="0"/>
            <w:vAlign w:val="top"/>
          </w:tcPr>
          <w:p>
            <w:pPr>
              <w:spacing w:line="280" w:lineRule="exact"/>
              <w:ind w:left="-38"/>
              <w:jc w:val="center"/>
              <w:rPr>
                <w:rFonts w:ascii="宋体" w:hAnsi="宋体"/>
                <w:color w:val="auto"/>
                <w:sz w:val="18"/>
                <w:szCs w:val="18"/>
              </w:rPr>
            </w:pPr>
          </w:p>
        </w:tc>
        <w:tc>
          <w:tcPr>
            <w:tcW w:w="791" w:type="dxa"/>
            <w:gridSpan w:val="2"/>
            <w:vMerge w:val="continue"/>
            <w:noWrap w:val="0"/>
            <w:vAlign w:val="top"/>
          </w:tcPr>
          <w:p>
            <w:pPr>
              <w:spacing w:line="280" w:lineRule="exact"/>
              <w:ind w:left="-38"/>
              <w:jc w:val="center"/>
              <w:rPr>
                <w:rFonts w:ascii="宋体" w:hAnsi="宋体"/>
                <w:color w:val="auto"/>
                <w:sz w:val="18"/>
                <w:szCs w:val="18"/>
              </w:rPr>
            </w:pPr>
          </w:p>
        </w:tc>
        <w:tc>
          <w:tcPr>
            <w:tcW w:w="957" w:type="dxa"/>
            <w:gridSpan w:val="2"/>
            <w:vMerge w:val="continue"/>
            <w:noWrap w:val="0"/>
            <w:vAlign w:val="top"/>
          </w:tcPr>
          <w:p>
            <w:pPr>
              <w:spacing w:line="280" w:lineRule="exact"/>
              <w:ind w:left="-38"/>
              <w:jc w:val="center"/>
              <w:rPr>
                <w:rFonts w:ascii="宋体" w:hAnsi="宋体"/>
                <w:color w:val="auto"/>
                <w:sz w:val="18"/>
                <w:szCs w:val="18"/>
              </w:rPr>
            </w:pPr>
          </w:p>
        </w:tc>
        <w:tc>
          <w:tcPr>
            <w:tcW w:w="1440" w:type="dxa"/>
            <w:noWrap w:val="0"/>
            <w:vAlign w:val="top"/>
          </w:tcPr>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暂估单价</w:t>
            </w:r>
            <w:r>
              <w:rPr>
                <w:rFonts w:ascii="宋体" w:hAnsi="宋体"/>
                <w:color w:val="auto"/>
                <w:sz w:val="18"/>
                <w:szCs w:val="18"/>
              </w:rPr>
              <w:t>(元)</w:t>
            </w:r>
          </w:p>
        </w:tc>
        <w:tc>
          <w:tcPr>
            <w:tcW w:w="1289" w:type="dxa"/>
            <w:gridSpan w:val="2"/>
            <w:vMerge w:val="continue"/>
            <w:noWrap w:val="0"/>
            <w:vAlign w:val="top"/>
          </w:tcPr>
          <w:p>
            <w:pPr>
              <w:spacing w:line="28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spacing w:line="28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暂估合价（元）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jc w:val="center"/>
        </w:trPr>
        <w:tc>
          <w:tcPr>
            <w:tcW w:w="426" w:type="dxa"/>
            <w:vMerge w:val="restart"/>
            <w:noWrap w:val="0"/>
            <w:vAlign w:val="center"/>
          </w:tcPr>
          <w:p>
            <w:pPr>
              <w:spacing w:line="240" w:lineRule="exact"/>
              <w:ind w:left="-23" w:leftChars="-38" w:right="-113" w:rightChars="-47" w:hanging="68" w:hangingChars="38"/>
              <w:jc w:val="center"/>
              <w:rPr>
                <w:rFonts w:ascii="宋体" w:hAnsi="宋体"/>
                <w:color w:val="auto"/>
                <w:sz w:val="18"/>
                <w:szCs w:val="18"/>
              </w:rPr>
            </w:pPr>
            <w:r>
              <w:rPr>
                <w:rFonts w:ascii="宋体" w:hAnsi="宋体"/>
                <w:color w:val="auto"/>
                <w:sz w:val="18"/>
                <w:szCs w:val="18"/>
              </w:rPr>
              <w:t>1</w:t>
            </w:r>
          </w:p>
        </w:tc>
        <w:tc>
          <w:tcPr>
            <w:tcW w:w="585" w:type="dxa"/>
            <w:vMerge w:val="restart"/>
            <w:noWrap w:val="0"/>
            <w:vAlign w:val="center"/>
          </w:tcPr>
          <w:p>
            <w:pPr>
              <w:spacing w:line="240" w:lineRule="exact"/>
              <w:jc w:val="center"/>
              <w:rPr>
                <w:rFonts w:ascii="宋体" w:hAnsi="宋体"/>
                <w:color w:val="auto"/>
                <w:sz w:val="18"/>
                <w:szCs w:val="18"/>
              </w:rPr>
            </w:pPr>
            <w:r>
              <w:rPr>
                <w:rFonts w:hint="eastAsia" w:ascii="宋体" w:hAnsi="宋体"/>
                <w:color w:val="auto"/>
                <w:sz w:val="18"/>
                <w:szCs w:val="18"/>
              </w:rPr>
              <w:t>人</w:t>
            </w:r>
          </w:p>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工</w:t>
            </w:r>
          </w:p>
        </w:tc>
        <w:tc>
          <w:tcPr>
            <w:tcW w:w="1462" w:type="dxa"/>
            <w:gridSpan w:val="2"/>
            <w:noWrap w:val="0"/>
            <w:vAlign w:val="center"/>
          </w:tcPr>
          <w:p>
            <w:pPr>
              <w:spacing w:line="240" w:lineRule="exact"/>
              <w:ind w:left="-23" w:leftChars="-38" w:right="-113" w:rightChars="-47" w:hanging="68" w:hangingChars="38"/>
              <w:rPr>
                <w:rFonts w:ascii="宋体" w:hAnsi="宋体"/>
                <w:color w:val="auto"/>
                <w:sz w:val="18"/>
                <w:szCs w:val="18"/>
              </w:rPr>
            </w:pPr>
            <w:r>
              <w:rPr>
                <w:rFonts w:hint="eastAsia" w:ascii="宋体" w:hAnsi="宋体"/>
                <w:color w:val="auto"/>
                <w:sz w:val="18"/>
                <w:szCs w:val="18"/>
              </w:rPr>
              <w:t>一类人工</w:t>
            </w:r>
          </w:p>
        </w:tc>
        <w:tc>
          <w:tcPr>
            <w:tcW w:w="540" w:type="dxa"/>
            <w:noWrap w:val="0"/>
            <w:vAlign w:val="top"/>
          </w:tcPr>
          <w:p>
            <w:pPr>
              <w:spacing w:line="240" w:lineRule="exact"/>
              <w:jc w:val="center"/>
              <w:rPr>
                <w:rFonts w:ascii="宋体" w:hAnsi="宋体"/>
                <w:color w:val="auto"/>
                <w:sz w:val="18"/>
                <w:szCs w:val="18"/>
              </w:rPr>
            </w:pPr>
          </w:p>
        </w:tc>
        <w:tc>
          <w:tcPr>
            <w:tcW w:w="791" w:type="dxa"/>
            <w:gridSpan w:val="2"/>
            <w:noWrap w:val="0"/>
            <w:vAlign w:val="top"/>
          </w:tcPr>
          <w:p>
            <w:pPr>
              <w:spacing w:line="240" w:lineRule="exact"/>
              <w:jc w:val="center"/>
              <w:rPr>
                <w:rFonts w:ascii="宋体" w:hAnsi="宋体"/>
                <w:color w:val="auto"/>
                <w:sz w:val="18"/>
                <w:szCs w:val="18"/>
              </w:rPr>
            </w:pPr>
          </w:p>
        </w:tc>
        <w:tc>
          <w:tcPr>
            <w:tcW w:w="957" w:type="dxa"/>
            <w:gridSpan w:val="2"/>
            <w:noWrap w:val="0"/>
            <w:vAlign w:val="top"/>
          </w:tcPr>
          <w:p>
            <w:pPr>
              <w:spacing w:line="240" w:lineRule="exact"/>
              <w:jc w:val="center"/>
              <w:rPr>
                <w:rFonts w:ascii="宋体" w:hAnsi="宋体"/>
                <w:color w:val="auto"/>
                <w:sz w:val="18"/>
                <w:szCs w:val="18"/>
              </w:rPr>
            </w:pPr>
          </w:p>
        </w:tc>
        <w:tc>
          <w:tcPr>
            <w:tcW w:w="1440" w:type="dxa"/>
            <w:noWrap w:val="0"/>
            <w:vAlign w:val="top"/>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c>
          <w:tcPr>
            <w:tcW w:w="1289"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5"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62" w:type="dxa"/>
            <w:gridSpan w:val="2"/>
            <w:noWrap w:val="0"/>
            <w:vAlign w:val="center"/>
          </w:tcPr>
          <w:p>
            <w:pPr>
              <w:spacing w:line="240" w:lineRule="exact"/>
              <w:ind w:left="-23" w:leftChars="-38" w:right="-113" w:rightChars="-47" w:hanging="68" w:hangingChars="38"/>
              <w:rPr>
                <w:rFonts w:ascii="宋体" w:hAnsi="宋体"/>
                <w:color w:val="auto"/>
                <w:sz w:val="18"/>
                <w:szCs w:val="18"/>
              </w:rPr>
            </w:pPr>
            <w:r>
              <w:rPr>
                <w:rFonts w:hint="eastAsia" w:ascii="宋体" w:hAnsi="宋体"/>
                <w:color w:val="auto"/>
                <w:sz w:val="18"/>
                <w:szCs w:val="18"/>
              </w:rPr>
              <w:t>二类人工</w:t>
            </w:r>
          </w:p>
        </w:tc>
        <w:tc>
          <w:tcPr>
            <w:tcW w:w="540" w:type="dxa"/>
            <w:noWrap w:val="0"/>
            <w:vAlign w:val="top"/>
          </w:tcPr>
          <w:p>
            <w:pPr>
              <w:spacing w:line="240" w:lineRule="exact"/>
              <w:jc w:val="center"/>
              <w:rPr>
                <w:rFonts w:ascii="宋体" w:hAnsi="宋体"/>
                <w:color w:val="auto"/>
                <w:sz w:val="18"/>
                <w:szCs w:val="18"/>
              </w:rPr>
            </w:pPr>
          </w:p>
        </w:tc>
        <w:tc>
          <w:tcPr>
            <w:tcW w:w="791" w:type="dxa"/>
            <w:gridSpan w:val="2"/>
            <w:noWrap w:val="0"/>
            <w:vAlign w:val="top"/>
          </w:tcPr>
          <w:p>
            <w:pPr>
              <w:spacing w:line="240" w:lineRule="exact"/>
              <w:jc w:val="center"/>
              <w:rPr>
                <w:rFonts w:ascii="宋体" w:hAnsi="宋体"/>
                <w:color w:val="auto"/>
                <w:sz w:val="18"/>
                <w:szCs w:val="18"/>
              </w:rPr>
            </w:pPr>
          </w:p>
        </w:tc>
        <w:tc>
          <w:tcPr>
            <w:tcW w:w="957" w:type="dxa"/>
            <w:gridSpan w:val="2"/>
            <w:noWrap w:val="0"/>
            <w:vAlign w:val="top"/>
          </w:tcPr>
          <w:p>
            <w:pPr>
              <w:spacing w:line="240" w:lineRule="exact"/>
              <w:jc w:val="center"/>
              <w:rPr>
                <w:rFonts w:ascii="宋体" w:hAnsi="宋体"/>
                <w:color w:val="auto"/>
                <w:sz w:val="18"/>
                <w:szCs w:val="18"/>
              </w:rPr>
            </w:pPr>
          </w:p>
        </w:tc>
        <w:tc>
          <w:tcPr>
            <w:tcW w:w="1440" w:type="dxa"/>
            <w:noWrap w:val="0"/>
            <w:vAlign w:val="top"/>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c>
          <w:tcPr>
            <w:tcW w:w="1289"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5"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62" w:type="dxa"/>
            <w:gridSpan w:val="2"/>
            <w:noWrap w:val="0"/>
            <w:vAlign w:val="center"/>
          </w:tcPr>
          <w:p>
            <w:pPr>
              <w:spacing w:line="240" w:lineRule="exact"/>
              <w:ind w:left="-23" w:leftChars="-38" w:right="-113" w:rightChars="-47" w:hanging="68" w:hangingChars="38"/>
              <w:rPr>
                <w:rFonts w:ascii="宋体" w:hAnsi="宋体"/>
                <w:color w:val="auto"/>
                <w:sz w:val="18"/>
                <w:szCs w:val="18"/>
              </w:rPr>
            </w:pPr>
            <w:r>
              <w:rPr>
                <w:rFonts w:hint="eastAsia" w:ascii="宋体" w:hAnsi="宋体"/>
                <w:color w:val="auto"/>
                <w:sz w:val="18"/>
                <w:szCs w:val="18"/>
              </w:rPr>
              <w:t>三类人工</w:t>
            </w:r>
          </w:p>
        </w:tc>
        <w:tc>
          <w:tcPr>
            <w:tcW w:w="540" w:type="dxa"/>
            <w:noWrap w:val="0"/>
            <w:vAlign w:val="top"/>
          </w:tcPr>
          <w:p>
            <w:pPr>
              <w:spacing w:line="240" w:lineRule="exact"/>
              <w:jc w:val="center"/>
              <w:rPr>
                <w:rFonts w:ascii="宋体" w:hAnsi="宋体"/>
                <w:color w:val="auto"/>
                <w:sz w:val="18"/>
                <w:szCs w:val="18"/>
              </w:rPr>
            </w:pPr>
          </w:p>
        </w:tc>
        <w:tc>
          <w:tcPr>
            <w:tcW w:w="791" w:type="dxa"/>
            <w:gridSpan w:val="2"/>
            <w:noWrap w:val="0"/>
            <w:vAlign w:val="top"/>
          </w:tcPr>
          <w:p>
            <w:pPr>
              <w:spacing w:line="240" w:lineRule="exact"/>
              <w:jc w:val="center"/>
              <w:rPr>
                <w:rFonts w:ascii="宋体" w:hAnsi="宋体"/>
                <w:color w:val="auto"/>
                <w:sz w:val="18"/>
                <w:szCs w:val="18"/>
              </w:rPr>
            </w:pPr>
          </w:p>
        </w:tc>
        <w:tc>
          <w:tcPr>
            <w:tcW w:w="957" w:type="dxa"/>
            <w:gridSpan w:val="2"/>
            <w:noWrap w:val="0"/>
            <w:vAlign w:val="top"/>
          </w:tcPr>
          <w:p>
            <w:pPr>
              <w:spacing w:line="240" w:lineRule="exact"/>
              <w:jc w:val="center"/>
              <w:rPr>
                <w:rFonts w:ascii="宋体" w:hAnsi="宋体"/>
                <w:color w:val="auto"/>
                <w:sz w:val="18"/>
                <w:szCs w:val="18"/>
              </w:rPr>
            </w:pPr>
          </w:p>
        </w:tc>
        <w:tc>
          <w:tcPr>
            <w:tcW w:w="1440" w:type="dxa"/>
            <w:noWrap w:val="0"/>
            <w:vAlign w:val="top"/>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c>
          <w:tcPr>
            <w:tcW w:w="1289"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775" w:type="dxa"/>
            <w:gridSpan w:val="9"/>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人工费小计</w:t>
            </w:r>
          </w:p>
        </w:tc>
        <w:tc>
          <w:tcPr>
            <w:tcW w:w="1289"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 w:hRule="atLeast"/>
          <w:jc w:val="center"/>
        </w:trPr>
        <w:tc>
          <w:tcPr>
            <w:tcW w:w="426" w:type="dxa"/>
            <w:vMerge w:val="restart"/>
            <w:noWrap w:val="0"/>
            <w:vAlign w:val="center"/>
          </w:tcPr>
          <w:p>
            <w:pPr>
              <w:spacing w:line="240" w:lineRule="exact"/>
              <w:ind w:left="-23" w:leftChars="-38" w:right="-113" w:rightChars="-47" w:hanging="68" w:hangingChars="38"/>
              <w:jc w:val="center"/>
              <w:rPr>
                <w:rFonts w:ascii="宋体" w:hAnsi="宋体"/>
                <w:color w:val="auto"/>
                <w:sz w:val="18"/>
                <w:szCs w:val="18"/>
              </w:rPr>
            </w:pPr>
            <w:r>
              <w:rPr>
                <w:rFonts w:ascii="宋体" w:hAnsi="宋体"/>
                <w:color w:val="auto"/>
                <w:sz w:val="18"/>
                <w:szCs w:val="18"/>
              </w:rPr>
              <w:t>2</w:t>
            </w:r>
          </w:p>
        </w:tc>
        <w:tc>
          <w:tcPr>
            <w:tcW w:w="585" w:type="dxa"/>
            <w:vMerge w:val="restart"/>
            <w:noWrap w:val="0"/>
            <w:vAlign w:val="center"/>
          </w:tcPr>
          <w:p>
            <w:pPr>
              <w:spacing w:line="240" w:lineRule="exact"/>
              <w:ind w:left="-86" w:leftChars="-38" w:right="-113" w:rightChars="-47" w:hanging="5" w:hangingChars="3"/>
              <w:jc w:val="center"/>
              <w:rPr>
                <w:rFonts w:ascii="宋体" w:hAnsi="宋体"/>
                <w:color w:val="auto"/>
                <w:sz w:val="18"/>
                <w:szCs w:val="18"/>
              </w:rPr>
            </w:pPr>
            <w:r>
              <w:rPr>
                <w:rFonts w:hint="eastAsia" w:ascii="宋体" w:hAnsi="宋体"/>
                <w:color w:val="auto"/>
                <w:sz w:val="18"/>
                <w:szCs w:val="18"/>
              </w:rPr>
              <w:t>材料</w:t>
            </w:r>
            <w:r>
              <w:rPr>
                <w:rFonts w:ascii="宋体" w:hAnsi="宋体"/>
                <w:color w:val="auto"/>
                <w:sz w:val="18"/>
                <w:szCs w:val="18"/>
              </w:rPr>
              <w:t xml:space="preserve"> </w:t>
            </w:r>
          </w:p>
          <w:p>
            <w:pPr>
              <w:spacing w:line="240" w:lineRule="exact"/>
              <w:ind w:left="-86" w:leftChars="-38" w:right="-113" w:rightChars="-47" w:hanging="5" w:hangingChars="3"/>
              <w:jc w:val="center"/>
              <w:rPr>
                <w:rFonts w:ascii="宋体" w:hAnsi="宋体"/>
                <w:color w:val="auto"/>
                <w:sz w:val="18"/>
                <w:szCs w:val="18"/>
              </w:rPr>
            </w:pPr>
            <w:r>
              <w:rPr>
                <w:rFonts w:ascii="宋体" w:hAnsi="宋体"/>
                <w:color w:val="auto"/>
                <w:sz w:val="18"/>
                <w:szCs w:val="18"/>
              </w:rPr>
              <w:t>(工程设备)</w:t>
            </w:r>
          </w:p>
        </w:tc>
        <w:tc>
          <w:tcPr>
            <w:tcW w:w="1462" w:type="dxa"/>
            <w:gridSpan w:val="2"/>
            <w:noWrap w:val="0"/>
            <w:vAlign w:val="center"/>
          </w:tcPr>
          <w:p>
            <w:pPr>
              <w:spacing w:line="240" w:lineRule="exact"/>
              <w:ind w:left="-23" w:leftChars="-38" w:right="-113" w:rightChars="-47" w:hanging="68" w:hangingChars="38"/>
              <w:rPr>
                <w:rFonts w:ascii="宋体" w:hAnsi="宋体"/>
                <w:color w:val="auto"/>
                <w:sz w:val="18"/>
                <w:szCs w:val="18"/>
              </w:rPr>
            </w:pPr>
          </w:p>
        </w:tc>
        <w:tc>
          <w:tcPr>
            <w:tcW w:w="540" w:type="dxa"/>
            <w:noWrap w:val="0"/>
            <w:vAlign w:val="top"/>
          </w:tcPr>
          <w:p>
            <w:pPr>
              <w:spacing w:line="240" w:lineRule="exact"/>
              <w:jc w:val="center"/>
              <w:rPr>
                <w:rFonts w:ascii="宋体" w:hAnsi="宋体"/>
                <w:color w:val="auto"/>
                <w:sz w:val="18"/>
                <w:szCs w:val="18"/>
              </w:rPr>
            </w:pPr>
          </w:p>
        </w:tc>
        <w:tc>
          <w:tcPr>
            <w:tcW w:w="791" w:type="dxa"/>
            <w:gridSpan w:val="2"/>
            <w:noWrap w:val="0"/>
            <w:vAlign w:val="top"/>
          </w:tcPr>
          <w:p>
            <w:pPr>
              <w:spacing w:line="240" w:lineRule="exact"/>
              <w:jc w:val="center"/>
              <w:rPr>
                <w:rFonts w:ascii="宋体" w:hAnsi="宋体"/>
                <w:color w:val="auto"/>
                <w:sz w:val="18"/>
                <w:szCs w:val="18"/>
              </w:rPr>
            </w:pPr>
          </w:p>
        </w:tc>
        <w:tc>
          <w:tcPr>
            <w:tcW w:w="957" w:type="dxa"/>
            <w:gridSpan w:val="2"/>
            <w:noWrap w:val="0"/>
            <w:vAlign w:val="top"/>
          </w:tcPr>
          <w:p>
            <w:pPr>
              <w:spacing w:line="240" w:lineRule="exact"/>
              <w:jc w:val="center"/>
              <w:rPr>
                <w:rFonts w:ascii="宋体" w:hAnsi="宋体"/>
                <w:color w:val="auto"/>
                <w:sz w:val="18"/>
                <w:szCs w:val="18"/>
              </w:rPr>
            </w:pPr>
          </w:p>
        </w:tc>
        <w:tc>
          <w:tcPr>
            <w:tcW w:w="1440" w:type="dxa"/>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289"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5"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62" w:type="dxa"/>
            <w:gridSpan w:val="2"/>
            <w:noWrap w:val="0"/>
            <w:vAlign w:val="center"/>
          </w:tcPr>
          <w:p>
            <w:pPr>
              <w:spacing w:line="240" w:lineRule="exact"/>
              <w:ind w:left="-23" w:leftChars="-38" w:right="-113" w:rightChars="-47" w:hanging="68" w:hangingChars="38"/>
              <w:rPr>
                <w:rFonts w:ascii="宋体" w:hAnsi="宋体"/>
                <w:color w:val="auto"/>
                <w:sz w:val="18"/>
                <w:szCs w:val="18"/>
              </w:rPr>
            </w:pPr>
          </w:p>
        </w:tc>
        <w:tc>
          <w:tcPr>
            <w:tcW w:w="540" w:type="dxa"/>
            <w:noWrap w:val="0"/>
            <w:vAlign w:val="top"/>
          </w:tcPr>
          <w:p>
            <w:pPr>
              <w:spacing w:line="240" w:lineRule="exact"/>
              <w:jc w:val="center"/>
              <w:rPr>
                <w:rFonts w:ascii="宋体" w:hAnsi="宋体"/>
                <w:color w:val="auto"/>
                <w:sz w:val="18"/>
                <w:szCs w:val="18"/>
              </w:rPr>
            </w:pPr>
          </w:p>
        </w:tc>
        <w:tc>
          <w:tcPr>
            <w:tcW w:w="791" w:type="dxa"/>
            <w:gridSpan w:val="2"/>
            <w:noWrap w:val="0"/>
            <w:vAlign w:val="top"/>
          </w:tcPr>
          <w:p>
            <w:pPr>
              <w:spacing w:line="240" w:lineRule="exact"/>
              <w:jc w:val="center"/>
              <w:rPr>
                <w:rFonts w:ascii="宋体" w:hAnsi="宋体"/>
                <w:color w:val="auto"/>
                <w:sz w:val="18"/>
                <w:szCs w:val="18"/>
              </w:rPr>
            </w:pPr>
          </w:p>
        </w:tc>
        <w:tc>
          <w:tcPr>
            <w:tcW w:w="957" w:type="dxa"/>
            <w:gridSpan w:val="2"/>
            <w:noWrap w:val="0"/>
            <w:vAlign w:val="top"/>
          </w:tcPr>
          <w:p>
            <w:pPr>
              <w:spacing w:line="240" w:lineRule="exact"/>
              <w:jc w:val="center"/>
              <w:rPr>
                <w:rFonts w:ascii="宋体" w:hAnsi="宋体"/>
                <w:color w:val="auto"/>
                <w:sz w:val="18"/>
                <w:szCs w:val="18"/>
              </w:rPr>
            </w:pPr>
          </w:p>
        </w:tc>
        <w:tc>
          <w:tcPr>
            <w:tcW w:w="1440" w:type="dxa"/>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289"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5"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62" w:type="dxa"/>
            <w:gridSpan w:val="2"/>
            <w:noWrap w:val="0"/>
            <w:vAlign w:val="center"/>
          </w:tcPr>
          <w:p>
            <w:pPr>
              <w:spacing w:line="240" w:lineRule="exact"/>
              <w:ind w:left="-23" w:leftChars="-38" w:right="-113" w:rightChars="-47" w:hanging="68" w:hangingChars="38"/>
              <w:rPr>
                <w:rFonts w:ascii="宋体" w:hAnsi="宋体"/>
                <w:color w:val="auto"/>
                <w:sz w:val="18"/>
                <w:szCs w:val="18"/>
              </w:rPr>
            </w:pPr>
          </w:p>
        </w:tc>
        <w:tc>
          <w:tcPr>
            <w:tcW w:w="540" w:type="dxa"/>
            <w:noWrap w:val="0"/>
            <w:vAlign w:val="top"/>
          </w:tcPr>
          <w:p>
            <w:pPr>
              <w:spacing w:line="240" w:lineRule="exact"/>
              <w:jc w:val="center"/>
              <w:rPr>
                <w:rFonts w:ascii="宋体" w:hAnsi="宋体"/>
                <w:color w:val="auto"/>
                <w:sz w:val="18"/>
                <w:szCs w:val="18"/>
              </w:rPr>
            </w:pPr>
          </w:p>
        </w:tc>
        <w:tc>
          <w:tcPr>
            <w:tcW w:w="791" w:type="dxa"/>
            <w:gridSpan w:val="2"/>
            <w:noWrap w:val="0"/>
            <w:vAlign w:val="top"/>
          </w:tcPr>
          <w:p>
            <w:pPr>
              <w:spacing w:line="240" w:lineRule="exact"/>
              <w:jc w:val="center"/>
              <w:rPr>
                <w:rFonts w:ascii="宋体" w:hAnsi="宋体"/>
                <w:color w:val="auto"/>
                <w:sz w:val="18"/>
                <w:szCs w:val="18"/>
              </w:rPr>
            </w:pPr>
          </w:p>
        </w:tc>
        <w:tc>
          <w:tcPr>
            <w:tcW w:w="957" w:type="dxa"/>
            <w:gridSpan w:val="2"/>
            <w:noWrap w:val="0"/>
            <w:vAlign w:val="top"/>
          </w:tcPr>
          <w:p>
            <w:pPr>
              <w:spacing w:line="240" w:lineRule="exact"/>
              <w:jc w:val="center"/>
              <w:rPr>
                <w:rFonts w:ascii="宋体" w:hAnsi="宋体"/>
                <w:color w:val="auto"/>
                <w:sz w:val="18"/>
                <w:szCs w:val="18"/>
              </w:rPr>
            </w:pPr>
          </w:p>
        </w:tc>
        <w:tc>
          <w:tcPr>
            <w:tcW w:w="1440" w:type="dxa"/>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289"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5"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62" w:type="dxa"/>
            <w:gridSpan w:val="2"/>
            <w:noWrap w:val="0"/>
            <w:vAlign w:val="center"/>
          </w:tcPr>
          <w:p>
            <w:pPr>
              <w:spacing w:line="240" w:lineRule="exact"/>
              <w:ind w:left="-23" w:leftChars="-38" w:right="-113" w:rightChars="-47" w:hanging="68" w:hangingChars="38"/>
              <w:rPr>
                <w:rFonts w:ascii="宋体" w:hAnsi="宋体"/>
                <w:color w:val="auto"/>
                <w:sz w:val="18"/>
                <w:szCs w:val="18"/>
              </w:rPr>
            </w:pPr>
            <w:r>
              <w:rPr>
                <w:rFonts w:hint="eastAsia" w:ascii="宋体" w:hAnsi="宋体"/>
                <w:color w:val="auto"/>
                <w:sz w:val="18"/>
                <w:szCs w:val="18"/>
              </w:rPr>
              <w:t>其他材料费</w:t>
            </w:r>
          </w:p>
        </w:tc>
        <w:tc>
          <w:tcPr>
            <w:tcW w:w="540" w:type="dxa"/>
            <w:noWrap w:val="0"/>
            <w:vAlign w:val="top"/>
          </w:tcPr>
          <w:p>
            <w:pPr>
              <w:spacing w:line="240" w:lineRule="exact"/>
              <w:jc w:val="center"/>
              <w:rPr>
                <w:rFonts w:ascii="宋体" w:hAnsi="宋体"/>
                <w:color w:val="auto"/>
                <w:sz w:val="18"/>
                <w:szCs w:val="18"/>
              </w:rPr>
            </w:pPr>
          </w:p>
        </w:tc>
        <w:tc>
          <w:tcPr>
            <w:tcW w:w="791" w:type="dxa"/>
            <w:gridSpan w:val="2"/>
            <w:noWrap w:val="0"/>
            <w:vAlign w:val="top"/>
          </w:tcPr>
          <w:p>
            <w:pPr>
              <w:spacing w:line="240" w:lineRule="exact"/>
              <w:jc w:val="center"/>
              <w:rPr>
                <w:rFonts w:ascii="宋体" w:hAnsi="宋体"/>
                <w:color w:val="auto"/>
                <w:sz w:val="18"/>
                <w:szCs w:val="18"/>
              </w:rPr>
            </w:pPr>
          </w:p>
        </w:tc>
        <w:tc>
          <w:tcPr>
            <w:tcW w:w="957" w:type="dxa"/>
            <w:gridSpan w:val="2"/>
            <w:noWrap w:val="0"/>
            <w:vAlign w:val="top"/>
          </w:tcPr>
          <w:p>
            <w:pPr>
              <w:spacing w:line="240" w:lineRule="exact"/>
              <w:jc w:val="center"/>
              <w:rPr>
                <w:rFonts w:ascii="宋体" w:hAnsi="宋体"/>
                <w:color w:val="auto"/>
                <w:sz w:val="18"/>
                <w:szCs w:val="18"/>
              </w:rPr>
            </w:pPr>
          </w:p>
        </w:tc>
        <w:tc>
          <w:tcPr>
            <w:tcW w:w="1440" w:type="dxa"/>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289"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775" w:type="dxa"/>
            <w:gridSpan w:val="9"/>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材料（工程设备）费小计</w:t>
            </w:r>
          </w:p>
        </w:tc>
        <w:tc>
          <w:tcPr>
            <w:tcW w:w="1289"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426" w:type="dxa"/>
            <w:vMerge w:val="restart"/>
            <w:noWrap w:val="0"/>
            <w:vAlign w:val="center"/>
          </w:tcPr>
          <w:p>
            <w:pPr>
              <w:spacing w:line="240" w:lineRule="exact"/>
              <w:ind w:left="-23" w:leftChars="-38" w:right="-113" w:rightChars="-47" w:hanging="68" w:hangingChars="38"/>
              <w:jc w:val="center"/>
              <w:rPr>
                <w:rFonts w:ascii="宋体" w:hAnsi="宋体"/>
                <w:color w:val="auto"/>
                <w:sz w:val="18"/>
                <w:szCs w:val="18"/>
              </w:rPr>
            </w:pPr>
            <w:r>
              <w:rPr>
                <w:rFonts w:ascii="宋体" w:hAnsi="宋体"/>
                <w:color w:val="auto"/>
                <w:sz w:val="18"/>
                <w:szCs w:val="18"/>
              </w:rPr>
              <w:t>3</w:t>
            </w:r>
          </w:p>
        </w:tc>
        <w:tc>
          <w:tcPr>
            <w:tcW w:w="585" w:type="dxa"/>
            <w:vMerge w:val="restart"/>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机</w:t>
            </w:r>
          </w:p>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械</w:t>
            </w:r>
          </w:p>
        </w:tc>
        <w:tc>
          <w:tcPr>
            <w:tcW w:w="1462"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40" w:type="dxa"/>
            <w:noWrap w:val="0"/>
            <w:vAlign w:val="top"/>
          </w:tcPr>
          <w:p>
            <w:pPr>
              <w:spacing w:line="240" w:lineRule="exact"/>
              <w:jc w:val="center"/>
              <w:rPr>
                <w:rFonts w:ascii="宋体" w:hAnsi="宋体"/>
                <w:color w:val="auto"/>
                <w:sz w:val="18"/>
                <w:szCs w:val="18"/>
              </w:rPr>
            </w:pPr>
          </w:p>
        </w:tc>
        <w:tc>
          <w:tcPr>
            <w:tcW w:w="791" w:type="dxa"/>
            <w:gridSpan w:val="2"/>
            <w:noWrap w:val="0"/>
            <w:vAlign w:val="top"/>
          </w:tcPr>
          <w:p>
            <w:pPr>
              <w:spacing w:line="240" w:lineRule="exact"/>
              <w:jc w:val="center"/>
              <w:rPr>
                <w:rFonts w:ascii="宋体" w:hAnsi="宋体"/>
                <w:color w:val="auto"/>
                <w:sz w:val="18"/>
                <w:szCs w:val="18"/>
              </w:rPr>
            </w:pPr>
          </w:p>
        </w:tc>
        <w:tc>
          <w:tcPr>
            <w:tcW w:w="957" w:type="dxa"/>
            <w:gridSpan w:val="2"/>
            <w:noWrap w:val="0"/>
            <w:vAlign w:val="top"/>
          </w:tcPr>
          <w:p>
            <w:pPr>
              <w:spacing w:line="240" w:lineRule="exact"/>
              <w:jc w:val="center"/>
              <w:rPr>
                <w:rFonts w:ascii="宋体" w:hAnsi="宋体"/>
                <w:color w:val="auto"/>
                <w:sz w:val="18"/>
                <w:szCs w:val="18"/>
              </w:rPr>
            </w:pPr>
          </w:p>
        </w:tc>
        <w:tc>
          <w:tcPr>
            <w:tcW w:w="1440" w:type="dxa"/>
            <w:noWrap w:val="0"/>
            <w:vAlign w:val="top"/>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c>
          <w:tcPr>
            <w:tcW w:w="1289" w:type="dxa"/>
            <w:gridSpan w:val="2"/>
            <w:noWrap w:val="0"/>
            <w:vAlign w:val="top"/>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jc w:val="center"/>
              <w:rPr>
                <w:color w:val="auto"/>
              </w:rPr>
            </w:pP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5"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62"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40"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91"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957"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40"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c>
          <w:tcPr>
            <w:tcW w:w="1289"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jc w:val="center"/>
              <w:rPr>
                <w:color w:val="auto"/>
              </w:rPr>
            </w:pP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85"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62"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40" w:type="dxa"/>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791"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957"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440"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w:t>
            </w:r>
          </w:p>
        </w:tc>
        <w:tc>
          <w:tcPr>
            <w:tcW w:w="1289"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jc w:val="center"/>
              <w:rPr>
                <w:color w:val="auto"/>
              </w:rPr>
            </w:pP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426" w:type="dxa"/>
            <w:vMerge w:val="continue"/>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5775" w:type="dxa"/>
            <w:gridSpan w:val="9"/>
            <w:noWrap w:val="0"/>
            <w:vAlign w:val="center"/>
          </w:tcPr>
          <w:p>
            <w:pPr>
              <w:spacing w:line="240" w:lineRule="exact"/>
              <w:ind w:left="-23" w:leftChars="-38" w:right="-113" w:rightChars="-47" w:hanging="68" w:hangingChars="38"/>
              <w:jc w:val="center"/>
              <w:rPr>
                <w:rFonts w:ascii="宋体" w:hAnsi="宋体"/>
                <w:color w:val="auto"/>
                <w:sz w:val="18"/>
                <w:szCs w:val="18"/>
              </w:rPr>
            </w:pPr>
            <w:r>
              <w:rPr>
                <w:rFonts w:hint="eastAsia" w:ascii="宋体" w:hAnsi="宋体"/>
                <w:color w:val="auto"/>
                <w:sz w:val="18"/>
                <w:szCs w:val="18"/>
              </w:rPr>
              <w:t>机械费小计</w:t>
            </w:r>
          </w:p>
        </w:tc>
        <w:tc>
          <w:tcPr>
            <w:tcW w:w="1289"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426"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ascii="宋体" w:hAnsi="宋体"/>
                <w:color w:val="auto"/>
                <w:sz w:val="18"/>
                <w:szCs w:val="18"/>
              </w:rPr>
              <w:t>4</w:t>
            </w:r>
          </w:p>
        </w:tc>
        <w:tc>
          <w:tcPr>
            <w:tcW w:w="5775" w:type="dxa"/>
            <w:gridSpan w:val="9"/>
            <w:noWrap w:val="0"/>
            <w:vAlign w:val="center"/>
          </w:tcPr>
          <w:p>
            <w:pPr>
              <w:spacing w:line="240" w:lineRule="exact"/>
              <w:ind w:left="-23" w:leftChars="-38" w:right="-113" w:rightChars="-47" w:hanging="68" w:hangingChars="38"/>
              <w:rPr>
                <w:rFonts w:ascii="宋体" w:hAnsi="宋体"/>
                <w:color w:val="auto"/>
                <w:sz w:val="18"/>
                <w:szCs w:val="18"/>
              </w:rPr>
            </w:pPr>
            <w:r>
              <w:rPr>
                <w:rFonts w:hint="eastAsia" w:ascii="宋体" w:hAnsi="宋体"/>
                <w:color w:val="auto"/>
                <w:sz w:val="18"/>
                <w:szCs w:val="18"/>
              </w:rPr>
              <w:t>工料机费用合计（</w:t>
            </w:r>
            <w:r>
              <w:rPr>
                <w:rFonts w:ascii="宋体" w:hAnsi="宋体"/>
                <w:color w:val="auto"/>
                <w:sz w:val="18"/>
                <w:szCs w:val="18"/>
              </w:rPr>
              <w:t>1+2+3）</w:t>
            </w:r>
          </w:p>
        </w:tc>
        <w:tc>
          <w:tcPr>
            <w:tcW w:w="1289"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426"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ascii="宋体" w:hAnsi="宋体"/>
                <w:color w:val="auto"/>
                <w:sz w:val="18"/>
                <w:szCs w:val="18"/>
              </w:rPr>
              <w:t>5</w:t>
            </w:r>
          </w:p>
        </w:tc>
        <w:tc>
          <w:tcPr>
            <w:tcW w:w="5775" w:type="dxa"/>
            <w:gridSpan w:val="9"/>
            <w:noWrap w:val="0"/>
            <w:vAlign w:val="center"/>
          </w:tcPr>
          <w:p>
            <w:pPr>
              <w:spacing w:line="240" w:lineRule="exact"/>
              <w:ind w:left="-23" w:leftChars="-38" w:right="-113" w:rightChars="-47" w:hanging="68" w:hangingChars="38"/>
              <w:rPr>
                <w:rFonts w:ascii="宋体" w:hAnsi="宋体"/>
                <w:color w:val="auto"/>
                <w:sz w:val="18"/>
                <w:szCs w:val="18"/>
              </w:rPr>
            </w:pPr>
            <w:r>
              <w:rPr>
                <w:rFonts w:hint="eastAsia" w:ascii="宋体" w:hAnsi="宋体"/>
                <w:color w:val="auto"/>
                <w:sz w:val="18"/>
                <w:szCs w:val="18"/>
              </w:rPr>
              <w:t>管理费</w:t>
            </w:r>
            <w:r>
              <w:rPr>
                <w:rFonts w:ascii="宋体" w:hAnsi="宋体"/>
                <w:color w:val="auto"/>
                <w:sz w:val="18"/>
                <w:szCs w:val="18"/>
              </w:rPr>
              <w:t xml:space="preserve">    </w:t>
            </w:r>
            <w:r>
              <w:rPr>
                <w:rFonts w:hint="eastAsia" w:ascii="宋体" w:hAnsi="宋体"/>
                <w:color w:val="auto"/>
                <w:sz w:val="18"/>
                <w:szCs w:val="18"/>
              </w:rPr>
              <w:t>（计费基数×费率）</w:t>
            </w:r>
          </w:p>
        </w:tc>
        <w:tc>
          <w:tcPr>
            <w:tcW w:w="1289"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jc w:val="center"/>
              <w:rPr>
                <w:color w:val="auto"/>
              </w:rPr>
            </w:pP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426"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ascii="宋体" w:hAnsi="宋体"/>
                <w:color w:val="auto"/>
                <w:sz w:val="18"/>
                <w:szCs w:val="18"/>
              </w:rPr>
              <w:t>6</w:t>
            </w:r>
          </w:p>
        </w:tc>
        <w:tc>
          <w:tcPr>
            <w:tcW w:w="5775" w:type="dxa"/>
            <w:gridSpan w:val="9"/>
            <w:noWrap w:val="0"/>
            <w:vAlign w:val="center"/>
          </w:tcPr>
          <w:p>
            <w:pPr>
              <w:spacing w:line="240" w:lineRule="exact"/>
              <w:ind w:left="-23" w:leftChars="-38" w:right="-113" w:rightChars="-47" w:hanging="68" w:hangingChars="38"/>
              <w:rPr>
                <w:rFonts w:ascii="宋体" w:hAnsi="宋体"/>
                <w:color w:val="auto"/>
                <w:sz w:val="18"/>
                <w:szCs w:val="18"/>
              </w:rPr>
            </w:pPr>
            <w:r>
              <w:rPr>
                <w:rFonts w:hint="eastAsia" w:ascii="宋体" w:hAnsi="宋体"/>
                <w:color w:val="auto"/>
                <w:sz w:val="18"/>
                <w:szCs w:val="18"/>
              </w:rPr>
              <w:t>利润</w:t>
            </w:r>
            <w:r>
              <w:rPr>
                <w:rFonts w:ascii="宋体" w:hAnsi="宋体"/>
                <w:color w:val="auto"/>
                <w:sz w:val="18"/>
                <w:szCs w:val="18"/>
              </w:rPr>
              <w:t xml:space="preserve">      </w:t>
            </w:r>
            <w:r>
              <w:rPr>
                <w:rFonts w:hint="eastAsia" w:ascii="宋体" w:hAnsi="宋体"/>
                <w:color w:val="auto"/>
                <w:sz w:val="18"/>
                <w:szCs w:val="18"/>
              </w:rPr>
              <w:t>（计费基数×费率）</w:t>
            </w:r>
          </w:p>
        </w:tc>
        <w:tc>
          <w:tcPr>
            <w:tcW w:w="1289"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jc w:val="center"/>
              <w:rPr>
                <w:color w:val="auto"/>
              </w:rPr>
            </w:pPr>
            <w:r>
              <w:rPr>
                <w:rFonts w:hint="eastAsia" w:ascii="宋体" w:hAnsi="宋体"/>
                <w:color w:val="auto"/>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426" w:type="dxa"/>
            <w:noWrap w:val="0"/>
            <w:vAlign w:val="center"/>
          </w:tcPr>
          <w:p>
            <w:pPr>
              <w:spacing w:line="240" w:lineRule="exact"/>
              <w:ind w:left="-23" w:leftChars="-38" w:right="-113" w:rightChars="-47" w:hanging="68" w:hangingChars="38"/>
              <w:jc w:val="center"/>
              <w:rPr>
                <w:rFonts w:ascii="宋体" w:hAnsi="宋体"/>
                <w:color w:val="auto"/>
                <w:sz w:val="18"/>
                <w:szCs w:val="18"/>
              </w:rPr>
            </w:pPr>
            <w:r>
              <w:rPr>
                <w:rFonts w:ascii="宋体" w:hAnsi="宋体"/>
                <w:color w:val="auto"/>
                <w:sz w:val="18"/>
                <w:szCs w:val="18"/>
              </w:rPr>
              <w:t>7</w:t>
            </w:r>
          </w:p>
        </w:tc>
        <w:tc>
          <w:tcPr>
            <w:tcW w:w="5775" w:type="dxa"/>
            <w:gridSpan w:val="9"/>
            <w:noWrap w:val="0"/>
            <w:vAlign w:val="center"/>
          </w:tcPr>
          <w:p>
            <w:pPr>
              <w:spacing w:line="240" w:lineRule="exact"/>
              <w:ind w:left="-23" w:leftChars="-38" w:right="-113" w:rightChars="-47" w:hanging="68" w:hangingChars="38"/>
              <w:rPr>
                <w:rFonts w:ascii="宋体" w:hAnsi="宋体"/>
                <w:color w:val="auto"/>
                <w:sz w:val="18"/>
                <w:szCs w:val="18"/>
              </w:rPr>
            </w:pPr>
            <w:r>
              <w:rPr>
                <w:rFonts w:hint="eastAsia" w:ascii="宋体" w:hAnsi="宋体"/>
                <w:color w:val="auto"/>
                <w:sz w:val="18"/>
                <w:szCs w:val="18"/>
              </w:rPr>
              <w:t>综合单价（</w:t>
            </w:r>
            <w:r>
              <w:rPr>
                <w:rFonts w:ascii="宋体" w:hAnsi="宋体"/>
                <w:color w:val="auto"/>
                <w:sz w:val="18"/>
                <w:szCs w:val="18"/>
              </w:rPr>
              <w:t>4+5+6）</w:t>
            </w:r>
          </w:p>
        </w:tc>
        <w:tc>
          <w:tcPr>
            <w:tcW w:w="1289" w:type="dxa"/>
            <w:gridSpan w:val="2"/>
            <w:noWrap w:val="0"/>
            <w:vAlign w:val="center"/>
          </w:tcPr>
          <w:p>
            <w:pPr>
              <w:spacing w:line="240" w:lineRule="exact"/>
              <w:ind w:left="-23" w:leftChars="-38" w:right="-113" w:rightChars="-47" w:hanging="68" w:hangingChars="38"/>
              <w:jc w:val="center"/>
              <w:rPr>
                <w:rFonts w:ascii="宋体" w:hAnsi="宋体"/>
                <w:color w:val="auto"/>
                <w:sz w:val="18"/>
                <w:szCs w:val="18"/>
              </w:rPr>
            </w:pPr>
          </w:p>
        </w:tc>
        <w:tc>
          <w:tcPr>
            <w:tcW w:w="1512" w:type="dxa"/>
            <w:gridSpan w:val="2"/>
            <w:noWrap w:val="0"/>
            <w:vAlign w:val="top"/>
          </w:tcPr>
          <w:p>
            <w:pPr>
              <w:jc w:val="center"/>
              <w:rPr>
                <w:color w:val="auto"/>
              </w:rPr>
            </w:pPr>
            <w:r>
              <w:rPr>
                <w:rFonts w:hint="eastAsia" w:ascii="宋体" w:hAnsi="宋体"/>
                <w:color w:val="auto"/>
                <w:sz w:val="18"/>
                <w:szCs w:val="18"/>
              </w:rPr>
              <w:t>—</w:t>
            </w:r>
          </w:p>
        </w:tc>
      </w:tr>
    </w:tbl>
    <w:p>
      <w:pPr>
        <w:ind w:firstLine="180" w:firstLineChars="100"/>
        <w:rPr>
          <w:rFonts w:ascii="宋体" w:hAnsi="宋体" w:cs="宋体"/>
          <w:color w:val="auto"/>
          <w:sz w:val="18"/>
          <w:szCs w:val="18"/>
        </w:rPr>
      </w:pPr>
      <w:r>
        <w:rPr>
          <w:rFonts w:hint="eastAsia" w:ascii="宋体" w:hAnsi="宋体" w:cs="宋体"/>
          <w:color w:val="auto"/>
          <w:sz w:val="18"/>
          <w:szCs w:val="18"/>
        </w:rPr>
        <w:t>注：</w:t>
      </w:r>
    </w:p>
    <w:p>
      <w:pPr>
        <w:ind w:firstLine="540" w:firstLineChars="300"/>
        <w:rPr>
          <w:rFonts w:ascii="宋体" w:hAnsi="宋体" w:cs="宋体"/>
          <w:color w:val="auto"/>
          <w:sz w:val="18"/>
          <w:szCs w:val="18"/>
        </w:rPr>
      </w:pPr>
      <w:r>
        <w:rPr>
          <w:rFonts w:ascii="宋体" w:hAnsi="宋体" w:cs="宋体"/>
          <w:color w:val="auto"/>
          <w:sz w:val="18"/>
          <w:szCs w:val="18"/>
        </w:rPr>
        <w:t>1.本表为分部分项及施工技术措施综合单价分析通用表。</w:t>
      </w:r>
    </w:p>
    <w:p>
      <w:pPr>
        <w:rPr>
          <w:rFonts w:ascii="宋体" w:hAnsi="宋体" w:cs="ËÎÌå"/>
          <w:color w:val="auto"/>
          <w:szCs w:val="21"/>
        </w:rPr>
      </w:pPr>
      <w:r>
        <w:rPr>
          <w:rFonts w:ascii="宋体" w:hAnsi="宋体" w:cs="宋体"/>
          <w:color w:val="auto"/>
          <w:sz w:val="18"/>
          <w:szCs w:val="18"/>
        </w:rPr>
        <w:t xml:space="preserve">      2.招标文件提供了暂估单价的材料，按暂估的单价填入表内“暂估单价”栏并计算对应的“暂估合价”。</w:t>
      </w:r>
    </w:p>
    <w:p>
      <w:pPr>
        <w:jc w:val="center"/>
        <w:rPr>
          <w:rFonts w:ascii="宋体" w:hAnsi="宋体" w:cs="宋体"/>
          <w:b/>
          <w:bCs/>
          <w:color w:val="auto"/>
        </w:rPr>
      </w:pPr>
    </w:p>
    <w:p>
      <w:pPr>
        <w:jc w:val="center"/>
        <w:rPr>
          <w:rFonts w:ascii="宋体" w:hAnsi="宋体" w:cs="宋体"/>
          <w:b/>
          <w:bCs/>
          <w:color w:val="auto"/>
        </w:rPr>
      </w:pPr>
      <w:r>
        <w:rPr>
          <w:rFonts w:hint="eastAsia" w:ascii="宋体" w:hAnsi="宋体" w:cs="宋体"/>
          <w:b/>
          <w:bCs/>
          <w:color w:val="auto"/>
        </w:rPr>
        <w:t>施工组织措施项目清单与计价表</w:t>
      </w:r>
    </w:p>
    <w:p>
      <w:pPr>
        <w:pStyle w:val="2"/>
        <w:rPr>
          <w:color w:val="auto"/>
        </w:rPr>
      </w:pPr>
    </w:p>
    <w:p>
      <w:pPr>
        <w:rPr>
          <w:rFonts w:ascii="宋体" w:hAnsi="宋体" w:cs="宋体"/>
          <w:color w:val="auto"/>
          <w:sz w:val="21"/>
          <w:szCs w:val="21"/>
        </w:rPr>
      </w:pPr>
      <w:r>
        <w:rPr>
          <w:rFonts w:hint="eastAsia" w:ascii="宋体" w:hAnsi="宋体" w:cs="宋体"/>
          <w:color w:val="auto"/>
          <w:szCs w:val="21"/>
        </w:rPr>
        <w:t>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1004"/>
        <w:gridCol w:w="2160"/>
        <w:gridCol w:w="994"/>
        <w:gridCol w:w="666"/>
        <w:gridCol w:w="1040"/>
        <w:gridCol w:w="720"/>
        <w:gridCol w:w="108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项目编号</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项目名称</w:t>
            </w:r>
          </w:p>
        </w:tc>
        <w:tc>
          <w:tcPr>
            <w:tcW w:w="99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s="宋体"/>
                <w:color w:val="auto"/>
                <w:sz w:val="18"/>
                <w:szCs w:val="18"/>
              </w:rPr>
              <w:t>计算基础</w:t>
            </w: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费率</w:t>
            </w:r>
          </w:p>
          <w:p>
            <w:pPr>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金额</w:t>
            </w:r>
          </w:p>
          <w:p>
            <w:pPr>
              <w:jc w:val="center"/>
              <w:rPr>
                <w:rFonts w:ascii="宋体" w:hAnsi="宋体" w:cs="宋体"/>
                <w:color w:val="auto"/>
                <w:sz w:val="18"/>
                <w:szCs w:val="18"/>
              </w:rPr>
            </w:pPr>
            <w:r>
              <w:rPr>
                <w:rFonts w:hint="eastAsia" w:ascii="宋体" w:hAnsi="宋体" w:cs="宋体"/>
                <w:color w:val="auto"/>
                <w:sz w:val="18"/>
                <w:szCs w:val="18"/>
              </w:rPr>
              <w:t>（元）</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调整</w:t>
            </w:r>
          </w:p>
          <w:p>
            <w:pPr>
              <w:jc w:val="center"/>
              <w:rPr>
                <w:rFonts w:ascii="宋体" w:hAnsi="宋体" w:cs="宋体"/>
                <w:color w:val="auto"/>
                <w:sz w:val="18"/>
                <w:szCs w:val="18"/>
              </w:rPr>
            </w:pPr>
            <w:r>
              <w:rPr>
                <w:rFonts w:hint="eastAsia" w:ascii="宋体" w:hAnsi="宋体" w:cs="宋体"/>
                <w:color w:val="auto"/>
                <w:sz w:val="18"/>
                <w:szCs w:val="18"/>
              </w:rPr>
              <w:t>费率</w:t>
            </w:r>
          </w:p>
          <w:p>
            <w:pPr>
              <w:jc w:val="center"/>
              <w:rPr>
                <w:rFonts w:ascii="宋体" w:hAnsi="宋体" w:cs="宋体"/>
                <w:color w:val="auto"/>
                <w:sz w:val="18"/>
                <w:szCs w:val="18"/>
              </w:rPr>
            </w:pPr>
            <w:r>
              <w:rPr>
                <w:rFonts w:hint="eastAsia" w:ascii="宋体" w:hAnsi="宋体" w:cs="宋体"/>
                <w:color w:val="auto"/>
                <w:sz w:val="18"/>
                <w:szCs w:val="18"/>
              </w:rPr>
              <w:t>（</w:t>
            </w:r>
            <w:r>
              <w:rPr>
                <w:rFonts w:ascii="宋体" w:hAnsi="宋体" w:cs="宋体"/>
                <w:color w:val="auto"/>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调整后</w:t>
            </w:r>
          </w:p>
          <w:p>
            <w:pPr>
              <w:jc w:val="center"/>
              <w:rPr>
                <w:rFonts w:ascii="宋体" w:hAnsi="宋体" w:cs="宋体"/>
                <w:color w:val="auto"/>
                <w:sz w:val="18"/>
                <w:szCs w:val="18"/>
              </w:rPr>
            </w:pPr>
            <w:r>
              <w:rPr>
                <w:rFonts w:hint="eastAsia" w:ascii="宋体" w:hAnsi="宋体" w:cs="宋体"/>
                <w:color w:val="auto"/>
                <w:sz w:val="18"/>
                <w:szCs w:val="18"/>
              </w:rPr>
              <w:t>金额（元）</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18"/>
                <w:szCs w:val="18"/>
              </w:rPr>
            </w:pPr>
            <w:r>
              <w:rPr>
                <w:rFonts w:ascii="宋体" w:hAnsi="宋体" w:cs="宋体"/>
                <w:b/>
                <w:color w:val="auto"/>
                <w:sz w:val="18"/>
                <w:szCs w:val="18"/>
              </w:rPr>
              <w:t>1</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18"/>
                <w:szCs w:val="18"/>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b/>
                <w:color w:val="auto"/>
                <w:sz w:val="18"/>
                <w:szCs w:val="18"/>
              </w:rPr>
            </w:pPr>
            <w:r>
              <w:rPr>
                <w:rFonts w:hint="eastAsia" w:ascii="宋体" w:hAnsi="宋体" w:cs="宋体"/>
                <w:b/>
                <w:color w:val="auto"/>
                <w:sz w:val="18"/>
                <w:szCs w:val="18"/>
              </w:rPr>
              <w:t>安全文明施工费</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18"/>
                <w:szCs w:val="18"/>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18"/>
                <w:szCs w:val="18"/>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1.1</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安全文明施工基本费</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1.2</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标化工地增加费</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2</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s="宋体"/>
                <w:color w:val="auto"/>
                <w:sz w:val="18"/>
                <w:szCs w:val="18"/>
              </w:rPr>
              <w:t>提前竣工增加费</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3</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s="宋体"/>
                <w:color w:val="auto"/>
                <w:sz w:val="18"/>
                <w:szCs w:val="18"/>
              </w:rPr>
              <w:t>二次搬运费</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4</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s="宋体"/>
                <w:color w:val="auto"/>
                <w:sz w:val="18"/>
                <w:szCs w:val="18"/>
              </w:rPr>
              <w:t>冬雨季施工增加费</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5</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s="宋体"/>
                <w:color w:val="auto"/>
                <w:sz w:val="18"/>
                <w:szCs w:val="18"/>
              </w:rPr>
              <w:t>行车、行人干扰增加费</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6</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s="宋体"/>
                <w:color w:val="auto"/>
                <w:sz w:val="18"/>
                <w:szCs w:val="18"/>
              </w:rPr>
              <w:t>其他施工组织措施费</w:t>
            </w: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6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44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w:t>
            </w:r>
            <w:r>
              <w:rPr>
                <w:rFonts w:ascii="宋体" w:hAnsi="宋体" w:cs="宋体"/>
                <w:color w:val="auto"/>
                <w:sz w:val="18"/>
                <w:szCs w:val="18"/>
              </w:rPr>
              <w:t xml:space="preserve">    </w:t>
            </w:r>
            <w:r>
              <w:rPr>
                <w:rFonts w:hint="eastAsia" w:ascii="宋体" w:hAnsi="宋体" w:cs="宋体"/>
                <w:color w:val="auto"/>
                <w:sz w:val="18"/>
                <w:szCs w:val="18"/>
              </w:rPr>
              <w:t>计</w:t>
            </w:r>
          </w:p>
        </w:tc>
        <w:tc>
          <w:tcPr>
            <w:tcW w:w="10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firstLine="360" w:firstLineChars="200"/>
        <w:rPr>
          <w:rFonts w:ascii="宋体" w:hAnsi="宋体" w:cs="宋体"/>
          <w:color w:val="auto"/>
          <w:sz w:val="18"/>
          <w:szCs w:val="18"/>
        </w:rPr>
      </w:pPr>
    </w:p>
    <w:p>
      <w:pPr>
        <w:ind w:firstLine="360" w:firstLineChars="200"/>
        <w:rPr>
          <w:rFonts w:ascii="宋体" w:hAnsi="宋体" w:cs="宋体"/>
          <w:color w:val="auto"/>
          <w:sz w:val="18"/>
          <w:szCs w:val="18"/>
        </w:rPr>
      </w:pPr>
      <w:r>
        <w:rPr>
          <w:rFonts w:hint="eastAsia" w:ascii="宋体" w:hAnsi="宋体" w:cs="宋体"/>
          <w:color w:val="auto"/>
          <w:sz w:val="18"/>
          <w:szCs w:val="18"/>
        </w:rPr>
        <w:t>注：</w:t>
      </w:r>
    </w:p>
    <w:p>
      <w:pPr>
        <w:ind w:left="1186" w:leftChars="344" w:hanging="360" w:hangingChars="200"/>
        <w:rPr>
          <w:rFonts w:ascii="宋体" w:hAnsi="宋体" w:cs="宋体"/>
          <w:color w:val="auto"/>
          <w:sz w:val="18"/>
          <w:szCs w:val="18"/>
        </w:rPr>
      </w:pPr>
      <w:r>
        <w:rPr>
          <w:rFonts w:ascii="宋体" w:hAnsi="宋体" w:cs="宋体"/>
          <w:color w:val="auto"/>
          <w:sz w:val="18"/>
          <w:szCs w:val="18"/>
        </w:rPr>
        <w:t>1.第1.2项工程招投标阶段在其他项目暂列金内计列，竣工结算时按合同约定计算。</w:t>
      </w:r>
    </w:p>
    <w:p>
      <w:pPr>
        <w:ind w:left="1186" w:leftChars="344" w:hanging="360" w:hangingChars="200"/>
        <w:rPr>
          <w:rFonts w:ascii="宋体" w:hAnsi="宋体" w:cs="宋体"/>
          <w:color w:val="auto"/>
          <w:sz w:val="18"/>
          <w:szCs w:val="18"/>
        </w:rPr>
      </w:pPr>
      <w:r>
        <w:rPr>
          <w:rFonts w:ascii="宋体" w:hAnsi="宋体" w:cs="宋体"/>
          <w:color w:val="auto"/>
          <w:sz w:val="18"/>
          <w:szCs w:val="18"/>
        </w:rPr>
        <w:t>2.“其他施工组织措施费”在计价时须列出具体费用名称。</w:t>
      </w:r>
    </w:p>
    <w:p>
      <w:pPr>
        <w:ind w:left="1186" w:leftChars="344" w:hanging="360" w:hangingChars="200"/>
        <w:rPr>
          <w:rFonts w:ascii="宋体" w:hAnsi="宋体" w:cs="宋体"/>
          <w:color w:val="auto"/>
          <w:sz w:val="18"/>
          <w:szCs w:val="18"/>
        </w:rPr>
      </w:pPr>
      <w:r>
        <w:rPr>
          <w:rFonts w:ascii="宋体" w:hAnsi="宋体" w:cs="宋体"/>
          <w:color w:val="auto"/>
          <w:sz w:val="18"/>
          <w:szCs w:val="18"/>
        </w:rPr>
        <w:t>3.工程结算时按合同约定调整费率和金额。</w:t>
      </w:r>
    </w:p>
    <w:p>
      <w:pPr>
        <w:jc w:val="right"/>
        <w:rPr>
          <w:rFonts w:ascii="宋体" w:hAnsi="宋体" w:cs="ËÎÌå"/>
          <w:color w:val="auto"/>
          <w:sz w:val="21"/>
          <w:szCs w:val="21"/>
        </w:rPr>
      </w:pPr>
    </w:p>
    <w:p>
      <w:pPr>
        <w:widowControl/>
        <w:autoSpaceDE/>
        <w:autoSpaceDN/>
        <w:adjustRightInd/>
        <w:rPr>
          <w:rFonts w:ascii="宋体" w:hAnsi="宋体" w:cs="宋体"/>
          <w:color w:val="auto"/>
          <w:sz w:val="30"/>
          <w:szCs w:val="30"/>
        </w:rPr>
      </w:pPr>
      <w:r>
        <w:rPr>
          <w:rFonts w:ascii="宋体" w:hAnsi="宋体" w:cs="宋体"/>
          <w:color w:val="auto"/>
          <w:sz w:val="30"/>
          <w:szCs w:val="30"/>
        </w:rPr>
        <w:br w:type="page"/>
      </w:r>
    </w:p>
    <w:p>
      <w:pPr>
        <w:jc w:val="center"/>
        <w:rPr>
          <w:rFonts w:ascii="宋体" w:hAnsi="宋体" w:cs="宋体"/>
          <w:b/>
          <w:bCs/>
          <w:color w:val="auto"/>
        </w:rPr>
      </w:pPr>
      <w:r>
        <w:rPr>
          <w:rFonts w:hint="eastAsia" w:ascii="宋体" w:hAnsi="宋体" w:cs="宋体"/>
          <w:b/>
          <w:bCs/>
          <w:color w:val="auto"/>
        </w:rPr>
        <w:t>其他项目清单与计价汇总表</w:t>
      </w:r>
    </w:p>
    <w:p>
      <w:pPr>
        <w:pStyle w:val="2"/>
        <w:rPr>
          <w:color w:val="auto"/>
        </w:rPr>
      </w:pPr>
    </w:p>
    <w:p>
      <w:pPr>
        <w:rPr>
          <w:rFonts w:ascii="宋体" w:hAnsi="宋体" w:cs="宋体"/>
          <w:color w:val="auto"/>
          <w:sz w:val="21"/>
          <w:szCs w:val="21"/>
        </w:rPr>
      </w:pPr>
      <w:r>
        <w:rPr>
          <w:rFonts w:hint="eastAsia" w:ascii="宋体" w:hAnsi="宋体" w:cs="宋体"/>
          <w:color w:val="auto"/>
          <w:szCs w:val="21"/>
        </w:rPr>
        <w:t>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3304"/>
        <w:gridCol w:w="1244"/>
        <w:gridCol w:w="16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序号</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项目名称</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金额（元）</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结算金额（元）</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kern w:val="2"/>
              </w:rPr>
            </w:pPr>
            <w:r>
              <w:rPr>
                <w:rFonts w:ascii="宋体" w:hAnsi="宋体" w:eastAsia="宋体"/>
                <w:color w:val="auto"/>
              </w:rPr>
              <w:t>1</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auto"/>
              </w:rPr>
            </w:pPr>
            <w:r>
              <w:rPr>
                <w:rFonts w:hint="eastAsia" w:ascii="宋体" w:hAnsi="宋体" w:eastAsia="宋体"/>
                <w:color w:val="auto"/>
              </w:rPr>
              <w:t>暂列金额</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216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kern w:val="2"/>
              </w:rPr>
            </w:pPr>
            <w:r>
              <w:rPr>
                <w:rFonts w:ascii="宋体" w:hAnsi="宋体" w:eastAsia="宋体"/>
                <w:color w:val="auto"/>
              </w:rPr>
              <w:t>1.1</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auto"/>
              </w:rPr>
            </w:pPr>
            <w:r>
              <w:rPr>
                <w:rFonts w:hint="eastAsia" w:ascii="宋体" w:hAnsi="宋体" w:eastAsia="宋体"/>
                <w:color w:val="auto"/>
              </w:rPr>
              <w:t>标化工地增加费</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kern w:val="2"/>
              </w:rPr>
            </w:pPr>
            <w:r>
              <w:rPr>
                <w:rFonts w:ascii="宋体" w:hAnsi="宋体" w:eastAsia="宋体"/>
                <w:color w:val="auto"/>
              </w:rPr>
              <w:t>1.2</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auto"/>
              </w:rPr>
            </w:pPr>
            <w:r>
              <w:rPr>
                <w:rFonts w:hint="eastAsia" w:ascii="宋体" w:hAnsi="宋体" w:eastAsia="宋体"/>
                <w:color w:val="auto"/>
              </w:rPr>
              <w:t>优质工程增加费</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w:t>
            </w: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kern w:val="2"/>
              </w:rPr>
            </w:pPr>
            <w:r>
              <w:rPr>
                <w:rFonts w:ascii="宋体" w:hAnsi="宋体" w:eastAsia="宋体"/>
                <w:color w:val="auto"/>
              </w:rPr>
              <w:t>1.3</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auto"/>
              </w:rPr>
            </w:pPr>
            <w:r>
              <w:rPr>
                <w:rFonts w:hint="eastAsia" w:ascii="宋体" w:hAnsi="宋体" w:eastAsia="宋体"/>
                <w:color w:val="auto"/>
              </w:rPr>
              <w:t>其他暂列金额</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216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ascii="宋体" w:hAnsi="宋体" w:eastAsia="宋体" w:cs="宋体"/>
                <w:color w:val="auto"/>
              </w:rPr>
              <w:t>2</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color w:val="auto"/>
              </w:rPr>
            </w:pPr>
            <w:r>
              <w:rPr>
                <w:rFonts w:hint="eastAsia" w:ascii="宋体" w:hAnsi="宋体" w:eastAsia="宋体" w:cs="宋体"/>
                <w:color w:val="auto"/>
              </w:rPr>
              <w:t>暂估价</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ascii="宋体" w:hAnsi="宋体" w:eastAsia="宋体" w:cs="宋体"/>
                <w:color w:val="auto"/>
              </w:rPr>
              <w:t>2.1</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color w:val="auto"/>
              </w:rPr>
            </w:pPr>
            <w:r>
              <w:rPr>
                <w:rFonts w:hint="eastAsia" w:ascii="宋体" w:hAnsi="宋体" w:eastAsia="宋体" w:cs="宋体"/>
                <w:color w:val="auto"/>
              </w:rPr>
              <w:t>材料（设备）暂估价</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ascii="宋体" w:hAnsi="宋体" w:eastAsia="宋体" w:cs="宋体"/>
                <w:color w:val="auto"/>
              </w:rPr>
              <w:t>2.2</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color w:val="auto"/>
              </w:rPr>
            </w:pPr>
            <w:r>
              <w:rPr>
                <w:rFonts w:hint="eastAsia" w:ascii="宋体" w:hAnsi="宋体" w:eastAsia="宋体" w:cs="宋体"/>
                <w:color w:val="auto"/>
              </w:rPr>
              <w:t>专业工程暂估价</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olor w:val="auto"/>
                <w:kern w:val="2"/>
              </w:rPr>
            </w:pPr>
            <w:r>
              <w:rPr>
                <w:rFonts w:ascii="宋体" w:hAnsi="宋体" w:eastAsia="宋体"/>
                <w:color w:val="auto"/>
              </w:rPr>
              <w:t>2.3</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olor w:val="auto"/>
              </w:rPr>
            </w:pPr>
            <w:r>
              <w:rPr>
                <w:rFonts w:hint="eastAsia" w:ascii="宋体" w:hAnsi="宋体" w:eastAsia="宋体"/>
                <w:color w:val="auto"/>
              </w:rPr>
              <w:t>专项技术措施暂估价</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w:t>
            </w: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ascii="宋体" w:hAnsi="宋体" w:eastAsia="宋体" w:cs="宋体"/>
                <w:color w:val="auto"/>
              </w:rPr>
              <w:t>3</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color w:val="auto"/>
              </w:rPr>
            </w:pPr>
            <w:r>
              <w:rPr>
                <w:rFonts w:hint="eastAsia" w:ascii="宋体" w:hAnsi="宋体" w:eastAsia="宋体" w:cs="宋体"/>
                <w:color w:val="auto"/>
              </w:rPr>
              <w:t>计日工</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ascii="宋体" w:hAnsi="宋体" w:eastAsia="宋体" w:cs="宋体"/>
                <w:color w:val="auto"/>
              </w:rPr>
              <w:t>4</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color w:val="auto"/>
              </w:rPr>
            </w:pPr>
            <w:r>
              <w:rPr>
                <w:rFonts w:hint="eastAsia" w:ascii="宋体" w:hAnsi="宋体" w:eastAsia="宋体" w:cs="宋体"/>
                <w:color w:val="auto"/>
              </w:rPr>
              <w:t>总承包服务费</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ascii="宋体" w:hAnsi="宋体" w:eastAsia="宋体" w:cs="宋体"/>
                <w:color w:val="auto"/>
              </w:rPr>
              <w:t>5</w:t>
            </w: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color w:val="auto"/>
              </w:rPr>
            </w:pPr>
            <w:r>
              <w:rPr>
                <w:rFonts w:hint="eastAsia" w:ascii="宋体" w:hAnsi="宋体" w:eastAsia="宋体" w:cs="宋体"/>
                <w:color w:val="auto"/>
              </w:rPr>
              <w:t>（索赔与现场签证）</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67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33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eastAsia="宋体" w:cs="宋体"/>
                <w:color w:val="auto"/>
              </w:rPr>
            </w:pP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39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合</w:t>
            </w:r>
            <w:r>
              <w:rPr>
                <w:rFonts w:ascii="宋体" w:hAnsi="宋体" w:eastAsia="宋体" w:cs="宋体"/>
                <w:color w:val="auto"/>
              </w:rPr>
              <w:t xml:space="preserve">     </w:t>
            </w:r>
            <w:r>
              <w:rPr>
                <w:rFonts w:hint="eastAsia" w:ascii="宋体" w:hAnsi="宋体" w:eastAsia="宋体" w:cs="宋体"/>
                <w:color w:val="auto"/>
              </w:rPr>
              <w:t>计</w:t>
            </w:r>
          </w:p>
        </w:tc>
        <w:tc>
          <w:tcPr>
            <w:tcW w:w="124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p>
        </w:tc>
        <w:tc>
          <w:tcPr>
            <w:tcW w:w="21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eastAsia="宋体" w:cs="宋体"/>
                <w:color w:val="auto"/>
              </w:rPr>
            </w:pPr>
            <w:r>
              <w:rPr>
                <w:rFonts w:hint="eastAsia" w:ascii="宋体" w:hAnsi="宋体" w:eastAsia="宋体" w:cs="宋体"/>
                <w:color w:val="auto"/>
              </w:rPr>
              <w:t>—</w:t>
            </w:r>
          </w:p>
        </w:tc>
      </w:tr>
    </w:tbl>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r>
        <w:rPr>
          <w:rFonts w:hint="eastAsia" w:ascii="宋体" w:hAnsi="宋体" w:cs="宋体"/>
          <w:color w:val="auto"/>
          <w:sz w:val="18"/>
          <w:szCs w:val="18"/>
        </w:rPr>
        <w:t>注：</w:t>
      </w:r>
    </w:p>
    <w:p>
      <w:pPr>
        <w:ind w:firstLine="540" w:firstLineChars="300"/>
        <w:rPr>
          <w:rFonts w:ascii="宋体" w:hAnsi="宋体" w:cs="ËÎÌå"/>
          <w:color w:val="auto"/>
          <w:sz w:val="18"/>
          <w:szCs w:val="18"/>
        </w:rPr>
      </w:pPr>
      <w:r>
        <w:rPr>
          <w:rFonts w:ascii="宋体" w:hAnsi="宋体" w:cs="ËÎÌå"/>
          <w:color w:val="auto"/>
          <w:sz w:val="18"/>
          <w:szCs w:val="18"/>
        </w:rPr>
        <w:t>1.工程结算时第1.1项、第1.2项分别在施工组织措施项目和其他项目计价表内计列。</w:t>
      </w:r>
    </w:p>
    <w:p>
      <w:pPr>
        <w:ind w:firstLine="540" w:firstLineChars="300"/>
        <w:rPr>
          <w:rFonts w:ascii="宋体" w:hAnsi="宋体" w:cs="ËÎÌå"/>
          <w:color w:val="auto"/>
          <w:sz w:val="18"/>
          <w:szCs w:val="18"/>
        </w:rPr>
      </w:pPr>
      <w:r>
        <w:rPr>
          <w:rFonts w:ascii="宋体" w:hAnsi="宋体" w:cs="ËÎÌå"/>
          <w:color w:val="auto"/>
          <w:sz w:val="18"/>
          <w:szCs w:val="18"/>
        </w:rPr>
        <w:t>2.工程结算时第2.3项在施工技术措施项目计价表内计列。</w:t>
      </w:r>
    </w:p>
    <w:p>
      <w:pPr>
        <w:ind w:firstLine="540" w:firstLineChars="300"/>
        <w:rPr>
          <w:rFonts w:ascii="宋体" w:hAnsi="宋体" w:cs="宋体"/>
          <w:color w:val="auto"/>
          <w:sz w:val="18"/>
          <w:szCs w:val="18"/>
        </w:rPr>
      </w:pPr>
      <w:r>
        <w:rPr>
          <w:rFonts w:ascii="宋体" w:hAnsi="宋体" w:cs="ËÎÌå"/>
          <w:color w:val="auto"/>
          <w:sz w:val="18"/>
          <w:szCs w:val="18"/>
        </w:rPr>
        <w:t>3.</w:t>
      </w:r>
      <w:r>
        <w:rPr>
          <w:rFonts w:hint="eastAsia" w:ascii="宋体" w:hAnsi="宋体" w:cs="宋体"/>
          <w:color w:val="auto"/>
          <w:sz w:val="18"/>
          <w:szCs w:val="18"/>
        </w:rPr>
        <w:t>材料（设备）暂估单价进入清单项目综合单价。</w:t>
      </w:r>
    </w:p>
    <w:p>
      <w:pPr>
        <w:ind w:firstLine="540" w:firstLineChars="300"/>
        <w:rPr>
          <w:rFonts w:ascii="宋体" w:hAnsi="宋体" w:cs="宋体"/>
          <w:color w:val="auto"/>
          <w:sz w:val="18"/>
          <w:szCs w:val="18"/>
        </w:rPr>
      </w:pPr>
      <w:r>
        <w:rPr>
          <w:rFonts w:ascii="宋体" w:hAnsi="宋体" w:cs="宋体"/>
          <w:color w:val="auto"/>
          <w:sz w:val="18"/>
          <w:szCs w:val="18"/>
        </w:rPr>
        <w:t>4.索赔与现场签证在工程结算期计列。</w:t>
      </w:r>
    </w:p>
    <w:p>
      <w:pPr>
        <w:ind w:firstLine="420" w:firstLineChars="200"/>
        <w:jc w:val="right"/>
        <w:rPr>
          <w:rFonts w:ascii="宋体" w:hAnsi="宋体" w:cs="ËÎÌå"/>
          <w:color w:val="auto"/>
          <w:sz w:val="21"/>
          <w:szCs w:val="21"/>
        </w:rPr>
      </w:pPr>
    </w:p>
    <w:p>
      <w:pPr>
        <w:rPr>
          <w:rFonts w:ascii="宋体" w:hAnsi="宋体" w:cs="ËÎÌå"/>
          <w:color w:val="auto"/>
          <w:szCs w:val="21"/>
        </w:rPr>
      </w:pPr>
    </w:p>
    <w:p>
      <w:pPr>
        <w:widowControl/>
        <w:autoSpaceDE/>
        <w:autoSpaceDN/>
        <w:adjustRightInd/>
        <w:rPr>
          <w:rFonts w:ascii="宋体" w:hAnsi="宋体" w:cs="宋体"/>
          <w:color w:val="auto"/>
        </w:rPr>
      </w:pPr>
      <w:r>
        <w:rPr>
          <w:rFonts w:ascii="宋体" w:hAnsi="宋体" w:cs="宋体"/>
          <w:color w:val="auto"/>
        </w:rPr>
        <w:br w:type="page"/>
      </w:r>
    </w:p>
    <w:p>
      <w:pPr>
        <w:jc w:val="center"/>
        <w:rPr>
          <w:rFonts w:ascii="宋体" w:hAnsi="宋体" w:cs="宋体"/>
          <w:b/>
          <w:bCs/>
          <w:color w:val="auto"/>
        </w:rPr>
      </w:pPr>
      <w:r>
        <w:rPr>
          <w:rFonts w:hint="eastAsia" w:ascii="宋体" w:hAnsi="宋体" w:cs="宋体"/>
          <w:b/>
          <w:bCs/>
          <w:color w:val="auto"/>
        </w:rPr>
        <w:t>暂列金额明细表</w:t>
      </w:r>
    </w:p>
    <w:p>
      <w:pPr>
        <w:pStyle w:val="2"/>
        <w:rPr>
          <w:color w:val="auto"/>
        </w:rPr>
      </w:pPr>
    </w:p>
    <w:p>
      <w:pPr>
        <w:ind w:firstLine="480" w:firstLineChars="200"/>
        <w:rPr>
          <w:rFonts w:ascii="宋体" w:hAnsi="宋体" w:cs="宋体"/>
          <w:color w:val="auto"/>
          <w:sz w:val="21"/>
          <w:szCs w:val="21"/>
        </w:rPr>
      </w:pPr>
      <w:r>
        <w:rPr>
          <w:rFonts w:hint="eastAsia" w:ascii="宋体" w:hAnsi="宋体" w:cs="宋体"/>
          <w:color w:val="auto"/>
          <w:szCs w:val="21"/>
        </w:rPr>
        <w:t>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90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3420"/>
        <w:gridCol w:w="144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项目名称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计量单位</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暂定金额（元）</w:t>
            </w: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1</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olor w:val="auto"/>
                <w:szCs w:val="21"/>
              </w:rPr>
              <w:t>标化工地增加费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2</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olor w:val="auto"/>
                <w:szCs w:val="21"/>
              </w:rPr>
              <w:t>优质工程增加费</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3</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olor w:val="auto"/>
                <w:szCs w:val="21"/>
              </w:rPr>
              <w:t>其他暂列金额</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3.1</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3.2</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3.3</w:t>
            </w:r>
          </w:p>
        </w:tc>
        <w:tc>
          <w:tcPr>
            <w:tcW w:w="34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432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w:t>
            </w:r>
            <w:r>
              <w:rPr>
                <w:rFonts w:ascii="宋体" w:hAnsi="宋体" w:cs="宋体"/>
                <w:color w:val="auto"/>
                <w:sz w:val="18"/>
                <w:szCs w:val="18"/>
              </w:rPr>
              <w:t xml:space="preserve">     </w:t>
            </w:r>
            <w:r>
              <w:rPr>
                <w:rFonts w:hint="eastAsia" w:ascii="宋体" w:hAnsi="宋体" w:cs="宋体"/>
                <w:color w:val="auto"/>
                <w:sz w:val="18"/>
                <w:szCs w:val="18"/>
              </w:rPr>
              <w:t>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w:t>
            </w:r>
          </w:p>
        </w:tc>
      </w:tr>
    </w:tbl>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r>
        <w:rPr>
          <w:rFonts w:hint="eastAsia" w:ascii="宋体" w:hAnsi="宋体" w:cs="宋体"/>
          <w:color w:val="auto"/>
          <w:sz w:val="18"/>
          <w:szCs w:val="18"/>
        </w:rPr>
        <w:t>注：</w:t>
      </w:r>
    </w:p>
    <w:p>
      <w:pPr>
        <w:ind w:firstLine="540" w:firstLineChars="300"/>
        <w:rPr>
          <w:rFonts w:ascii="宋体" w:hAnsi="宋体" w:cs="宋体"/>
          <w:color w:val="auto"/>
          <w:sz w:val="18"/>
          <w:szCs w:val="18"/>
        </w:rPr>
      </w:pPr>
      <w:r>
        <w:rPr>
          <w:rFonts w:ascii="宋体" w:hAnsi="宋体" w:cs="宋体"/>
          <w:color w:val="auto"/>
          <w:sz w:val="18"/>
          <w:szCs w:val="18"/>
        </w:rPr>
        <w:t>1.此表由招标人填写，如不能详列，也可只列暂定金额总额，投标人应将上述暂列金额计入投标总价中。</w:t>
      </w:r>
    </w:p>
    <w:p>
      <w:pPr>
        <w:ind w:firstLine="540" w:firstLineChars="300"/>
        <w:rPr>
          <w:rFonts w:ascii="宋体" w:hAnsi="宋体" w:cs="ËÎÌå"/>
          <w:color w:val="auto"/>
          <w:sz w:val="18"/>
          <w:szCs w:val="18"/>
        </w:rPr>
      </w:pPr>
      <w:r>
        <w:rPr>
          <w:rFonts w:ascii="宋体" w:hAnsi="宋体" w:cs="ËÎÌå"/>
          <w:color w:val="auto"/>
          <w:sz w:val="18"/>
          <w:szCs w:val="18"/>
        </w:rPr>
        <w:t>2.工程结算时序号第1、第2项分别在施工组织措施项目和其他项目计价表内计列。</w:t>
      </w:r>
    </w:p>
    <w:p>
      <w:pPr>
        <w:pStyle w:val="2"/>
        <w:rPr>
          <w:color w:val="auto"/>
        </w:rPr>
      </w:pPr>
    </w:p>
    <w:p>
      <w:pPr>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widowControl/>
        <w:autoSpaceDE/>
        <w:autoSpaceDN/>
        <w:adjustRightInd/>
        <w:jc w:val="center"/>
        <w:rPr>
          <w:rFonts w:ascii="宋体" w:hAnsi="宋体" w:cs="宋体"/>
          <w:b/>
          <w:bCs/>
          <w:color w:val="auto"/>
        </w:rPr>
      </w:pPr>
      <w:r>
        <w:rPr>
          <w:rFonts w:hint="eastAsia" w:ascii="宋体" w:hAnsi="宋体" w:cs="宋体"/>
          <w:b/>
          <w:bCs/>
          <w:color w:val="auto"/>
        </w:rPr>
        <w:t>材料（设备）暂估单价及调整表</w:t>
      </w:r>
    </w:p>
    <w:p>
      <w:pPr>
        <w:pStyle w:val="2"/>
        <w:rPr>
          <w:color w:val="auto"/>
        </w:rPr>
      </w:pPr>
    </w:p>
    <w:p>
      <w:pPr>
        <w:ind w:firstLine="480" w:firstLineChars="200"/>
        <w:rPr>
          <w:rFonts w:ascii="宋体" w:hAnsi="宋体" w:cs="宋体"/>
          <w:color w:val="auto"/>
          <w:sz w:val="21"/>
          <w:szCs w:val="21"/>
        </w:rPr>
      </w:pPr>
      <w:r>
        <w:rPr>
          <w:rFonts w:hint="eastAsia" w:ascii="宋体" w:hAnsi="宋体" w:cs="宋体"/>
          <w:color w:val="auto"/>
          <w:szCs w:val="21"/>
        </w:rPr>
        <w:t>单位（专业）工程名称：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620"/>
        <w:gridCol w:w="612"/>
        <w:gridCol w:w="648"/>
        <w:gridCol w:w="720"/>
        <w:gridCol w:w="720"/>
        <w:gridCol w:w="756"/>
        <w:gridCol w:w="684"/>
        <w:gridCol w:w="756"/>
        <w:gridCol w:w="684"/>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5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16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材料（工程设备）</w:t>
            </w:r>
          </w:p>
          <w:p>
            <w:pPr>
              <w:jc w:val="center"/>
              <w:rPr>
                <w:rFonts w:ascii="宋体" w:hAnsi="宋体" w:cs="宋体"/>
                <w:color w:val="auto"/>
                <w:sz w:val="18"/>
                <w:szCs w:val="18"/>
              </w:rPr>
            </w:pPr>
            <w:r>
              <w:rPr>
                <w:rFonts w:hint="eastAsia" w:ascii="宋体" w:hAnsi="宋体" w:cs="宋体"/>
                <w:color w:val="auto"/>
                <w:sz w:val="18"/>
                <w:szCs w:val="18"/>
              </w:rPr>
              <w:t>名称、规格、型号</w:t>
            </w:r>
          </w:p>
        </w:tc>
        <w:tc>
          <w:tcPr>
            <w:tcW w:w="61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计量单位</w:t>
            </w:r>
          </w:p>
        </w:tc>
        <w:tc>
          <w:tcPr>
            <w:tcW w:w="1368"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数量</w:t>
            </w:r>
          </w:p>
        </w:tc>
        <w:tc>
          <w:tcPr>
            <w:tcW w:w="1476"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暂估（元）</w:t>
            </w: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确认（元）</w:t>
            </w:r>
          </w:p>
        </w:tc>
        <w:tc>
          <w:tcPr>
            <w:tcW w:w="1404"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差额±（元）</w:t>
            </w:r>
          </w:p>
        </w:tc>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277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6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6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暂估</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确认</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单价</w:t>
            </w: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合价</w:t>
            </w: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单价</w:t>
            </w: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合价</w:t>
            </w: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合价</w:t>
            </w:r>
          </w:p>
        </w:tc>
        <w:tc>
          <w:tcPr>
            <w:tcW w:w="72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61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772"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w:t>
            </w:r>
            <w:r>
              <w:rPr>
                <w:rFonts w:ascii="宋体" w:hAnsi="宋体" w:cs="宋体"/>
                <w:color w:val="auto"/>
                <w:sz w:val="18"/>
                <w:szCs w:val="18"/>
              </w:rPr>
              <w:t xml:space="preserve">     </w:t>
            </w:r>
            <w:r>
              <w:rPr>
                <w:rFonts w:hint="eastAsia" w:ascii="宋体" w:hAnsi="宋体" w:cs="宋体"/>
                <w:color w:val="auto"/>
                <w:sz w:val="18"/>
                <w:szCs w:val="18"/>
              </w:rPr>
              <w:t>计</w:t>
            </w:r>
          </w:p>
        </w:tc>
        <w:tc>
          <w:tcPr>
            <w:tcW w:w="6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left="1" w:firstLine="361" w:firstLineChars="201"/>
        <w:rPr>
          <w:rFonts w:ascii="宋体" w:hAnsi="宋体" w:cs="宋体"/>
          <w:color w:val="auto"/>
          <w:sz w:val="18"/>
          <w:szCs w:val="18"/>
        </w:rPr>
      </w:pPr>
    </w:p>
    <w:p>
      <w:pPr>
        <w:ind w:left="1" w:firstLine="361" w:firstLineChars="201"/>
        <w:rPr>
          <w:rFonts w:ascii="宋体" w:hAnsi="宋体" w:cs="宋体"/>
          <w:color w:val="auto"/>
          <w:sz w:val="18"/>
          <w:szCs w:val="18"/>
        </w:rPr>
      </w:pPr>
      <w:r>
        <w:rPr>
          <w:rFonts w:hint="eastAsia" w:ascii="宋体" w:hAnsi="宋体" w:cs="宋体"/>
          <w:color w:val="auto"/>
          <w:sz w:val="18"/>
          <w:szCs w:val="18"/>
        </w:rPr>
        <w:t>注：</w:t>
      </w:r>
    </w:p>
    <w:p>
      <w:pPr>
        <w:ind w:left="1" w:firstLine="721" w:firstLineChars="401"/>
        <w:rPr>
          <w:rFonts w:ascii="宋体" w:hAnsi="宋体" w:cs="宋体"/>
          <w:color w:val="auto"/>
          <w:sz w:val="18"/>
          <w:szCs w:val="18"/>
        </w:rPr>
      </w:pPr>
      <w:r>
        <w:rPr>
          <w:rFonts w:ascii="宋体" w:hAnsi="宋体" w:cs="宋体"/>
          <w:color w:val="auto"/>
          <w:sz w:val="18"/>
          <w:szCs w:val="18"/>
        </w:rPr>
        <w:t>1.此表“暂估单价”由招标人填写，并在备注栏说明暂估价的材料、设备拟用在哪些清单项目上，投标人应将上述材料、设备计入相应的工程量清单综合单价报价中。</w:t>
      </w:r>
    </w:p>
    <w:p>
      <w:pPr>
        <w:ind w:left="826" w:leftChars="344"/>
        <w:rPr>
          <w:rFonts w:ascii="宋体" w:hAnsi="宋体" w:cs="宋体"/>
          <w:color w:val="auto"/>
          <w:sz w:val="18"/>
          <w:szCs w:val="18"/>
        </w:rPr>
      </w:pPr>
      <w:r>
        <w:rPr>
          <w:rFonts w:ascii="宋体" w:hAnsi="宋体" w:cs="宋体"/>
          <w:color w:val="auto"/>
          <w:sz w:val="18"/>
          <w:szCs w:val="18"/>
        </w:rPr>
        <w:t>2.本表中“确认”栏在工程各结算期内按合同双方确认值计列。</w:t>
      </w:r>
    </w:p>
    <w:p>
      <w:pPr>
        <w:widowControl/>
        <w:autoSpaceDE/>
        <w:autoSpaceDN/>
        <w:adjustRightInd/>
        <w:jc w:val="center"/>
        <w:rPr>
          <w:rFonts w:ascii="宋体" w:hAnsi="宋体" w:cs="宋体"/>
          <w:b/>
          <w:bCs/>
          <w:color w:val="auto"/>
        </w:rPr>
      </w:pPr>
      <w:r>
        <w:rPr>
          <w:rFonts w:ascii="宋体" w:hAnsi="宋体" w:cs="宋体"/>
          <w:color w:val="auto"/>
          <w:sz w:val="30"/>
          <w:szCs w:val="30"/>
        </w:rPr>
        <w:br w:type="page"/>
      </w:r>
      <w:r>
        <w:rPr>
          <w:rFonts w:hint="eastAsia" w:ascii="宋体" w:hAnsi="宋体" w:cs="宋体"/>
          <w:b/>
          <w:bCs/>
          <w:color w:val="auto"/>
        </w:rPr>
        <w:t>专业工程暂估价表</w:t>
      </w:r>
    </w:p>
    <w:p>
      <w:pPr>
        <w:pStyle w:val="2"/>
        <w:rPr>
          <w:color w:val="auto"/>
        </w:rPr>
      </w:pPr>
    </w:p>
    <w:p>
      <w:pPr>
        <w:ind w:firstLine="480" w:firstLineChars="200"/>
        <w:rPr>
          <w:rFonts w:ascii="宋体" w:hAnsi="宋体" w:cs="宋体"/>
          <w:color w:val="auto"/>
          <w:sz w:val="21"/>
          <w:szCs w:val="21"/>
        </w:rPr>
      </w:pPr>
      <w:r>
        <w:rPr>
          <w:rFonts w:hint="eastAsia" w:ascii="宋体" w:hAnsi="宋体" w:cs="宋体"/>
          <w:color w:val="auto"/>
          <w:szCs w:val="21"/>
        </w:rPr>
        <w:t>单位（专业）工程名称：</w:t>
      </w:r>
      <w:r>
        <w:rPr>
          <w:rFonts w:ascii="宋体" w:hAnsi="宋体" w:cs="宋体"/>
          <w:color w:val="auto"/>
          <w:szCs w:val="21"/>
        </w:rPr>
        <w:t xml:space="preserve">                      标段：    第   页 共   页</w:t>
      </w:r>
    </w:p>
    <w:tbl>
      <w:tblPr>
        <w:tblStyle w:val="40"/>
        <w:tblW w:w="876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048"/>
        <w:gridCol w:w="1786"/>
        <w:gridCol w:w="2484"/>
        <w:gridCol w:w="1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20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工程名称</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工程内容</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暂估金额（元）</w:t>
            </w:r>
          </w:p>
        </w:tc>
        <w:tc>
          <w:tcPr>
            <w:tcW w:w="1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0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2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0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2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048"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786"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2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455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w:t>
            </w:r>
            <w:r>
              <w:rPr>
                <w:rFonts w:ascii="宋体" w:hAnsi="宋体" w:cs="宋体"/>
                <w:color w:val="auto"/>
                <w:sz w:val="18"/>
                <w:szCs w:val="18"/>
              </w:rPr>
              <w:t xml:space="preserve">     </w:t>
            </w:r>
            <w:r>
              <w:rPr>
                <w:rFonts w:hint="eastAsia" w:ascii="宋体" w:hAnsi="宋体" w:cs="宋体"/>
                <w:color w:val="auto"/>
                <w:sz w:val="18"/>
                <w:szCs w:val="18"/>
              </w:rPr>
              <w:t>计</w:t>
            </w:r>
          </w:p>
        </w:tc>
        <w:tc>
          <w:tcPr>
            <w:tcW w:w="248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72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firstLine="360" w:firstLineChars="200"/>
        <w:rPr>
          <w:rFonts w:ascii="宋体" w:hAnsi="宋体" w:cs="宋体"/>
          <w:color w:val="auto"/>
          <w:sz w:val="18"/>
          <w:szCs w:val="18"/>
        </w:rPr>
      </w:pPr>
    </w:p>
    <w:p>
      <w:pPr>
        <w:ind w:firstLine="360" w:firstLineChars="200"/>
        <w:rPr>
          <w:rFonts w:ascii="宋体" w:hAnsi="宋体" w:cs="宋体"/>
          <w:color w:val="auto"/>
          <w:sz w:val="18"/>
          <w:szCs w:val="18"/>
        </w:rPr>
      </w:pPr>
      <w:r>
        <w:rPr>
          <w:rFonts w:hint="eastAsia" w:ascii="宋体" w:hAnsi="宋体" w:cs="宋体"/>
          <w:color w:val="auto"/>
          <w:sz w:val="18"/>
          <w:szCs w:val="18"/>
        </w:rPr>
        <w:t>注：</w:t>
      </w:r>
    </w:p>
    <w:p>
      <w:pPr>
        <w:ind w:firstLine="720" w:firstLineChars="400"/>
        <w:rPr>
          <w:rFonts w:ascii="宋体" w:hAnsi="宋体" w:cs="宋体"/>
          <w:color w:val="auto"/>
          <w:sz w:val="18"/>
          <w:szCs w:val="18"/>
        </w:rPr>
      </w:pPr>
      <w:r>
        <w:rPr>
          <w:rFonts w:ascii="宋体" w:hAnsi="宋体" w:cs="宋体"/>
          <w:color w:val="auto"/>
          <w:sz w:val="18"/>
          <w:szCs w:val="18"/>
        </w:rPr>
        <w:t>1.此表“暂估金额”由招标人填写，投标人应将“暂估金额”计入投标总价中。</w:t>
      </w:r>
    </w:p>
    <w:p>
      <w:pPr>
        <w:ind w:firstLine="720" w:firstLineChars="400"/>
        <w:rPr>
          <w:rFonts w:ascii="宋体" w:hAnsi="宋体" w:cs="宋体"/>
          <w:color w:val="auto"/>
          <w:sz w:val="18"/>
          <w:szCs w:val="18"/>
        </w:rPr>
      </w:pPr>
      <w:r>
        <w:rPr>
          <w:rFonts w:ascii="宋体" w:hAnsi="宋体" w:cs="宋体"/>
          <w:color w:val="auto"/>
          <w:sz w:val="18"/>
          <w:szCs w:val="18"/>
        </w:rPr>
        <w:t>2.结算时按合同约定结算金额填写，如合同约定按具体计价子目计价时，也可在项目相应计价表内列计。</w:t>
      </w:r>
    </w:p>
    <w:p>
      <w:pPr>
        <w:widowControl/>
        <w:autoSpaceDE/>
        <w:autoSpaceDN/>
        <w:adjustRightInd/>
        <w:rPr>
          <w:rFonts w:ascii="宋体" w:hAnsi="宋体" w:cs="宋体"/>
          <w:color w:val="auto"/>
        </w:rPr>
      </w:pPr>
    </w:p>
    <w:p>
      <w:pPr>
        <w:pStyle w:val="2"/>
        <w:rPr>
          <w:color w:val="auto"/>
        </w:rPr>
      </w:pPr>
    </w:p>
    <w:p>
      <w:pPr>
        <w:rPr>
          <w:color w:val="auto"/>
        </w:rPr>
      </w:pPr>
    </w:p>
    <w:p>
      <w:pPr>
        <w:pStyle w:val="2"/>
        <w:rPr>
          <w:color w:val="auto"/>
        </w:rPr>
      </w:pPr>
    </w:p>
    <w:p>
      <w:pPr>
        <w:rPr>
          <w:color w:val="auto"/>
        </w:rPr>
      </w:pPr>
    </w:p>
    <w:p>
      <w:pPr>
        <w:rPr>
          <w:color w:val="auto"/>
        </w:rPr>
      </w:pPr>
    </w:p>
    <w:p>
      <w:pPr>
        <w:pStyle w:val="2"/>
        <w:rPr>
          <w:color w:val="auto"/>
        </w:rPr>
      </w:pPr>
    </w:p>
    <w:p>
      <w:pPr>
        <w:jc w:val="center"/>
        <w:rPr>
          <w:rFonts w:ascii="宋体" w:hAnsi="宋体" w:cs="宋体"/>
          <w:b/>
          <w:bCs/>
          <w:color w:val="auto"/>
        </w:rPr>
      </w:pPr>
      <w:r>
        <w:rPr>
          <w:rFonts w:hint="eastAsia" w:ascii="宋体" w:hAnsi="宋体" w:cs="宋体"/>
          <w:b/>
          <w:bCs/>
          <w:color w:val="auto"/>
        </w:rPr>
        <w:t>专项技术措施暂估价表</w:t>
      </w:r>
    </w:p>
    <w:p>
      <w:pPr>
        <w:pStyle w:val="2"/>
        <w:rPr>
          <w:color w:val="auto"/>
        </w:rPr>
      </w:pPr>
    </w:p>
    <w:p>
      <w:pPr>
        <w:ind w:firstLine="480" w:firstLineChars="200"/>
        <w:rPr>
          <w:rFonts w:ascii="宋体" w:hAnsi="宋体" w:cs="宋体"/>
          <w:color w:val="auto"/>
          <w:sz w:val="21"/>
          <w:szCs w:val="21"/>
        </w:rPr>
      </w:pPr>
      <w:r>
        <w:rPr>
          <w:rFonts w:hint="eastAsia" w:ascii="宋体" w:hAnsi="宋体" w:cs="宋体"/>
          <w:color w:val="auto"/>
          <w:szCs w:val="21"/>
        </w:rPr>
        <w:t>单位（专业）工程名称：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86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2133"/>
        <w:gridCol w:w="2421"/>
        <w:gridCol w:w="1652"/>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21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工程名称</w:t>
            </w:r>
          </w:p>
        </w:tc>
        <w:tc>
          <w:tcPr>
            <w:tcW w:w="242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工程内容</w:t>
            </w:r>
          </w:p>
        </w:tc>
        <w:tc>
          <w:tcPr>
            <w:tcW w:w="16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暂估金额（元）</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3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24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6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3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24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6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133"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2421"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6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5274"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w:t>
            </w:r>
            <w:r>
              <w:rPr>
                <w:rFonts w:ascii="宋体" w:hAnsi="宋体" w:cs="宋体"/>
                <w:color w:val="auto"/>
                <w:sz w:val="18"/>
                <w:szCs w:val="18"/>
              </w:rPr>
              <w:t xml:space="preserve">     </w:t>
            </w:r>
            <w:r>
              <w:rPr>
                <w:rFonts w:hint="eastAsia" w:ascii="宋体" w:hAnsi="宋体" w:cs="宋体"/>
                <w:color w:val="auto"/>
                <w:sz w:val="18"/>
                <w:szCs w:val="18"/>
              </w:rPr>
              <w:t>计</w:t>
            </w:r>
          </w:p>
        </w:tc>
        <w:tc>
          <w:tcPr>
            <w:tcW w:w="165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firstLine="360" w:firstLineChars="200"/>
        <w:rPr>
          <w:rFonts w:ascii="宋体" w:hAnsi="宋体" w:cs="宋体"/>
          <w:color w:val="auto"/>
          <w:sz w:val="18"/>
          <w:szCs w:val="18"/>
        </w:rPr>
      </w:pPr>
    </w:p>
    <w:p>
      <w:pPr>
        <w:ind w:firstLine="360" w:firstLineChars="200"/>
        <w:rPr>
          <w:rFonts w:ascii="宋体" w:hAnsi="宋体" w:cs="宋体"/>
          <w:color w:val="auto"/>
          <w:sz w:val="18"/>
          <w:szCs w:val="18"/>
        </w:rPr>
      </w:pPr>
      <w:r>
        <w:rPr>
          <w:rFonts w:hint="eastAsia" w:ascii="宋体" w:hAnsi="宋体" w:cs="宋体"/>
          <w:color w:val="auto"/>
          <w:sz w:val="18"/>
          <w:szCs w:val="18"/>
        </w:rPr>
        <w:t>注：</w:t>
      </w:r>
    </w:p>
    <w:p>
      <w:pPr>
        <w:ind w:firstLine="720" w:firstLineChars="400"/>
        <w:rPr>
          <w:rFonts w:ascii="宋体" w:hAnsi="宋体" w:cs="宋体"/>
          <w:color w:val="auto"/>
          <w:sz w:val="18"/>
          <w:szCs w:val="18"/>
        </w:rPr>
      </w:pPr>
      <w:r>
        <w:rPr>
          <w:rFonts w:ascii="宋体" w:hAnsi="宋体" w:cs="宋体"/>
          <w:color w:val="auto"/>
          <w:sz w:val="18"/>
          <w:szCs w:val="18"/>
        </w:rPr>
        <w:t>1.此表“暂估金额”由招标人填写，投标人应将“暂估金额”计入投标总价中。</w:t>
      </w:r>
    </w:p>
    <w:p>
      <w:pPr>
        <w:ind w:firstLine="720" w:firstLineChars="400"/>
        <w:rPr>
          <w:rFonts w:ascii="宋体" w:hAnsi="宋体" w:cs="宋体"/>
          <w:color w:val="auto"/>
          <w:sz w:val="18"/>
          <w:szCs w:val="18"/>
        </w:rPr>
      </w:pPr>
      <w:r>
        <w:rPr>
          <w:rFonts w:ascii="宋体" w:hAnsi="宋体" w:cs="宋体"/>
          <w:color w:val="auto"/>
          <w:sz w:val="18"/>
          <w:szCs w:val="18"/>
        </w:rPr>
        <w:t>2.结算时按合同约定结算金额填写，如合同约定按具体计价子目计价时，也可在项目相应计价表内计列。</w:t>
      </w:r>
    </w:p>
    <w:p>
      <w:pPr>
        <w:widowControl/>
        <w:autoSpaceDE/>
        <w:autoSpaceDN/>
        <w:adjustRightInd/>
        <w:rPr>
          <w:rFonts w:ascii="宋体" w:hAnsi="宋体" w:cs="宋体"/>
          <w:color w:val="auto"/>
        </w:rPr>
      </w:pPr>
      <w:r>
        <w:rPr>
          <w:rFonts w:ascii="宋体" w:hAnsi="宋体" w:cs="宋体"/>
          <w:color w:val="auto"/>
        </w:rPr>
        <w:br w:type="page"/>
      </w:r>
    </w:p>
    <w:p>
      <w:pPr>
        <w:jc w:val="center"/>
        <w:rPr>
          <w:rFonts w:ascii="宋体" w:hAnsi="宋体" w:cs="宋体"/>
          <w:b/>
          <w:bCs/>
          <w:color w:val="auto"/>
        </w:rPr>
      </w:pPr>
      <w:r>
        <w:rPr>
          <w:rFonts w:ascii="宋体" w:hAnsi="宋体" w:cs="宋体"/>
          <w:b/>
          <w:bCs/>
          <w:color w:val="auto"/>
        </w:rPr>
        <w:t>计日工表</w:t>
      </w:r>
    </w:p>
    <w:p>
      <w:pPr>
        <w:pStyle w:val="2"/>
        <w:rPr>
          <w:color w:val="auto"/>
        </w:rPr>
      </w:pPr>
    </w:p>
    <w:p>
      <w:pPr>
        <w:ind w:firstLine="480" w:firstLineChars="200"/>
        <w:rPr>
          <w:rFonts w:ascii="宋体" w:hAnsi="宋体" w:cs="宋体"/>
          <w:color w:val="auto"/>
          <w:sz w:val="21"/>
          <w:szCs w:val="21"/>
        </w:rPr>
      </w:pPr>
      <w:r>
        <w:rPr>
          <w:rFonts w:hint="eastAsia" w:ascii="宋体" w:hAnsi="宋体" w:cs="宋体"/>
          <w:color w:val="auto"/>
          <w:szCs w:val="21"/>
        </w:rPr>
        <w:t>单位（专业）工程名称：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93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3096"/>
        <w:gridCol w:w="686"/>
        <w:gridCol w:w="882"/>
        <w:gridCol w:w="1016"/>
        <w:gridCol w:w="1440"/>
        <w:gridCol w:w="756"/>
        <w:gridCol w:w="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2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编号</w:t>
            </w:r>
          </w:p>
        </w:tc>
        <w:tc>
          <w:tcPr>
            <w:tcW w:w="309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项目名称</w:t>
            </w:r>
          </w:p>
        </w:tc>
        <w:tc>
          <w:tcPr>
            <w:tcW w:w="68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单位</w:t>
            </w:r>
          </w:p>
        </w:tc>
        <w:tc>
          <w:tcPr>
            <w:tcW w:w="88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暂定</w:t>
            </w:r>
          </w:p>
          <w:p>
            <w:pPr>
              <w:jc w:val="center"/>
              <w:rPr>
                <w:rFonts w:ascii="宋体" w:hAnsi="宋体" w:cs="宋体"/>
                <w:color w:val="auto"/>
                <w:sz w:val="18"/>
                <w:szCs w:val="18"/>
              </w:rPr>
            </w:pPr>
            <w:r>
              <w:rPr>
                <w:rFonts w:hint="eastAsia" w:ascii="宋体" w:hAnsi="宋体" w:cs="宋体"/>
                <w:color w:val="auto"/>
                <w:sz w:val="18"/>
                <w:szCs w:val="18"/>
              </w:rPr>
              <w:t>数量</w:t>
            </w:r>
          </w:p>
        </w:tc>
        <w:tc>
          <w:tcPr>
            <w:tcW w:w="1016"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实际数量</w:t>
            </w:r>
          </w:p>
        </w:tc>
        <w:tc>
          <w:tcPr>
            <w:tcW w:w="144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综合单价（元）</w:t>
            </w:r>
          </w:p>
        </w:tc>
        <w:tc>
          <w:tcPr>
            <w:tcW w:w="151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309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68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88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0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14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暂定</w:t>
            </w: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实际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一</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人</w:t>
            </w:r>
            <w:r>
              <w:rPr>
                <w:rFonts w:ascii="宋体" w:hAnsi="宋体" w:cs="宋体"/>
                <w:color w:val="auto"/>
                <w:sz w:val="18"/>
                <w:szCs w:val="18"/>
              </w:rPr>
              <w:t xml:space="preserve">     </w:t>
            </w:r>
            <w:r>
              <w:rPr>
                <w:rFonts w:hint="eastAsia" w:ascii="宋体" w:hAnsi="宋体" w:cs="宋体"/>
                <w:color w:val="auto"/>
                <w:sz w:val="18"/>
                <w:szCs w:val="18"/>
              </w:rPr>
              <w:t>工</w:t>
            </w:r>
          </w:p>
        </w:tc>
        <w:tc>
          <w:tcPr>
            <w:tcW w:w="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1</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（按需要填报人工等级或工种名称）</w:t>
            </w:r>
          </w:p>
        </w:tc>
        <w:tc>
          <w:tcPr>
            <w:tcW w:w="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2</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8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人</w:t>
            </w:r>
            <w:r>
              <w:rPr>
                <w:rFonts w:ascii="宋体" w:hAnsi="宋体" w:cs="宋体"/>
                <w:color w:val="auto"/>
                <w:sz w:val="18"/>
                <w:szCs w:val="18"/>
              </w:rPr>
              <w:t xml:space="preserve">  </w:t>
            </w:r>
            <w:r>
              <w:rPr>
                <w:rFonts w:hint="eastAsia" w:ascii="宋体" w:hAnsi="宋体" w:cs="宋体"/>
                <w:color w:val="auto"/>
                <w:sz w:val="18"/>
                <w:szCs w:val="18"/>
              </w:rPr>
              <w:t>工</w:t>
            </w:r>
            <w:r>
              <w:rPr>
                <w:rFonts w:ascii="宋体" w:hAnsi="宋体" w:cs="宋体"/>
                <w:color w:val="auto"/>
                <w:sz w:val="18"/>
                <w:szCs w:val="18"/>
              </w:rPr>
              <w:t xml:space="preserve">  </w:t>
            </w:r>
            <w:r>
              <w:rPr>
                <w:rFonts w:hint="eastAsia" w:ascii="宋体" w:hAnsi="宋体" w:cs="宋体"/>
                <w:color w:val="auto"/>
                <w:sz w:val="18"/>
                <w:szCs w:val="18"/>
              </w:rPr>
              <w:t>小</w:t>
            </w:r>
            <w:r>
              <w:rPr>
                <w:rFonts w:ascii="宋体" w:hAnsi="宋体" w:cs="宋体"/>
                <w:color w:val="auto"/>
                <w:sz w:val="18"/>
                <w:szCs w:val="18"/>
              </w:rPr>
              <w:t xml:space="preserve">  </w:t>
            </w:r>
            <w:r>
              <w:rPr>
                <w:rFonts w:hint="eastAsia" w:ascii="宋体" w:hAnsi="宋体" w:cs="宋体"/>
                <w:color w:val="auto"/>
                <w:sz w:val="18"/>
                <w:szCs w:val="18"/>
              </w:rPr>
              <w:t>计</w:t>
            </w: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二</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材</w:t>
            </w:r>
            <w:r>
              <w:rPr>
                <w:rFonts w:ascii="宋体" w:hAnsi="宋体" w:cs="宋体"/>
                <w:color w:val="auto"/>
                <w:sz w:val="18"/>
                <w:szCs w:val="18"/>
              </w:rPr>
              <w:t xml:space="preserve">      </w:t>
            </w:r>
            <w:r>
              <w:rPr>
                <w:rFonts w:hint="eastAsia" w:ascii="宋体" w:hAnsi="宋体" w:cs="宋体"/>
                <w:color w:val="auto"/>
                <w:sz w:val="18"/>
                <w:szCs w:val="18"/>
              </w:rPr>
              <w:t>料</w:t>
            </w:r>
          </w:p>
        </w:tc>
        <w:tc>
          <w:tcPr>
            <w:tcW w:w="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1</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2</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8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材</w:t>
            </w:r>
            <w:r>
              <w:rPr>
                <w:rFonts w:ascii="宋体" w:hAnsi="宋体" w:cs="宋体"/>
                <w:color w:val="auto"/>
                <w:sz w:val="18"/>
                <w:szCs w:val="18"/>
              </w:rPr>
              <w:t xml:space="preserve">  </w:t>
            </w:r>
            <w:r>
              <w:rPr>
                <w:rFonts w:hint="eastAsia" w:ascii="宋体" w:hAnsi="宋体" w:cs="宋体"/>
                <w:color w:val="auto"/>
                <w:sz w:val="18"/>
                <w:szCs w:val="18"/>
              </w:rPr>
              <w:t>料</w:t>
            </w:r>
            <w:r>
              <w:rPr>
                <w:rFonts w:ascii="宋体" w:hAnsi="宋体" w:cs="宋体"/>
                <w:color w:val="auto"/>
                <w:sz w:val="18"/>
                <w:szCs w:val="18"/>
              </w:rPr>
              <w:t xml:space="preserve">  </w:t>
            </w:r>
            <w:r>
              <w:rPr>
                <w:rFonts w:hint="eastAsia" w:ascii="宋体" w:hAnsi="宋体" w:cs="宋体"/>
                <w:color w:val="auto"/>
                <w:sz w:val="18"/>
                <w:szCs w:val="18"/>
              </w:rPr>
              <w:t>小</w:t>
            </w:r>
            <w:r>
              <w:rPr>
                <w:rFonts w:ascii="宋体" w:hAnsi="宋体" w:cs="宋体"/>
                <w:color w:val="auto"/>
                <w:sz w:val="18"/>
                <w:szCs w:val="18"/>
              </w:rPr>
              <w:t xml:space="preserve">  </w:t>
            </w:r>
            <w:r>
              <w:rPr>
                <w:rFonts w:hint="eastAsia" w:ascii="宋体" w:hAnsi="宋体" w:cs="宋体"/>
                <w:color w:val="auto"/>
                <w:sz w:val="18"/>
                <w:szCs w:val="18"/>
              </w:rPr>
              <w:t>计</w:t>
            </w: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三</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施</w:t>
            </w:r>
            <w:r>
              <w:rPr>
                <w:rFonts w:ascii="宋体" w:hAnsi="宋体" w:cs="宋体"/>
                <w:color w:val="auto"/>
                <w:sz w:val="18"/>
                <w:szCs w:val="18"/>
              </w:rPr>
              <w:t xml:space="preserve"> </w:t>
            </w:r>
            <w:r>
              <w:rPr>
                <w:rFonts w:hint="eastAsia" w:ascii="宋体" w:hAnsi="宋体" w:cs="宋体"/>
                <w:color w:val="auto"/>
                <w:sz w:val="18"/>
                <w:szCs w:val="18"/>
              </w:rPr>
              <w:t>工</w:t>
            </w:r>
            <w:r>
              <w:rPr>
                <w:rFonts w:ascii="宋体" w:hAnsi="宋体" w:cs="宋体"/>
                <w:color w:val="auto"/>
                <w:sz w:val="18"/>
                <w:szCs w:val="18"/>
              </w:rPr>
              <w:t xml:space="preserve"> </w:t>
            </w:r>
            <w:r>
              <w:rPr>
                <w:rFonts w:hint="eastAsia" w:ascii="宋体" w:hAnsi="宋体" w:cs="宋体"/>
                <w:color w:val="auto"/>
                <w:sz w:val="18"/>
                <w:szCs w:val="18"/>
              </w:rPr>
              <w:t>机</w:t>
            </w:r>
            <w:r>
              <w:rPr>
                <w:rFonts w:ascii="宋体" w:hAnsi="宋体" w:cs="宋体"/>
                <w:color w:val="auto"/>
                <w:sz w:val="18"/>
                <w:szCs w:val="18"/>
              </w:rPr>
              <w:t xml:space="preserve"> </w:t>
            </w:r>
            <w:r>
              <w:rPr>
                <w:rFonts w:hint="eastAsia" w:ascii="宋体" w:hAnsi="宋体" w:cs="宋体"/>
                <w:color w:val="auto"/>
                <w:sz w:val="18"/>
                <w:szCs w:val="18"/>
              </w:rPr>
              <w:t>械</w:t>
            </w:r>
          </w:p>
        </w:tc>
        <w:tc>
          <w:tcPr>
            <w:tcW w:w="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1</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2</w:t>
            </w:r>
          </w:p>
        </w:tc>
        <w:tc>
          <w:tcPr>
            <w:tcW w:w="309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68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88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8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施工机械小计</w:t>
            </w: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7840"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总</w:t>
            </w:r>
            <w:r>
              <w:rPr>
                <w:rFonts w:ascii="宋体" w:hAnsi="宋体" w:cs="宋体"/>
                <w:color w:val="auto"/>
                <w:sz w:val="18"/>
                <w:szCs w:val="18"/>
              </w:rPr>
              <w:t xml:space="preserve">      </w:t>
            </w:r>
            <w:r>
              <w:rPr>
                <w:rFonts w:hint="eastAsia" w:ascii="宋体" w:hAnsi="宋体" w:cs="宋体"/>
                <w:color w:val="auto"/>
                <w:sz w:val="18"/>
                <w:szCs w:val="18"/>
              </w:rPr>
              <w:t>计</w:t>
            </w:r>
          </w:p>
        </w:tc>
        <w:tc>
          <w:tcPr>
            <w:tcW w:w="75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6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left="1" w:firstLine="206" w:firstLineChars="115"/>
        <w:rPr>
          <w:rFonts w:ascii="宋体" w:hAnsi="宋体" w:cs="宋体"/>
          <w:color w:val="auto"/>
          <w:sz w:val="18"/>
          <w:szCs w:val="18"/>
        </w:rPr>
      </w:pPr>
    </w:p>
    <w:p>
      <w:pPr>
        <w:ind w:left="1" w:firstLine="206" w:firstLineChars="115"/>
        <w:rPr>
          <w:rFonts w:ascii="宋体" w:hAnsi="宋体" w:cs="宋体"/>
          <w:color w:val="auto"/>
          <w:sz w:val="18"/>
          <w:szCs w:val="18"/>
        </w:rPr>
      </w:pPr>
      <w:r>
        <w:rPr>
          <w:rFonts w:hint="eastAsia" w:ascii="宋体" w:hAnsi="宋体" w:cs="宋体"/>
          <w:color w:val="auto"/>
          <w:sz w:val="18"/>
          <w:szCs w:val="18"/>
        </w:rPr>
        <w:t>注：</w:t>
      </w:r>
    </w:p>
    <w:p>
      <w:pPr>
        <w:ind w:left="1" w:firstLine="567" w:firstLineChars="315"/>
        <w:rPr>
          <w:rFonts w:ascii="宋体" w:hAnsi="宋体" w:cs="宋体"/>
          <w:color w:val="auto"/>
          <w:sz w:val="18"/>
          <w:szCs w:val="18"/>
        </w:rPr>
      </w:pPr>
      <w:r>
        <w:rPr>
          <w:rFonts w:ascii="宋体" w:hAnsi="宋体" w:cs="宋体"/>
          <w:color w:val="auto"/>
          <w:sz w:val="18"/>
          <w:szCs w:val="18"/>
        </w:rPr>
        <w:t>1.此表项目名称、暂定数量由招标人填写，编制招标控制价时，单价由招标人按有关计价规定确定；投标报价时，单价由投标人自主报价，按暂定数量计算合价计入投标总价中。</w:t>
      </w:r>
    </w:p>
    <w:p>
      <w:pPr>
        <w:ind w:left="619" w:leftChars="258"/>
        <w:rPr>
          <w:rFonts w:ascii="宋体" w:hAnsi="宋体" w:cs="宋体"/>
          <w:color w:val="auto"/>
          <w:sz w:val="18"/>
          <w:szCs w:val="18"/>
        </w:rPr>
      </w:pPr>
      <w:r>
        <w:rPr>
          <w:rFonts w:ascii="宋体" w:hAnsi="宋体" w:cs="宋体"/>
          <w:color w:val="auto"/>
          <w:sz w:val="18"/>
          <w:szCs w:val="18"/>
        </w:rPr>
        <w:t>2.工程结算时，按发承包双方确认的实际数量计算合价，计列内容不得重复计价。</w:t>
      </w:r>
    </w:p>
    <w:p>
      <w:pPr>
        <w:widowControl/>
        <w:autoSpaceDE/>
        <w:autoSpaceDN/>
        <w:adjustRightInd/>
        <w:rPr>
          <w:rFonts w:ascii="宋体" w:hAnsi="宋体" w:cs="宋体"/>
          <w:color w:val="auto"/>
          <w:sz w:val="30"/>
          <w:szCs w:val="30"/>
        </w:rPr>
      </w:pPr>
      <w:r>
        <w:rPr>
          <w:rFonts w:ascii="宋体" w:hAnsi="宋体" w:cs="宋体"/>
          <w:color w:val="auto"/>
          <w:sz w:val="30"/>
          <w:szCs w:val="30"/>
        </w:rPr>
        <w:br w:type="page"/>
      </w:r>
    </w:p>
    <w:p>
      <w:pPr>
        <w:jc w:val="center"/>
        <w:rPr>
          <w:rFonts w:ascii="宋体" w:hAnsi="宋体" w:cs="宋体"/>
          <w:b/>
          <w:bCs/>
          <w:color w:val="auto"/>
        </w:rPr>
      </w:pPr>
      <w:r>
        <w:rPr>
          <w:rFonts w:ascii="宋体" w:hAnsi="宋体" w:cs="宋体"/>
          <w:b/>
          <w:bCs/>
          <w:color w:val="auto"/>
        </w:rPr>
        <w:t>总承包服务费计价表</w:t>
      </w:r>
    </w:p>
    <w:p>
      <w:pPr>
        <w:pStyle w:val="2"/>
        <w:rPr>
          <w:color w:val="auto"/>
        </w:rPr>
      </w:pPr>
    </w:p>
    <w:p>
      <w:pPr>
        <w:ind w:firstLine="480" w:firstLineChars="200"/>
        <w:rPr>
          <w:rFonts w:ascii="宋体" w:hAnsi="宋体" w:cs="宋体"/>
          <w:color w:val="auto"/>
          <w:sz w:val="21"/>
          <w:szCs w:val="21"/>
        </w:rPr>
      </w:pPr>
      <w:r>
        <w:rPr>
          <w:rFonts w:hint="eastAsia" w:ascii="宋体" w:hAnsi="宋体" w:cs="宋体"/>
          <w:color w:val="auto"/>
          <w:szCs w:val="21"/>
        </w:rPr>
        <w:t>单位（专业）工程名称：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402"/>
        <w:gridCol w:w="1439"/>
        <w:gridCol w:w="1015"/>
        <w:gridCol w:w="1079"/>
        <w:gridCol w:w="1205"/>
        <w:gridCol w:w="1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24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项目名称</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项目价值（元）</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服务内容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计算基础</w:t>
            </w: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费率（</w:t>
            </w:r>
            <w:r>
              <w:rPr>
                <w:rFonts w:ascii="宋体" w:hAnsi="宋体" w:cs="宋体"/>
                <w:color w:val="auto"/>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1</w:t>
            </w:r>
          </w:p>
        </w:tc>
        <w:tc>
          <w:tcPr>
            <w:tcW w:w="24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s="宋体"/>
                <w:color w:val="auto"/>
                <w:sz w:val="18"/>
                <w:szCs w:val="18"/>
              </w:rPr>
              <w:t>发包人单独发包专业工程</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1.1</w:t>
            </w:r>
          </w:p>
        </w:tc>
        <w:tc>
          <w:tcPr>
            <w:tcW w:w="24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1.2</w:t>
            </w:r>
          </w:p>
        </w:tc>
        <w:tc>
          <w:tcPr>
            <w:tcW w:w="24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2</w:t>
            </w:r>
          </w:p>
        </w:tc>
        <w:tc>
          <w:tcPr>
            <w:tcW w:w="2404"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r>
              <w:rPr>
                <w:rFonts w:hint="eastAsia" w:ascii="宋体" w:hAnsi="宋体" w:cs="宋体"/>
                <w:color w:val="auto"/>
                <w:sz w:val="18"/>
                <w:szCs w:val="18"/>
              </w:rPr>
              <w:t>发包人提供材料（设备）</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2.1</w:t>
            </w:r>
          </w:p>
        </w:tc>
        <w:tc>
          <w:tcPr>
            <w:tcW w:w="24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ascii="宋体" w:hAnsi="宋体" w:cs="宋体"/>
                <w:color w:val="auto"/>
                <w:sz w:val="18"/>
                <w:szCs w:val="18"/>
              </w:rPr>
              <w:t>2.2</w:t>
            </w:r>
          </w:p>
        </w:tc>
        <w:tc>
          <w:tcPr>
            <w:tcW w:w="24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40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w:t>
            </w:r>
            <w:r>
              <w:rPr>
                <w:rFonts w:ascii="宋体" w:hAnsi="宋体" w:cs="宋体"/>
                <w:color w:val="auto"/>
                <w:sz w:val="18"/>
                <w:szCs w:val="18"/>
              </w:rPr>
              <w:t xml:space="preserve">   </w:t>
            </w:r>
            <w:r>
              <w:rPr>
                <w:rFonts w:hint="eastAsia" w:ascii="宋体" w:hAnsi="宋体" w:cs="宋体"/>
                <w:color w:val="auto"/>
                <w:sz w:val="18"/>
                <w:szCs w:val="18"/>
              </w:rPr>
              <w:t>计</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101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2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firstLine="270" w:firstLineChars="150"/>
        <w:rPr>
          <w:rFonts w:ascii="宋体" w:hAnsi="宋体" w:cs="ËÎÌå"/>
          <w:color w:val="auto"/>
          <w:sz w:val="18"/>
          <w:szCs w:val="18"/>
        </w:rPr>
      </w:pPr>
    </w:p>
    <w:p>
      <w:pPr>
        <w:ind w:firstLine="270" w:firstLineChars="150"/>
        <w:rPr>
          <w:rFonts w:ascii="宋体" w:hAnsi="宋体" w:cs="ËÎÌå"/>
          <w:color w:val="auto"/>
          <w:sz w:val="18"/>
          <w:szCs w:val="18"/>
        </w:rPr>
      </w:pPr>
      <w:r>
        <w:rPr>
          <w:rFonts w:hint="eastAsia" w:ascii="宋体" w:hAnsi="宋体" w:cs="ËÎÌå"/>
          <w:color w:val="auto"/>
          <w:sz w:val="18"/>
          <w:szCs w:val="18"/>
        </w:rPr>
        <w:t>注：</w:t>
      </w:r>
    </w:p>
    <w:p>
      <w:pPr>
        <w:ind w:firstLine="630" w:firstLineChars="350"/>
        <w:rPr>
          <w:rFonts w:ascii="宋体" w:hAnsi="宋体" w:cs="宋体"/>
          <w:color w:val="auto"/>
          <w:sz w:val="18"/>
          <w:szCs w:val="18"/>
        </w:rPr>
      </w:pPr>
      <w:r>
        <w:rPr>
          <w:rFonts w:ascii="宋体" w:hAnsi="宋体" w:cs="ËÎÌå"/>
          <w:color w:val="auto"/>
          <w:sz w:val="18"/>
          <w:szCs w:val="18"/>
        </w:rPr>
        <w:t>1.</w:t>
      </w:r>
      <w:r>
        <w:rPr>
          <w:rFonts w:hint="eastAsia" w:ascii="宋体" w:hAnsi="宋体" w:cs="宋体"/>
          <w:color w:val="auto"/>
          <w:sz w:val="18"/>
          <w:szCs w:val="18"/>
        </w:rPr>
        <w:t>此表项目名称、项目价值、服务内容由招标人填写，编制招标控制价时，费率及金额由招标人按有关计价规定确定；投标报价时，费率及金额由投标人自主报价，计入投标总价中。</w:t>
      </w:r>
    </w:p>
    <w:p>
      <w:pPr>
        <w:pStyle w:val="2"/>
        <w:ind w:firstLine="540" w:firstLineChars="300"/>
        <w:rPr>
          <w:color w:val="auto"/>
        </w:rPr>
      </w:pPr>
      <w:r>
        <w:rPr>
          <w:rFonts w:ascii="宋体" w:hAnsi="宋体" w:cs="宋体"/>
          <w:color w:val="auto"/>
          <w:sz w:val="18"/>
          <w:szCs w:val="18"/>
        </w:rPr>
        <w:t>2.工程结算时本表各项目价值（或计费基础）是否调整由合同双方商定。</w:t>
      </w:r>
    </w:p>
    <w:p>
      <w:pPr>
        <w:rPr>
          <w:color w:val="auto"/>
        </w:rPr>
      </w:pPr>
    </w:p>
    <w:p>
      <w:pPr>
        <w:pStyle w:val="2"/>
        <w:rPr>
          <w:color w:val="auto"/>
        </w:rPr>
      </w:pPr>
    </w:p>
    <w:p>
      <w:pPr>
        <w:rPr>
          <w:color w:val="auto"/>
        </w:rPr>
      </w:pPr>
    </w:p>
    <w:p>
      <w:pPr>
        <w:pStyle w:val="2"/>
        <w:rPr>
          <w:color w:val="auto"/>
        </w:rPr>
      </w:pPr>
    </w:p>
    <w:p>
      <w:pPr>
        <w:rPr>
          <w:color w:val="auto"/>
        </w:rPr>
      </w:pPr>
    </w:p>
    <w:p>
      <w:pPr>
        <w:ind w:firstLine="600" w:firstLineChars="250"/>
        <w:rPr>
          <w:color w:val="auto"/>
        </w:rPr>
      </w:pPr>
    </w:p>
    <w:p>
      <w:pPr>
        <w:jc w:val="center"/>
        <w:rPr>
          <w:rFonts w:ascii="宋体" w:hAnsi="宋体" w:cs="ËÎÌå"/>
          <w:b/>
          <w:bCs/>
          <w:color w:val="auto"/>
        </w:rPr>
      </w:pPr>
      <w:bookmarkStart w:id="742" w:name="_Toc45697248"/>
      <w:bookmarkStart w:id="743" w:name="_Toc45696680"/>
      <w:r>
        <w:rPr>
          <w:rFonts w:hint="eastAsia" w:ascii="宋体" w:hAnsi="宋体" w:cs="ËÎÌå"/>
          <w:b/>
          <w:bCs/>
          <w:color w:val="auto"/>
        </w:rPr>
        <w:t>主要工日一览表</w:t>
      </w:r>
      <w:bookmarkEnd w:id="742"/>
      <w:bookmarkEnd w:id="743"/>
    </w:p>
    <w:p>
      <w:pPr>
        <w:pStyle w:val="2"/>
        <w:rPr>
          <w:color w:val="auto"/>
        </w:rPr>
      </w:pPr>
    </w:p>
    <w:p>
      <w:pPr>
        <w:ind w:firstLine="480" w:firstLineChars="200"/>
        <w:rPr>
          <w:rFonts w:ascii="宋体" w:hAnsi="宋体" w:cs="宋体"/>
          <w:color w:val="auto"/>
          <w:sz w:val="21"/>
          <w:szCs w:val="21"/>
        </w:rPr>
      </w:pPr>
      <w:r>
        <w:rPr>
          <w:rFonts w:hint="eastAsia" w:ascii="宋体" w:hAnsi="宋体" w:cs="宋体"/>
          <w:color w:val="auto"/>
          <w:szCs w:val="21"/>
        </w:rPr>
        <w:t>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90"/>
        <w:gridCol w:w="720"/>
        <w:gridCol w:w="1080"/>
        <w:gridCol w:w="126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工日名称（类别）</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单价（元）</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合价（元）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firstLine="360" w:firstLineChars="200"/>
        <w:rPr>
          <w:rFonts w:ascii="宋体" w:hAnsi="宋体" w:cs="宋体"/>
          <w:color w:val="auto"/>
          <w:sz w:val="18"/>
          <w:szCs w:val="18"/>
        </w:rPr>
      </w:pPr>
    </w:p>
    <w:p>
      <w:pPr>
        <w:ind w:firstLine="360" w:firstLineChars="200"/>
        <w:rPr>
          <w:rFonts w:ascii="宋体" w:hAnsi="宋体" w:cs="宋体"/>
          <w:color w:val="auto"/>
          <w:sz w:val="18"/>
          <w:szCs w:val="18"/>
        </w:rPr>
      </w:pPr>
      <w:r>
        <w:rPr>
          <w:rFonts w:hint="eastAsia" w:ascii="宋体" w:hAnsi="宋体" w:cs="宋体"/>
          <w:color w:val="auto"/>
          <w:sz w:val="18"/>
          <w:szCs w:val="18"/>
        </w:rPr>
        <w:t>注：此表按不同计价文件编制阶段要求填写，其中：</w:t>
      </w:r>
    </w:p>
    <w:p>
      <w:pPr>
        <w:ind w:firstLine="180" w:firstLineChars="100"/>
        <w:rPr>
          <w:rFonts w:ascii="宋体" w:hAnsi="宋体" w:cs="宋体"/>
          <w:color w:val="auto"/>
          <w:sz w:val="18"/>
          <w:szCs w:val="18"/>
        </w:rPr>
      </w:pPr>
      <w:r>
        <w:rPr>
          <w:rFonts w:ascii="宋体" w:hAnsi="宋体" w:cs="宋体"/>
          <w:color w:val="auto"/>
          <w:sz w:val="18"/>
          <w:szCs w:val="18"/>
        </w:rPr>
        <w:t xml:space="preserve">  “工日名称（类别）”、“单位”栏内容由招标人在招标工程量清单内填写,各计价阶段可按需要补充或减少内容；</w:t>
      </w:r>
    </w:p>
    <w:p>
      <w:pPr>
        <w:ind w:firstLine="180" w:firstLineChars="100"/>
        <w:rPr>
          <w:rFonts w:ascii="宋体" w:hAnsi="宋体" w:cs="宋体"/>
          <w:color w:val="auto"/>
          <w:sz w:val="18"/>
          <w:szCs w:val="18"/>
        </w:rPr>
      </w:pPr>
      <w:r>
        <w:rPr>
          <w:rFonts w:ascii="宋体" w:hAnsi="宋体" w:cs="宋体"/>
          <w:color w:val="auto"/>
          <w:sz w:val="18"/>
          <w:szCs w:val="18"/>
        </w:rPr>
        <w:t xml:space="preserve">  “数量”栏由不同阶段计价人按工程计量分析数量填写；</w:t>
      </w:r>
    </w:p>
    <w:p>
      <w:pPr>
        <w:ind w:firstLine="180" w:firstLineChars="100"/>
        <w:rPr>
          <w:rFonts w:ascii="宋体" w:hAnsi="宋体" w:cs="宋体"/>
          <w:color w:val="auto"/>
          <w:sz w:val="18"/>
          <w:szCs w:val="18"/>
        </w:rPr>
      </w:pPr>
      <w:r>
        <w:rPr>
          <w:rFonts w:ascii="宋体" w:hAnsi="宋体" w:cs="宋体"/>
          <w:color w:val="auto"/>
          <w:sz w:val="18"/>
          <w:szCs w:val="18"/>
        </w:rPr>
        <w:t xml:space="preserve">  “单价”栏的填写：招标控制价应优先采用工程造价管理机构发布的单价；投标报价由投标人在投标时自主确定投标单价；工程结算时按合同约定确定单价。</w:t>
      </w:r>
    </w:p>
    <w:p>
      <w:pPr>
        <w:rPr>
          <w:rFonts w:ascii="宋体" w:hAnsi="宋体" w:cs="ËÎÌå"/>
          <w:color w:val="auto"/>
          <w:sz w:val="21"/>
          <w:szCs w:val="21"/>
        </w:rPr>
      </w:pPr>
    </w:p>
    <w:p>
      <w:pPr>
        <w:widowControl/>
        <w:autoSpaceDE/>
        <w:autoSpaceDN/>
        <w:adjustRightInd/>
        <w:rPr>
          <w:rFonts w:ascii="宋体" w:hAnsi="宋体" w:cs="宋体"/>
          <w:color w:val="auto"/>
        </w:rPr>
      </w:pPr>
      <w:r>
        <w:rPr>
          <w:rFonts w:ascii="宋体" w:hAnsi="宋体" w:cs="宋体"/>
          <w:color w:val="auto"/>
        </w:rPr>
        <w:br w:type="page"/>
      </w:r>
    </w:p>
    <w:p>
      <w:pPr>
        <w:jc w:val="center"/>
        <w:rPr>
          <w:rFonts w:ascii="宋体" w:hAnsi="宋体" w:cs="ËÎÌå"/>
          <w:b/>
          <w:bCs/>
          <w:color w:val="auto"/>
        </w:rPr>
      </w:pPr>
      <w:bookmarkStart w:id="744" w:name="_Toc45696681"/>
      <w:bookmarkStart w:id="745" w:name="_Toc45697249"/>
      <w:r>
        <w:rPr>
          <w:rFonts w:ascii="宋体" w:hAnsi="宋体" w:cs="ËÎÌå"/>
          <w:b/>
          <w:bCs/>
          <w:color w:val="auto"/>
        </w:rPr>
        <w:t>发包人提供材料和设备一览表</w:t>
      </w:r>
      <w:bookmarkEnd w:id="744"/>
      <w:bookmarkEnd w:id="745"/>
    </w:p>
    <w:p>
      <w:pPr>
        <w:pStyle w:val="2"/>
        <w:rPr>
          <w:color w:val="auto"/>
        </w:rPr>
      </w:pPr>
    </w:p>
    <w:p>
      <w:pPr>
        <w:ind w:firstLine="480" w:firstLineChars="200"/>
        <w:rPr>
          <w:rFonts w:ascii="宋体" w:hAnsi="宋体" w:cs="宋体"/>
          <w:color w:val="auto"/>
          <w:sz w:val="21"/>
          <w:szCs w:val="21"/>
        </w:rPr>
      </w:pPr>
      <w:r>
        <w:rPr>
          <w:rFonts w:hint="eastAsia" w:ascii="宋体" w:hAnsi="宋体" w:cs="宋体"/>
          <w:color w:val="auto"/>
          <w:szCs w:val="21"/>
        </w:rPr>
        <w:t>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3150"/>
        <w:gridCol w:w="720"/>
        <w:gridCol w:w="900"/>
        <w:gridCol w:w="900"/>
        <w:gridCol w:w="900"/>
        <w:gridCol w:w="9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材料</w:t>
            </w:r>
            <w:r>
              <w:rPr>
                <w:rFonts w:ascii="宋体" w:hAnsi="宋体" w:cs="宋体"/>
                <w:color w:val="auto"/>
                <w:sz w:val="18"/>
                <w:szCs w:val="18"/>
              </w:rPr>
              <w:t>(设备)名称、规格、型号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单位</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数量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单价</w:t>
            </w:r>
          </w:p>
          <w:p>
            <w:pPr>
              <w:jc w:val="center"/>
              <w:rPr>
                <w:rFonts w:ascii="宋体" w:hAnsi="宋体" w:cs="宋体"/>
                <w:color w:val="auto"/>
                <w:sz w:val="18"/>
                <w:szCs w:val="18"/>
              </w:rPr>
            </w:pPr>
            <w:r>
              <w:rPr>
                <w:rFonts w:hint="eastAsia" w:ascii="宋体" w:hAnsi="宋体" w:cs="宋体"/>
                <w:color w:val="auto"/>
                <w:sz w:val="18"/>
                <w:szCs w:val="18"/>
              </w:rPr>
              <w:t>（元）</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交货</w:t>
            </w:r>
          </w:p>
          <w:p>
            <w:pPr>
              <w:jc w:val="center"/>
              <w:rPr>
                <w:rFonts w:ascii="宋体" w:hAnsi="宋体" w:cs="宋体"/>
                <w:color w:val="auto"/>
                <w:sz w:val="18"/>
                <w:szCs w:val="18"/>
              </w:rPr>
            </w:pPr>
            <w:r>
              <w:rPr>
                <w:rFonts w:hint="eastAsia" w:ascii="宋体" w:hAnsi="宋体" w:cs="宋体"/>
                <w:color w:val="auto"/>
                <w:sz w:val="18"/>
                <w:szCs w:val="18"/>
              </w:rPr>
              <w:t>方式</w:t>
            </w: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送达</w:t>
            </w:r>
          </w:p>
          <w:p>
            <w:pPr>
              <w:jc w:val="center"/>
              <w:rPr>
                <w:rFonts w:ascii="宋体" w:hAnsi="宋体" w:cs="宋体"/>
                <w:color w:val="auto"/>
                <w:sz w:val="18"/>
                <w:szCs w:val="18"/>
              </w:rPr>
            </w:pPr>
            <w:r>
              <w:rPr>
                <w:rFonts w:hint="eastAsia" w:ascii="宋体" w:hAnsi="宋体" w:cs="宋体"/>
                <w:color w:val="auto"/>
                <w:sz w:val="18"/>
                <w:szCs w:val="18"/>
              </w:rPr>
              <w:t>地点</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firstLine="180" w:firstLineChars="100"/>
        <w:rPr>
          <w:rFonts w:ascii="宋体" w:hAnsi="宋体" w:cs="宋体"/>
          <w:color w:val="auto"/>
          <w:sz w:val="18"/>
          <w:szCs w:val="18"/>
        </w:rPr>
      </w:pPr>
    </w:p>
    <w:p>
      <w:pPr>
        <w:ind w:firstLine="180" w:firstLineChars="100"/>
        <w:rPr>
          <w:rFonts w:ascii="宋体" w:hAnsi="宋体" w:cs="宋体"/>
          <w:color w:val="auto"/>
          <w:sz w:val="18"/>
          <w:szCs w:val="18"/>
        </w:rPr>
      </w:pPr>
      <w:r>
        <w:rPr>
          <w:rFonts w:hint="eastAsia" w:ascii="宋体" w:hAnsi="宋体" w:cs="宋体"/>
          <w:color w:val="auto"/>
          <w:sz w:val="18"/>
          <w:szCs w:val="18"/>
        </w:rPr>
        <w:t>注：此表由招标人填写，供投标人在投标报价、确定总承包服务费时参考。</w:t>
      </w:r>
    </w:p>
    <w:p>
      <w:pPr>
        <w:widowControl/>
        <w:autoSpaceDE/>
        <w:autoSpaceDN/>
        <w:adjustRightInd/>
        <w:rPr>
          <w:rFonts w:ascii="宋体" w:hAnsi="宋体" w:cs="宋体"/>
          <w:color w:val="auto"/>
        </w:rPr>
      </w:pPr>
    </w:p>
    <w:p>
      <w:pPr>
        <w:rPr>
          <w:color w:val="auto"/>
        </w:rPr>
      </w:pPr>
    </w:p>
    <w:p>
      <w:pPr>
        <w:jc w:val="center"/>
        <w:rPr>
          <w:rFonts w:ascii="宋体" w:hAnsi="宋体" w:cs="ËÎÌå"/>
          <w:b/>
          <w:bCs/>
          <w:color w:val="auto"/>
        </w:rPr>
      </w:pPr>
      <w:bookmarkStart w:id="746" w:name="_Toc45697250"/>
      <w:bookmarkStart w:id="747" w:name="_Toc45696682"/>
      <w:r>
        <w:rPr>
          <w:rFonts w:ascii="宋体" w:hAnsi="宋体" w:cs="ËÎÌå"/>
          <w:b/>
          <w:bCs/>
          <w:color w:val="auto"/>
        </w:rPr>
        <w:t>主要材料和设备一览表</w:t>
      </w:r>
      <w:bookmarkEnd w:id="746"/>
      <w:bookmarkEnd w:id="747"/>
    </w:p>
    <w:p>
      <w:pPr>
        <w:pStyle w:val="2"/>
        <w:rPr>
          <w:color w:val="auto"/>
        </w:rPr>
      </w:pPr>
    </w:p>
    <w:p>
      <w:pPr>
        <w:ind w:firstLine="480" w:firstLineChars="200"/>
        <w:rPr>
          <w:rFonts w:ascii="宋体" w:hAnsi="宋体" w:cs="宋体"/>
          <w:color w:val="auto"/>
          <w:sz w:val="21"/>
          <w:szCs w:val="21"/>
        </w:rPr>
      </w:pPr>
      <w:r>
        <w:rPr>
          <w:rFonts w:hint="eastAsia" w:ascii="宋体" w:hAnsi="宋体" w:cs="宋体"/>
          <w:color w:val="auto"/>
          <w:szCs w:val="21"/>
        </w:rPr>
        <w:t>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890"/>
        <w:gridCol w:w="720"/>
        <w:gridCol w:w="1080"/>
        <w:gridCol w:w="126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名称、规格、型号</w:t>
            </w:r>
          </w:p>
        </w:tc>
        <w:tc>
          <w:tcPr>
            <w:tcW w:w="72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单位</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单价（元）</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合价（元）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189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2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firstLine="282" w:firstLineChars="157"/>
        <w:rPr>
          <w:rFonts w:ascii="宋体" w:hAnsi="宋体" w:cs="宋体"/>
          <w:color w:val="auto"/>
          <w:sz w:val="18"/>
          <w:szCs w:val="18"/>
        </w:rPr>
      </w:pPr>
    </w:p>
    <w:p>
      <w:pPr>
        <w:ind w:firstLine="282" w:firstLineChars="157"/>
        <w:rPr>
          <w:rFonts w:ascii="宋体" w:hAnsi="宋体" w:cs="宋体"/>
          <w:color w:val="auto"/>
          <w:sz w:val="18"/>
          <w:szCs w:val="18"/>
        </w:rPr>
      </w:pPr>
      <w:bookmarkStart w:id="748" w:name="_Toc45697251"/>
      <w:bookmarkStart w:id="749" w:name="_Toc45696683"/>
      <w:r>
        <w:rPr>
          <w:rFonts w:hint="eastAsia" w:ascii="宋体" w:hAnsi="宋体" w:cs="宋体"/>
          <w:color w:val="auto"/>
          <w:sz w:val="18"/>
          <w:szCs w:val="18"/>
        </w:rPr>
        <w:t>注：此表按不同计价文件编制阶段要求填写，其中：</w:t>
      </w:r>
      <w:bookmarkEnd w:id="748"/>
      <w:bookmarkEnd w:id="749"/>
    </w:p>
    <w:p>
      <w:pPr>
        <w:ind w:firstLine="282" w:firstLineChars="157"/>
        <w:rPr>
          <w:rFonts w:ascii="宋体" w:hAnsi="宋体" w:cs="宋体"/>
          <w:color w:val="auto"/>
          <w:sz w:val="18"/>
          <w:szCs w:val="18"/>
        </w:rPr>
      </w:pPr>
      <w:r>
        <w:rPr>
          <w:rFonts w:ascii="宋体" w:hAnsi="宋体" w:cs="宋体"/>
          <w:color w:val="auto"/>
          <w:sz w:val="18"/>
          <w:szCs w:val="18"/>
        </w:rPr>
        <w:t xml:space="preserve">    </w:t>
      </w:r>
      <w:bookmarkStart w:id="750" w:name="_Toc45697252"/>
      <w:bookmarkStart w:id="751" w:name="_Toc45696684"/>
      <w:r>
        <w:rPr>
          <w:rFonts w:ascii="宋体" w:hAnsi="宋体" w:cs="宋体"/>
          <w:color w:val="auto"/>
          <w:sz w:val="18"/>
          <w:szCs w:val="18"/>
        </w:rPr>
        <w:t>“名称、规格、型号”、“单位”栏内容由招标人在招标工程量清单内填写,各计价阶段可按需要补充和调整；</w:t>
      </w:r>
      <w:bookmarkEnd w:id="750"/>
      <w:bookmarkEnd w:id="751"/>
    </w:p>
    <w:p>
      <w:pPr>
        <w:ind w:firstLine="282" w:firstLineChars="157"/>
        <w:rPr>
          <w:rFonts w:ascii="宋体" w:hAnsi="宋体" w:cs="宋体"/>
          <w:color w:val="auto"/>
          <w:sz w:val="18"/>
          <w:szCs w:val="18"/>
        </w:rPr>
      </w:pPr>
      <w:r>
        <w:rPr>
          <w:rFonts w:ascii="宋体" w:hAnsi="宋体" w:cs="宋体"/>
          <w:color w:val="auto"/>
          <w:sz w:val="18"/>
          <w:szCs w:val="18"/>
        </w:rPr>
        <w:t xml:space="preserve">    </w:t>
      </w:r>
      <w:bookmarkStart w:id="752" w:name="_Toc45696685"/>
      <w:bookmarkStart w:id="753" w:name="_Toc45697253"/>
      <w:r>
        <w:rPr>
          <w:rFonts w:ascii="宋体" w:hAnsi="宋体" w:cs="宋体"/>
          <w:color w:val="auto"/>
          <w:sz w:val="18"/>
          <w:szCs w:val="18"/>
        </w:rPr>
        <w:t>“数量”栏由不同阶段计价人按工程计量分析数量填写；</w:t>
      </w:r>
      <w:bookmarkEnd w:id="752"/>
      <w:bookmarkEnd w:id="753"/>
    </w:p>
    <w:p>
      <w:pPr>
        <w:ind w:firstLine="282" w:firstLineChars="157"/>
        <w:rPr>
          <w:rFonts w:ascii="宋体" w:hAnsi="宋体" w:cs="宋体"/>
          <w:color w:val="auto"/>
          <w:sz w:val="18"/>
          <w:szCs w:val="18"/>
        </w:rPr>
      </w:pPr>
      <w:r>
        <w:rPr>
          <w:rFonts w:ascii="宋体" w:hAnsi="宋体" w:cs="宋体"/>
          <w:color w:val="auto"/>
          <w:sz w:val="18"/>
          <w:szCs w:val="18"/>
        </w:rPr>
        <w:t xml:space="preserve">    </w:t>
      </w:r>
      <w:bookmarkStart w:id="754" w:name="_Toc45697254"/>
      <w:bookmarkStart w:id="755" w:name="_Toc45696686"/>
      <w:r>
        <w:rPr>
          <w:rFonts w:ascii="宋体" w:hAnsi="宋体" w:cs="宋体"/>
          <w:color w:val="auto"/>
          <w:sz w:val="18"/>
          <w:szCs w:val="18"/>
        </w:rPr>
        <w:t>“单价”栏的填写：招标控制价应优先采用工程造价管理机构发布的单价；投标报价由投标</w:t>
      </w:r>
      <w:bookmarkEnd w:id="754"/>
      <w:bookmarkEnd w:id="755"/>
    </w:p>
    <w:p>
      <w:pPr>
        <w:ind w:firstLine="282" w:firstLineChars="157"/>
        <w:rPr>
          <w:rFonts w:ascii="宋体" w:hAnsi="宋体" w:cs="宋体"/>
          <w:color w:val="auto"/>
          <w:sz w:val="18"/>
          <w:szCs w:val="18"/>
        </w:rPr>
      </w:pPr>
      <w:bookmarkStart w:id="756" w:name="_Toc45696687"/>
      <w:bookmarkStart w:id="757" w:name="_Toc45697255"/>
      <w:r>
        <w:rPr>
          <w:rFonts w:hint="eastAsia" w:ascii="宋体" w:hAnsi="宋体" w:cs="宋体"/>
          <w:color w:val="auto"/>
          <w:sz w:val="18"/>
          <w:szCs w:val="18"/>
        </w:rPr>
        <w:t>人在投标时自主确定投标单价；工程结算时按合同约定确定单价。</w:t>
      </w:r>
      <w:bookmarkEnd w:id="756"/>
      <w:bookmarkEnd w:id="757"/>
    </w:p>
    <w:p>
      <w:pPr>
        <w:rPr>
          <w:color w:val="auto"/>
        </w:rPr>
      </w:pPr>
    </w:p>
    <w:p>
      <w:pPr>
        <w:widowControl/>
        <w:autoSpaceDE/>
        <w:autoSpaceDN/>
        <w:adjustRightInd/>
        <w:jc w:val="center"/>
        <w:rPr>
          <w:rFonts w:ascii="宋体" w:hAnsi="宋体" w:cs="ËÎÌå"/>
          <w:b/>
          <w:bCs/>
          <w:color w:val="auto"/>
        </w:rPr>
      </w:pPr>
      <w:r>
        <w:rPr>
          <w:rFonts w:ascii="宋体" w:hAnsi="宋体" w:cs="ËÎÌå"/>
          <w:b/>
          <w:bCs/>
          <w:color w:val="auto"/>
        </w:rPr>
        <w:t>主要机械台班一览表</w:t>
      </w:r>
    </w:p>
    <w:p>
      <w:pPr>
        <w:pStyle w:val="2"/>
        <w:rPr>
          <w:color w:val="auto"/>
        </w:rPr>
      </w:pPr>
    </w:p>
    <w:p>
      <w:pPr>
        <w:ind w:firstLine="480" w:firstLineChars="200"/>
        <w:rPr>
          <w:rFonts w:ascii="宋体" w:hAnsi="宋体" w:cs="宋体"/>
          <w:color w:val="auto"/>
          <w:sz w:val="21"/>
          <w:szCs w:val="21"/>
        </w:rPr>
      </w:pPr>
      <w:r>
        <w:rPr>
          <w:rFonts w:hint="eastAsia" w:ascii="宋体" w:hAnsi="宋体" w:cs="宋体"/>
          <w:color w:val="auto"/>
          <w:szCs w:val="21"/>
        </w:rPr>
        <w:t>工程名称：</w:t>
      </w:r>
      <w:r>
        <w:rPr>
          <w:rFonts w:ascii="宋体" w:hAnsi="宋体" w:cs="宋体"/>
          <w:color w:val="auto"/>
          <w:szCs w:val="21"/>
        </w:rPr>
        <w:t xml:space="preserve">                          </w:t>
      </w:r>
      <w:r>
        <w:rPr>
          <w:rFonts w:hint="eastAsia" w:ascii="宋体" w:hAnsi="宋体" w:cs="宋体"/>
          <w:color w:val="auto"/>
          <w:szCs w:val="21"/>
        </w:rPr>
        <w:t>标段：</w:t>
      </w:r>
      <w:r>
        <w:rPr>
          <w:rFonts w:ascii="宋体" w:hAnsi="宋体" w:cs="宋体"/>
          <w:color w:val="auto"/>
          <w:szCs w:val="21"/>
        </w:rPr>
        <w:t xml:space="preserve">             </w:t>
      </w:r>
      <w:r>
        <w:rPr>
          <w:rFonts w:hint="eastAsia" w:ascii="宋体" w:hAnsi="宋体" w:cs="宋体"/>
          <w:color w:val="auto"/>
          <w:szCs w:val="21"/>
        </w:rPr>
        <w:t>第</w:t>
      </w:r>
      <w:r>
        <w:rPr>
          <w:rFonts w:ascii="宋体" w:hAnsi="宋体" w:cs="宋体"/>
          <w:color w:val="auto"/>
          <w:szCs w:val="21"/>
        </w:rPr>
        <w:t xml:space="preserve">  </w:t>
      </w:r>
      <w:r>
        <w:rPr>
          <w:rFonts w:hint="eastAsia" w:ascii="宋体" w:hAnsi="宋体" w:cs="宋体"/>
          <w:color w:val="auto"/>
          <w:szCs w:val="21"/>
        </w:rPr>
        <w:t>页</w:t>
      </w:r>
      <w:r>
        <w:rPr>
          <w:rFonts w:ascii="宋体" w:hAnsi="宋体" w:cs="宋体"/>
          <w:color w:val="auto"/>
          <w:szCs w:val="21"/>
        </w:rPr>
        <w:t xml:space="preserve"> </w:t>
      </w:r>
      <w:r>
        <w:rPr>
          <w:rFonts w:hint="eastAsia" w:ascii="宋体" w:hAnsi="宋体" w:cs="宋体"/>
          <w:color w:val="auto"/>
          <w:szCs w:val="21"/>
        </w:rPr>
        <w:t>共</w:t>
      </w:r>
      <w:r>
        <w:rPr>
          <w:rFonts w:ascii="宋体" w:hAnsi="宋体" w:cs="宋体"/>
          <w:color w:val="auto"/>
          <w:szCs w:val="21"/>
        </w:rPr>
        <w:t xml:space="preserve">   </w:t>
      </w:r>
      <w:r>
        <w:rPr>
          <w:rFonts w:hint="eastAsia" w:ascii="宋体" w:hAnsi="宋体" w:cs="宋体"/>
          <w:color w:val="auto"/>
          <w:szCs w:val="21"/>
        </w:rPr>
        <w:t>页</w:t>
      </w:r>
    </w:p>
    <w:tbl>
      <w:tblPr>
        <w:tblStyle w:val="40"/>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2033"/>
        <w:gridCol w:w="700"/>
        <w:gridCol w:w="957"/>
        <w:gridCol w:w="1260"/>
        <w:gridCol w:w="14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序号</w:t>
            </w:r>
          </w:p>
        </w:tc>
        <w:tc>
          <w:tcPr>
            <w:tcW w:w="20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机械名称、规格、型号</w:t>
            </w:r>
          </w:p>
        </w:tc>
        <w:tc>
          <w:tcPr>
            <w:tcW w:w="7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单位</w:t>
            </w:r>
          </w:p>
        </w:tc>
        <w:tc>
          <w:tcPr>
            <w:tcW w:w="95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数量</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单价（元）</w:t>
            </w:r>
          </w:p>
        </w:tc>
        <w:tc>
          <w:tcPr>
            <w:tcW w:w="144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合价（元）</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r>
              <w:rPr>
                <w:rFonts w:hint="eastAsia" w:ascii="宋体" w:hAnsi="宋体" w:cs="宋体"/>
                <w:color w:val="auto"/>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0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0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0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0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jc w:val="center"/>
        </w:trPr>
        <w:tc>
          <w:tcPr>
            <w:tcW w:w="6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203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c>
          <w:tcPr>
            <w:tcW w:w="70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957"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440" w:type="dxa"/>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color w:val="auto"/>
                <w:sz w:val="18"/>
                <w:szCs w:val="18"/>
              </w:rPr>
            </w:pPr>
          </w:p>
        </w:tc>
        <w:tc>
          <w:tcPr>
            <w:tcW w:w="180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auto"/>
                <w:sz w:val="18"/>
                <w:szCs w:val="18"/>
              </w:rPr>
            </w:pPr>
          </w:p>
        </w:tc>
      </w:tr>
    </w:tbl>
    <w:p>
      <w:pPr>
        <w:ind w:firstLine="282" w:firstLineChars="157"/>
        <w:rPr>
          <w:rFonts w:ascii="宋体" w:hAnsi="宋体" w:cs="宋体"/>
          <w:color w:val="auto"/>
          <w:sz w:val="18"/>
          <w:szCs w:val="18"/>
        </w:rPr>
      </w:pPr>
    </w:p>
    <w:p>
      <w:pPr>
        <w:ind w:firstLine="282" w:firstLineChars="157"/>
        <w:rPr>
          <w:rFonts w:ascii="宋体" w:hAnsi="宋体" w:cs="宋体"/>
          <w:color w:val="auto"/>
          <w:sz w:val="18"/>
          <w:szCs w:val="18"/>
        </w:rPr>
      </w:pPr>
      <w:bookmarkStart w:id="758" w:name="_Toc45696688"/>
      <w:bookmarkStart w:id="759" w:name="_Toc45697256"/>
      <w:r>
        <w:rPr>
          <w:rFonts w:hint="eastAsia" w:ascii="宋体" w:hAnsi="宋体" w:cs="宋体"/>
          <w:color w:val="auto"/>
          <w:sz w:val="18"/>
          <w:szCs w:val="18"/>
        </w:rPr>
        <w:t>注：此表按不同计价文件编制阶段要求填写，其中：</w:t>
      </w:r>
      <w:bookmarkEnd w:id="758"/>
      <w:bookmarkEnd w:id="759"/>
    </w:p>
    <w:p>
      <w:pPr>
        <w:tabs>
          <w:tab w:val="left" w:pos="709"/>
        </w:tabs>
        <w:ind w:firstLine="282" w:firstLineChars="157"/>
        <w:rPr>
          <w:rFonts w:ascii="宋体" w:hAnsi="宋体" w:cs="宋体"/>
          <w:color w:val="auto"/>
          <w:sz w:val="18"/>
          <w:szCs w:val="18"/>
        </w:rPr>
      </w:pPr>
      <w:r>
        <w:rPr>
          <w:rFonts w:ascii="宋体" w:hAnsi="宋体" w:cs="宋体"/>
          <w:color w:val="auto"/>
          <w:sz w:val="18"/>
          <w:szCs w:val="18"/>
        </w:rPr>
        <w:t xml:space="preserve">     </w:t>
      </w:r>
      <w:bookmarkStart w:id="760" w:name="_Toc45697257"/>
      <w:bookmarkStart w:id="761" w:name="_Toc45696689"/>
      <w:r>
        <w:rPr>
          <w:rFonts w:ascii="宋体" w:hAnsi="宋体" w:cs="宋体"/>
          <w:color w:val="auto"/>
          <w:sz w:val="18"/>
          <w:szCs w:val="18"/>
        </w:rPr>
        <w:t>“机械名称、规格、型号”、“单位”栏内容由招标人在招标工程量清单内填写,各计价阶段可按需要补充；</w:t>
      </w:r>
      <w:bookmarkEnd w:id="760"/>
      <w:bookmarkEnd w:id="761"/>
    </w:p>
    <w:p>
      <w:pPr>
        <w:ind w:firstLine="282" w:firstLineChars="157"/>
        <w:rPr>
          <w:rFonts w:ascii="宋体" w:hAnsi="宋体" w:cs="宋体"/>
          <w:color w:val="auto"/>
          <w:sz w:val="18"/>
          <w:szCs w:val="18"/>
        </w:rPr>
      </w:pPr>
      <w:r>
        <w:rPr>
          <w:rFonts w:ascii="宋体" w:hAnsi="宋体" w:cs="宋体"/>
          <w:color w:val="auto"/>
          <w:sz w:val="18"/>
          <w:szCs w:val="18"/>
        </w:rPr>
        <w:t xml:space="preserve">     </w:t>
      </w:r>
      <w:bookmarkStart w:id="762" w:name="_Toc45697258"/>
      <w:bookmarkStart w:id="763" w:name="_Toc45696690"/>
      <w:r>
        <w:rPr>
          <w:rFonts w:ascii="宋体" w:hAnsi="宋体" w:cs="宋体"/>
          <w:color w:val="auto"/>
          <w:sz w:val="18"/>
          <w:szCs w:val="18"/>
        </w:rPr>
        <w:t>“数量”栏由不同阶段计价人按工程计量分析数量填写；</w:t>
      </w:r>
      <w:bookmarkEnd w:id="762"/>
      <w:bookmarkEnd w:id="763"/>
    </w:p>
    <w:p>
      <w:pPr>
        <w:ind w:firstLine="282" w:firstLineChars="157"/>
        <w:rPr>
          <w:rFonts w:ascii="宋体" w:hAnsi="宋体" w:cs="宋体"/>
          <w:color w:val="auto"/>
          <w:sz w:val="18"/>
          <w:szCs w:val="18"/>
        </w:rPr>
      </w:pPr>
      <w:r>
        <w:rPr>
          <w:rFonts w:ascii="宋体" w:hAnsi="宋体" w:cs="宋体"/>
          <w:color w:val="auto"/>
          <w:sz w:val="18"/>
          <w:szCs w:val="18"/>
        </w:rPr>
        <w:t xml:space="preserve">     </w:t>
      </w:r>
      <w:bookmarkStart w:id="764" w:name="_Toc45696691"/>
      <w:bookmarkStart w:id="765" w:name="_Toc45697259"/>
      <w:r>
        <w:rPr>
          <w:rFonts w:ascii="宋体" w:hAnsi="宋体" w:cs="宋体"/>
          <w:color w:val="auto"/>
          <w:sz w:val="18"/>
          <w:szCs w:val="18"/>
        </w:rPr>
        <w:t>“单价”栏的填写：招标控制价应优先采用工程造价管理机构发布的单价；投标报价由投标人在投标时自主确定投标单价；工程结算时按合同约定确定单价。</w:t>
      </w:r>
      <w:bookmarkEnd w:id="764"/>
      <w:bookmarkEnd w:id="765"/>
    </w:p>
    <w:p>
      <w:pPr>
        <w:pStyle w:val="2"/>
        <w:adjustRightInd w:val="0"/>
        <w:snapToGrid w:val="0"/>
        <w:spacing w:after="0" w:line="360" w:lineRule="auto"/>
        <w:ind w:firstLine="480" w:firstLineChars="200"/>
        <w:rPr>
          <w:rFonts w:ascii="宋体" w:hAnsi="宋体" w:eastAsia="宋体"/>
          <w:color w:val="auto"/>
          <w:sz w:val="24"/>
          <w:szCs w:val="24"/>
        </w:rPr>
        <w:sectPr>
          <w:pgSz w:w="12240" w:h="15840"/>
          <w:pgMar w:top="1400" w:right="1718" w:bottom="1123" w:left="1718" w:header="0" w:footer="919" w:gutter="0"/>
          <w:cols w:space="720" w:num="1"/>
        </w:sectPr>
      </w:pPr>
      <w:r>
        <w:rPr>
          <w:rFonts w:ascii="宋体" w:hAnsi="宋体" w:eastAsia="宋体"/>
          <w:color w:val="auto"/>
          <w:sz w:val="24"/>
          <w:szCs w:val="24"/>
        </w:rPr>
        <w:br w:type="page"/>
      </w:r>
    </w:p>
    <w:p>
      <w:pPr>
        <w:pStyle w:val="2"/>
        <w:adjustRightInd w:val="0"/>
        <w:snapToGrid w:val="0"/>
        <w:spacing w:after="0" w:line="360" w:lineRule="auto"/>
        <w:jc w:val="center"/>
        <w:rPr>
          <w:rFonts w:ascii="宋体" w:hAnsi="宋体" w:eastAsia="宋体"/>
          <w:color w:val="auto"/>
          <w:sz w:val="72"/>
        </w:rPr>
      </w:pPr>
      <w:r>
        <w:rPr>
          <w:rFonts w:hint="eastAsia" w:ascii="宋体" w:hAnsi="宋体" w:eastAsia="宋体"/>
          <w:color w:val="auto"/>
          <w:sz w:val="72"/>
          <w:szCs w:val="24"/>
        </w:rPr>
        <w:t>施工投标文件</w:t>
      </w:r>
    </w:p>
    <w:p>
      <w:pPr>
        <w:jc w:val="center"/>
        <w:rPr>
          <w:rFonts w:ascii="宋体" w:hAnsi="宋体" w:eastAsia="宋体"/>
          <w:color w:val="auto"/>
          <w:sz w:val="32"/>
        </w:rPr>
      </w:pPr>
      <w:r>
        <w:rPr>
          <w:rFonts w:hint="eastAsia" w:ascii="宋体" w:hAnsi="宋体" w:eastAsia="宋体"/>
          <w:color w:val="auto"/>
          <w:sz w:val="32"/>
        </w:rPr>
        <w:t>（封面）</w:t>
      </w:r>
    </w:p>
    <w:p>
      <w:pPr>
        <w:jc w:val="center"/>
        <w:rPr>
          <w:rFonts w:ascii="宋体" w:hAnsi="宋体" w:eastAsia="宋体"/>
          <w:color w:val="auto"/>
          <w:sz w:val="32"/>
        </w:rPr>
      </w:pPr>
    </w:p>
    <w:p>
      <w:pPr>
        <w:jc w:val="center"/>
        <w:rPr>
          <w:rFonts w:ascii="宋体" w:hAnsi="宋体" w:eastAsia="宋体"/>
          <w:color w:val="auto"/>
          <w:sz w:val="32"/>
        </w:rPr>
      </w:pPr>
    </w:p>
    <w:p>
      <w:pPr>
        <w:jc w:val="center"/>
        <w:rPr>
          <w:rFonts w:ascii="宋体" w:hAnsi="宋体" w:eastAsia="宋体"/>
          <w:color w:val="auto"/>
          <w:sz w:val="32"/>
        </w:rPr>
      </w:pPr>
    </w:p>
    <w:p>
      <w:pPr>
        <w:jc w:val="center"/>
        <w:rPr>
          <w:rFonts w:ascii="宋体" w:hAnsi="宋体" w:eastAsia="宋体"/>
          <w:color w:val="auto"/>
          <w:sz w:val="32"/>
        </w:rPr>
      </w:pPr>
    </w:p>
    <w:p>
      <w:pPr>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工程名称：</w:t>
      </w:r>
      <w:r>
        <w:rPr>
          <w:rFonts w:ascii="宋体" w:hAnsi="宋体" w:eastAsia="宋体"/>
          <w:color w:val="auto"/>
          <w:sz w:val="32"/>
          <w:u w:val="single"/>
        </w:rPr>
        <w:t xml:space="preserve">                                </w:t>
      </w:r>
    </w:p>
    <w:p>
      <w:pPr>
        <w:tabs>
          <w:tab w:val="left" w:pos="5529"/>
        </w:tabs>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投标文件内容：</w:t>
      </w:r>
      <w:r>
        <w:rPr>
          <w:rFonts w:ascii="宋体" w:hAnsi="宋体" w:eastAsia="宋体"/>
          <w:color w:val="auto"/>
          <w:sz w:val="32"/>
          <w:u w:val="single"/>
        </w:rPr>
        <w:t xml:space="preserve">    </w:t>
      </w:r>
      <w:r>
        <w:rPr>
          <w:rFonts w:hint="eastAsia" w:ascii="宋体" w:hAnsi="宋体" w:eastAsia="宋体"/>
          <w:color w:val="auto"/>
          <w:sz w:val="32"/>
          <w:u w:val="single"/>
        </w:rPr>
        <w:t>投标文件技术标格式</w:t>
      </w:r>
      <w:r>
        <w:rPr>
          <w:rFonts w:ascii="宋体" w:hAnsi="宋体" w:eastAsia="宋体"/>
          <w:color w:val="auto"/>
          <w:sz w:val="32"/>
          <w:u w:val="single"/>
        </w:rPr>
        <w:t xml:space="preserve">      </w:t>
      </w:r>
    </w:p>
    <w:p>
      <w:pPr>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投标人：</w:t>
      </w:r>
      <w:r>
        <w:rPr>
          <w:rFonts w:ascii="宋体" w:hAnsi="宋体" w:eastAsia="宋体"/>
          <w:color w:val="auto"/>
          <w:sz w:val="32"/>
          <w:u w:val="single"/>
        </w:rPr>
        <w:t xml:space="preserve">                        </w:t>
      </w:r>
      <w:r>
        <w:rPr>
          <w:rFonts w:hint="eastAsia" w:ascii="宋体" w:hAnsi="宋体" w:eastAsia="宋体"/>
          <w:color w:val="auto"/>
          <w:sz w:val="32"/>
          <w:u w:val="single"/>
        </w:rPr>
        <w:t>（单位盖章）</w:t>
      </w:r>
      <w:r>
        <w:rPr>
          <w:rFonts w:ascii="宋体" w:hAnsi="宋体" w:eastAsia="宋体"/>
          <w:color w:val="auto"/>
          <w:sz w:val="32"/>
          <w:u w:val="single"/>
        </w:rPr>
        <w:t xml:space="preserve">  </w:t>
      </w:r>
    </w:p>
    <w:p>
      <w:pPr>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法定代表人或委托代理人：</w:t>
      </w:r>
      <w:r>
        <w:rPr>
          <w:rFonts w:ascii="宋体" w:hAnsi="宋体" w:eastAsia="宋体"/>
          <w:color w:val="auto"/>
          <w:sz w:val="32"/>
          <w:u w:val="single"/>
        </w:rPr>
        <w:t xml:space="preserve">       （</w:t>
      </w:r>
      <w:r>
        <w:rPr>
          <w:rFonts w:hint="eastAsia"/>
          <w:color w:val="auto"/>
          <w:u w:val="single"/>
        </w:rPr>
        <w:t>签字或盖章</w:t>
      </w:r>
      <w:r>
        <w:rPr>
          <w:rFonts w:hint="eastAsia" w:ascii="宋体" w:hAnsi="宋体" w:eastAsia="宋体"/>
          <w:color w:val="auto"/>
          <w:sz w:val="32"/>
          <w:u w:val="single"/>
        </w:rPr>
        <w:t>）</w:t>
      </w:r>
    </w:p>
    <w:p>
      <w:pPr>
        <w:spacing w:after="360" w:afterLines="150" w:line="480" w:lineRule="auto"/>
        <w:ind w:firstLine="627" w:firstLineChars="196"/>
        <w:jc w:val="center"/>
        <w:rPr>
          <w:rFonts w:ascii="宋体" w:hAnsi="宋体" w:eastAsia="宋体"/>
          <w:color w:val="auto"/>
          <w:sz w:val="32"/>
        </w:rPr>
      </w:pPr>
      <w:r>
        <w:rPr>
          <w:rFonts w:hint="eastAsia" w:ascii="宋体" w:hAnsi="宋体" w:eastAsia="宋体"/>
          <w:color w:val="auto"/>
          <w:sz w:val="32"/>
        </w:rPr>
        <w:t>日期：</w:t>
      </w:r>
      <w:r>
        <w:rPr>
          <w:rFonts w:ascii="宋体" w:hAnsi="宋体" w:eastAsia="宋体"/>
          <w:color w:val="auto"/>
          <w:sz w:val="32"/>
        </w:rPr>
        <w:t xml:space="preserve">     </w:t>
      </w:r>
      <w:r>
        <w:rPr>
          <w:rFonts w:hint="eastAsia" w:ascii="宋体" w:hAnsi="宋体" w:eastAsia="宋体"/>
          <w:color w:val="auto"/>
          <w:sz w:val="32"/>
        </w:rPr>
        <w:t>年</w:t>
      </w:r>
      <w:r>
        <w:rPr>
          <w:rFonts w:ascii="宋体" w:hAnsi="宋体" w:eastAsia="宋体"/>
          <w:color w:val="auto"/>
          <w:sz w:val="32"/>
        </w:rPr>
        <w:t xml:space="preserve">     </w:t>
      </w:r>
      <w:r>
        <w:rPr>
          <w:rFonts w:hint="eastAsia" w:ascii="宋体" w:hAnsi="宋体" w:eastAsia="宋体"/>
          <w:color w:val="auto"/>
          <w:sz w:val="32"/>
        </w:rPr>
        <w:t>月</w:t>
      </w:r>
      <w:r>
        <w:rPr>
          <w:rFonts w:ascii="宋体" w:hAnsi="宋体" w:eastAsia="宋体"/>
          <w:color w:val="auto"/>
          <w:sz w:val="32"/>
        </w:rPr>
        <w:t xml:space="preserve">     </w:t>
      </w:r>
      <w:r>
        <w:rPr>
          <w:rFonts w:hint="eastAsia" w:ascii="宋体" w:hAnsi="宋体" w:eastAsia="宋体"/>
          <w:color w:val="auto"/>
          <w:sz w:val="32"/>
        </w:rPr>
        <w:t>日</w:t>
      </w:r>
    </w:p>
    <w:p>
      <w:pPr>
        <w:widowControl/>
        <w:spacing w:before="100" w:beforeAutospacing="1" w:after="100" w:afterAutospacing="1" w:line="360" w:lineRule="auto"/>
        <w:rPr>
          <w:rFonts w:ascii="宋体" w:hAnsi="宋体" w:eastAsia="宋体" w:cs="Microsoft JhengHei"/>
          <w:b/>
          <w:bCs/>
          <w:color w:val="auto"/>
          <w:sz w:val="20"/>
          <w:szCs w:val="20"/>
        </w:rPr>
      </w:pPr>
    </w:p>
    <w:p>
      <w:pPr>
        <w:pStyle w:val="2"/>
        <w:jc w:val="center"/>
        <w:rPr>
          <w:rFonts w:ascii="宋体" w:hAnsi="宋体" w:eastAsia="宋体"/>
          <w:color w:val="auto"/>
          <w:sz w:val="36"/>
          <w:szCs w:val="36"/>
        </w:rPr>
      </w:pPr>
      <w:r>
        <w:rPr>
          <w:color w:val="auto"/>
        </w:rPr>
        <w:br w:type="page"/>
      </w:r>
      <w:r>
        <w:rPr>
          <w:rFonts w:hint="eastAsia" w:ascii="宋体" w:hAnsi="宋体" w:eastAsia="宋体"/>
          <w:color w:val="auto"/>
          <w:sz w:val="36"/>
          <w:szCs w:val="36"/>
        </w:rPr>
        <w:t>目</w:t>
      </w:r>
      <w:r>
        <w:rPr>
          <w:rFonts w:ascii="宋体" w:hAnsi="宋体" w:eastAsia="宋体"/>
          <w:color w:val="auto"/>
          <w:sz w:val="36"/>
          <w:szCs w:val="36"/>
        </w:rPr>
        <w:t xml:space="preserve">    </w:t>
      </w:r>
      <w:r>
        <w:rPr>
          <w:rFonts w:hint="eastAsia" w:ascii="宋体" w:hAnsi="宋体" w:eastAsia="宋体"/>
          <w:color w:val="auto"/>
          <w:sz w:val="36"/>
          <w:szCs w:val="36"/>
        </w:rPr>
        <w:t>录</w:t>
      </w:r>
    </w:p>
    <w:p>
      <w:pPr>
        <w:pStyle w:val="150"/>
        <w:rPr>
          <w:color w:val="auto"/>
        </w:rPr>
      </w:pPr>
    </w:p>
    <w:p>
      <w:pPr>
        <w:pStyle w:val="150"/>
        <w:rPr>
          <w:color w:val="auto"/>
        </w:rPr>
      </w:pPr>
    </w:p>
    <w:p>
      <w:pPr>
        <w:autoSpaceDE/>
        <w:autoSpaceDN/>
        <w:adjustRightInd/>
        <w:spacing w:after="360" w:afterLines="150"/>
        <w:ind w:firstLine="560" w:firstLineChars="200"/>
        <w:jc w:val="both"/>
        <w:rPr>
          <w:color w:val="auto"/>
          <w:sz w:val="28"/>
          <w:szCs w:val="28"/>
        </w:rPr>
      </w:pPr>
      <w:r>
        <w:rPr>
          <w:rFonts w:hint="eastAsia"/>
          <w:color w:val="auto"/>
          <w:sz w:val="28"/>
          <w:szCs w:val="28"/>
        </w:rPr>
        <w:t>一、施工组织设计</w:t>
      </w:r>
    </w:p>
    <w:p>
      <w:pPr>
        <w:autoSpaceDE/>
        <w:autoSpaceDN/>
        <w:adjustRightInd/>
        <w:spacing w:after="360" w:afterLines="150"/>
        <w:ind w:firstLine="560" w:firstLineChars="200"/>
        <w:jc w:val="both"/>
        <w:rPr>
          <w:color w:val="auto"/>
          <w:sz w:val="28"/>
          <w:szCs w:val="28"/>
        </w:rPr>
      </w:pPr>
      <w:r>
        <w:rPr>
          <w:rFonts w:hint="eastAsia" w:hAnsi="宋体" w:cs="宋体"/>
          <w:bCs/>
          <w:color w:val="auto"/>
          <w:sz w:val="28"/>
          <w:szCs w:val="28"/>
        </w:rPr>
        <w:t>二、</w:t>
      </w:r>
      <w:r>
        <w:rPr>
          <w:rFonts w:hAnsi="宋体" w:cs="宋体"/>
          <w:bCs/>
          <w:color w:val="auto"/>
          <w:sz w:val="28"/>
          <w:szCs w:val="28"/>
        </w:rPr>
        <w:t>针对本工程招标人特殊要求的技术措施</w:t>
      </w:r>
    </w:p>
    <w:p>
      <w:pPr>
        <w:autoSpaceDE/>
        <w:autoSpaceDN/>
        <w:adjustRightInd/>
        <w:spacing w:after="360" w:afterLines="150"/>
        <w:ind w:firstLine="560" w:firstLineChars="200"/>
        <w:jc w:val="both"/>
        <w:rPr>
          <w:color w:val="auto"/>
          <w:sz w:val="28"/>
          <w:szCs w:val="28"/>
        </w:rPr>
      </w:pPr>
      <w:r>
        <w:rPr>
          <w:rFonts w:hint="eastAsia"/>
          <w:color w:val="auto"/>
          <w:sz w:val="28"/>
          <w:szCs w:val="28"/>
        </w:rPr>
        <w:t>三、项目管理班子配备情况</w:t>
      </w:r>
    </w:p>
    <w:p>
      <w:pPr>
        <w:autoSpaceDE/>
        <w:autoSpaceDN/>
        <w:adjustRightInd/>
        <w:spacing w:after="360" w:afterLines="150"/>
        <w:ind w:firstLine="560" w:firstLineChars="200"/>
        <w:jc w:val="both"/>
        <w:rPr>
          <w:color w:val="auto"/>
          <w:sz w:val="28"/>
          <w:szCs w:val="28"/>
        </w:rPr>
      </w:pPr>
      <w:r>
        <w:rPr>
          <w:rFonts w:hint="eastAsia"/>
          <w:color w:val="auto"/>
          <w:sz w:val="28"/>
          <w:szCs w:val="28"/>
        </w:rPr>
        <w:t>四、拟分包项目名称和分包商情况</w:t>
      </w:r>
    </w:p>
    <w:p>
      <w:pPr>
        <w:autoSpaceDE/>
        <w:autoSpaceDN/>
        <w:adjustRightInd/>
        <w:spacing w:after="360" w:afterLines="150"/>
        <w:ind w:firstLine="560" w:firstLineChars="200"/>
        <w:jc w:val="both"/>
        <w:rPr>
          <w:color w:val="auto"/>
          <w:sz w:val="28"/>
          <w:szCs w:val="28"/>
        </w:rPr>
      </w:pPr>
      <w:r>
        <w:rPr>
          <w:rFonts w:hint="eastAsia"/>
          <w:color w:val="auto"/>
          <w:sz w:val="28"/>
          <w:szCs w:val="28"/>
        </w:rPr>
        <w:t>五、招标人要求提交的其他资料</w:t>
      </w:r>
    </w:p>
    <w:p>
      <w:pPr>
        <w:spacing w:after="360" w:afterLines="150"/>
        <w:rPr>
          <w:color w:val="auto"/>
          <w:sz w:val="28"/>
          <w:szCs w:val="28"/>
        </w:rPr>
      </w:pPr>
    </w:p>
    <w:p>
      <w:pPr>
        <w:spacing w:after="360" w:afterLines="150"/>
        <w:rPr>
          <w:color w:val="auto"/>
        </w:rPr>
      </w:pPr>
    </w:p>
    <w:p>
      <w:pPr>
        <w:spacing w:after="360" w:afterLines="150"/>
        <w:rPr>
          <w:color w:val="auto"/>
        </w:rPr>
      </w:pPr>
    </w:p>
    <w:p>
      <w:pPr>
        <w:spacing w:after="360" w:afterLines="150"/>
        <w:rPr>
          <w:color w:val="auto"/>
        </w:rPr>
      </w:pPr>
    </w:p>
    <w:p>
      <w:pPr>
        <w:spacing w:after="360" w:afterLines="150"/>
        <w:rPr>
          <w:color w:val="auto"/>
        </w:rPr>
      </w:pPr>
    </w:p>
    <w:p>
      <w:pPr>
        <w:spacing w:after="360" w:afterLines="150"/>
        <w:rPr>
          <w:color w:val="auto"/>
        </w:rPr>
      </w:pPr>
    </w:p>
    <w:p>
      <w:pPr>
        <w:autoSpaceDE/>
        <w:autoSpaceDN/>
        <w:adjustRightInd/>
        <w:jc w:val="center"/>
        <w:rPr>
          <w:b/>
          <w:bCs/>
          <w:color w:val="auto"/>
          <w:sz w:val="36"/>
          <w:szCs w:val="36"/>
        </w:rPr>
      </w:pPr>
      <w:r>
        <w:rPr>
          <w:color w:val="auto"/>
          <w:sz w:val="32"/>
        </w:rPr>
        <w:br w:type="page"/>
      </w:r>
      <w:r>
        <w:rPr>
          <w:rFonts w:hint="eastAsia"/>
          <w:color w:val="auto"/>
          <w:sz w:val="32"/>
        </w:rPr>
        <w:t>一、</w:t>
      </w:r>
      <w:r>
        <w:rPr>
          <w:rFonts w:hint="eastAsia"/>
          <w:b/>
          <w:bCs/>
          <w:color w:val="auto"/>
          <w:sz w:val="36"/>
          <w:szCs w:val="36"/>
        </w:rPr>
        <w:t>施工组织设计</w:t>
      </w:r>
    </w:p>
    <w:p>
      <w:pPr>
        <w:pStyle w:val="150"/>
        <w:rPr>
          <w:color w:val="auto"/>
        </w:rPr>
      </w:pPr>
    </w:p>
    <w:p>
      <w:pPr>
        <w:numPr>
          <w:ilvl w:val="1"/>
          <w:numId w:val="45"/>
        </w:numPr>
        <w:tabs>
          <w:tab w:val="left" w:pos="0"/>
        </w:tabs>
        <w:autoSpaceDE/>
        <w:autoSpaceDN/>
        <w:adjustRightInd/>
        <w:snapToGrid w:val="0"/>
        <w:spacing w:line="360" w:lineRule="auto"/>
        <w:ind w:left="0" w:firstLine="480" w:firstLineChars="200"/>
        <w:rPr>
          <w:rFonts w:ascii="宋体" w:hAnsi="宋体" w:eastAsia="宋体"/>
          <w:color w:val="auto"/>
        </w:rPr>
      </w:pPr>
      <w:r>
        <w:rPr>
          <w:rFonts w:hint="eastAsia" w:ascii="宋体" w:hAnsi="宋体" w:eastAsia="宋体"/>
          <w:color w:val="auto"/>
        </w:rPr>
        <w:t>投标人应编制递交完整的施工组织设计。编制具体要求是：编制时应采用文字并结合图表阐述说明各分部分项工程的施工方法；施工机械设备、劳动力、计划安排；结合招标工程特点提出切实可行的工程质量、安全生产、文明施工、工程进度技术组织措施，同时应对关键工序、复杂环节重点提出相应技术措施，如冬、雨季施工技术措施、减少扰民噪音、降低环境污染技术措施、地下管线及其它地上地下设施的保护加固措施等。</w:t>
      </w:r>
    </w:p>
    <w:p>
      <w:pPr>
        <w:numPr>
          <w:ilvl w:val="1"/>
          <w:numId w:val="45"/>
        </w:numPr>
        <w:tabs>
          <w:tab w:val="left" w:pos="0"/>
        </w:tabs>
        <w:autoSpaceDE/>
        <w:autoSpaceDN/>
        <w:adjustRightInd/>
        <w:snapToGrid w:val="0"/>
        <w:spacing w:line="360" w:lineRule="auto"/>
        <w:ind w:left="0" w:firstLine="480" w:firstLineChars="200"/>
        <w:rPr>
          <w:rFonts w:ascii="宋体" w:hAnsi="宋体" w:eastAsia="宋体"/>
          <w:color w:val="auto"/>
        </w:rPr>
      </w:pPr>
      <w:r>
        <w:rPr>
          <w:rFonts w:hint="eastAsia" w:ascii="宋体" w:hAnsi="宋体" w:eastAsia="宋体"/>
          <w:color w:val="auto"/>
        </w:rPr>
        <w:t>施工组织设计除采用文字表述外应附下列图表，图表及格式要求附后。</w:t>
      </w:r>
    </w:p>
    <w:p>
      <w:pPr>
        <w:tabs>
          <w:tab w:val="left" w:pos="0"/>
          <w:tab w:val="left" w:pos="1920"/>
        </w:tabs>
        <w:autoSpaceDE/>
        <w:autoSpaceDN/>
        <w:adjustRightInd/>
        <w:spacing w:line="360" w:lineRule="auto"/>
        <w:ind w:left="539"/>
        <w:rPr>
          <w:rFonts w:ascii="宋体" w:hAnsi="宋体" w:eastAsia="宋体"/>
          <w:color w:val="auto"/>
        </w:rPr>
      </w:pPr>
    </w:p>
    <w:p>
      <w:pPr>
        <w:tabs>
          <w:tab w:val="left" w:pos="0"/>
          <w:tab w:val="left" w:pos="1920"/>
        </w:tabs>
        <w:autoSpaceDE/>
        <w:autoSpaceDN/>
        <w:adjustRightInd/>
        <w:spacing w:line="360" w:lineRule="auto"/>
        <w:ind w:left="539"/>
        <w:rPr>
          <w:rFonts w:ascii="宋体" w:hAnsi="宋体" w:eastAsia="宋体"/>
          <w:color w:val="auto"/>
        </w:rPr>
      </w:pPr>
      <w:r>
        <w:rPr>
          <w:rFonts w:hint="eastAsia" w:ascii="宋体" w:hAnsi="宋体" w:eastAsia="宋体"/>
          <w:color w:val="auto"/>
        </w:rPr>
        <w:t>表</w:t>
      </w:r>
      <w:r>
        <w:rPr>
          <w:rFonts w:ascii="宋体" w:hAnsi="宋体" w:eastAsia="宋体"/>
          <w:color w:val="auto"/>
        </w:rPr>
        <w:t xml:space="preserve">1  </w:t>
      </w:r>
      <w:r>
        <w:rPr>
          <w:rFonts w:hint="eastAsia" w:ascii="宋体" w:hAnsi="宋体" w:eastAsia="宋体"/>
          <w:color w:val="auto"/>
        </w:rPr>
        <w:t>拟投入的主要施工机械设备表；</w:t>
      </w:r>
    </w:p>
    <w:p>
      <w:pPr>
        <w:tabs>
          <w:tab w:val="left" w:pos="0"/>
          <w:tab w:val="left" w:pos="1920"/>
        </w:tabs>
        <w:autoSpaceDE/>
        <w:autoSpaceDN/>
        <w:adjustRightInd/>
        <w:spacing w:line="360" w:lineRule="auto"/>
        <w:ind w:left="539"/>
        <w:rPr>
          <w:rFonts w:ascii="宋体" w:hAnsi="宋体" w:eastAsia="宋体"/>
          <w:color w:val="auto"/>
        </w:rPr>
      </w:pPr>
    </w:p>
    <w:p>
      <w:pPr>
        <w:tabs>
          <w:tab w:val="left" w:pos="0"/>
          <w:tab w:val="left" w:pos="1920"/>
        </w:tabs>
        <w:autoSpaceDE/>
        <w:autoSpaceDN/>
        <w:adjustRightInd/>
        <w:spacing w:line="360" w:lineRule="auto"/>
        <w:ind w:left="539"/>
        <w:rPr>
          <w:rFonts w:ascii="宋体" w:hAnsi="宋体" w:eastAsia="宋体"/>
          <w:color w:val="auto"/>
        </w:rPr>
      </w:pPr>
      <w:r>
        <w:rPr>
          <w:rFonts w:hint="eastAsia" w:ascii="宋体" w:hAnsi="宋体" w:eastAsia="宋体"/>
          <w:color w:val="auto"/>
        </w:rPr>
        <w:t>表</w:t>
      </w:r>
      <w:r>
        <w:rPr>
          <w:rFonts w:ascii="宋体" w:hAnsi="宋体" w:eastAsia="宋体"/>
          <w:color w:val="auto"/>
        </w:rPr>
        <w:t xml:space="preserve">2  </w:t>
      </w:r>
      <w:r>
        <w:rPr>
          <w:rFonts w:hint="eastAsia" w:ascii="宋体" w:hAnsi="宋体" w:eastAsia="宋体"/>
          <w:color w:val="auto"/>
        </w:rPr>
        <w:t>劳动力计划表</w:t>
      </w:r>
    </w:p>
    <w:p>
      <w:pPr>
        <w:tabs>
          <w:tab w:val="left" w:pos="0"/>
          <w:tab w:val="left" w:pos="1920"/>
        </w:tabs>
        <w:autoSpaceDE/>
        <w:autoSpaceDN/>
        <w:adjustRightInd/>
        <w:spacing w:line="360" w:lineRule="auto"/>
        <w:ind w:left="539"/>
        <w:rPr>
          <w:rFonts w:ascii="宋体" w:hAnsi="宋体" w:eastAsia="宋体"/>
          <w:color w:val="auto"/>
        </w:rPr>
      </w:pPr>
    </w:p>
    <w:p>
      <w:pPr>
        <w:tabs>
          <w:tab w:val="left" w:pos="0"/>
          <w:tab w:val="left" w:pos="1920"/>
        </w:tabs>
        <w:autoSpaceDE/>
        <w:autoSpaceDN/>
        <w:adjustRightInd/>
        <w:spacing w:line="360" w:lineRule="auto"/>
        <w:ind w:left="539"/>
        <w:rPr>
          <w:rFonts w:ascii="宋体" w:hAnsi="宋体" w:eastAsia="宋体"/>
          <w:color w:val="auto"/>
        </w:rPr>
      </w:pPr>
      <w:r>
        <w:rPr>
          <w:rFonts w:hint="eastAsia" w:ascii="宋体" w:hAnsi="宋体" w:eastAsia="宋体"/>
          <w:color w:val="auto"/>
        </w:rPr>
        <w:t>表</w:t>
      </w:r>
      <w:r>
        <w:rPr>
          <w:rFonts w:ascii="宋体" w:hAnsi="宋体" w:eastAsia="宋体"/>
          <w:color w:val="auto"/>
        </w:rPr>
        <w:t xml:space="preserve">3  </w:t>
      </w:r>
      <w:r>
        <w:rPr>
          <w:rFonts w:hint="eastAsia" w:ascii="宋体" w:hAnsi="宋体" w:eastAsia="宋体"/>
          <w:color w:val="auto"/>
        </w:rPr>
        <w:t>计划开、竣工日期和施工进度网络图；</w:t>
      </w:r>
    </w:p>
    <w:p>
      <w:pPr>
        <w:tabs>
          <w:tab w:val="left" w:pos="0"/>
          <w:tab w:val="left" w:pos="1920"/>
        </w:tabs>
        <w:autoSpaceDE/>
        <w:autoSpaceDN/>
        <w:adjustRightInd/>
        <w:spacing w:line="360" w:lineRule="auto"/>
        <w:ind w:left="539"/>
        <w:rPr>
          <w:rFonts w:ascii="宋体" w:hAnsi="宋体" w:eastAsia="宋体"/>
          <w:color w:val="auto"/>
        </w:rPr>
      </w:pPr>
    </w:p>
    <w:p>
      <w:pPr>
        <w:tabs>
          <w:tab w:val="left" w:pos="0"/>
          <w:tab w:val="left" w:pos="1920"/>
        </w:tabs>
        <w:autoSpaceDE/>
        <w:autoSpaceDN/>
        <w:adjustRightInd/>
        <w:spacing w:line="360" w:lineRule="auto"/>
        <w:ind w:left="539"/>
        <w:rPr>
          <w:rFonts w:ascii="宋体" w:hAnsi="宋体" w:eastAsia="宋体"/>
          <w:color w:val="auto"/>
        </w:rPr>
      </w:pPr>
      <w:r>
        <w:rPr>
          <w:rFonts w:hint="eastAsia" w:ascii="宋体" w:hAnsi="宋体" w:eastAsia="宋体"/>
          <w:color w:val="auto"/>
        </w:rPr>
        <w:t>表</w:t>
      </w:r>
      <w:r>
        <w:rPr>
          <w:rFonts w:ascii="宋体" w:hAnsi="宋体" w:eastAsia="宋体"/>
          <w:color w:val="auto"/>
        </w:rPr>
        <w:t xml:space="preserve">4  </w:t>
      </w:r>
      <w:r>
        <w:rPr>
          <w:rFonts w:hint="eastAsia" w:ascii="宋体" w:hAnsi="宋体" w:eastAsia="宋体"/>
          <w:color w:val="auto"/>
        </w:rPr>
        <w:t>施工总平面布置图及临时用地表；</w:t>
      </w:r>
    </w:p>
    <w:p>
      <w:pPr>
        <w:spacing w:line="360" w:lineRule="auto"/>
        <w:jc w:val="center"/>
        <w:rPr>
          <w:rFonts w:ascii="宋体" w:hAnsi="宋体" w:cs="宋体"/>
          <w:b/>
          <w:bCs/>
          <w:color w:val="auto"/>
          <w:szCs w:val="28"/>
        </w:rPr>
      </w:pPr>
      <w:r>
        <w:rPr>
          <w:rFonts w:ascii="宋体" w:hAnsi="宋体" w:eastAsia="宋体"/>
          <w:color w:val="auto"/>
        </w:rPr>
        <w:br w:type="page"/>
      </w:r>
      <w:r>
        <w:rPr>
          <w:rFonts w:hint="eastAsia" w:ascii="宋体" w:hAnsi="宋体" w:cs="宋体"/>
          <w:b/>
          <w:bCs/>
          <w:color w:val="auto"/>
          <w:szCs w:val="28"/>
        </w:rPr>
        <w:t>表</w:t>
      </w:r>
      <w:r>
        <w:rPr>
          <w:rFonts w:ascii="宋体" w:hAnsi="宋体" w:cs="宋体"/>
          <w:b/>
          <w:bCs/>
          <w:color w:val="auto"/>
          <w:szCs w:val="28"/>
        </w:rPr>
        <w:t xml:space="preserve">1  </w:t>
      </w:r>
      <w:r>
        <w:rPr>
          <w:rFonts w:hint="eastAsia" w:ascii="宋体" w:hAnsi="宋体" w:cs="宋体"/>
          <w:b/>
          <w:bCs/>
          <w:color w:val="auto"/>
          <w:szCs w:val="28"/>
        </w:rPr>
        <w:t>拟投入的主要施工机械设备表</w:t>
      </w:r>
    </w:p>
    <w:tbl>
      <w:tblPr>
        <w:tblStyle w:val="4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1244"/>
        <w:gridCol w:w="842"/>
        <w:gridCol w:w="842"/>
        <w:gridCol w:w="843"/>
        <w:gridCol w:w="905"/>
        <w:gridCol w:w="1206"/>
        <w:gridCol w:w="843"/>
        <w:gridCol w:w="1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center"/>
          </w:tcPr>
          <w:p>
            <w:pPr>
              <w:jc w:val="center"/>
              <w:rPr>
                <w:color w:val="auto"/>
              </w:rPr>
            </w:pPr>
            <w:r>
              <w:rPr>
                <w:rFonts w:hint="eastAsia"/>
                <w:color w:val="auto"/>
              </w:rPr>
              <w:t>序号</w:t>
            </w:r>
          </w:p>
        </w:tc>
        <w:tc>
          <w:tcPr>
            <w:tcW w:w="1244" w:type="dxa"/>
            <w:noWrap w:val="0"/>
            <w:vAlign w:val="center"/>
          </w:tcPr>
          <w:p>
            <w:pPr>
              <w:jc w:val="center"/>
              <w:rPr>
                <w:color w:val="auto"/>
              </w:rPr>
            </w:pPr>
            <w:r>
              <w:rPr>
                <w:rFonts w:hint="eastAsia"/>
                <w:color w:val="auto"/>
              </w:rPr>
              <w:t>机械或</w:t>
            </w:r>
          </w:p>
          <w:p>
            <w:pPr>
              <w:jc w:val="center"/>
              <w:rPr>
                <w:color w:val="auto"/>
              </w:rPr>
            </w:pPr>
            <w:r>
              <w:rPr>
                <w:rFonts w:hint="eastAsia"/>
                <w:color w:val="auto"/>
              </w:rPr>
              <w:t>设备名称</w:t>
            </w:r>
          </w:p>
        </w:tc>
        <w:tc>
          <w:tcPr>
            <w:tcW w:w="842" w:type="dxa"/>
            <w:noWrap w:val="0"/>
            <w:vAlign w:val="center"/>
          </w:tcPr>
          <w:p>
            <w:pPr>
              <w:jc w:val="center"/>
              <w:rPr>
                <w:color w:val="auto"/>
              </w:rPr>
            </w:pPr>
            <w:r>
              <w:rPr>
                <w:rFonts w:hint="eastAsia"/>
                <w:color w:val="auto"/>
              </w:rPr>
              <w:t>型号</w:t>
            </w:r>
          </w:p>
          <w:p>
            <w:pPr>
              <w:jc w:val="center"/>
              <w:rPr>
                <w:color w:val="auto"/>
              </w:rPr>
            </w:pPr>
            <w:r>
              <w:rPr>
                <w:rFonts w:hint="eastAsia"/>
                <w:color w:val="auto"/>
              </w:rPr>
              <w:t>规格</w:t>
            </w:r>
          </w:p>
        </w:tc>
        <w:tc>
          <w:tcPr>
            <w:tcW w:w="842" w:type="dxa"/>
            <w:noWrap w:val="0"/>
            <w:vAlign w:val="center"/>
          </w:tcPr>
          <w:p>
            <w:pPr>
              <w:jc w:val="center"/>
              <w:rPr>
                <w:color w:val="auto"/>
              </w:rPr>
            </w:pPr>
            <w:r>
              <w:rPr>
                <w:rFonts w:hint="eastAsia"/>
                <w:color w:val="auto"/>
              </w:rPr>
              <w:t>数量</w:t>
            </w:r>
          </w:p>
        </w:tc>
        <w:tc>
          <w:tcPr>
            <w:tcW w:w="843" w:type="dxa"/>
            <w:noWrap w:val="0"/>
            <w:vAlign w:val="center"/>
          </w:tcPr>
          <w:p>
            <w:pPr>
              <w:jc w:val="center"/>
              <w:rPr>
                <w:color w:val="auto"/>
              </w:rPr>
            </w:pPr>
            <w:r>
              <w:rPr>
                <w:rFonts w:hint="eastAsia"/>
                <w:color w:val="auto"/>
              </w:rPr>
              <w:t>国别</w:t>
            </w:r>
          </w:p>
          <w:p>
            <w:pPr>
              <w:jc w:val="center"/>
              <w:rPr>
                <w:color w:val="auto"/>
              </w:rPr>
            </w:pPr>
            <w:r>
              <w:rPr>
                <w:rFonts w:hint="eastAsia"/>
                <w:color w:val="auto"/>
              </w:rPr>
              <w:t>产地</w:t>
            </w:r>
          </w:p>
        </w:tc>
        <w:tc>
          <w:tcPr>
            <w:tcW w:w="905" w:type="dxa"/>
            <w:noWrap w:val="0"/>
            <w:vAlign w:val="center"/>
          </w:tcPr>
          <w:p>
            <w:pPr>
              <w:jc w:val="center"/>
              <w:rPr>
                <w:color w:val="auto"/>
              </w:rPr>
            </w:pPr>
            <w:r>
              <w:rPr>
                <w:rFonts w:hint="eastAsia"/>
                <w:color w:val="auto"/>
              </w:rPr>
              <w:t>制造</w:t>
            </w:r>
          </w:p>
          <w:p>
            <w:pPr>
              <w:jc w:val="center"/>
              <w:rPr>
                <w:color w:val="auto"/>
              </w:rPr>
            </w:pPr>
            <w:r>
              <w:rPr>
                <w:rFonts w:hint="eastAsia"/>
                <w:color w:val="auto"/>
              </w:rPr>
              <w:t>年份</w:t>
            </w:r>
          </w:p>
        </w:tc>
        <w:tc>
          <w:tcPr>
            <w:tcW w:w="1206" w:type="dxa"/>
            <w:noWrap w:val="0"/>
            <w:vAlign w:val="center"/>
          </w:tcPr>
          <w:p>
            <w:pPr>
              <w:jc w:val="center"/>
              <w:rPr>
                <w:color w:val="auto"/>
              </w:rPr>
            </w:pPr>
            <w:r>
              <w:rPr>
                <w:rFonts w:hint="eastAsia"/>
                <w:color w:val="auto"/>
              </w:rPr>
              <w:t>额定功率（</w:t>
            </w:r>
            <w:r>
              <w:rPr>
                <w:color w:val="auto"/>
              </w:rPr>
              <w:t>KW</w:t>
            </w:r>
            <w:r>
              <w:rPr>
                <w:rFonts w:hint="eastAsia"/>
                <w:color w:val="auto"/>
              </w:rPr>
              <w:t>）</w:t>
            </w:r>
          </w:p>
        </w:tc>
        <w:tc>
          <w:tcPr>
            <w:tcW w:w="843" w:type="dxa"/>
            <w:noWrap w:val="0"/>
            <w:vAlign w:val="center"/>
          </w:tcPr>
          <w:p>
            <w:pPr>
              <w:jc w:val="center"/>
              <w:rPr>
                <w:color w:val="auto"/>
              </w:rPr>
            </w:pPr>
            <w:r>
              <w:rPr>
                <w:rFonts w:hint="eastAsia"/>
                <w:color w:val="auto"/>
              </w:rPr>
              <w:t>生产</w:t>
            </w:r>
          </w:p>
          <w:p>
            <w:pPr>
              <w:jc w:val="center"/>
              <w:rPr>
                <w:color w:val="auto"/>
              </w:rPr>
            </w:pPr>
            <w:r>
              <w:rPr>
                <w:rFonts w:hint="eastAsia"/>
                <w:color w:val="auto"/>
              </w:rPr>
              <w:t>能力</w:t>
            </w:r>
          </w:p>
        </w:tc>
        <w:tc>
          <w:tcPr>
            <w:tcW w:w="1085" w:type="dxa"/>
            <w:noWrap w:val="0"/>
            <w:vAlign w:val="center"/>
          </w:tcPr>
          <w:p>
            <w:pPr>
              <w:jc w:val="center"/>
              <w:rPr>
                <w:color w:val="auto"/>
              </w:rPr>
            </w:pPr>
            <w:r>
              <w:rPr>
                <w:rFonts w:hint="eastAsia"/>
                <w:color w:val="auto"/>
              </w:rPr>
              <w:t>用于施工部位备注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7" w:type="dxa"/>
            <w:noWrap w:val="0"/>
            <w:vAlign w:val="top"/>
          </w:tcPr>
          <w:p>
            <w:pPr>
              <w:spacing w:after="360" w:afterLines="150"/>
              <w:rPr>
                <w:color w:val="auto"/>
              </w:rPr>
            </w:pPr>
          </w:p>
        </w:tc>
        <w:tc>
          <w:tcPr>
            <w:tcW w:w="1244"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2"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905" w:type="dxa"/>
            <w:noWrap w:val="0"/>
            <w:vAlign w:val="top"/>
          </w:tcPr>
          <w:p>
            <w:pPr>
              <w:spacing w:after="360" w:afterLines="150"/>
              <w:rPr>
                <w:color w:val="auto"/>
              </w:rPr>
            </w:pPr>
          </w:p>
        </w:tc>
        <w:tc>
          <w:tcPr>
            <w:tcW w:w="1206" w:type="dxa"/>
            <w:noWrap w:val="0"/>
            <w:vAlign w:val="top"/>
          </w:tcPr>
          <w:p>
            <w:pPr>
              <w:spacing w:after="360" w:afterLines="150"/>
              <w:rPr>
                <w:color w:val="auto"/>
              </w:rPr>
            </w:pPr>
          </w:p>
        </w:tc>
        <w:tc>
          <w:tcPr>
            <w:tcW w:w="843" w:type="dxa"/>
            <w:noWrap w:val="0"/>
            <w:vAlign w:val="top"/>
          </w:tcPr>
          <w:p>
            <w:pPr>
              <w:spacing w:after="360" w:afterLines="150"/>
              <w:rPr>
                <w:color w:val="auto"/>
              </w:rPr>
            </w:pPr>
          </w:p>
        </w:tc>
        <w:tc>
          <w:tcPr>
            <w:tcW w:w="1085" w:type="dxa"/>
            <w:noWrap w:val="0"/>
            <w:vAlign w:val="top"/>
          </w:tcPr>
          <w:p>
            <w:pPr>
              <w:spacing w:after="360" w:afterLines="150"/>
              <w:rPr>
                <w:color w:val="auto"/>
              </w:rPr>
            </w:pPr>
          </w:p>
        </w:tc>
      </w:tr>
    </w:tbl>
    <w:p>
      <w:pPr>
        <w:spacing w:after="360" w:afterLines="150"/>
        <w:ind w:left="627" w:firstLine="842" w:firstLineChars="351"/>
        <w:rPr>
          <w:color w:val="auto"/>
        </w:rPr>
      </w:pPr>
    </w:p>
    <w:p>
      <w:pPr>
        <w:spacing w:after="360" w:afterLines="150"/>
        <w:ind w:left="627" w:firstLine="842" w:firstLineChars="351"/>
        <w:rPr>
          <w:color w:val="auto"/>
        </w:rPr>
      </w:pPr>
    </w:p>
    <w:p>
      <w:pPr>
        <w:spacing w:line="360" w:lineRule="auto"/>
        <w:ind w:firstLine="3017" w:firstLineChars="1252"/>
        <w:rPr>
          <w:rFonts w:ascii="宋体" w:hAnsi="宋体" w:eastAsia="宋体" w:cs="宋体"/>
          <w:b/>
          <w:bCs/>
          <w:color w:val="auto"/>
          <w:szCs w:val="28"/>
        </w:rPr>
      </w:pPr>
      <w:r>
        <w:rPr>
          <w:rFonts w:hAnsi="宋体" w:cs="宋体"/>
          <w:b/>
          <w:bCs/>
          <w:color w:val="auto"/>
          <w:szCs w:val="28"/>
        </w:rPr>
        <w:br w:type="page"/>
      </w:r>
      <w:r>
        <w:rPr>
          <w:rFonts w:hint="eastAsia" w:ascii="宋体" w:hAnsi="宋体" w:eastAsia="宋体" w:cs="宋体"/>
          <w:b/>
          <w:bCs/>
          <w:color w:val="auto"/>
          <w:szCs w:val="28"/>
        </w:rPr>
        <w:t>表</w:t>
      </w:r>
      <w:r>
        <w:rPr>
          <w:rFonts w:ascii="宋体" w:hAnsi="宋体" w:eastAsia="宋体" w:cs="宋体"/>
          <w:b/>
          <w:bCs/>
          <w:color w:val="auto"/>
          <w:szCs w:val="28"/>
        </w:rPr>
        <w:t xml:space="preserve">2  </w:t>
      </w:r>
      <w:r>
        <w:rPr>
          <w:rFonts w:hint="eastAsia" w:ascii="宋体" w:hAnsi="宋体" w:eastAsia="宋体" w:cs="宋体"/>
          <w:b/>
          <w:bCs/>
          <w:color w:val="auto"/>
          <w:szCs w:val="28"/>
        </w:rPr>
        <w:t>劳动力计划表</w:t>
      </w:r>
    </w:p>
    <w:p>
      <w:pPr>
        <w:spacing w:after="120" w:afterLines="50"/>
        <w:ind w:left="629" w:right="480"/>
        <w:jc w:val="right"/>
        <w:rPr>
          <w:color w:val="auto"/>
        </w:rPr>
      </w:pPr>
      <w:r>
        <w:rPr>
          <w:rFonts w:hint="eastAsia"/>
          <w:color w:val="auto"/>
        </w:rPr>
        <w:t>单位：人</w:t>
      </w:r>
    </w:p>
    <w:tbl>
      <w:tblPr>
        <w:tblStyle w:val="4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050"/>
        <w:gridCol w:w="1050"/>
        <w:gridCol w:w="1049"/>
        <w:gridCol w:w="1049"/>
        <w:gridCol w:w="1049"/>
        <w:gridCol w:w="1049"/>
        <w:gridCol w:w="1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9" w:hRule="atLeast"/>
        </w:trPr>
        <w:tc>
          <w:tcPr>
            <w:tcW w:w="1050" w:type="dxa"/>
            <w:vMerge w:val="restart"/>
            <w:noWrap w:val="0"/>
            <w:vAlign w:val="top"/>
          </w:tcPr>
          <w:p>
            <w:pPr>
              <w:rPr>
                <w:color w:val="auto"/>
              </w:rPr>
            </w:pPr>
          </w:p>
        </w:tc>
        <w:tc>
          <w:tcPr>
            <w:tcW w:w="7345" w:type="dxa"/>
            <w:gridSpan w:val="7"/>
            <w:noWrap w:val="0"/>
            <w:vAlign w:val="center"/>
          </w:tcPr>
          <w:p>
            <w:pPr>
              <w:jc w:val="center"/>
              <w:rPr>
                <w:color w:val="auto"/>
              </w:rPr>
            </w:pPr>
            <w:r>
              <w:rPr>
                <w:rFonts w:hint="eastAsia"/>
                <w:color w:val="auto"/>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1050" w:type="dxa"/>
            <w:vMerge w:val="continue"/>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050" w:type="dxa"/>
            <w:noWrap w:val="0"/>
            <w:vAlign w:val="top"/>
          </w:tcPr>
          <w:p>
            <w:pPr>
              <w:rPr>
                <w:color w:val="auto"/>
              </w:rPr>
            </w:pPr>
          </w:p>
        </w:tc>
        <w:tc>
          <w:tcPr>
            <w:tcW w:w="1050" w:type="dxa"/>
            <w:noWrap w:val="0"/>
            <w:vAlign w:val="top"/>
          </w:tcPr>
          <w:p>
            <w:pPr>
              <w:rPr>
                <w:color w:val="auto"/>
              </w:rPr>
            </w:pPr>
          </w:p>
        </w:tc>
        <w:tc>
          <w:tcPr>
            <w:tcW w:w="1050"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c>
          <w:tcPr>
            <w:tcW w:w="1049" w:type="dxa"/>
            <w:noWrap w:val="0"/>
            <w:vAlign w:val="top"/>
          </w:tcPr>
          <w:p>
            <w:pPr>
              <w:rPr>
                <w:color w:val="auto"/>
              </w:rPr>
            </w:pPr>
          </w:p>
        </w:tc>
      </w:tr>
    </w:tbl>
    <w:p>
      <w:pPr>
        <w:ind w:left="629"/>
        <w:rPr>
          <w:color w:val="auto"/>
        </w:rPr>
      </w:pPr>
    </w:p>
    <w:p>
      <w:pPr>
        <w:ind w:left="629"/>
        <w:rPr>
          <w:color w:val="auto"/>
        </w:rPr>
      </w:pPr>
      <w:r>
        <w:rPr>
          <w:rFonts w:hint="eastAsia"/>
          <w:color w:val="auto"/>
        </w:rPr>
        <w:t>注：投标人应按所列格式提交包括分包在内的劳动力计划表。</w:t>
      </w:r>
    </w:p>
    <w:p>
      <w:pPr>
        <w:ind w:left="629" w:firstLine="525" w:firstLineChars="219"/>
        <w:rPr>
          <w:color w:val="auto"/>
        </w:rPr>
      </w:pPr>
      <w:r>
        <w:rPr>
          <w:rFonts w:hint="eastAsia"/>
          <w:color w:val="auto"/>
        </w:rPr>
        <w:t>本计划表是以每班八小时工作制为基础的。</w:t>
      </w:r>
    </w:p>
    <w:p>
      <w:pPr>
        <w:ind w:left="629" w:firstLine="525" w:firstLineChars="219"/>
        <w:rPr>
          <w:color w:val="auto"/>
        </w:rPr>
      </w:pPr>
    </w:p>
    <w:p>
      <w:pPr>
        <w:spacing w:after="360" w:afterLines="150"/>
        <w:rPr>
          <w:color w:val="auto"/>
        </w:rPr>
      </w:pPr>
    </w:p>
    <w:p>
      <w:pPr>
        <w:spacing w:after="360" w:afterLines="150"/>
        <w:ind w:left="538" w:leftChars="224" w:firstLine="1448" w:firstLineChars="601"/>
        <w:rPr>
          <w:rFonts w:ascii="宋体" w:hAnsi="宋体" w:eastAsia="宋体"/>
          <w:b/>
          <w:bCs/>
          <w:color w:val="auto"/>
        </w:rPr>
      </w:pPr>
      <w:r>
        <w:rPr>
          <w:rFonts w:hint="eastAsia" w:ascii="宋体" w:hAnsi="宋体" w:eastAsia="宋体"/>
          <w:b/>
          <w:bCs/>
          <w:color w:val="auto"/>
        </w:rPr>
        <w:t>表</w:t>
      </w:r>
      <w:r>
        <w:rPr>
          <w:rFonts w:ascii="宋体" w:hAnsi="宋体" w:eastAsia="宋体"/>
          <w:b/>
          <w:bCs/>
          <w:color w:val="auto"/>
        </w:rPr>
        <w:t xml:space="preserve">3 </w:t>
      </w:r>
      <w:r>
        <w:rPr>
          <w:rFonts w:hint="eastAsia" w:ascii="宋体" w:hAnsi="宋体" w:eastAsia="宋体"/>
          <w:b/>
          <w:bCs/>
          <w:color w:val="auto"/>
        </w:rPr>
        <w:t>计划开、竣工日期和施工进度网络图</w:t>
      </w:r>
    </w:p>
    <w:p>
      <w:pPr>
        <w:spacing w:line="360" w:lineRule="auto"/>
        <w:ind w:firstLine="480" w:firstLineChars="200"/>
        <w:rPr>
          <w:rFonts w:hAnsi="宋体" w:cs="宋体"/>
          <w:color w:val="auto"/>
          <w:szCs w:val="28"/>
        </w:rPr>
      </w:pPr>
      <w:r>
        <w:rPr>
          <w:rFonts w:hint="eastAsia" w:hAnsi="宋体" w:cs="宋体"/>
          <w:color w:val="auto"/>
          <w:szCs w:val="28"/>
        </w:rPr>
        <w:t>投标人应提交的施工进度网络图或施工进度表，说明按招标文件要求的工期进行施工的各个关键日期。中标的投标人还要按合同条件有关条款的要求提交详细的施工进度计划。</w:t>
      </w:r>
    </w:p>
    <w:p>
      <w:pPr>
        <w:spacing w:line="360" w:lineRule="auto"/>
        <w:ind w:firstLine="480" w:firstLineChars="200"/>
        <w:rPr>
          <w:rFonts w:hAnsi="宋体" w:cs="宋体"/>
          <w:color w:val="auto"/>
          <w:szCs w:val="28"/>
        </w:rPr>
      </w:pPr>
      <w:r>
        <w:rPr>
          <w:rFonts w:hint="eastAsia" w:hAnsi="宋体" w:cs="宋体"/>
          <w:color w:val="auto"/>
          <w:szCs w:val="28"/>
        </w:rPr>
        <w:t>施工进度表可采用关键线路网络图（或横道图）表示，说明计划开工日期和各分项工程各阶段的完工日期和分包合同签订的日期。</w:t>
      </w:r>
    </w:p>
    <w:p>
      <w:pPr>
        <w:spacing w:line="360" w:lineRule="auto"/>
        <w:ind w:firstLine="480" w:firstLineChars="200"/>
        <w:rPr>
          <w:rFonts w:hAnsi="宋体" w:cs="宋体"/>
          <w:color w:val="auto"/>
          <w:szCs w:val="28"/>
        </w:rPr>
      </w:pPr>
      <w:r>
        <w:rPr>
          <w:rFonts w:hint="eastAsia" w:hAnsi="宋体" w:cs="宋体"/>
          <w:color w:val="auto"/>
          <w:szCs w:val="28"/>
        </w:rPr>
        <w:t>施工进度计划应与施工组织设计相适应。</w:t>
      </w:r>
    </w:p>
    <w:p>
      <w:pPr>
        <w:spacing w:after="360" w:afterLines="150"/>
        <w:ind w:left="627"/>
        <w:rPr>
          <w:color w:val="auto"/>
        </w:rPr>
      </w:pPr>
    </w:p>
    <w:p>
      <w:pPr>
        <w:spacing w:after="360" w:afterLines="150"/>
        <w:ind w:left="629"/>
        <w:jc w:val="center"/>
        <w:rPr>
          <w:rFonts w:ascii="宋体" w:hAnsi="宋体" w:eastAsia="宋体"/>
          <w:b/>
          <w:bCs/>
          <w:color w:val="auto"/>
        </w:rPr>
      </w:pPr>
      <w:r>
        <w:rPr>
          <w:color w:val="auto"/>
        </w:rPr>
        <w:br w:type="page"/>
      </w:r>
      <w:r>
        <w:rPr>
          <w:rFonts w:hint="eastAsia" w:ascii="宋体" w:hAnsi="宋体" w:eastAsia="宋体"/>
          <w:b/>
          <w:bCs/>
          <w:color w:val="auto"/>
        </w:rPr>
        <w:t>表</w:t>
      </w:r>
      <w:r>
        <w:rPr>
          <w:rFonts w:ascii="宋体" w:hAnsi="宋体" w:eastAsia="宋体"/>
          <w:b/>
          <w:bCs/>
          <w:color w:val="auto"/>
        </w:rPr>
        <w:t xml:space="preserve">4 </w:t>
      </w:r>
      <w:r>
        <w:rPr>
          <w:rFonts w:hint="eastAsia" w:ascii="宋体" w:hAnsi="宋体" w:eastAsia="宋体"/>
          <w:b/>
          <w:bCs/>
          <w:color w:val="auto"/>
        </w:rPr>
        <w:t>施工总平面布置图及临时用地表</w:t>
      </w:r>
    </w:p>
    <w:p>
      <w:pPr>
        <w:numPr>
          <w:ilvl w:val="1"/>
          <w:numId w:val="46"/>
        </w:numPr>
        <w:tabs>
          <w:tab w:val="left" w:pos="0"/>
        </w:tabs>
        <w:autoSpaceDE/>
        <w:autoSpaceDN/>
        <w:adjustRightInd/>
        <w:spacing w:line="360" w:lineRule="auto"/>
        <w:ind w:left="0" w:firstLine="480" w:firstLineChars="200"/>
        <w:jc w:val="both"/>
        <w:rPr>
          <w:rFonts w:hAnsi="宋体" w:cs="宋体"/>
          <w:color w:val="auto"/>
          <w:szCs w:val="28"/>
        </w:rPr>
      </w:pPr>
      <w:r>
        <w:rPr>
          <w:rFonts w:hint="eastAsia" w:hAnsi="宋体" w:cs="宋体"/>
          <w:color w:val="auto"/>
          <w:szCs w:val="28"/>
        </w:rPr>
        <w:t>施工总平面布置图</w:t>
      </w:r>
    </w:p>
    <w:p>
      <w:pPr>
        <w:spacing w:line="360" w:lineRule="auto"/>
        <w:ind w:firstLine="480" w:firstLineChars="200"/>
        <w:rPr>
          <w:rFonts w:hAnsi="宋体" w:cs="宋体"/>
          <w:color w:val="auto"/>
          <w:szCs w:val="28"/>
        </w:rPr>
      </w:pPr>
      <w:r>
        <w:rPr>
          <w:rFonts w:hint="eastAsia" w:hAnsi="宋体" w:cs="宋体"/>
          <w:color w:val="auto"/>
          <w:szCs w:val="28"/>
        </w:rPr>
        <w:t>投标人应提交一份施工总平面图，给出现场临时设施布置图表并附文字说明，说明临时设施、加工车间、现场办公、设备及仓储、供电、供水、卫生、生活等设施的情况和布置。</w:t>
      </w:r>
    </w:p>
    <w:p>
      <w:pPr>
        <w:numPr>
          <w:ilvl w:val="1"/>
          <w:numId w:val="46"/>
        </w:numPr>
        <w:tabs>
          <w:tab w:val="left" w:pos="0"/>
        </w:tabs>
        <w:autoSpaceDE/>
        <w:autoSpaceDN/>
        <w:adjustRightInd/>
        <w:spacing w:line="360" w:lineRule="auto"/>
        <w:ind w:left="0" w:firstLine="480" w:firstLineChars="200"/>
        <w:jc w:val="both"/>
        <w:rPr>
          <w:rFonts w:hAnsi="宋体" w:cs="宋体"/>
          <w:color w:val="auto"/>
          <w:szCs w:val="28"/>
        </w:rPr>
      </w:pPr>
      <w:r>
        <w:rPr>
          <w:rFonts w:hint="eastAsia" w:hAnsi="宋体" w:cs="宋体"/>
          <w:color w:val="auto"/>
          <w:szCs w:val="28"/>
        </w:rPr>
        <w:t>临时用地表</w:t>
      </w:r>
    </w:p>
    <w:tbl>
      <w:tblPr>
        <w:tblStyle w:val="40"/>
        <w:tblW w:w="0" w:type="auto"/>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2"/>
        <w:gridCol w:w="1951"/>
        <w:gridCol w:w="1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exact"/>
        </w:trPr>
        <w:tc>
          <w:tcPr>
            <w:tcW w:w="1951" w:type="dxa"/>
            <w:noWrap w:val="0"/>
            <w:vAlign w:val="center"/>
          </w:tcPr>
          <w:p>
            <w:pPr>
              <w:jc w:val="center"/>
              <w:rPr>
                <w:rFonts w:hAnsi="宋体" w:cs="宋体"/>
                <w:color w:val="auto"/>
                <w:szCs w:val="28"/>
              </w:rPr>
            </w:pPr>
            <w:r>
              <w:rPr>
                <w:rFonts w:hint="eastAsia" w:hAnsi="宋体" w:cs="宋体"/>
                <w:color w:val="auto"/>
                <w:szCs w:val="28"/>
              </w:rPr>
              <w:t>用途</w:t>
            </w:r>
          </w:p>
        </w:tc>
        <w:tc>
          <w:tcPr>
            <w:tcW w:w="1982" w:type="dxa"/>
            <w:noWrap w:val="0"/>
            <w:vAlign w:val="center"/>
          </w:tcPr>
          <w:p>
            <w:pPr>
              <w:jc w:val="center"/>
              <w:rPr>
                <w:rFonts w:hAnsi="宋体" w:cs="宋体"/>
                <w:color w:val="auto"/>
                <w:szCs w:val="28"/>
              </w:rPr>
            </w:pPr>
            <w:r>
              <w:rPr>
                <w:rFonts w:hint="eastAsia" w:hAnsi="宋体" w:cs="宋体"/>
                <w:color w:val="auto"/>
                <w:szCs w:val="28"/>
              </w:rPr>
              <w:t>面积（平方米）</w:t>
            </w:r>
          </w:p>
        </w:tc>
        <w:tc>
          <w:tcPr>
            <w:tcW w:w="1951" w:type="dxa"/>
            <w:noWrap w:val="0"/>
            <w:vAlign w:val="center"/>
          </w:tcPr>
          <w:p>
            <w:pPr>
              <w:jc w:val="center"/>
              <w:rPr>
                <w:rFonts w:hAnsi="宋体" w:cs="宋体"/>
                <w:color w:val="auto"/>
                <w:szCs w:val="28"/>
              </w:rPr>
            </w:pPr>
            <w:r>
              <w:rPr>
                <w:rFonts w:hint="eastAsia" w:hAnsi="宋体" w:cs="宋体"/>
                <w:color w:val="auto"/>
                <w:szCs w:val="28"/>
              </w:rPr>
              <w:t>位置</w:t>
            </w:r>
          </w:p>
        </w:tc>
        <w:tc>
          <w:tcPr>
            <w:tcW w:w="1951" w:type="dxa"/>
            <w:noWrap w:val="0"/>
            <w:vAlign w:val="center"/>
          </w:tcPr>
          <w:p>
            <w:pPr>
              <w:jc w:val="center"/>
              <w:rPr>
                <w:rFonts w:hAnsi="宋体" w:cs="宋体"/>
                <w:color w:val="auto"/>
                <w:szCs w:val="28"/>
              </w:rPr>
            </w:pPr>
            <w:r>
              <w:rPr>
                <w:rFonts w:hint="eastAsia" w:hAnsi="宋体" w:cs="宋体"/>
                <w:color w:val="auto"/>
                <w:szCs w:val="28"/>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1" w:type="dxa"/>
            <w:noWrap w:val="0"/>
            <w:vAlign w:val="top"/>
          </w:tcPr>
          <w:p>
            <w:pPr>
              <w:rPr>
                <w:rFonts w:hAnsi="宋体" w:cs="宋体"/>
                <w:color w:val="auto"/>
                <w:szCs w:val="28"/>
              </w:rPr>
            </w:pPr>
          </w:p>
        </w:tc>
        <w:tc>
          <w:tcPr>
            <w:tcW w:w="1982"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1" w:type="dxa"/>
            <w:noWrap w:val="0"/>
            <w:vAlign w:val="top"/>
          </w:tcPr>
          <w:p>
            <w:pPr>
              <w:rPr>
                <w:rFonts w:hAnsi="宋体" w:cs="宋体"/>
                <w:color w:val="auto"/>
                <w:szCs w:val="28"/>
              </w:rPr>
            </w:pPr>
          </w:p>
        </w:tc>
        <w:tc>
          <w:tcPr>
            <w:tcW w:w="1982"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1" w:type="dxa"/>
            <w:noWrap w:val="0"/>
            <w:vAlign w:val="top"/>
          </w:tcPr>
          <w:p>
            <w:pPr>
              <w:rPr>
                <w:rFonts w:hAnsi="宋体" w:cs="宋体"/>
                <w:color w:val="auto"/>
                <w:szCs w:val="28"/>
              </w:rPr>
            </w:pPr>
          </w:p>
        </w:tc>
        <w:tc>
          <w:tcPr>
            <w:tcW w:w="1982"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1" w:type="dxa"/>
            <w:noWrap w:val="0"/>
            <w:vAlign w:val="top"/>
          </w:tcPr>
          <w:p>
            <w:pPr>
              <w:rPr>
                <w:rFonts w:hAnsi="宋体" w:cs="宋体"/>
                <w:color w:val="auto"/>
                <w:szCs w:val="28"/>
              </w:rPr>
            </w:pPr>
          </w:p>
        </w:tc>
        <w:tc>
          <w:tcPr>
            <w:tcW w:w="1982"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1" w:type="dxa"/>
            <w:noWrap w:val="0"/>
            <w:vAlign w:val="top"/>
          </w:tcPr>
          <w:p>
            <w:pPr>
              <w:rPr>
                <w:rFonts w:hAnsi="宋体" w:cs="宋体"/>
                <w:color w:val="auto"/>
                <w:szCs w:val="28"/>
              </w:rPr>
            </w:pPr>
          </w:p>
        </w:tc>
        <w:tc>
          <w:tcPr>
            <w:tcW w:w="1982"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1" w:type="dxa"/>
            <w:noWrap w:val="0"/>
            <w:vAlign w:val="top"/>
          </w:tcPr>
          <w:p>
            <w:pPr>
              <w:rPr>
                <w:rFonts w:hAnsi="宋体" w:cs="宋体"/>
                <w:color w:val="auto"/>
                <w:szCs w:val="28"/>
              </w:rPr>
            </w:pPr>
          </w:p>
        </w:tc>
        <w:tc>
          <w:tcPr>
            <w:tcW w:w="1982"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1" w:type="dxa"/>
            <w:noWrap w:val="0"/>
            <w:vAlign w:val="top"/>
          </w:tcPr>
          <w:p>
            <w:pPr>
              <w:rPr>
                <w:rFonts w:hAnsi="宋体" w:cs="宋体"/>
                <w:color w:val="auto"/>
                <w:szCs w:val="28"/>
              </w:rPr>
            </w:pPr>
          </w:p>
        </w:tc>
        <w:tc>
          <w:tcPr>
            <w:tcW w:w="1982"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1" w:type="dxa"/>
            <w:noWrap w:val="0"/>
            <w:vAlign w:val="top"/>
          </w:tcPr>
          <w:p>
            <w:pPr>
              <w:rPr>
                <w:rFonts w:hAnsi="宋体" w:cs="宋体"/>
                <w:color w:val="auto"/>
                <w:szCs w:val="28"/>
              </w:rPr>
            </w:pPr>
          </w:p>
        </w:tc>
        <w:tc>
          <w:tcPr>
            <w:tcW w:w="1982"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1" w:type="dxa"/>
            <w:noWrap w:val="0"/>
            <w:vAlign w:val="top"/>
          </w:tcPr>
          <w:p>
            <w:pPr>
              <w:rPr>
                <w:rFonts w:hAnsi="宋体" w:cs="宋体"/>
                <w:color w:val="auto"/>
                <w:szCs w:val="28"/>
              </w:rPr>
            </w:pPr>
          </w:p>
        </w:tc>
        <w:tc>
          <w:tcPr>
            <w:tcW w:w="1982"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trPr>
        <w:tc>
          <w:tcPr>
            <w:tcW w:w="1951" w:type="dxa"/>
            <w:noWrap w:val="0"/>
            <w:vAlign w:val="top"/>
          </w:tcPr>
          <w:p>
            <w:pPr>
              <w:rPr>
                <w:rFonts w:hAnsi="宋体" w:cs="宋体"/>
                <w:color w:val="auto"/>
                <w:szCs w:val="28"/>
              </w:rPr>
            </w:pPr>
          </w:p>
        </w:tc>
        <w:tc>
          <w:tcPr>
            <w:tcW w:w="1982"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c>
          <w:tcPr>
            <w:tcW w:w="1951" w:type="dxa"/>
            <w:noWrap w:val="0"/>
            <w:vAlign w:val="top"/>
          </w:tcPr>
          <w:p>
            <w:pP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exact"/>
        </w:trPr>
        <w:tc>
          <w:tcPr>
            <w:tcW w:w="1951" w:type="dxa"/>
            <w:noWrap w:val="0"/>
            <w:vAlign w:val="center"/>
          </w:tcPr>
          <w:p>
            <w:pPr>
              <w:jc w:val="center"/>
              <w:rPr>
                <w:rFonts w:hAnsi="宋体" w:cs="宋体"/>
                <w:color w:val="auto"/>
                <w:szCs w:val="28"/>
              </w:rPr>
            </w:pPr>
            <w:r>
              <w:rPr>
                <w:rFonts w:hint="eastAsia" w:hAnsi="宋体" w:cs="宋体"/>
                <w:color w:val="auto"/>
                <w:szCs w:val="28"/>
              </w:rPr>
              <w:t>合计</w:t>
            </w:r>
          </w:p>
        </w:tc>
        <w:tc>
          <w:tcPr>
            <w:tcW w:w="1982" w:type="dxa"/>
            <w:noWrap w:val="0"/>
            <w:vAlign w:val="center"/>
          </w:tcPr>
          <w:p>
            <w:pPr>
              <w:jc w:val="center"/>
              <w:rPr>
                <w:rFonts w:hAnsi="宋体" w:cs="宋体"/>
                <w:color w:val="auto"/>
                <w:szCs w:val="28"/>
              </w:rPr>
            </w:pPr>
          </w:p>
        </w:tc>
        <w:tc>
          <w:tcPr>
            <w:tcW w:w="1951" w:type="dxa"/>
            <w:noWrap w:val="0"/>
            <w:vAlign w:val="center"/>
          </w:tcPr>
          <w:p>
            <w:pPr>
              <w:jc w:val="center"/>
              <w:rPr>
                <w:rFonts w:hAnsi="宋体" w:cs="宋体"/>
                <w:color w:val="auto"/>
                <w:szCs w:val="28"/>
              </w:rPr>
            </w:pPr>
          </w:p>
        </w:tc>
        <w:tc>
          <w:tcPr>
            <w:tcW w:w="1951" w:type="dxa"/>
            <w:noWrap w:val="0"/>
            <w:vAlign w:val="center"/>
          </w:tcPr>
          <w:p>
            <w:pPr>
              <w:jc w:val="center"/>
              <w:rPr>
                <w:rFonts w:hAnsi="宋体" w:cs="宋体"/>
                <w:color w:val="auto"/>
                <w:szCs w:val="28"/>
              </w:rPr>
            </w:pPr>
          </w:p>
        </w:tc>
      </w:tr>
    </w:tbl>
    <w:p>
      <w:pPr>
        <w:ind w:left="1047"/>
        <w:rPr>
          <w:rFonts w:hAnsi="宋体" w:cs="宋体"/>
          <w:color w:val="auto"/>
          <w:szCs w:val="28"/>
        </w:rPr>
      </w:pPr>
    </w:p>
    <w:p>
      <w:pPr>
        <w:ind w:left="1498" w:leftChars="224" w:hanging="960" w:hangingChars="400"/>
        <w:rPr>
          <w:rFonts w:hAnsi="宋体" w:cs="宋体"/>
          <w:color w:val="auto"/>
          <w:szCs w:val="28"/>
        </w:rPr>
      </w:pPr>
      <w:r>
        <w:rPr>
          <w:rFonts w:hint="eastAsia" w:hAnsi="宋体" w:cs="宋体"/>
          <w:color w:val="auto"/>
          <w:szCs w:val="28"/>
        </w:rPr>
        <w:t>注：（</w:t>
      </w:r>
      <w:r>
        <w:rPr>
          <w:rFonts w:hAnsi="宋体" w:cs="宋体"/>
          <w:color w:val="auto"/>
          <w:szCs w:val="28"/>
        </w:rPr>
        <w:t>1</w:t>
      </w:r>
      <w:r>
        <w:rPr>
          <w:rFonts w:hint="eastAsia" w:hAnsi="宋体" w:cs="宋体"/>
          <w:color w:val="auto"/>
          <w:szCs w:val="28"/>
        </w:rPr>
        <w:t>）投标人应逐项填写本表，指出全部临时设施用地面积以及详细用途。</w:t>
      </w:r>
    </w:p>
    <w:p>
      <w:pPr>
        <w:ind w:left="1" w:firstLine="1017" w:firstLineChars="424"/>
        <w:rPr>
          <w:rFonts w:hAnsi="宋体" w:cs="宋体"/>
          <w:color w:val="auto"/>
          <w:szCs w:val="28"/>
        </w:rPr>
      </w:pPr>
      <w:r>
        <w:rPr>
          <w:rFonts w:hint="eastAsia" w:hAnsi="宋体" w:cs="宋体"/>
          <w:color w:val="auto"/>
          <w:szCs w:val="28"/>
        </w:rPr>
        <w:t>（</w:t>
      </w:r>
      <w:r>
        <w:rPr>
          <w:rFonts w:hAnsi="宋体" w:cs="宋体"/>
          <w:color w:val="auto"/>
          <w:szCs w:val="28"/>
        </w:rPr>
        <w:t>2</w:t>
      </w:r>
      <w:r>
        <w:rPr>
          <w:rFonts w:hint="eastAsia" w:hAnsi="宋体" w:cs="宋体"/>
          <w:color w:val="auto"/>
          <w:szCs w:val="28"/>
        </w:rPr>
        <w:t>）若本表不够，可加附页。</w:t>
      </w:r>
    </w:p>
    <w:p>
      <w:pPr>
        <w:ind w:left="1" w:firstLine="1017" w:firstLineChars="424"/>
        <w:rPr>
          <w:rFonts w:hAnsi="宋体" w:cs="宋体"/>
          <w:color w:val="auto"/>
          <w:szCs w:val="28"/>
        </w:rPr>
      </w:pPr>
    </w:p>
    <w:p>
      <w:pPr>
        <w:ind w:left="1" w:firstLine="1017" w:firstLineChars="424"/>
        <w:rPr>
          <w:rFonts w:hAnsi="宋体" w:cs="宋体"/>
          <w:color w:val="auto"/>
          <w:szCs w:val="28"/>
        </w:rPr>
      </w:pPr>
    </w:p>
    <w:p>
      <w:pPr>
        <w:jc w:val="center"/>
        <w:rPr>
          <w:rFonts w:hAnsi="宋体" w:cs="宋体"/>
          <w:b/>
          <w:bCs/>
          <w:color w:val="auto"/>
          <w:sz w:val="36"/>
          <w:szCs w:val="36"/>
        </w:rPr>
      </w:pPr>
      <w:r>
        <w:rPr>
          <w:rFonts w:hint="eastAsia" w:hAnsi="宋体" w:cs="宋体"/>
          <w:b/>
          <w:bCs/>
          <w:color w:val="auto"/>
          <w:sz w:val="36"/>
          <w:szCs w:val="36"/>
        </w:rPr>
        <w:t>二、项目管理班子配备情况</w:t>
      </w:r>
    </w:p>
    <w:p>
      <w:pPr>
        <w:ind w:left="1" w:firstLine="1362" w:firstLineChars="424"/>
        <w:jc w:val="center"/>
        <w:rPr>
          <w:rFonts w:hAnsi="宋体" w:cs="宋体"/>
          <w:b/>
          <w:bCs/>
          <w:color w:val="auto"/>
          <w:sz w:val="32"/>
          <w:szCs w:val="28"/>
        </w:rPr>
      </w:pPr>
    </w:p>
    <w:p>
      <w:pPr>
        <w:spacing w:line="360" w:lineRule="auto"/>
        <w:ind w:firstLine="480" w:firstLineChars="200"/>
        <w:rPr>
          <w:rFonts w:hAnsi="宋体" w:cs="宋体"/>
          <w:b/>
          <w:bCs/>
          <w:color w:val="auto"/>
          <w:szCs w:val="28"/>
          <w:u w:val="single"/>
        </w:rPr>
      </w:pPr>
      <w:r>
        <w:rPr>
          <w:rFonts w:hint="eastAsia" w:hAnsi="宋体" w:cs="宋体"/>
          <w:color w:val="auto"/>
          <w:szCs w:val="28"/>
        </w:rPr>
        <w:t>表</w:t>
      </w:r>
      <w:r>
        <w:rPr>
          <w:rFonts w:hAnsi="宋体" w:cs="宋体"/>
          <w:color w:val="auto"/>
          <w:szCs w:val="28"/>
        </w:rPr>
        <w:t xml:space="preserve">5  </w:t>
      </w:r>
      <w:r>
        <w:rPr>
          <w:rFonts w:hint="eastAsia" w:hAnsi="宋体" w:cs="宋体"/>
          <w:color w:val="auto"/>
          <w:szCs w:val="28"/>
        </w:rPr>
        <w:t>项目管理班子配套情况表</w:t>
      </w:r>
    </w:p>
    <w:p>
      <w:pPr>
        <w:spacing w:line="360" w:lineRule="auto"/>
        <w:ind w:firstLine="480" w:firstLineChars="200"/>
        <w:rPr>
          <w:rFonts w:hAnsi="宋体" w:cs="宋体"/>
          <w:color w:val="auto"/>
          <w:szCs w:val="28"/>
        </w:rPr>
      </w:pPr>
      <w:r>
        <w:rPr>
          <w:rFonts w:hint="eastAsia" w:hAnsi="宋体" w:cs="宋体"/>
          <w:color w:val="auto"/>
          <w:szCs w:val="28"/>
        </w:rPr>
        <w:t>表</w:t>
      </w:r>
      <w:r>
        <w:rPr>
          <w:rFonts w:hAnsi="宋体" w:cs="宋体"/>
          <w:color w:val="auto"/>
          <w:szCs w:val="28"/>
        </w:rPr>
        <w:t xml:space="preserve">6  </w:t>
      </w:r>
      <w:r>
        <w:rPr>
          <w:rFonts w:hint="eastAsia" w:hAnsi="宋体" w:cs="宋体"/>
          <w:color w:val="auto"/>
          <w:szCs w:val="28"/>
        </w:rPr>
        <w:t>项目负责人简历表</w:t>
      </w:r>
    </w:p>
    <w:p>
      <w:pPr>
        <w:spacing w:line="360" w:lineRule="auto"/>
        <w:ind w:firstLine="480" w:firstLineChars="200"/>
        <w:rPr>
          <w:rFonts w:hAnsi="宋体" w:cs="宋体"/>
          <w:color w:val="auto"/>
          <w:szCs w:val="28"/>
        </w:rPr>
      </w:pPr>
      <w:r>
        <w:rPr>
          <w:rFonts w:hint="eastAsia" w:hAnsi="宋体" w:cs="宋体"/>
          <w:color w:val="auto"/>
          <w:szCs w:val="28"/>
        </w:rPr>
        <w:t>表</w:t>
      </w:r>
      <w:r>
        <w:rPr>
          <w:rFonts w:hAnsi="宋体" w:cs="宋体"/>
          <w:color w:val="auto"/>
          <w:szCs w:val="28"/>
        </w:rPr>
        <w:t xml:space="preserve">7  </w:t>
      </w:r>
      <w:r>
        <w:rPr>
          <w:rFonts w:hint="eastAsia" w:hAnsi="宋体" w:cs="宋体"/>
          <w:color w:val="auto"/>
          <w:szCs w:val="28"/>
        </w:rPr>
        <w:t>项目技术负责人简历表</w:t>
      </w:r>
    </w:p>
    <w:p>
      <w:pPr>
        <w:spacing w:line="360" w:lineRule="auto"/>
        <w:ind w:firstLine="480" w:firstLineChars="200"/>
        <w:rPr>
          <w:rFonts w:hAnsi="宋体" w:cs="宋体"/>
          <w:color w:val="auto"/>
          <w:szCs w:val="28"/>
        </w:rPr>
      </w:pPr>
      <w:r>
        <w:rPr>
          <w:rFonts w:hint="eastAsia" w:hAnsi="宋体" w:cs="宋体"/>
          <w:color w:val="auto"/>
          <w:szCs w:val="28"/>
        </w:rPr>
        <w:t>表</w:t>
      </w:r>
      <w:r>
        <w:rPr>
          <w:rFonts w:hAnsi="宋体" w:cs="宋体"/>
          <w:color w:val="auto"/>
          <w:szCs w:val="28"/>
        </w:rPr>
        <w:t xml:space="preserve">8  </w:t>
      </w:r>
      <w:r>
        <w:rPr>
          <w:rFonts w:hint="eastAsia" w:hAnsi="宋体" w:cs="宋体"/>
          <w:color w:val="auto"/>
          <w:szCs w:val="28"/>
        </w:rPr>
        <w:t>项目管理班子配备情况辅助说明资料</w:t>
      </w:r>
    </w:p>
    <w:p>
      <w:pPr>
        <w:spacing w:line="360" w:lineRule="auto"/>
        <w:jc w:val="center"/>
        <w:rPr>
          <w:rFonts w:ascii="宋体" w:hAnsi="宋体" w:eastAsia="宋体" w:cs="宋体"/>
          <w:b/>
          <w:bCs/>
          <w:color w:val="auto"/>
          <w:szCs w:val="28"/>
        </w:rPr>
      </w:pPr>
      <w:r>
        <w:rPr>
          <w:rFonts w:hAnsi="宋体" w:cs="宋体"/>
          <w:b/>
          <w:bCs/>
          <w:color w:val="auto"/>
          <w:szCs w:val="28"/>
        </w:rPr>
        <w:br w:type="page"/>
      </w:r>
      <w:r>
        <w:rPr>
          <w:rFonts w:hint="eastAsia" w:ascii="宋体" w:hAnsi="宋体" w:eastAsia="宋体" w:cs="宋体"/>
          <w:b/>
          <w:bCs/>
          <w:color w:val="auto"/>
          <w:szCs w:val="28"/>
        </w:rPr>
        <w:t>表</w:t>
      </w:r>
      <w:r>
        <w:rPr>
          <w:rFonts w:ascii="宋体" w:hAnsi="宋体" w:eastAsia="宋体" w:cs="宋体"/>
          <w:b/>
          <w:bCs/>
          <w:color w:val="auto"/>
          <w:szCs w:val="28"/>
        </w:rPr>
        <w:t xml:space="preserve">5  </w:t>
      </w:r>
      <w:r>
        <w:rPr>
          <w:rFonts w:hint="eastAsia" w:ascii="宋体" w:hAnsi="宋体" w:eastAsia="宋体" w:cs="宋体"/>
          <w:b/>
          <w:bCs/>
          <w:color w:val="auto"/>
          <w:szCs w:val="28"/>
        </w:rPr>
        <w:t>项目管理班子配备情况表（明标）</w:t>
      </w:r>
    </w:p>
    <w:p>
      <w:pPr>
        <w:snapToGrid w:val="0"/>
        <w:spacing w:line="360" w:lineRule="auto"/>
        <w:ind w:firstLine="717" w:firstLineChars="299"/>
        <w:rPr>
          <w:rFonts w:hAnsi="宋体" w:cs="宋体"/>
          <w:color w:val="auto"/>
          <w:szCs w:val="28"/>
        </w:rPr>
      </w:pPr>
      <w:r>
        <w:rPr>
          <w:rFonts w:hint="eastAsia" w:hAnsi="宋体" w:cs="宋体"/>
          <w:color w:val="auto"/>
          <w:szCs w:val="28"/>
        </w:rPr>
        <w:t>工程名称：</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jc w:val="center"/>
              <w:rPr>
                <w:rFonts w:hAnsi="宋体" w:cs="宋体"/>
                <w:color w:val="auto"/>
                <w:szCs w:val="28"/>
              </w:rPr>
            </w:pPr>
            <w:r>
              <w:rPr>
                <w:rFonts w:hint="eastAsia" w:hAnsi="宋体" w:cs="宋体"/>
                <w:color w:val="auto"/>
                <w:szCs w:val="28"/>
              </w:rPr>
              <w:t>职务</w:t>
            </w:r>
          </w:p>
        </w:tc>
        <w:tc>
          <w:tcPr>
            <w:tcW w:w="720" w:type="dxa"/>
            <w:vMerge w:val="restart"/>
            <w:noWrap w:val="0"/>
            <w:vAlign w:val="center"/>
          </w:tcPr>
          <w:p>
            <w:pPr>
              <w:jc w:val="center"/>
              <w:rPr>
                <w:rFonts w:hAnsi="宋体" w:cs="宋体"/>
                <w:color w:val="auto"/>
                <w:szCs w:val="28"/>
              </w:rPr>
            </w:pPr>
            <w:r>
              <w:rPr>
                <w:rFonts w:hint="eastAsia" w:hAnsi="宋体" w:cs="宋体"/>
                <w:color w:val="auto"/>
                <w:szCs w:val="28"/>
              </w:rPr>
              <w:t>姓名</w:t>
            </w:r>
          </w:p>
        </w:tc>
        <w:tc>
          <w:tcPr>
            <w:tcW w:w="720" w:type="dxa"/>
            <w:vMerge w:val="restart"/>
            <w:noWrap w:val="0"/>
            <w:vAlign w:val="center"/>
          </w:tcPr>
          <w:p>
            <w:pPr>
              <w:jc w:val="center"/>
              <w:rPr>
                <w:rFonts w:hAnsi="宋体" w:cs="宋体"/>
                <w:color w:val="auto"/>
                <w:szCs w:val="28"/>
              </w:rPr>
            </w:pPr>
            <w:r>
              <w:rPr>
                <w:rFonts w:hint="eastAsia" w:hAnsi="宋体" w:cs="宋体"/>
                <w:color w:val="auto"/>
                <w:szCs w:val="28"/>
              </w:rPr>
              <w:t>职称</w:t>
            </w:r>
          </w:p>
        </w:tc>
        <w:tc>
          <w:tcPr>
            <w:tcW w:w="5040" w:type="dxa"/>
            <w:gridSpan w:val="5"/>
            <w:noWrap w:val="0"/>
            <w:vAlign w:val="center"/>
          </w:tcPr>
          <w:p>
            <w:pPr>
              <w:jc w:val="center"/>
              <w:rPr>
                <w:rFonts w:hAnsi="宋体" w:cs="宋体"/>
                <w:color w:val="auto"/>
                <w:szCs w:val="28"/>
              </w:rPr>
            </w:pPr>
            <w:r>
              <w:rPr>
                <w:rFonts w:hint="eastAsia" w:hAnsi="宋体" w:cs="宋体"/>
                <w:color w:val="auto"/>
                <w:szCs w:val="28"/>
              </w:rPr>
              <w:t>上岗资格证明</w:t>
            </w:r>
          </w:p>
        </w:tc>
        <w:tc>
          <w:tcPr>
            <w:tcW w:w="1800" w:type="dxa"/>
            <w:gridSpan w:val="2"/>
            <w:noWrap w:val="0"/>
            <w:vAlign w:val="center"/>
          </w:tcPr>
          <w:p>
            <w:pPr>
              <w:jc w:val="center"/>
              <w:rPr>
                <w:rFonts w:hAnsi="宋体" w:cs="宋体"/>
                <w:color w:val="auto"/>
                <w:szCs w:val="28"/>
              </w:rPr>
            </w:pPr>
            <w:r>
              <w:rPr>
                <w:rFonts w:hint="eastAsia" w:hAnsi="宋体" w:cs="宋体"/>
                <w:color w:val="auto"/>
                <w:szCs w:val="28"/>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spacing w:line="360" w:lineRule="auto"/>
              <w:rPr>
                <w:rFonts w:hAnsi="宋体" w:cs="宋体"/>
                <w:color w:val="auto"/>
                <w:szCs w:val="28"/>
              </w:rPr>
            </w:pPr>
          </w:p>
        </w:tc>
        <w:tc>
          <w:tcPr>
            <w:tcW w:w="720" w:type="dxa"/>
            <w:vMerge w:val="continue"/>
            <w:noWrap w:val="0"/>
            <w:vAlign w:val="top"/>
          </w:tcPr>
          <w:p>
            <w:pPr>
              <w:spacing w:line="360" w:lineRule="auto"/>
              <w:rPr>
                <w:rFonts w:hAnsi="宋体" w:cs="宋体"/>
                <w:color w:val="auto"/>
                <w:szCs w:val="28"/>
              </w:rPr>
            </w:pPr>
          </w:p>
        </w:tc>
        <w:tc>
          <w:tcPr>
            <w:tcW w:w="720" w:type="dxa"/>
            <w:vMerge w:val="continue"/>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r>
              <w:rPr>
                <w:rFonts w:hint="eastAsia" w:hAnsi="宋体" w:cs="宋体"/>
                <w:color w:val="auto"/>
                <w:szCs w:val="28"/>
              </w:rPr>
              <w:t>证书</w:t>
            </w:r>
          </w:p>
          <w:p>
            <w:pPr>
              <w:jc w:val="center"/>
              <w:rPr>
                <w:rFonts w:hAnsi="宋体" w:cs="宋体"/>
                <w:color w:val="auto"/>
                <w:szCs w:val="28"/>
              </w:rPr>
            </w:pPr>
            <w:r>
              <w:rPr>
                <w:rFonts w:hint="eastAsia" w:hAnsi="宋体" w:cs="宋体"/>
                <w:color w:val="auto"/>
                <w:szCs w:val="28"/>
              </w:rPr>
              <w:t>名称</w:t>
            </w:r>
          </w:p>
        </w:tc>
        <w:tc>
          <w:tcPr>
            <w:tcW w:w="888" w:type="dxa"/>
            <w:noWrap w:val="0"/>
            <w:vAlign w:val="center"/>
          </w:tcPr>
          <w:p>
            <w:pPr>
              <w:jc w:val="center"/>
              <w:rPr>
                <w:rFonts w:hAnsi="宋体" w:cs="宋体"/>
                <w:color w:val="auto"/>
                <w:szCs w:val="28"/>
              </w:rPr>
            </w:pPr>
            <w:r>
              <w:rPr>
                <w:rFonts w:hint="eastAsia" w:hAnsi="宋体" w:cs="宋体"/>
                <w:color w:val="auto"/>
                <w:szCs w:val="28"/>
              </w:rPr>
              <w:t>级别</w:t>
            </w:r>
          </w:p>
        </w:tc>
        <w:tc>
          <w:tcPr>
            <w:tcW w:w="888" w:type="dxa"/>
            <w:noWrap w:val="0"/>
            <w:vAlign w:val="center"/>
          </w:tcPr>
          <w:p>
            <w:pPr>
              <w:jc w:val="center"/>
              <w:rPr>
                <w:rFonts w:hAnsi="宋体" w:cs="宋体"/>
                <w:color w:val="auto"/>
                <w:szCs w:val="28"/>
              </w:rPr>
            </w:pPr>
            <w:r>
              <w:rPr>
                <w:rFonts w:hint="eastAsia" w:hAnsi="宋体" w:cs="宋体"/>
                <w:color w:val="auto"/>
                <w:szCs w:val="28"/>
              </w:rPr>
              <w:t>证号</w:t>
            </w:r>
          </w:p>
        </w:tc>
        <w:tc>
          <w:tcPr>
            <w:tcW w:w="888" w:type="dxa"/>
            <w:noWrap w:val="0"/>
            <w:vAlign w:val="center"/>
          </w:tcPr>
          <w:p>
            <w:pPr>
              <w:jc w:val="center"/>
              <w:rPr>
                <w:rFonts w:hAnsi="宋体" w:cs="宋体"/>
                <w:color w:val="auto"/>
                <w:szCs w:val="28"/>
              </w:rPr>
            </w:pPr>
            <w:r>
              <w:rPr>
                <w:rFonts w:hint="eastAsia" w:hAnsi="宋体" w:cs="宋体"/>
                <w:color w:val="auto"/>
                <w:szCs w:val="28"/>
              </w:rPr>
              <w:t>专业</w:t>
            </w:r>
          </w:p>
        </w:tc>
        <w:tc>
          <w:tcPr>
            <w:tcW w:w="1488" w:type="dxa"/>
            <w:noWrap w:val="0"/>
            <w:vAlign w:val="center"/>
          </w:tcPr>
          <w:p>
            <w:pPr>
              <w:jc w:val="center"/>
              <w:rPr>
                <w:rFonts w:hAnsi="宋体" w:cs="宋体"/>
                <w:color w:val="auto"/>
                <w:szCs w:val="28"/>
              </w:rPr>
            </w:pPr>
            <w:r>
              <w:rPr>
                <w:rFonts w:hint="eastAsia" w:hAnsi="宋体" w:cs="宋体"/>
                <w:color w:val="auto"/>
                <w:szCs w:val="28"/>
              </w:rPr>
              <w:t>原服务单位</w:t>
            </w:r>
          </w:p>
        </w:tc>
        <w:tc>
          <w:tcPr>
            <w:tcW w:w="889" w:type="dxa"/>
            <w:noWrap w:val="0"/>
            <w:vAlign w:val="center"/>
          </w:tcPr>
          <w:p>
            <w:pPr>
              <w:jc w:val="center"/>
              <w:rPr>
                <w:rFonts w:hAnsi="宋体" w:cs="宋体"/>
                <w:color w:val="auto"/>
                <w:szCs w:val="28"/>
              </w:rPr>
            </w:pPr>
            <w:r>
              <w:rPr>
                <w:rFonts w:hint="eastAsia" w:hAnsi="宋体" w:cs="宋体"/>
                <w:color w:val="auto"/>
                <w:szCs w:val="28"/>
              </w:rPr>
              <w:t>项目数</w:t>
            </w:r>
          </w:p>
        </w:tc>
        <w:tc>
          <w:tcPr>
            <w:tcW w:w="911" w:type="dxa"/>
            <w:noWrap w:val="0"/>
            <w:vAlign w:val="center"/>
          </w:tcPr>
          <w:p>
            <w:pPr>
              <w:jc w:val="center"/>
              <w:rPr>
                <w:rFonts w:hAnsi="宋体" w:cs="宋体"/>
                <w:color w:val="auto"/>
                <w:szCs w:val="28"/>
              </w:rPr>
            </w:pPr>
            <w:r>
              <w:rPr>
                <w:rFonts w:hint="eastAsia" w:hAnsi="宋体" w:cs="宋体"/>
                <w:color w:val="auto"/>
                <w:szCs w:val="28"/>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1488" w:type="dxa"/>
            <w:noWrap w:val="0"/>
            <w:vAlign w:val="top"/>
          </w:tcPr>
          <w:p>
            <w:pPr>
              <w:spacing w:line="360" w:lineRule="auto"/>
              <w:rPr>
                <w:rFonts w:hAnsi="宋体" w:cs="宋体"/>
                <w:color w:val="auto"/>
                <w:szCs w:val="28"/>
              </w:rPr>
            </w:pPr>
          </w:p>
        </w:tc>
        <w:tc>
          <w:tcPr>
            <w:tcW w:w="889" w:type="dxa"/>
            <w:noWrap w:val="0"/>
            <w:vAlign w:val="top"/>
          </w:tcPr>
          <w:p>
            <w:pPr>
              <w:spacing w:line="360" w:lineRule="auto"/>
              <w:rPr>
                <w:rFonts w:hAnsi="宋体" w:cs="宋体"/>
                <w:color w:val="auto"/>
                <w:szCs w:val="28"/>
              </w:rPr>
            </w:pPr>
          </w:p>
        </w:tc>
        <w:tc>
          <w:tcPr>
            <w:tcW w:w="91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1488" w:type="dxa"/>
            <w:noWrap w:val="0"/>
            <w:vAlign w:val="top"/>
          </w:tcPr>
          <w:p>
            <w:pPr>
              <w:spacing w:line="360" w:lineRule="auto"/>
              <w:rPr>
                <w:rFonts w:hAnsi="宋体" w:cs="宋体"/>
                <w:color w:val="auto"/>
                <w:szCs w:val="28"/>
              </w:rPr>
            </w:pPr>
          </w:p>
        </w:tc>
        <w:tc>
          <w:tcPr>
            <w:tcW w:w="889" w:type="dxa"/>
            <w:noWrap w:val="0"/>
            <w:vAlign w:val="top"/>
          </w:tcPr>
          <w:p>
            <w:pPr>
              <w:spacing w:line="360" w:lineRule="auto"/>
              <w:rPr>
                <w:rFonts w:hAnsi="宋体" w:cs="宋体"/>
                <w:color w:val="auto"/>
                <w:szCs w:val="28"/>
              </w:rPr>
            </w:pPr>
          </w:p>
        </w:tc>
        <w:tc>
          <w:tcPr>
            <w:tcW w:w="91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1488" w:type="dxa"/>
            <w:noWrap w:val="0"/>
            <w:vAlign w:val="top"/>
          </w:tcPr>
          <w:p>
            <w:pPr>
              <w:spacing w:line="360" w:lineRule="auto"/>
              <w:rPr>
                <w:rFonts w:hAnsi="宋体" w:cs="宋体"/>
                <w:color w:val="auto"/>
                <w:szCs w:val="28"/>
              </w:rPr>
            </w:pPr>
          </w:p>
        </w:tc>
        <w:tc>
          <w:tcPr>
            <w:tcW w:w="889" w:type="dxa"/>
            <w:noWrap w:val="0"/>
            <w:vAlign w:val="top"/>
          </w:tcPr>
          <w:p>
            <w:pPr>
              <w:spacing w:line="360" w:lineRule="auto"/>
              <w:rPr>
                <w:rFonts w:hAnsi="宋体" w:cs="宋体"/>
                <w:color w:val="auto"/>
                <w:szCs w:val="28"/>
              </w:rPr>
            </w:pPr>
          </w:p>
        </w:tc>
        <w:tc>
          <w:tcPr>
            <w:tcW w:w="91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1488" w:type="dxa"/>
            <w:noWrap w:val="0"/>
            <w:vAlign w:val="top"/>
          </w:tcPr>
          <w:p>
            <w:pPr>
              <w:spacing w:line="360" w:lineRule="auto"/>
              <w:rPr>
                <w:rFonts w:hAnsi="宋体" w:cs="宋体"/>
                <w:color w:val="auto"/>
                <w:szCs w:val="28"/>
              </w:rPr>
            </w:pPr>
          </w:p>
        </w:tc>
        <w:tc>
          <w:tcPr>
            <w:tcW w:w="889" w:type="dxa"/>
            <w:noWrap w:val="0"/>
            <w:vAlign w:val="top"/>
          </w:tcPr>
          <w:p>
            <w:pPr>
              <w:spacing w:line="360" w:lineRule="auto"/>
              <w:rPr>
                <w:rFonts w:hAnsi="宋体" w:cs="宋体"/>
                <w:color w:val="auto"/>
                <w:szCs w:val="28"/>
              </w:rPr>
            </w:pPr>
          </w:p>
        </w:tc>
        <w:tc>
          <w:tcPr>
            <w:tcW w:w="91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1488" w:type="dxa"/>
            <w:noWrap w:val="0"/>
            <w:vAlign w:val="top"/>
          </w:tcPr>
          <w:p>
            <w:pPr>
              <w:spacing w:line="360" w:lineRule="auto"/>
              <w:rPr>
                <w:rFonts w:hAnsi="宋体" w:cs="宋体"/>
                <w:color w:val="auto"/>
                <w:szCs w:val="28"/>
              </w:rPr>
            </w:pPr>
          </w:p>
        </w:tc>
        <w:tc>
          <w:tcPr>
            <w:tcW w:w="889" w:type="dxa"/>
            <w:noWrap w:val="0"/>
            <w:vAlign w:val="top"/>
          </w:tcPr>
          <w:p>
            <w:pPr>
              <w:spacing w:line="360" w:lineRule="auto"/>
              <w:rPr>
                <w:rFonts w:hAnsi="宋体" w:cs="宋体"/>
                <w:color w:val="auto"/>
                <w:szCs w:val="28"/>
              </w:rPr>
            </w:pPr>
          </w:p>
        </w:tc>
        <w:tc>
          <w:tcPr>
            <w:tcW w:w="91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1488" w:type="dxa"/>
            <w:noWrap w:val="0"/>
            <w:vAlign w:val="top"/>
          </w:tcPr>
          <w:p>
            <w:pPr>
              <w:spacing w:line="360" w:lineRule="auto"/>
              <w:rPr>
                <w:rFonts w:hAnsi="宋体" w:cs="宋体"/>
                <w:color w:val="auto"/>
                <w:szCs w:val="28"/>
              </w:rPr>
            </w:pPr>
          </w:p>
        </w:tc>
        <w:tc>
          <w:tcPr>
            <w:tcW w:w="889" w:type="dxa"/>
            <w:noWrap w:val="0"/>
            <w:vAlign w:val="top"/>
          </w:tcPr>
          <w:p>
            <w:pPr>
              <w:spacing w:line="360" w:lineRule="auto"/>
              <w:rPr>
                <w:rFonts w:hAnsi="宋体" w:cs="宋体"/>
                <w:color w:val="auto"/>
                <w:szCs w:val="28"/>
              </w:rPr>
            </w:pPr>
          </w:p>
        </w:tc>
        <w:tc>
          <w:tcPr>
            <w:tcW w:w="91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1488" w:type="dxa"/>
            <w:noWrap w:val="0"/>
            <w:vAlign w:val="top"/>
          </w:tcPr>
          <w:p>
            <w:pPr>
              <w:spacing w:line="360" w:lineRule="auto"/>
              <w:rPr>
                <w:rFonts w:hAnsi="宋体" w:cs="宋体"/>
                <w:color w:val="auto"/>
                <w:szCs w:val="28"/>
              </w:rPr>
            </w:pPr>
          </w:p>
        </w:tc>
        <w:tc>
          <w:tcPr>
            <w:tcW w:w="889" w:type="dxa"/>
            <w:noWrap w:val="0"/>
            <w:vAlign w:val="top"/>
          </w:tcPr>
          <w:p>
            <w:pPr>
              <w:spacing w:line="360" w:lineRule="auto"/>
              <w:rPr>
                <w:rFonts w:hAnsi="宋体" w:cs="宋体"/>
                <w:color w:val="auto"/>
                <w:szCs w:val="28"/>
              </w:rPr>
            </w:pPr>
          </w:p>
        </w:tc>
        <w:tc>
          <w:tcPr>
            <w:tcW w:w="91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1488" w:type="dxa"/>
            <w:noWrap w:val="0"/>
            <w:vAlign w:val="top"/>
          </w:tcPr>
          <w:p>
            <w:pPr>
              <w:spacing w:line="360" w:lineRule="auto"/>
              <w:rPr>
                <w:rFonts w:hAnsi="宋体" w:cs="宋体"/>
                <w:color w:val="auto"/>
                <w:szCs w:val="28"/>
              </w:rPr>
            </w:pPr>
          </w:p>
        </w:tc>
        <w:tc>
          <w:tcPr>
            <w:tcW w:w="889" w:type="dxa"/>
            <w:noWrap w:val="0"/>
            <w:vAlign w:val="top"/>
          </w:tcPr>
          <w:p>
            <w:pPr>
              <w:spacing w:line="360" w:lineRule="auto"/>
              <w:rPr>
                <w:rFonts w:hAnsi="宋体" w:cs="宋体"/>
                <w:color w:val="auto"/>
                <w:szCs w:val="28"/>
              </w:rPr>
            </w:pPr>
          </w:p>
        </w:tc>
        <w:tc>
          <w:tcPr>
            <w:tcW w:w="91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exact"/>
        </w:trPr>
        <w:tc>
          <w:tcPr>
            <w:tcW w:w="648"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888" w:type="dxa"/>
            <w:noWrap w:val="0"/>
            <w:vAlign w:val="top"/>
          </w:tcPr>
          <w:p>
            <w:pPr>
              <w:spacing w:line="360" w:lineRule="auto"/>
              <w:rPr>
                <w:rFonts w:hAnsi="宋体" w:cs="宋体"/>
                <w:color w:val="auto"/>
                <w:szCs w:val="28"/>
              </w:rPr>
            </w:pPr>
          </w:p>
        </w:tc>
        <w:tc>
          <w:tcPr>
            <w:tcW w:w="1488" w:type="dxa"/>
            <w:noWrap w:val="0"/>
            <w:vAlign w:val="top"/>
          </w:tcPr>
          <w:p>
            <w:pPr>
              <w:spacing w:line="360" w:lineRule="auto"/>
              <w:rPr>
                <w:rFonts w:hAnsi="宋体" w:cs="宋体"/>
                <w:color w:val="auto"/>
                <w:szCs w:val="28"/>
              </w:rPr>
            </w:pPr>
          </w:p>
        </w:tc>
        <w:tc>
          <w:tcPr>
            <w:tcW w:w="889" w:type="dxa"/>
            <w:noWrap w:val="0"/>
            <w:vAlign w:val="top"/>
          </w:tcPr>
          <w:p>
            <w:pPr>
              <w:spacing w:line="360" w:lineRule="auto"/>
              <w:rPr>
                <w:rFonts w:hAnsi="宋体" w:cs="宋体"/>
                <w:color w:val="auto"/>
                <w:szCs w:val="28"/>
              </w:rPr>
            </w:pPr>
          </w:p>
        </w:tc>
        <w:tc>
          <w:tcPr>
            <w:tcW w:w="91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exact"/>
        </w:trPr>
        <w:tc>
          <w:tcPr>
            <w:tcW w:w="8928" w:type="dxa"/>
            <w:gridSpan w:val="10"/>
            <w:noWrap w:val="0"/>
            <w:vAlign w:val="top"/>
          </w:tcPr>
          <w:p>
            <w:pPr>
              <w:spacing w:line="360" w:lineRule="auto"/>
              <w:ind w:firstLine="540" w:firstLineChars="225"/>
              <w:rPr>
                <w:rFonts w:hAnsi="宋体" w:cs="宋体"/>
                <w:color w:val="auto"/>
                <w:szCs w:val="28"/>
              </w:rPr>
            </w:pPr>
            <w:r>
              <w:rPr>
                <w:rFonts w:hint="eastAsia" w:hAnsi="宋体" w:cs="宋体"/>
                <w:color w:val="auto"/>
                <w:szCs w:val="28"/>
              </w:rPr>
              <w:t>本工程一旦我单位中标，将实行项目负责人负责制，并配备上述项目管理班子。上述填报内容真实，若不真实，愿按有关规定接受处理。项目管理班子机构设置、职责分工等情况另附资料说明。</w:t>
            </w:r>
          </w:p>
        </w:tc>
      </w:tr>
    </w:tbl>
    <w:p>
      <w:pPr>
        <w:spacing w:line="360" w:lineRule="auto"/>
        <w:jc w:val="center"/>
        <w:rPr>
          <w:rFonts w:hAnsi="宋体" w:cs="宋体"/>
          <w:b/>
          <w:bCs/>
          <w:color w:val="auto"/>
          <w:szCs w:val="28"/>
        </w:rPr>
      </w:pPr>
    </w:p>
    <w:p>
      <w:pPr>
        <w:pStyle w:val="2"/>
        <w:rPr>
          <w:color w:val="auto"/>
        </w:rPr>
      </w:pPr>
      <w:r>
        <w:rPr>
          <w:color w:val="auto"/>
        </w:rPr>
        <w:br w:type="page"/>
      </w:r>
    </w:p>
    <w:p>
      <w:pPr>
        <w:spacing w:line="360" w:lineRule="auto"/>
        <w:jc w:val="center"/>
        <w:rPr>
          <w:rFonts w:ascii="宋体" w:hAnsi="宋体" w:eastAsia="宋体" w:cs="宋体"/>
          <w:b/>
          <w:bCs/>
          <w:color w:val="auto"/>
          <w:szCs w:val="28"/>
        </w:rPr>
      </w:pPr>
      <w:r>
        <w:rPr>
          <w:rFonts w:hint="eastAsia" w:ascii="宋体" w:hAnsi="宋体" w:eastAsia="宋体" w:cs="宋体"/>
          <w:b/>
          <w:bCs/>
          <w:color w:val="auto"/>
          <w:szCs w:val="28"/>
        </w:rPr>
        <w:t>表</w:t>
      </w:r>
      <w:r>
        <w:rPr>
          <w:rFonts w:ascii="宋体" w:hAnsi="宋体" w:eastAsia="宋体" w:cs="宋体"/>
          <w:b/>
          <w:bCs/>
          <w:color w:val="auto"/>
          <w:szCs w:val="28"/>
        </w:rPr>
        <w:t xml:space="preserve">5  </w:t>
      </w:r>
      <w:r>
        <w:rPr>
          <w:rFonts w:hint="eastAsia" w:ascii="宋体" w:hAnsi="宋体" w:eastAsia="宋体" w:cs="宋体"/>
          <w:b/>
          <w:bCs/>
          <w:color w:val="auto"/>
          <w:szCs w:val="28"/>
        </w:rPr>
        <w:t>项目管理班子配备情况表</w:t>
      </w:r>
    </w:p>
    <w:p>
      <w:pPr>
        <w:spacing w:line="360" w:lineRule="auto"/>
        <w:ind w:firstLine="717" w:firstLineChars="299"/>
        <w:rPr>
          <w:rFonts w:hAnsi="宋体" w:cs="宋体"/>
          <w:color w:val="auto"/>
          <w:szCs w:val="28"/>
        </w:rPr>
      </w:pPr>
      <w:r>
        <w:rPr>
          <w:rFonts w:hint="eastAsia" w:hAnsi="宋体" w:cs="宋体"/>
          <w:color w:val="auto"/>
          <w:szCs w:val="28"/>
        </w:rPr>
        <w:t>工程名称：</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20"/>
        <w:gridCol w:w="720"/>
        <w:gridCol w:w="888"/>
        <w:gridCol w:w="888"/>
        <w:gridCol w:w="888"/>
        <w:gridCol w:w="888"/>
        <w:gridCol w:w="1488"/>
        <w:gridCol w:w="88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restart"/>
            <w:noWrap w:val="0"/>
            <w:vAlign w:val="center"/>
          </w:tcPr>
          <w:p>
            <w:pPr>
              <w:jc w:val="center"/>
              <w:rPr>
                <w:rFonts w:hAnsi="宋体" w:cs="宋体"/>
                <w:color w:val="auto"/>
                <w:szCs w:val="28"/>
              </w:rPr>
            </w:pPr>
            <w:r>
              <w:rPr>
                <w:rFonts w:hint="eastAsia" w:hAnsi="宋体" w:cs="宋体"/>
                <w:color w:val="auto"/>
                <w:szCs w:val="28"/>
              </w:rPr>
              <w:t>职务</w:t>
            </w:r>
          </w:p>
        </w:tc>
        <w:tc>
          <w:tcPr>
            <w:tcW w:w="720" w:type="dxa"/>
            <w:vMerge w:val="restart"/>
            <w:noWrap w:val="0"/>
            <w:vAlign w:val="center"/>
          </w:tcPr>
          <w:p>
            <w:pPr>
              <w:jc w:val="center"/>
              <w:rPr>
                <w:rFonts w:hAnsi="宋体" w:cs="宋体"/>
                <w:color w:val="auto"/>
                <w:szCs w:val="28"/>
              </w:rPr>
            </w:pPr>
            <w:r>
              <w:rPr>
                <w:rFonts w:hint="eastAsia" w:hAnsi="宋体" w:cs="宋体"/>
                <w:color w:val="auto"/>
                <w:szCs w:val="28"/>
              </w:rPr>
              <w:t>姓名</w:t>
            </w:r>
          </w:p>
        </w:tc>
        <w:tc>
          <w:tcPr>
            <w:tcW w:w="720" w:type="dxa"/>
            <w:vMerge w:val="restart"/>
            <w:noWrap w:val="0"/>
            <w:vAlign w:val="center"/>
          </w:tcPr>
          <w:p>
            <w:pPr>
              <w:jc w:val="center"/>
              <w:rPr>
                <w:rFonts w:hAnsi="宋体" w:cs="宋体"/>
                <w:color w:val="auto"/>
                <w:szCs w:val="28"/>
              </w:rPr>
            </w:pPr>
            <w:r>
              <w:rPr>
                <w:rFonts w:hint="eastAsia" w:hAnsi="宋体" w:cs="宋体"/>
                <w:color w:val="auto"/>
                <w:szCs w:val="28"/>
              </w:rPr>
              <w:t>职称</w:t>
            </w:r>
          </w:p>
        </w:tc>
        <w:tc>
          <w:tcPr>
            <w:tcW w:w="5040" w:type="dxa"/>
            <w:gridSpan w:val="5"/>
            <w:noWrap w:val="0"/>
            <w:vAlign w:val="center"/>
          </w:tcPr>
          <w:p>
            <w:pPr>
              <w:jc w:val="center"/>
              <w:rPr>
                <w:rFonts w:hAnsi="宋体" w:cs="宋体"/>
                <w:color w:val="auto"/>
                <w:szCs w:val="28"/>
              </w:rPr>
            </w:pPr>
            <w:r>
              <w:rPr>
                <w:rFonts w:hint="eastAsia" w:hAnsi="宋体" w:cs="宋体"/>
                <w:color w:val="auto"/>
                <w:szCs w:val="28"/>
              </w:rPr>
              <w:t>上岗资格证明</w:t>
            </w:r>
          </w:p>
        </w:tc>
        <w:tc>
          <w:tcPr>
            <w:tcW w:w="1800" w:type="dxa"/>
            <w:gridSpan w:val="2"/>
            <w:noWrap w:val="0"/>
            <w:vAlign w:val="center"/>
          </w:tcPr>
          <w:p>
            <w:pPr>
              <w:jc w:val="center"/>
              <w:rPr>
                <w:rFonts w:hAnsi="宋体" w:cs="宋体"/>
                <w:color w:val="auto"/>
                <w:szCs w:val="28"/>
              </w:rPr>
            </w:pPr>
            <w:r>
              <w:rPr>
                <w:rFonts w:hint="eastAsia" w:hAnsi="宋体" w:cs="宋体"/>
                <w:color w:val="auto"/>
                <w:szCs w:val="28"/>
              </w:rPr>
              <w:t>已承担在建工程情况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vMerge w:val="continue"/>
            <w:noWrap w:val="0"/>
            <w:vAlign w:val="top"/>
          </w:tcPr>
          <w:p>
            <w:pPr>
              <w:spacing w:line="360" w:lineRule="auto"/>
              <w:rPr>
                <w:rFonts w:hAnsi="宋体" w:cs="宋体"/>
                <w:color w:val="auto"/>
                <w:szCs w:val="28"/>
              </w:rPr>
            </w:pPr>
          </w:p>
        </w:tc>
        <w:tc>
          <w:tcPr>
            <w:tcW w:w="720" w:type="dxa"/>
            <w:vMerge w:val="continue"/>
            <w:tcBorders>
              <w:bottom w:val="single" w:color="auto" w:sz="4" w:space="0"/>
            </w:tcBorders>
            <w:noWrap w:val="0"/>
            <w:vAlign w:val="top"/>
          </w:tcPr>
          <w:p>
            <w:pPr>
              <w:spacing w:line="360" w:lineRule="auto"/>
              <w:rPr>
                <w:rFonts w:hAnsi="宋体" w:cs="宋体"/>
                <w:color w:val="auto"/>
                <w:szCs w:val="28"/>
              </w:rPr>
            </w:pPr>
          </w:p>
        </w:tc>
        <w:tc>
          <w:tcPr>
            <w:tcW w:w="720" w:type="dxa"/>
            <w:vMerge w:val="continue"/>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r>
              <w:rPr>
                <w:rFonts w:hint="eastAsia" w:hAnsi="宋体" w:cs="宋体"/>
                <w:color w:val="auto"/>
                <w:szCs w:val="28"/>
              </w:rPr>
              <w:t>证书</w:t>
            </w:r>
          </w:p>
          <w:p>
            <w:pPr>
              <w:jc w:val="center"/>
              <w:rPr>
                <w:rFonts w:hAnsi="宋体" w:cs="宋体"/>
                <w:color w:val="auto"/>
                <w:szCs w:val="28"/>
              </w:rPr>
            </w:pPr>
            <w:r>
              <w:rPr>
                <w:rFonts w:hint="eastAsia" w:hAnsi="宋体" w:cs="宋体"/>
                <w:color w:val="auto"/>
                <w:szCs w:val="28"/>
              </w:rPr>
              <w:t>名称</w:t>
            </w:r>
          </w:p>
        </w:tc>
        <w:tc>
          <w:tcPr>
            <w:tcW w:w="888" w:type="dxa"/>
            <w:noWrap w:val="0"/>
            <w:vAlign w:val="center"/>
          </w:tcPr>
          <w:p>
            <w:pPr>
              <w:jc w:val="center"/>
              <w:rPr>
                <w:rFonts w:hAnsi="宋体" w:cs="宋体"/>
                <w:color w:val="auto"/>
                <w:szCs w:val="28"/>
              </w:rPr>
            </w:pPr>
            <w:r>
              <w:rPr>
                <w:rFonts w:hint="eastAsia" w:hAnsi="宋体" w:cs="宋体"/>
                <w:color w:val="auto"/>
                <w:szCs w:val="28"/>
              </w:rPr>
              <w:t>级别</w:t>
            </w:r>
          </w:p>
        </w:tc>
        <w:tc>
          <w:tcPr>
            <w:tcW w:w="888" w:type="dxa"/>
            <w:tcBorders>
              <w:bottom w:val="single" w:color="auto" w:sz="4" w:space="0"/>
            </w:tcBorders>
            <w:noWrap w:val="0"/>
            <w:vAlign w:val="center"/>
          </w:tcPr>
          <w:p>
            <w:pPr>
              <w:jc w:val="center"/>
              <w:rPr>
                <w:rFonts w:hAnsi="宋体" w:cs="宋体"/>
                <w:color w:val="auto"/>
                <w:szCs w:val="28"/>
              </w:rPr>
            </w:pPr>
            <w:r>
              <w:rPr>
                <w:rFonts w:hint="eastAsia" w:hAnsi="宋体" w:cs="宋体"/>
                <w:color w:val="auto"/>
                <w:szCs w:val="28"/>
              </w:rPr>
              <w:t>证号</w:t>
            </w:r>
          </w:p>
        </w:tc>
        <w:tc>
          <w:tcPr>
            <w:tcW w:w="888" w:type="dxa"/>
            <w:noWrap w:val="0"/>
            <w:vAlign w:val="center"/>
          </w:tcPr>
          <w:p>
            <w:pPr>
              <w:jc w:val="center"/>
              <w:rPr>
                <w:rFonts w:hAnsi="宋体" w:cs="宋体"/>
                <w:color w:val="auto"/>
                <w:szCs w:val="28"/>
              </w:rPr>
            </w:pPr>
            <w:r>
              <w:rPr>
                <w:rFonts w:hint="eastAsia" w:hAnsi="宋体" w:cs="宋体"/>
                <w:color w:val="auto"/>
                <w:szCs w:val="28"/>
              </w:rPr>
              <w:t>专业</w:t>
            </w:r>
          </w:p>
        </w:tc>
        <w:tc>
          <w:tcPr>
            <w:tcW w:w="1488" w:type="dxa"/>
            <w:tcBorders>
              <w:bottom w:val="single" w:color="auto" w:sz="4" w:space="0"/>
            </w:tcBorders>
            <w:noWrap w:val="0"/>
            <w:vAlign w:val="center"/>
          </w:tcPr>
          <w:p>
            <w:pPr>
              <w:jc w:val="center"/>
              <w:rPr>
                <w:rFonts w:hAnsi="宋体" w:cs="宋体"/>
                <w:color w:val="auto"/>
                <w:szCs w:val="28"/>
              </w:rPr>
            </w:pPr>
            <w:r>
              <w:rPr>
                <w:rFonts w:hint="eastAsia" w:hAnsi="宋体" w:cs="宋体"/>
                <w:color w:val="auto"/>
                <w:szCs w:val="28"/>
              </w:rPr>
              <w:t>原服务单位</w:t>
            </w:r>
          </w:p>
        </w:tc>
        <w:tc>
          <w:tcPr>
            <w:tcW w:w="889" w:type="dxa"/>
            <w:tcBorders>
              <w:bottom w:val="single" w:color="auto" w:sz="4" w:space="0"/>
            </w:tcBorders>
            <w:noWrap w:val="0"/>
            <w:vAlign w:val="center"/>
          </w:tcPr>
          <w:p>
            <w:pPr>
              <w:jc w:val="center"/>
              <w:rPr>
                <w:rFonts w:hAnsi="宋体" w:cs="宋体"/>
                <w:color w:val="auto"/>
                <w:szCs w:val="28"/>
              </w:rPr>
            </w:pPr>
            <w:r>
              <w:rPr>
                <w:rFonts w:hint="eastAsia" w:hAnsi="宋体" w:cs="宋体"/>
                <w:color w:val="auto"/>
                <w:szCs w:val="28"/>
              </w:rPr>
              <w:t>项目数</w:t>
            </w:r>
          </w:p>
        </w:tc>
        <w:tc>
          <w:tcPr>
            <w:tcW w:w="911" w:type="dxa"/>
            <w:tcBorders>
              <w:bottom w:val="single" w:color="auto" w:sz="4" w:space="0"/>
            </w:tcBorders>
            <w:noWrap w:val="0"/>
            <w:vAlign w:val="center"/>
          </w:tcPr>
          <w:p>
            <w:pPr>
              <w:jc w:val="center"/>
              <w:rPr>
                <w:rFonts w:hAnsi="宋体" w:cs="宋体"/>
                <w:color w:val="auto"/>
                <w:szCs w:val="28"/>
              </w:rPr>
            </w:pPr>
            <w:r>
              <w:rPr>
                <w:rFonts w:hint="eastAsia" w:hAnsi="宋体" w:cs="宋体"/>
                <w:color w:val="auto"/>
                <w:szCs w:val="28"/>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8" w:type="dxa"/>
            <w:noWrap w:val="0"/>
            <w:vAlign w:val="top"/>
          </w:tcPr>
          <w:p>
            <w:pPr>
              <w:spacing w:line="360" w:lineRule="auto"/>
              <w:rPr>
                <w:rFonts w:hAnsi="宋体" w:cs="宋体"/>
                <w:color w:val="auto"/>
                <w:szCs w:val="28"/>
              </w:rPr>
            </w:pPr>
          </w:p>
        </w:tc>
        <w:tc>
          <w:tcPr>
            <w:tcW w:w="720" w:type="dxa"/>
            <w:tcBorders>
              <w:bottom w:val="single" w:color="auto" w:sz="4" w:space="0"/>
            </w:tcBorders>
            <w:noWrap w:val="0"/>
            <w:vAlign w:val="top"/>
          </w:tcPr>
          <w:p>
            <w:pPr>
              <w:spacing w:line="360" w:lineRule="auto"/>
              <w:rPr>
                <w:rFonts w:hAnsi="宋体" w:cs="宋体"/>
                <w:color w:val="auto"/>
                <w:szCs w:val="28"/>
              </w:rPr>
            </w:pPr>
          </w:p>
        </w:tc>
        <w:tc>
          <w:tcPr>
            <w:tcW w:w="720" w:type="dxa"/>
            <w:noWrap w:val="0"/>
            <w:vAlign w:val="top"/>
          </w:tcPr>
          <w:p>
            <w:pPr>
              <w:spacing w:line="360" w:lineRule="auto"/>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888" w:type="dxa"/>
            <w:tcBorders>
              <w:bottom w:val="single" w:color="auto" w:sz="4" w:space="0"/>
            </w:tcBorders>
            <w:noWrap w:val="0"/>
            <w:vAlign w:val="center"/>
          </w:tcPr>
          <w:p>
            <w:pPr>
              <w:jc w:val="center"/>
              <w:rPr>
                <w:rFonts w:hAnsi="宋体" w:cs="宋体"/>
                <w:color w:val="auto"/>
                <w:szCs w:val="28"/>
              </w:rPr>
            </w:pPr>
          </w:p>
        </w:tc>
        <w:tc>
          <w:tcPr>
            <w:tcW w:w="888" w:type="dxa"/>
            <w:noWrap w:val="0"/>
            <w:vAlign w:val="center"/>
          </w:tcPr>
          <w:p>
            <w:pPr>
              <w:jc w:val="center"/>
              <w:rPr>
                <w:rFonts w:hAnsi="宋体" w:cs="宋体"/>
                <w:color w:val="auto"/>
                <w:szCs w:val="28"/>
              </w:rPr>
            </w:pPr>
          </w:p>
        </w:tc>
        <w:tc>
          <w:tcPr>
            <w:tcW w:w="1488" w:type="dxa"/>
            <w:tcBorders>
              <w:bottom w:val="single" w:color="auto" w:sz="4" w:space="0"/>
            </w:tcBorders>
            <w:noWrap w:val="0"/>
            <w:vAlign w:val="center"/>
          </w:tcPr>
          <w:p>
            <w:pPr>
              <w:jc w:val="center"/>
              <w:rPr>
                <w:rFonts w:hAnsi="宋体" w:cs="宋体"/>
                <w:color w:val="auto"/>
                <w:szCs w:val="28"/>
              </w:rPr>
            </w:pPr>
          </w:p>
        </w:tc>
        <w:tc>
          <w:tcPr>
            <w:tcW w:w="889" w:type="dxa"/>
            <w:tcBorders>
              <w:bottom w:val="single" w:color="auto" w:sz="4" w:space="0"/>
            </w:tcBorders>
            <w:noWrap w:val="0"/>
            <w:vAlign w:val="center"/>
          </w:tcPr>
          <w:p>
            <w:pPr>
              <w:jc w:val="center"/>
              <w:rPr>
                <w:rFonts w:hAnsi="宋体" w:cs="宋体"/>
                <w:color w:val="auto"/>
                <w:szCs w:val="28"/>
              </w:rPr>
            </w:pPr>
          </w:p>
        </w:tc>
        <w:tc>
          <w:tcPr>
            <w:tcW w:w="911" w:type="dxa"/>
            <w:tcBorders>
              <w:bottom w:val="single" w:color="auto" w:sz="4" w:space="0"/>
            </w:tcBorders>
            <w:noWrap w:val="0"/>
            <w:vAlign w:val="center"/>
          </w:tcPr>
          <w:p>
            <w:pPr>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58" w:hRule="exact"/>
        </w:trPr>
        <w:tc>
          <w:tcPr>
            <w:tcW w:w="8928" w:type="dxa"/>
            <w:gridSpan w:val="10"/>
            <w:noWrap w:val="0"/>
            <w:vAlign w:val="top"/>
          </w:tcPr>
          <w:p>
            <w:pPr>
              <w:spacing w:line="360" w:lineRule="auto"/>
              <w:ind w:firstLine="540" w:firstLineChars="225"/>
              <w:rPr>
                <w:rFonts w:hAnsi="宋体" w:cs="宋体"/>
                <w:color w:val="auto"/>
                <w:szCs w:val="28"/>
              </w:rPr>
            </w:pPr>
            <w:r>
              <w:rPr>
                <w:rFonts w:hint="eastAsia" w:hAnsi="宋体" w:cs="宋体"/>
                <w:color w:val="auto"/>
                <w:szCs w:val="28"/>
              </w:rPr>
              <w:t>本工程一旦我单位中标，将实行项目负责人负责制，并配备上述项目管理班子。上述填报内容真实，若不真实，愿按有关规定接受处理。项目管理班子机构设置、职责分工等情况另附资料说明。</w:t>
            </w:r>
          </w:p>
        </w:tc>
      </w:tr>
    </w:tbl>
    <w:p>
      <w:pPr>
        <w:spacing w:line="360" w:lineRule="auto"/>
        <w:ind w:firstLine="717" w:firstLineChars="299"/>
        <w:rPr>
          <w:rFonts w:hAnsi="宋体" w:cs="宋体"/>
          <w:color w:val="auto"/>
          <w:szCs w:val="28"/>
        </w:rPr>
      </w:pPr>
    </w:p>
    <w:p>
      <w:pPr>
        <w:spacing w:line="360" w:lineRule="auto"/>
        <w:ind w:firstLine="717" w:firstLineChars="299"/>
        <w:rPr>
          <w:rFonts w:hAnsi="宋体" w:cs="宋体"/>
          <w:color w:val="auto"/>
          <w:szCs w:val="28"/>
        </w:rPr>
      </w:pPr>
    </w:p>
    <w:p>
      <w:pPr>
        <w:spacing w:line="360" w:lineRule="auto"/>
        <w:ind w:firstLine="482" w:firstLineChars="200"/>
        <w:jc w:val="center"/>
        <w:rPr>
          <w:rFonts w:ascii="宋体" w:hAnsi="宋体" w:eastAsia="宋体" w:cs="宋体"/>
          <w:b/>
          <w:bCs/>
          <w:color w:val="auto"/>
          <w:szCs w:val="28"/>
        </w:rPr>
      </w:pPr>
      <w:r>
        <w:rPr>
          <w:rFonts w:hAnsi="宋体" w:cs="宋体"/>
          <w:b/>
          <w:bCs/>
          <w:color w:val="auto"/>
          <w:szCs w:val="28"/>
        </w:rPr>
        <w:br w:type="page"/>
      </w:r>
      <w:r>
        <w:rPr>
          <w:rFonts w:hint="eastAsia" w:ascii="宋体" w:hAnsi="宋体" w:eastAsia="宋体" w:cs="宋体"/>
          <w:b/>
          <w:bCs/>
          <w:color w:val="auto"/>
          <w:szCs w:val="28"/>
        </w:rPr>
        <w:t>表</w:t>
      </w:r>
      <w:r>
        <w:rPr>
          <w:rFonts w:ascii="宋体" w:hAnsi="宋体" w:eastAsia="宋体" w:cs="宋体"/>
          <w:b/>
          <w:bCs/>
          <w:color w:val="auto"/>
          <w:szCs w:val="28"/>
        </w:rPr>
        <w:t xml:space="preserve">6 </w:t>
      </w:r>
      <w:r>
        <w:rPr>
          <w:rFonts w:hint="eastAsia" w:ascii="宋体" w:hAnsi="宋体" w:eastAsia="宋体" w:cs="宋体"/>
          <w:b/>
          <w:bCs/>
          <w:color w:val="auto"/>
          <w:szCs w:val="28"/>
        </w:rPr>
        <w:t>项目负责人简历表</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center"/>
          </w:tcPr>
          <w:p>
            <w:pPr>
              <w:spacing w:line="360" w:lineRule="auto"/>
              <w:jc w:val="center"/>
              <w:rPr>
                <w:rFonts w:hAnsi="宋体" w:cs="宋体"/>
                <w:color w:val="auto"/>
                <w:szCs w:val="28"/>
              </w:rPr>
            </w:pPr>
            <w:r>
              <w:rPr>
                <w:rFonts w:hint="eastAsia" w:hAnsi="宋体" w:cs="宋体"/>
                <w:color w:val="auto"/>
                <w:szCs w:val="28"/>
              </w:rPr>
              <w:t>姓名</w:t>
            </w:r>
          </w:p>
        </w:tc>
        <w:tc>
          <w:tcPr>
            <w:tcW w:w="1480" w:type="dxa"/>
            <w:noWrap w:val="0"/>
            <w:vAlign w:val="center"/>
          </w:tcPr>
          <w:p>
            <w:pPr>
              <w:spacing w:line="360" w:lineRule="auto"/>
              <w:jc w:val="center"/>
              <w:rPr>
                <w:rFonts w:hAnsi="宋体" w:cs="宋体"/>
                <w:color w:val="auto"/>
                <w:szCs w:val="28"/>
              </w:rPr>
            </w:pPr>
          </w:p>
        </w:tc>
        <w:tc>
          <w:tcPr>
            <w:tcW w:w="1480" w:type="dxa"/>
            <w:noWrap w:val="0"/>
            <w:vAlign w:val="center"/>
          </w:tcPr>
          <w:p>
            <w:pPr>
              <w:spacing w:line="360" w:lineRule="auto"/>
              <w:jc w:val="center"/>
              <w:rPr>
                <w:rFonts w:hAnsi="宋体" w:cs="宋体"/>
                <w:color w:val="auto"/>
                <w:szCs w:val="28"/>
              </w:rPr>
            </w:pPr>
            <w:r>
              <w:rPr>
                <w:rFonts w:hint="eastAsia" w:hAnsi="宋体" w:cs="宋体"/>
                <w:color w:val="auto"/>
                <w:szCs w:val="28"/>
              </w:rPr>
              <w:t>性别</w:t>
            </w:r>
          </w:p>
        </w:tc>
        <w:tc>
          <w:tcPr>
            <w:tcW w:w="1608" w:type="dxa"/>
            <w:noWrap w:val="0"/>
            <w:vAlign w:val="center"/>
          </w:tcPr>
          <w:p>
            <w:pPr>
              <w:spacing w:line="360" w:lineRule="auto"/>
              <w:jc w:val="center"/>
              <w:rPr>
                <w:rFonts w:hAnsi="宋体" w:cs="宋体"/>
                <w:color w:val="auto"/>
                <w:szCs w:val="28"/>
              </w:rPr>
            </w:pPr>
          </w:p>
        </w:tc>
        <w:tc>
          <w:tcPr>
            <w:tcW w:w="1481" w:type="dxa"/>
            <w:noWrap w:val="0"/>
            <w:vAlign w:val="center"/>
          </w:tcPr>
          <w:p>
            <w:pPr>
              <w:spacing w:line="360" w:lineRule="auto"/>
              <w:jc w:val="center"/>
              <w:rPr>
                <w:rFonts w:hAnsi="宋体" w:cs="宋体"/>
                <w:color w:val="auto"/>
                <w:szCs w:val="28"/>
              </w:rPr>
            </w:pPr>
            <w:r>
              <w:rPr>
                <w:rFonts w:hint="eastAsia" w:hAnsi="宋体" w:cs="宋体"/>
                <w:color w:val="auto"/>
                <w:szCs w:val="28"/>
              </w:rPr>
              <w:t>年龄</w:t>
            </w:r>
          </w:p>
        </w:tc>
        <w:tc>
          <w:tcPr>
            <w:tcW w:w="1481" w:type="dxa"/>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center"/>
          </w:tcPr>
          <w:p>
            <w:pPr>
              <w:spacing w:line="360" w:lineRule="auto"/>
              <w:jc w:val="center"/>
              <w:rPr>
                <w:rFonts w:hAnsi="宋体" w:cs="宋体"/>
                <w:color w:val="auto"/>
                <w:szCs w:val="28"/>
              </w:rPr>
            </w:pPr>
            <w:r>
              <w:rPr>
                <w:rFonts w:hint="eastAsia" w:hAnsi="宋体" w:cs="宋体"/>
                <w:color w:val="auto"/>
                <w:szCs w:val="28"/>
              </w:rPr>
              <w:t>职务</w:t>
            </w:r>
          </w:p>
        </w:tc>
        <w:tc>
          <w:tcPr>
            <w:tcW w:w="1480" w:type="dxa"/>
            <w:noWrap w:val="0"/>
            <w:vAlign w:val="center"/>
          </w:tcPr>
          <w:p>
            <w:pPr>
              <w:spacing w:line="360" w:lineRule="auto"/>
              <w:jc w:val="center"/>
              <w:rPr>
                <w:rFonts w:hAnsi="宋体" w:cs="宋体"/>
                <w:color w:val="auto"/>
                <w:szCs w:val="28"/>
              </w:rPr>
            </w:pPr>
          </w:p>
        </w:tc>
        <w:tc>
          <w:tcPr>
            <w:tcW w:w="1480" w:type="dxa"/>
            <w:noWrap w:val="0"/>
            <w:vAlign w:val="center"/>
          </w:tcPr>
          <w:p>
            <w:pPr>
              <w:spacing w:line="360" w:lineRule="auto"/>
              <w:jc w:val="center"/>
              <w:rPr>
                <w:rFonts w:hAnsi="宋体" w:cs="宋体"/>
                <w:color w:val="auto"/>
                <w:szCs w:val="28"/>
              </w:rPr>
            </w:pPr>
            <w:r>
              <w:rPr>
                <w:rFonts w:hint="eastAsia" w:hAnsi="宋体" w:cs="宋体"/>
                <w:color w:val="auto"/>
                <w:szCs w:val="28"/>
              </w:rPr>
              <w:t>职称</w:t>
            </w:r>
          </w:p>
        </w:tc>
        <w:tc>
          <w:tcPr>
            <w:tcW w:w="1608" w:type="dxa"/>
            <w:noWrap w:val="0"/>
            <w:vAlign w:val="center"/>
          </w:tcPr>
          <w:p>
            <w:pPr>
              <w:spacing w:line="360" w:lineRule="auto"/>
              <w:jc w:val="center"/>
              <w:rPr>
                <w:rFonts w:hAnsi="宋体" w:cs="宋体"/>
                <w:color w:val="auto"/>
                <w:szCs w:val="28"/>
              </w:rPr>
            </w:pPr>
          </w:p>
        </w:tc>
        <w:tc>
          <w:tcPr>
            <w:tcW w:w="1481" w:type="dxa"/>
            <w:noWrap w:val="0"/>
            <w:vAlign w:val="center"/>
          </w:tcPr>
          <w:p>
            <w:pPr>
              <w:spacing w:line="360" w:lineRule="auto"/>
              <w:jc w:val="center"/>
              <w:rPr>
                <w:rFonts w:hAnsi="宋体" w:cs="宋体"/>
                <w:color w:val="auto"/>
                <w:szCs w:val="28"/>
              </w:rPr>
            </w:pPr>
            <w:r>
              <w:rPr>
                <w:rFonts w:hint="eastAsia" w:hAnsi="宋体" w:cs="宋体"/>
                <w:color w:val="auto"/>
                <w:szCs w:val="28"/>
              </w:rPr>
              <w:t>学历</w:t>
            </w:r>
          </w:p>
        </w:tc>
        <w:tc>
          <w:tcPr>
            <w:tcW w:w="1481" w:type="dxa"/>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0" w:type="dxa"/>
            <w:gridSpan w:val="2"/>
            <w:noWrap w:val="0"/>
            <w:vAlign w:val="center"/>
          </w:tcPr>
          <w:p>
            <w:pPr>
              <w:spacing w:line="360" w:lineRule="auto"/>
              <w:jc w:val="center"/>
              <w:rPr>
                <w:rFonts w:hAnsi="宋体" w:cs="宋体"/>
                <w:color w:val="auto"/>
                <w:szCs w:val="28"/>
              </w:rPr>
            </w:pPr>
            <w:r>
              <w:rPr>
                <w:rFonts w:hint="eastAsia" w:hAnsi="宋体" w:cs="宋体"/>
                <w:color w:val="auto"/>
                <w:szCs w:val="28"/>
              </w:rPr>
              <w:t>参加工作时间</w:t>
            </w:r>
          </w:p>
        </w:tc>
        <w:tc>
          <w:tcPr>
            <w:tcW w:w="1480" w:type="dxa"/>
            <w:noWrap w:val="0"/>
            <w:vAlign w:val="center"/>
          </w:tcPr>
          <w:p>
            <w:pPr>
              <w:spacing w:line="360" w:lineRule="auto"/>
              <w:jc w:val="center"/>
              <w:rPr>
                <w:rFonts w:hAnsi="宋体" w:cs="宋体"/>
                <w:color w:val="auto"/>
                <w:szCs w:val="28"/>
              </w:rPr>
            </w:pPr>
          </w:p>
        </w:tc>
        <w:tc>
          <w:tcPr>
            <w:tcW w:w="3089" w:type="dxa"/>
            <w:gridSpan w:val="2"/>
            <w:noWrap w:val="0"/>
            <w:vAlign w:val="center"/>
          </w:tcPr>
          <w:p>
            <w:pPr>
              <w:spacing w:line="360" w:lineRule="auto"/>
              <w:jc w:val="center"/>
              <w:rPr>
                <w:rFonts w:hAnsi="宋体" w:cs="宋体"/>
                <w:color w:val="auto"/>
                <w:szCs w:val="28"/>
              </w:rPr>
            </w:pPr>
            <w:r>
              <w:rPr>
                <w:rFonts w:hint="eastAsia" w:hAnsi="宋体" w:cs="宋体"/>
                <w:color w:val="auto"/>
                <w:szCs w:val="28"/>
              </w:rPr>
              <w:t>从事项目负责人年限</w:t>
            </w:r>
          </w:p>
        </w:tc>
        <w:tc>
          <w:tcPr>
            <w:tcW w:w="1481" w:type="dxa"/>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60" w:type="dxa"/>
            <w:gridSpan w:val="2"/>
            <w:noWrap w:val="0"/>
            <w:vAlign w:val="center"/>
          </w:tcPr>
          <w:p>
            <w:pPr>
              <w:spacing w:line="360" w:lineRule="auto"/>
              <w:jc w:val="center"/>
              <w:rPr>
                <w:rFonts w:hAnsi="宋体" w:cs="宋体"/>
                <w:color w:val="auto"/>
                <w:szCs w:val="28"/>
              </w:rPr>
            </w:pPr>
            <w:r>
              <w:rPr>
                <w:rFonts w:hint="eastAsia" w:hAnsi="宋体" w:cs="宋体"/>
                <w:color w:val="auto"/>
                <w:szCs w:val="28"/>
              </w:rPr>
              <w:t>项目负责人资格证书编号</w:t>
            </w:r>
          </w:p>
        </w:tc>
        <w:tc>
          <w:tcPr>
            <w:tcW w:w="6050" w:type="dxa"/>
            <w:gridSpan w:val="4"/>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0" w:type="dxa"/>
            <w:gridSpan w:val="6"/>
            <w:noWrap w:val="0"/>
            <w:vAlign w:val="center"/>
          </w:tcPr>
          <w:p>
            <w:pPr>
              <w:spacing w:line="360" w:lineRule="auto"/>
              <w:jc w:val="center"/>
              <w:rPr>
                <w:rFonts w:hAnsi="宋体" w:cs="宋体"/>
                <w:color w:val="auto"/>
                <w:szCs w:val="28"/>
              </w:rPr>
            </w:pPr>
            <w:r>
              <w:rPr>
                <w:rFonts w:hint="eastAsia" w:hAnsi="宋体" w:cs="宋体"/>
                <w:color w:val="auto"/>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center"/>
          </w:tcPr>
          <w:p>
            <w:pPr>
              <w:spacing w:line="360" w:lineRule="auto"/>
              <w:jc w:val="center"/>
              <w:rPr>
                <w:rFonts w:hAnsi="宋体" w:cs="宋体"/>
                <w:color w:val="auto"/>
                <w:szCs w:val="28"/>
              </w:rPr>
            </w:pPr>
            <w:r>
              <w:rPr>
                <w:rFonts w:hint="eastAsia" w:hAnsi="宋体" w:cs="宋体"/>
                <w:color w:val="auto"/>
                <w:szCs w:val="28"/>
              </w:rPr>
              <w:t>建设单位</w:t>
            </w:r>
          </w:p>
        </w:tc>
        <w:tc>
          <w:tcPr>
            <w:tcW w:w="1480" w:type="dxa"/>
            <w:noWrap w:val="0"/>
            <w:vAlign w:val="center"/>
          </w:tcPr>
          <w:p>
            <w:pPr>
              <w:spacing w:line="360" w:lineRule="auto"/>
              <w:jc w:val="center"/>
              <w:rPr>
                <w:rFonts w:hAnsi="宋体" w:cs="宋体"/>
                <w:color w:val="auto"/>
                <w:szCs w:val="28"/>
              </w:rPr>
            </w:pPr>
            <w:r>
              <w:rPr>
                <w:rFonts w:hint="eastAsia" w:hAnsi="宋体" w:cs="宋体"/>
                <w:color w:val="auto"/>
                <w:szCs w:val="28"/>
              </w:rPr>
              <w:t>项目名称</w:t>
            </w:r>
          </w:p>
        </w:tc>
        <w:tc>
          <w:tcPr>
            <w:tcW w:w="1480" w:type="dxa"/>
            <w:noWrap w:val="0"/>
            <w:vAlign w:val="center"/>
          </w:tcPr>
          <w:p>
            <w:pPr>
              <w:spacing w:line="360" w:lineRule="auto"/>
              <w:jc w:val="center"/>
              <w:rPr>
                <w:rFonts w:hAnsi="宋体" w:cs="宋体"/>
                <w:color w:val="auto"/>
                <w:szCs w:val="28"/>
              </w:rPr>
            </w:pPr>
            <w:r>
              <w:rPr>
                <w:rFonts w:hint="eastAsia" w:hAnsi="宋体" w:cs="宋体"/>
                <w:color w:val="auto"/>
                <w:szCs w:val="28"/>
              </w:rPr>
              <w:t>建设规模</w:t>
            </w:r>
          </w:p>
        </w:tc>
        <w:tc>
          <w:tcPr>
            <w:tcW w:w="1608" w:type="dxa"/>
            <w:noWrap w:val="0"/>
            <w:vAlign w:val="center"/>
          </w:tcPr>
          <w:p>
            <w:pPr>
              <w:spacing w:line="360" w:lineRule="auto"/>
              <w:jc w:val="center"/>
              <w:rPr>
                <w:rFonts w:hAnsi="宋体" w:cs="宋体"/>
                <w:color w:val="auto"/>
                <w:szCs w:val="28"/>
              </w:rPr>
            </w:pPr>
            <w:r>
              <w:rPr>
                <w:rFonts w:hint="eastAsia" w:hAnsi="宋体" w:cs="宋体"/>
                <w:color w:val="auto"/>
                <w:szCs w:val="28"/>
              </w:rPr>
              <w:t>开、竣工日期</w:t>
            </w:r>
          </w:p>
        </w:tc>
        <w:tc>
          <w:tcPr>
            <w:tcW w:w="1481" w:type="dxa"/>
            <w:noWrap w:val="0"/>
            <w:vAlign w:val="center"/>
          </w:tcPr>
          <w:p>
            <w:pPr>
              <w:spacing w:line="360" w:lineRule="auto"/>
              <w:jc w:val="center"/>
              <w:rPr>
                <w:rFonts w:hAnsi="宋体" w:cs="宋体"/>
                <w:color w:val="auto"/>
                <w:szCs w:val="28"/>
              </w:rPr>
            </w:pPr>
            <w:r>
              <w:rPr>
                <w:rFonts w:hint="eastAsia" w:hAnsi="宋体" w:cs="宋体"/>
                <w:color w:val="auto"/>
                <w:szCs w:val="28"/>
              </w:rPr>
              <w:t>在建或已完</w:t>
            </w:r>
          </w:p>
        </w:tc>
        <w:tc>
          <w:tcPr>
            <w:tcW w:w="1481" w:type="dxa"/>
            <w:noWrap w:val="0"/>
            <w:vAlign w:val="center"/>
          </w:tcPr>
          <w:p>
            <w:pPr>
              <w:spacing w:line="360" w:lineRule="auto"/>
              <w:jc w:val="center"/>
              <w:rPr>
                <w:rFonts w:hAnsi="宋体" w:cs="宋体"/>
                <w:color w:val="auto"/>
                <w:szCs w:val="28"/>
              </w:rPr>
            </w:pPr>
            <w:r>
              <w:rPr>
                <w:rFonts w:hint="eastAsia" w:hAnsi="宋体" w:cs="宋体"/>
                <w:color w:val="auto"/>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480" w:type="dxa"/>
            <w:noWrap w:val="0"/>
            <w:vAlign w:val="center"/>
          </w:tcPr>
          <w:p>
            <w:pPr>
              <w:spacing w:line="360" w:lineRule="auto"/>
              <w:rPr>
                <w:rFonts w:hAnsi="宋体" w:cs="宋体"/>
                <w:color w:val="auto"/>
                <w:szCs w:val="28"/>
              </w:rPr>
            </w:pPr>
          </w:p>
        </w:tc>
        <w:tc>
          <w:tcPr>
            <w:tcW w:w="1608"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c>
          <w:tcPr>
            <w:tcW w:w="1481" w:type="dxa"/>
            <w:noWrap w:val="0"/>
            <w:vAlign w:val="center"/>
          </w:tcPr>
          <w:p>
            <w:pPr>
              <w:spacing w:line="360" w:lineRule="auto"/>
              <w:rPr>
                <w:rFonts w:hAnsi="宋体" w:cs="宋体"/>
                <w:color w:val="auto"/>
                <w:szCs w:val="28"/>
              </w:rPr>
            </w:pPr>
          </w:p>
        </w:tc>
      </w:tr>
    </w:tbl>
    <w:p>
      <w:pPr>
        <w:spacing w:line="360" w:lineRule="auto"/>
        <w:rPr>
          <w:rFonts w:hAnsi="宋体" w:cs="宋体"/>
          <w:color w:val="auto"/>
          <w:szCs w:val="28"/>
        </w:rPr>
      </w:pPr>
    </w:p>
    <w:p>
      <w:pPr>
        <w:spacing w:line="360" w:lineRule="auto"/>
        <w:jc w:val="center"/>
        <w:rPr>
          <w:rFonts w:ascii="宋体" w:hAnsi="宋体" w:eastAsia="宋体" w:cs="宋体"/>
          <w:b/>
          <w:bCs/>
          <w:color w:val="auto"/>
          <w:szCs w:val="28"/>
        </w:rPr>
      </w:pPr>
      <w:r>
        <w:rPr>
          <w:rFonts w:hint="eastAsia" w:ascii="宋体" w:hAnsi="宋体" w:eastAsia="宋体" w:cs="宋体"/>
          <w:b/>
          <w:bCs/>
          <w:color w:val="auto"/>
          <w:szCs w:val="28"/>
        </w:rPr>
        <w:t>表</w:t>
      </w:r>
      <w:r>
        <w:rPr>
          <w:rFonts w:ascii="宋体" w:hAnsi="宋体" w:eastAsia="宋体" w:cs="宋体"/>
          <w:b/>
          <w:bCs/>
          <w:color w:val="auto"/>
          <w:szCs w:val="28"/>
        </w:rPr>
        <w:t xml:space="preserve">7  </w:t>
      </w:r>
      <w:r>
        <w:rPr>
          <w:rFonts w:hint="eastAsia" w:ascii="宋体" w:hAnsi="宋体" w:eastAsia="宋体" w:cs="宋体"/>
          <w:b/>
          <w:bCs/>
          <w:color w:val="auto"/>
          <w:szCs w:val="28"/>
        </w:rPr>
        <w:t>项目技术负责人简历表</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1480"/>
        <w:gridCol w:w="1480"/>
        <w:gridCol w:w="1608"/>
        <w:gridCol w:w="1481"/>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spacing w:line="360" w:lineRule="auto"/>
              <w:jc w:val="center"/>
              <w:rPr>
                <w:rFonts w:hAnsi="宋体" w:cs="宋体"/>
                <w:color w:val="auto"/>
                <w:szCs w:val="28"/>
              </w:rPr>
            </w:pPr>
            <w:r>
              <w:rPr>
                <w:rFonts w:hint="eastAsia" w:hAnsi="宋体" w:cs="宋体"/>
                <w:color w:val="auto"/>
                <w:szCs w:val="28"/>
              </w:rPr>
              <w:t>姓名</w:t>
            </w:r>
          </w:p>
        </w:tc>
        <w:tc>
          <w:tcPr>
            <w:tcW w:w="1480" w:type="dxa"/>
            <w:noWrap w:val="0"/>
            <w:vAlign w:val="top"/>
          </w:tcPr>
          <w:p>
            <w:pPr>
              <w:spacing w:line="360" w:lineRule="auto"/>
              <w:jc w:val="center"/>
              <w:rPr>
                <w:rFonts w:hAnsi="宋体" w:cs="宋体"/>
                <w:color w:val="auto"/>
                <w:szCs w:val="28"/>
              </w:rPr>
            </w:pPr>
          </w:p>
        </w:tc>
        <w:tc>
          <w:tcPr>
            <w:tcW w:w="1480" w:type="dxa"/>
            <w:noWrap w:val="0"/>
            <w:vAlign w:val="top"/>
          </w:tcPr>
          <w:p>
            <w:pPr>
              <w:spacing w:line="360" w:lineRule="auto"/>
              <w:jc w:val="center"/>
              <w:rPr>
                <w:rFonts w:hAnsi="宋体" w:cs="宋体"/>
                <w:color w:val="auto"/>
                <w:szCs w:val="28"/>
              </w:rPr>
            </w:pPr>
            <w:r>
              <w:rPr>
                <w:rFonts w:hint="eastAsia" w:hAnsi="宋体" w:cs="宋体"/>
                <w:color w:val="auto"/>
                <w:szCs w:val="28"/>
              </w:rPr>
              <w:t>性别</w:t>
            </w:r>
          </w:p>
        </w:tc>
        <w:tc>
          <w:tcPr>
            <w:tcW w:w="1608" w:type="dxa"/>
            <w:noWrap w:val="0"/>
            <w:vAlign w:val="top"/>
          </w:tcPr>
          <w:p>
            <w:pPr>
              <w:spacing w:line="360" w:lineRule="auto"/>
              <w:jc w:val="center"/>
              <w:rPr>
                <w:rFonts w:hAnsi="宋体" w:cs="宋体"/>
                <w:color w:val="auto"/>
                <w:szCs w:val="28"/>
              </w:rPr>
            </w:pPr>
          </w:p>
        </w:tc>
        <w:tc>
          <w:tcPr>
            <w:tcW w:w="1481" w:type="dxa"/>
            <w:noWrap w:val="0"/>
            <w:vAlign w:val="top"/>
          </w:tcPr>
          <w:p>
            <w:pPr>
              <w:spacing w:line="360" w:lineRule="auto"/>
              <w:jc w:val="center"/>
              <w:rPr>
                <w:rFonts w:hAnsi="宋体" w:cs="宋体"/>
                <w:color w:val="auto"/>
                <w:szCs w:val="28"/>
              </w:rPr>
            </w:pPr>
            <w:r>
              <w:rPr>
                <w:rFonts w:hint="eastAsia" w:hAnsi="宋体" w:cs="宋体"/>
                <w:color w:val="auto"/>
                <w:szCs w:val="28"/>
              </w:rPr>
              <w:t>年龄</w:t>
            </w:r>
          </w:p>
        </w:tc>
        <w:tc>
          <w:tcPr>
            <w:tcW w:w="1481" w:type="dxa"/>
            <w:noWrap w:val="0"/>
            <w:vAlign w:val="top"/>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spacing w:line="360" w:lineRule="auto"/>
              <w:jc w:val="center"/>
              <w:rPr>
                <w:rFonts w:hAnsi="宋体" w:cs="宋体"/>
                <w:color w:val="auto"/>
                <w:szCs w:val="28"/>
              </w:rPr>
            </w:pPr>
            <w:r>
              <w:rPr>
                <w:rFonts w:hint="eastAsia" w:hAnsi="宋体" w:cs="宋体"/>
                <w:color w:val="auto"/>
                <w:szCs w:val="28"/>
              </w:rPr>
              <w:t>职务</w:t>
            </w:r>
          </w:p>
        </w:tc>
        <w:tc>
          <w:tcPr>
            <w:tcW w:w="1480" w:type="dxa"/>
            <w:noWrap w:val="0"/>
            <w:vAlign w:val="top"/>
          </w:tcPr>
          <w:p>
            <w:pPr>
              <w:spacing w:line="360" w:lineRule="auto"/>
              <w:jc w:val="center"/>
              <w:rPr>
                <w:rFonts w:hAnsi="宋体" w:cs="宋体"/>
                <w:color w:val="auto"/>
                <w:szCs w:val="28"/>
              </w:rPr>
            </w:pPr>
          </w:p>
        </w:tc>
        <w:tc>
          <w:tcPr>
            <w:tcW w:w="1480" w:type="dxa"/>
            <w:noWrap w:val="0"/>
            <w:vAlign w:val="top"/>
          </w:tcPr>
          <w:p>
            <w:pPr>
              <w:spacing w:line="360" w:lineRule="auto"/>
              <w:jc w:val="center"/>
              <w:rPr>
                <w:rFonts w:hAnsi="宋体" w:cs="宋体"/>
                <w:color w:val="auto"/>
                <w:szCs w:val="28"/>
              </w:rPr>
            </w:pPr>
            <w:r>
              <w:rPr>
                <w:rFonts w:hint="eastAsia" w:hAnsi="宋体" w:cs="宋体"/>
                <w:color w:val="auto"/>
                <w:szCs w:val="28"/>
              </w:rPr>
              <w:t>职称</w:t>
            </w:r>
          </w:p>
        </w:tc>
        <w:tc>
          <w:tcPr>
            <w:tcW w:w="1608" w:type="dxa"/>
            <w:noWrap w:val="0"/>
            <w:vAlign w:val="top"/>
          </w:tcPr>
          <w:p>
            <w:pPr>
              <w:spacing w:line="360" w:lineRule="auto"/>
              <w:jc w:val="center"/>
              <w:rPr>
                <w:rFonts w:hAnsi="宋体" w:cs="宋体"/>
                <w:color w:val="auto"/>
                <w:szCs w:val="28"/>
              </w:rPr>
            </w:pPr>
          </w:p>
        </w:tc>
        <w:tc>
          <w:tcPr>
            <w:tcW w:w="1481" w:type="dxa"/>
            <w:noWrap w:val="0"/>
            <w:vAlign w:val="top"/>
          </w:tcPr>
          <w:p>
            <w:pPr>
              <w:spacing w:line="360" w:lineRule="auto"/>
              <w:jc w:val="center"/>
              <w:rPr>
                <w:rFonts w:hAnsi="宋体" w:cs="宋体"/>
                <w:color w:val="auto"/>
                <w:szCs w:val="28"/>
              </w:rPr>
            </w:pPr>
            <w:r>
              <w:rPr>
                <w:rFonts w:hint="eastAsia" w:hAnsi="宋体" w:cs="宋体"/>
                <w:color w:val="auto"/>
                <w:szCs w:val="28"/>
              </w:rPr>
              <w:t>学历</w:t>
            </w:r>
          </w:p>
        </w:tc>
        <w:tc>
          <w:tcPr>
            <w:tcW w:w="1481" w:type="dxa"/>
            <w:noWrap w:val="0"/>
            <w:vAlign w:val="top"/>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noWrap w:val="0"/>
            <w:vAlign w:val="top"/>
          </w:tcPr>
          <w:p>
            <w:pPr>
              <w:spacing w:line="360" w:lineRule="auto"/>
              <w:jc w:val="center"/>
              <w:rPr>
                <w:rFonts w:hAnsi="宋体" w:cs="宋体"/>
                <w:color w:val="auto"/>
                <w:szCs w:val="28"/>
              </w:rPr>
            </w:pPr>
            <w:r>
              <w:rPr>
                <w:rFonts w:hint="eastAsia" w:hAnsi="宋体" w:cs="宋体"/>
                <w:color w:val="auto"/>
                <w:szCs w:val="28"/>
              </w:rPr>
              <w:t>参加工作时间</w:t>
            </w:r>
          </w:p>
        </w:tc>
        <w:tc>
          <w:tcPr>
            <w:tcW w:w="1480" w:type="dxa"/>
            <w:noWrap w:val="0"/>
            <w:vAlign w:val="top"/>
          </w:tcPr>
          <w:p>
            <w:pPr>
              <w:spacing w:line="360" w:lineRule="auto"/>
              <w:jc w:val="center"/>
              <w:rPr>
                <w:rFonts w:hAnsi="宋体" w:cs="宋体"/>
                <w:color w:val="auto"/>
                <w:szCs w:val="28"/>
              </w:rPr>
            </w:pPr>
          </w:p>
        </w:tc>
        <w:tc>
          <w:tcPr>
            <w:tcW w:w="3089" w:type="dxa"/>
            <w:gridSpan w:val="2"/>
            <w:noWrap w:val="0"/>
            <w:vAlign w:val="top"/>
          </w:tcPr>
          <w:p>
            <w:pPr>
              <w:spacing w:line="360" w:lineRule="auto"/>
              <w:jc w:val="center"/>
              <w:rPr>
                <w:rFonts w:hAnsi="宋体" w:cs="宋体"/>
                <w:color w:val="auto"/>
                <w:szCs w:val="28"/>
              </w:rPr>
            </w:pPr>
            <w:r>
              <w:rPr>
                <w:rFonts w:hint="eastAsia" w:hAnsi="宋体" w:cs="宋体"/>
                <w:color w:val="auto"/>
                <w:szCs w:val="28"/>
              </w:rPr>
              <w:t>从事技术负责人年限</w:t>
            </w:r>
          </w:p>
        </w:tc>
        <w:tc>
          <w:tcPr>
            <w:tcW w:w="1481" w:type="dxa"/>
            <w:noWrap w:val="0"/>
            <w:vAlign w:val="top"/>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960" w:type="dxa"/>
            <w:gridSpan w:val="2"/>
            <w:noWrap w:val="0"/>
            <w:vAlign w:val="top"/>
          </w:tcPr>
          <w:p>
            <w:pPr>
              <w:spacing w:line="360" w:lineRule="auto"/>
              <w:jc w:val="center"/>
              <w:rPr>
                <w:rFonts w:hAnsi="宋体" w:cs="宋体"/>
                <w:color w:val="auto"/>
                <w:szCs w:val="28"/>
              </w:rPr>
            </w:pPr>
            <w:r>
              <w:rPr>
                <w:rFonts w:hint="eastAsia" w:hAnsi="宋体" w:cs="宋体"/>
                <w:color w:val="auto"/>
                <w:szCs w:val="28"/>
              </w:rPr>
              <w:t>资格证书名称及编号</w:t>
            </w:r>
          </w:p>
        </w:tc>
        <w:tc>
          <w:tcPr>
            <w:tcW w:w="6050" w:type="dxa"/>
            <w:gridSpan w:val="4"/>
            <w:noWrap w:val="0"/>
            <w:vAlign w:val="top"/>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010" w:type="dxa"/>
            <w:gridSpan w:val="6"/>
            <w:noWrap w:val="0"/>
            <w:vAlign w:val="top"/>
          </w:tcPr>
          <w:p>
            <w:pPr>
              <w:spacing w:line="360" w:lineRule="auto"/>
              <w:jc w:val="center"/>
              <w:rPr>
                <w:rFonts w:hAnsi="宋体" w:cs="宋体"/>
                <w:color w:val="auto"/>
                <w:szCs w:val="28"/>
              </w:rPr>
            </w:pPr>
            <w:r>
              <w:rPr>
                <w:rFonts w:hint="eastAsia" w:hAnsi="宋体" w:cs="宋体"/>
                <w:color w:val="auto"/>
                <w:szCs w:val="28"/>
              </w:rPr>
              <w:t>在建和已完工程项目情况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80" w:type="dxa"/>
            <w:noWrap w:val="0"/>
            <w:vAlign w:val="top"/>
          </w:tcPr>
          <w:p>
            <w:pPr>
              <w:spacing w:line="360" w:lineRule="auto"/>
              <w:jc w:val="center"/>
              <w:rPr>
                <w:rFonts w:hAnsi="宋体" w:cs="宋体"/>
                <w:color w:val="auto"/>
                <w:szCs w:val="28"/>
              </w:rPr>
            </w:pPr>
            <w:r>
              <w:rPr>
                <w:rFonts w:hint="eastAsia" w:hAnsi="宋体" w:cs="宋体"/>
                <w:color w:val="auto"/>
                <w:szCs w:val="28"/>
              </w:rPr>
              <w:t>建设单位</w:t>
            </w:r>
          </w:p>
        </w:tc>
        <w:tc>
          <w:tcPr>
            <w:tcW w:w="1480" w:type="dxa"/>
            <w:noWrap w:val="0"/>
            <w:vAlign w:val="top"/>
          </w:tcPr>
          <w:p>
            <w:pPr>
              <w:spacing w:line="360" w:lineRule="auto"/>
              <w:jc w:val="center"/>
              <w:rPr>
                <w:rFonts w:hAnsi="宋体" w:cs="宋体"/>
                <w:color w:val="auto"/>
                <w:szCs w:val="28"/>
              </w:rPr>
            </w:pPr>
            <w:r>
              <w:rPr>
                <w:rFonts w:hint="eastAsia" w:hAnsi="宋体" w:cs="宋体"/>
                <w:color w:val="auto"/>
                <w:szCs w:val="28"/>
              </w:rPr>
              <w:t>项目名称</w:t>
            </w:r>
          </w:p>
        </w:tc>
        <w:tc>
          <w:tcPr>
            <w:tcW w:w="1480" w:type="dxa"/>
            <w:noWrap w:val="0"/>
            <w:vAlign w:val="top"/>
          </w:tcPr>
          <w:p>
            <w:pPr>
              <w:spacing w:line="360" w:lineRule="auto"/>
              <w:jc w:val="center"/>
              <w:rPr>
                <w:rFonts w:hAnsi="宋体" w:cs="宋体"/>
                <w:color w:val="auto"/>
                <w:szCs w:val="28"/>
              </w:rPr>
            </w:pPr>
            <w:r>
              <w:rPr>
                <w:rFonts w:hint="eastAsia" w:hAnsi="宋体" w:cs="宋体"/>
                <w:color w:val="auto"/>
                <w:szCs w:val="28"/>
              </w:rPr>
              <w:t>建设规模</w:t>
            </w:r>
          </w:p>
        </w:tc>
        <w:tc>
          <w:tcPr>
            <w:tcW w:w="1608" w:type="dxa"/>
            <w:noWrap w:val="0"/>
            <w:vAlign w:val="top"/>
          </w:tcPr>
          <w:p>
            <w:pPr>
              <w:spacing w:line="360" w:lineRule="auto"/>
              <w:jc w:val="center"/>
              <w:rPr>
                <w:rFonts w:hAnsi="宋体" w:cs="宋体"/>
                <w:color w:val="auto"/>
                <w:szCs w:val="28"/>
              </w:rPr>
            </w:pPr>
            <w:r>
              <w:rPr>
                <w:rFonts w:hint="eastAsia" w:hAnsi="宋体" w:cs="宋体"/>
                <w:color w:val="auto"/>
                <w:szCs w:val="28"/>
              </w:rPr>
              <w:t>开、竣工日期</w:t>
            </w:r>
          </w:p>
        </w:tc>
        <w:tc>
          <w:tcPr>
            <w:tcW w:w="1481" w:type="dxa"/>
            <w:noWrap w:val="0"/>
            <w:vAlign w:val="top"/>
          </w:tcPr>
          <w:p>
            <w:pPr>
              <w:spacing w:line="360" w:lineRule="auto"/>
              <w:jc w:val="center"/>
              <w:rPr>
                <w:rFonts w:hAnsi="宋体" w:cs="宋体"/>
                <w:color w:val="auto"/>
                <w:szCs w:val="28"/>
              </w:rPr>
            </w:pPr>
            <w:r>
              <w:rPr>
                <w:rFonts w:hint="eastAsia" w:hAnsi="宋体" w:cs="宋体"/>
                <w:color w:val="auto"/>
                <w:szCs w:val="28"/>
              </w:rPr>
              <w:t>在建或已完</w:t>
            </w:r>
          </w:p>
        </w:tc>
        <w:tc>
          <w:tcPr>
            <w:tcW w:w="1481" w:type="dxa"/>
            <w:noWrap w:val="0"/>
            <w:vAlign w:val="top"/>
          </w:tcPr>
          <w:p>
            <w:pPr>
              <w:spacing w:line="360" w:lineRule="auto"/>
              <w:jc w:val="center"/>
              <w:rPr>
                <w:rFonts w:hAnsi="宋体" w:cs="宋体"/>
                <w:color w:val="auto"/>
                <w:szCs w:val="28"/>
              </w:rPr>
            </w:pPr>
            <w:r>
              <w:rPr>
                <w:rFonts w:hint="eastAsia" w:hAnsi="宋体" w:cs="宋体"/>
                <w:color w:val="auto"/>
                <w:szCs w:val="28"/>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608"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608"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608"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608"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608"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608"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608"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608"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608"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480" w:type="dxa"/>
            <w:noWrap w:val="0"/>
            <w:vAlign w:val="top"/>
          </w:tcPr>
          <w:p>
            <w:pPr>
              <w:spacing w:line="360" w:lineRule="auto"/>
              <w:rPr>
                <w:rFonts w:hAnsi="宋体" w:cs="宋体"/>
                <w:color w:val="auto"/>
                <w:szCs w:val="28"/>
              </w:rPr>
            </w:pPr>
          </w:p>
        </w:tc>
        <w:tc>
          <w:tcPr>
            <w:tcW w:w="1608"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c>
          <w:tcPr>
            <w:tcW w:w="1481" w:type="dxa"/>
            <w:noWrap w:val="0"/>
            <w:vAlign w:val="top"/>
          </w:tcPr>
          <w:p>
            <w:pPr>
              <w:spacing w:line="360" w:lineRule="auto"/>
              <w:rPr>
                <w:rFonts w:hAnsi="宋体" w:cs="宋体"/>
                <w:color w:val="auto"/>
                <w:szCs w:val="28"/>
              </w:rPr>
            </w:pPr>
          </w:p>
        </w:tc>
      </w:tr>
    </w:tbl>
    <w:p>
      <w:pPr>
        <w:spacing w:line="360" w:lineRule="auto"/>
        <w:ind w:firstLine="360" w:firstLineChars="150"/>
        <w:rPr>
          <w:rFonts w:hAnsi="宋体" w:cs="宋体"/>
          <w:color w:val="auto"/>
          <w:szCs w:val="28"/>
        </w:rPr>
      </w:pPr>
    </w:p>
    <w:p>
      <w:pPr>
        <w:widowControl/>
        <w:rPr>
          <w:rFonts w:hAnsi="宋体" w:cs="宋体"/>
          <w:b/>
          <w:bCs/>
          <w:color w:val="auto"/>
          <w:szCs w:val="28"/>
        </w:rPr>
      </w:pPr>
    </w:p>
    <w:p>
      <w:pPr>
        <w:spacing w:line="360" w:lineRule="auto"/>
        <w:jc w:val="center"/>
        <w:rPr>
          <w:rFonts w:ascii="宋体" w:hAnsi="宋体" w:eastAsia="宋体" w:cs="宋体"/>
          <w:b/>
          <w:bCs/>
          <w:color w:val="auto"/>
          <w:szCs w:val="28"/>
        </w:rPr>
      </w:pPr>
      <w:r>
        <w:rPr>
          <w:rFonts w:hint="eastAsia" w:ascii="宋体" w:hAnsi="宋体" w:eastAsia="宋体" w:cs="宋体"/>
          <w:b/>
          <w:bCs/>
          <w:color w:val="auto"/>
          <w:szCs w:val="28"/>
        </w:rPr>
        <w:t>表</w:t>
      </w:r>
      <w:r>
        <w:rPr>
          <w:rFonts w:ascii="宋体" w:hAnsi="宋体" w:eastAsia="宋体" w:cs="宋体"/>
          <w:b/>
          <w:bCs/>
          <w:color w:val="auto"/>
          <w:szCs w:val="28"/>
        </w:rPr>
        <w:t xml:space="preserve">8    </w:t>
      </w:r>
      <w:r>
        <w:rPr>
          <w:rFonts w:hint="eastAsia" w:ascii="宋体" w:hAnsi="宋体" w:eastAsia="宋体" w:cs="宋体"/>
          <w:b/>
          <w:bCs/>
          <w:color w:val="auto"/>
          <w:szCs w:val="28"/>
        </w:rPr>
        <w:t>项目管理班子配备情况辅助说明资料</w:t>
      </w:r>
    </w:p>
    <w:tbl>
      <w:tblPr>
        <w:tblStyle w:val="4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6" w:hRule="atLeast"/>
        </w:trPr>
        <w:tc>
          <w:tcPr>
            <w:tcW w:w="8882" w:type="dxa"/>
            <w:noWrap w:val="0"/>
            <w:vAlign w:val="top"/>
          </w:tcPr>
          <w:p>
            <w:pPr>
              <w:spacing w:line="360" w:lineRule="auto"/>
              <w:rPr>
                <w:rFonts w:hAnsi="宋体" w:cs="宋体"/>
                <w:color w:val="auto"/>
                <w:szCs w:val="28"/>
              </w:rPr>
            </w:pPr>
            <w:bookmarkStart w:id="766" w:name="_Hlk24150653"/>
          </w:p>
        </w:tc>
      </w:tr>
      <w:bookmarkEnd w:id="766"/>
    </w:tbl>
    <w:p>
      <w:pPr>
        <w:spacing w:line="360" w:lineRule="auto"/>
        <w:rPr>
          <w:rFonts w:hAnsi="宋体" w:cs="宋体"/>
          <w:color w:val="auto"/>
          <w:szCs w:val="28"/>
        </w:rPr>
      </w:pPr>
      <w:r>
        <w:rPr>
          <w:rFonts w:hint="eastAsia" w:hAnsi="宋体" w:cs="宋体"/>
          <w:color w:val="auto"/>
          <w:szCs w:val="28"/>
        </w:rPr>
        <w:t>注：</w:t>
      </w:r>
      <w:r>
        <w:rPr>
          <w:rFonts w:hAnsi="宋体" w:cs="宋体"/>
          <w:color w:val="auto"/>
          <w:szCs w:val="28"/>
        </w:rPr>
        <w:t>1</w:t>
      </w:r>
      <w:r>
        <w:rPr>
          <w:rFonts w:hint="eastAsia" w:hAnsi="宋体" w:cs="宋体"/>
          <w:color w:val="auto"/>
          <w:szCs w:val="28"/>
        </w:rPr>
        <w:t>、辅助说明资料主要包括管理班子机构设置、职责分工、有关复印证明资料以及投标人认为有必要提供的资料。辅助说明资料格式不做统一规定，由投标人自行设计。</w:t>
      </w:r>
    </w:p>
    <w:p>
      <w:pPr>
        <w:spacing w:line="360" w:lineRule="auto"/>
        <w:ind w:firstLine="360" w:firstLineChars="150"/>
        <w:rPr>
          <w:rFonts w:hAnsi="宋体" w:cs="宋体"/>
          <w:color w:val="auto"/>
          <w:szCs w:val="28"/>
        </w:rPr>
      </w:pPr>
      <w:r>
        <w:rPr>
          <w:rFonts w:hAnsi="宋体" w:cs="宋体"/>
          <w:color w:val="auto"/>
          <w:szCs w:val="28"/>
        </w:rPr>
        <w:t>2</w:t>
      </w:r>
      <w:r>
        <w:rPr>
          <w:rFonts w:hint="eastAsia" w:hAnsi="宋体" w:cs="宋体"/>
          <w:color w:val="auto"/>
          <w:szCs w:val="28"/>
        </w:rPr>
        <w:t>、项目管理班子配备情况辅助说明资料另附（与本投标文件一起装订）</w:t>
      </w:r>
    </w:p>
    <w:p>
      <w:pPr>
        <w:spacing w:line="360" w:lineRule="auto"/>
        <w:ind w:firstLine="360" w:firstLineChars="150"/>
        <w:jc w:val="center"/>
        <w:rPr>
          <w:rFonts w:hAnsi="宋体" w:cs="宋体"/>
          <w:b/>
          <w:bCs/>
          <w:color w:val="auto"/>
          <w:sz w:val="36"/>
          <w:szCs w:val="36"/>
        </w:rPr>
      </w:pPr>
      <w:r>
        <w:rPr>
          <w:rFonts w:hAnsi="宋体" w:cs="宋体"/>
          <w:color w:val="auto"/>
          <w:szCs w:val="28"/>
        </w:rPr>
        <w:br w:type="page"/>
      </w:r>
      <w:r>
        <w:rPr>
          <w:rFonts w:hint="eastAsia" w:hAnsi="宋体" w:cs="宋体"/>
          <w:b/>
          <w:bCs/>
          <w:color w:val="auto"/>
          <w:sz w:val="36"/>
          <w:szCs w:val="36"/>
        </w:rPr>
        <w:t>三、项目拟分包情况</w:t>
      </w:r>
    </w:p>
    <w:p>
      <w:pPr>
        <w:spacing w:line="360" w:lineRule="auto"/>
        <w:jc w:val="center"/>
        <w:rPr>
          <w:rFonts w:hAnsi="宋体" w:cs="宋体"/>
          <w:color w:val="auto"/>
          <w:szCs w:val="28"/>
        </w:rPr>
      </w:pPr>
      <w:r>
        <w:rPr>
          <w:rFonts w:hAnsi="宋体" w:cs="宋体"/>
          <w:color w:val="auto"/>
          <w:szCs w:val="28"/>
        </w:rPr>
        <w:t xml:space="preserve"> </w:t>
      </w:r>
    </w:p>
    <w:p>
      <w:pPr>
        <w:spacing w:line="360" w:lineRule="auto"/>
        <w:jc w:val="center"/>
        <w:rPr>
          <w:rFonts w:ascii="宋体" w:hAnsi="宋体" w:eastAsia="宋体" w:cs="宋体"/>
          <w:b/>
          <w:bCs/>
          <w:color w:val="auto"/>
          <w:szCs w:val="28"/>
        </w:rPr>
      </w:pPr>
      <w:r>
        <w:rPr>
          <w:rFonts w:hint="eastAsia" w:ascii="宋体" w:hAnsi="宋体" w:eastAsia="宋体" w:cs="宋体"/>
          <w:b/>
          <w:bCs/>
          <w:color w:val="auto"/>
          <w:szCs w:val="28"/>
        </w:rPr>
        <w:t>表</w:t>
      </w:r>
      <w:r>
        <w:rPr>
          <w:rFonts w:ascii="宋体" w:hAnsi="宋体" w:eastAsia="宋体" w:cs="宋体"/>
          <w:b/>
          <w:bCs/>
          <w:color w:val="auto"/>
          <w:szCs w:val="28"/>
        </w:rPr>
        <w:t xml:space="preserve">9  </w:t>
      </w:r>
      <w:r>
        <w:rPr>
          <w:rFonts w:hint="eastAsia" w:ascii="宋体" w:hAnsi="宋体" w:eastAsia="宋体" w:cs="宋体"/>
          <w:b/>
          <w:bCs/>
          <w:color w:val="auto"/>
          <w:szCs w:val="28"/>
        </w:rPr>
        <w:t>项目拟分包情况表</w:t>
      </w:r>
    </w:p>
    <w:tbl>
      <w:tblPr>
        <w:tblStyle w:val="40"/>
        <w:tblW w:w="0" w:type="auto"/>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7"/>
        <w:gridCol w:w="1441"/>
        <w:gridCol w:w="1448"/>
        <w:gridCol w:w="1448"/>
        <w:gridCol w:w="654"/>
        <w:gridCol w:w="795"/>
        <w:gridCol w:w="14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7" w:type="dxa"/>
            <w:noWrap w:val="0"/>
            <w:vAlign w:val="top"/>
          </w:tcPr>
          <w:p>
            <w:pPr>
              <w:spacing w:line="360" w:lineRule="auto"/>
              <w:jc w:val="center"/>
              <w:rPr>
                <w:rFonts w:hAnsi="宋体" w:cs="宋体"/>
                <w:color w:val="auto"/>
                <w:szCs w:val="28"/>
              </w:rPr>
            </w:pPr>
            <w:r>
              <w:rPr>
                <w:rFonts w:hint="eastAsia" w:hAnsi="宋体" w:cs="宋体"/>
                <w:color w:val="auto"/>
                <w:szCs w:val="28"/>
              </w:rPr>
              <w:t>分包人名称</w:t>
            </w:r>
          </w:p>
        </w:tc>
        <w:tc>
          <w:tcPr>
            <w:tcW w:w="2889" w:type="dxa"/>
            <w:gridSpan w:val="2"/>
            <w:noWrap w:val="0"/>
            <w:vAlign w:val="top"/>
          </w:tcPr>
          <w:p>
            <w:pPr>
              <w:spacing w:line="360" w:lineRule="auto"/>
              <w:jc w:val="center"/>
              <w:rPr>
                <w:rFonts w:hAnsi="宋体" w:cs="宋体"/>
                <w:color w:val="auto"/>
                <w:szCs w:val="28"/>
              </w:rPr>
            </w:pPr>
          </w:p>
        </w:tc>
        <w:tc>
          <w:tcPr>
            <w:tcW w:w="1448" w:type="dxa"/>
            <w:noWrap w:val="0"/>
            <w:vAlign w:val="top"/>
          </w:tcPr>
          <w:p>
            <w:pPr>
              <w:spacing w:line="360" w:lineRule="auto"/>
              <w:jc w:val="center"/>
              <w:rPr>
                <w:rFonts w:hAnsi="宋体" w:cs="宋体"/>
                <w:color w:val="auto"/>
                <w:szCs w:val="28"/>
              </w:rPr>
            </w:pPr>
            <w:r>
              <w:rPr>
                <w:rFonts w:hint="eastAsia" w:hAnsi="宋体" w:cs="宋体"/>
                <w:color w:val="auto"/>
                <w:szCs w:val="28"/>
              </w:rPr>
              <w:t>地址</w:t>
            </w:r>
          </w:p>
        </w:tc>
        <w:tc>
          <w:tcPr>
            <w:tcW w:w="2892" w:type="dxa"/>
            <w:gridSpan w:val="3"/>
            <w:noWrap w:val="0"/>
            <w:vAlign w:val="top"/>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47" w:type="dxa"/>
            <w:noWrap w:val="0"/>
            <w:vAlign w:val="top"/>
          </w:tcPr>
          <w:p>
            <w:pPr>
              <w:spacing w:line="360" w:lineRule="auto"/>
              <w:jc w:val="center"/>
              <w:rPr>
                <w:rFonts w:hAnsi="宋体" w:cs="宋体"/>
                <w:color w:val="auto"/>
                <w:szCs w:val="28"/>
              </w:rPr>
            </w:pPr>
            <w:r>
              <w:rPr>
                <w:rFonts w:hint="eastAsia" w:hAnsi="宋体" w:cs="宋体"/>
                <w:color w:val="auto"/>
                <w:szCs w:val="28"/>
              </w:rPr>
              <w:t>法定代表人</w:t>
            </w:r>
          </w:p>
        </w:tc>
        <w:tc>
          <w:tcPr>
            <w:tcW w:w="1441" w:type="dxa"/>
            <w:noWrap w:val="0"/>
            <w:vAlign w:val="top"/>
          </w:tcPr>
          <w:p>
            <w:pPr>
              <w:spacing w:line="360" w:lineRule="auto"/>
              <w:jc w:val="center"/>
              <w:rPr>
                <w:rFonts w:hAnsi="宋体" w:cs="宋体"/>
                <w:color w:val="auto"/>
                <w:szCs w:val="28"/>
              </w:rPr>
            </w:pPr>
          </w:p>
        </w:tc>
        <w:tc>
          <w:tcPr>
            <w:tcW w:w="1448" w:type="dxa"/>
            <w:noWrap w:val="0"/>
            <w:vAlign w:val="top"/>
          </w:tcPr>
          <w:p>
            <w:pPr>
              <w:spacing w:line="360" w:lineRule="auto"/>
              <w:jc w:val="center"/>
              <w:rPr>
                <w:rFonts w:hAnsi="宋体" w:cs="宋体"/>
                <w:color w:val="auto"/>
                <w:szCs w:val="28"/>
              </w:rPr>
            </w:pPr>
            <w:r>
              <w:rPr>
                <w:rFonts w:hint="eastAsia" w:hAnsi="宋体" w:cs="宋体"/>
                <w:color w:val="auto"/>
                <w:szCs w:val="28"/>
              </w:rPr>
              <w:t>营业执照号码</w:t>
            </w:r>
          </w:p>
        </w:tc>
        <w:tc>
          <w:tcPr>
            <w:tcW w:w="1448" w:type="dxa"/>
            <w:noWrap w:val="0"/>
            <w:vAlign w:val="top"/>
          </w:tcPr>
          <w:p>
            <w:pPr>
              <w:spacing w:line="360" w:lineRule="auto"/>
              <w:jc w:val="center"/>
              <w:rPr>
                <w:rFonts w:hAnsi="宋体" w:cs="宋体"/>
                <w:color w:val="auto"/>
                <w:szCs w:val="28"/>
              </w:rPr>
            </w:pPr>
          </w:p>
        </w:tc>
        <w:tc>
          <w:tcPr>
            <w:tcW w:w="1449" w:type="dxa"/>
            <w:gridSpan w:val="2"/>
            <w:noWrap w:val="0"/>
            <w:vAlign w:val="top"/>
          </w:tcPr>
          <w:p>
            <w:pPr>
              <w:spacing w:line="360" w:lineRule="auto"/>
              <w:jc w:val="center"/>
              <w:rPr>
                <w:rFonts w:hAnsi="宋体" w:cs="宋体"/>
                <w:color w:val="auto"/>
                <w:szCs w:val="28"/>
              </w:rPr>
            </w:pPr>
            <w:r>
              <w:rPr>
                <w:rFonts w:hint="eastAsia" w:hAnsi="宋体" w:cs="宋体"/>
                <w:color w:val="auto"/>
                <w:szCs w:val="28"/>
              </w:rPr>
              <w:t>资质等级</w:t>
            </w:r>
          </w:p>
          <w:p>
            <w:pPr>
              <w:spacing w:line="360" w:lineRule="auto"/>
              <w:jc w:val="center"/>
              <w:rPr>
                <w:rFonts w:hAnsi="宋体" w:cs="宋体"/>
                <w:color w:val="auto"/>
                <w:szCs w:val="28"/>
              </w:rPr>
            </w:pPr>
            <w:r>
              <w:rPr>
                <w:rFonts w:hint="eastAsia" w:hAnsi="宋体" w:cs="宋体"/>
                <w:color w:val="auto"/>
                <w:szCs w:val="28"/>
              </w:rPr>
              <w:t>证书号码</w:t>
            </w:r>
          </w:p>
        </w:tc>
        <w:tc>
          <w:tcPr>
            <w:tcW w:w="1443" w:type="dxa"/>
            <w:noWrap w:val="0"/>
            <w:vAlign w:val="top"/>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47" w:type="dxa"/>
            <w:noWrap w:val="0"/>
            <w:vAlign w:val="center"/>
          </w:tcPr>
          <w:p>
            <w:pPr>
              <w:spacing w:line="360" w:lineRule="auto"/>
              <w:jc w:val="center"/>
              <w:rPr>
                <w:rFonts w:hAnsi="宋体" w:cs="宋体"/>
                <w:color w:val="auto"/>
                <w:szCs w:val="28"/>
              </w:rPr>
            </w:pPr>
            <w:r>
              <w:rPr>
                <w:rFonts w:hint="eastAsia" w:hAnsi="宋体" w:cs="宋体"/>
                <w:color w:val="auto"/>
                <w:szCs w:val="28"/>
              </w:rPr>
              <w:t>拟分包的工程项目</w:t>
            </w:r>
          </w:p>
        </w:tc>
        <w:tc>
          <w:tcPr>
            <w:tcW w:w="2889" w:type="dxa"/>
            <w:gridSpan w:val="2"/>
            <w:noWrap w:val="0"/>
            <w:vAlign w:val="center"/>
          </w:tcPr>
          <w:p>
            <w:pPr>
              <w:spacing w:line="360" w:lineRule="auto"/>
              <w:jc w:val="center"/>
              <w:rPr>
                <w:rFonts w:hAnsi="宋体" w:cs="宋体"/>
                <w:color w:val="auto"/>
                <w:szCs w:val="28"/>
              </w:rPr>
            </w:pPr>
            <w:r>
              <w:rPr>
                <w:rFonts w:hint="eastAsia" w:hAnsi="宋体" w:cs="宋体"/>
                <w:color w:val="auto"/>
                <w:szCs w:val="28"/>
              </w:rPr>
              <w:t>主要内容</w:t>
            </w:r>
          </w:p>
        </w:tc>
        <w:tc>
          <w:tcPr>
            <w:tcW w:w="2102" w:type="dxa"/>
            <w:gridSpan w:val="2"/>
            <w:noWrap w:val="0"/>
            <w:vAlign w:val="center"/>
          </w:tcPr>
          <w:p>
            <w:pPr>
              <w:spacing w:line="360" w:lineRule="auto"/>
              <w:jc w:val="center"/>
              <w:rPr>
                <w:rFonts w:hAnsi="宋体" w:cs="宋体"/>
                <w:color w:val="auto"/>
                <w:szCs w:val="28"/>
              </w:rPr>
            </w:pPr>
            <w:r>
              <w:rPr>
                <w:rFonts w:hint="eastAsia" w:hAnsi="宋体" w:cs="宋体"/>
                <w:color w:val="auto"/>
                <w:szCs w:val="28"/>
              </w:rPr>
              <w:t>造价</w:t>
            </w:r>
          </w:p>
          <w:p>
            <w:pPr>
              <w:spacing w:line="360" w:lineRule="auto"/>
              <w:jc w:val="center"/>
              <w:rPr>
                <w:rFonts w:hAnsi="宋体" w:cs="宋体"/>
                <w:color w:val="auto"/>
                <w:szCs w:val="28"/>
              </w:rPr>
            </w:pPr>
            <w:r>
              <w:rPr>
                <w:rFonts w:hint="eastAsia" w:hAnsi="宋体" w:cs="宋体"/>
                <w:color w:val="auto"/>
                <w:szCs w:val="28"/>
              </w:rPr>
              <w:t>（万元）</w:t>
            </w:r>
          </w:p>
        </w:tc>
        <w:tc>
          <w:tcPr>
            <w:tcW w:w="2238" w:type="dxa"/>
            <w:gridSpan w:val="2"/>
            <w:noWrap w:val="0"/>
            <w:vAlign w:val="center"/>
          </w:tcPr>
          <w:p>
            <w:pPr>
              <w:spacing w:line="360" w:lineRule="auto"/>
              <w:jc w:val="center"/>
              <w:rPr>
                <w:rFonts w:hAnsi="宋体" w:cs="宋体"/>
                <w:color w:val="auto"/>
                <w:szCs w:val="28"/>
              </w:rPr>
            </w:pPr>
            <w:r>
              <w:rPr>
                <w:rFonts w:hint="eastAsia" w:hAnsi="宋体" w:cs="宋体"/>
                <w:color w:val="auto"/>
                <w:szCs w:val="28"/>
              </w:rPr>
              <w:t>已经做过的类似工程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restart"/>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exact"/>
        </w:trPr>
        <w:tc>
          <w:tcPr>
            <w:tcW w:w="1447" w:type="dxa"/>
            <w:noWrap w:val="0"/>
            <w:vAlign w:val="center"/>
          </w:tcPr>
          <w:p>
            <w:pPr>
              <w:spacing w:line="360" w:lineRule="auto"/>
              <w:jc w:val="center"/>
              <w:rPr>
                <w:rFonts w:hAnsi="宋体" w:cs="宋体"/>
                <w:color w:val="auto"/>
                <w:szCs w:val="28"/>
              </w:rPr>
            </w:pPr>
          </w:p>
        </w:tc>
        <w:tc>
          <w:tcPr>
            <w:tcW w:w="2889" w:type="dxa"/>
            <w:gridSpan w:val="2"/>
            <w:noWrap w:val="0"/>
            <w:vAlign w:val="center"/>
          </w:tcPr>
          <w:p>
            <w:pPr>
              <w:spacing w:line="360" w:lineRule="auto"/>
              <w:jc w:val="center"/>
              <w:rPr>
                <w:rFonts w:hAnsi="宋体" w:cs="宋体"/>
                <w:color w:val="auto"/>
                <w:szCs w:val="28"/>
              </w:rPr>
            </w:pPr>
          </w:p>
        </w:tc>
        <w:tc>
          <w:tcPr>
            <w:tcW w:w="2102" w:type="dxa"/>
            <w:gridSpan w:val="2"/>
            <w:noWrap w:val="0"/>
            <w:vAlign w:val="center"/>
          </w:tcPr>
          <w:p>
            <w:pPr>
              <w:spacing w:line="360" w:lineRule="auto"/>
              <w:jc w:val="center"/>
              <w:rPr>
                <w:rFonts w:hAnsi="宋体" w:cs="宋体"/>
                <w:color w:val="auto"/>
                <w:szCs w:val="28"/>
              </w:rPr>
            </w:pPr>
          </w:p>
        </w:tc>
        <w:tc>
          <w:tcPr>
            <w:tcW w:w="2238" w:type="dxa"/>
            <w:gridSpan w:val="2"/>
            <w:vMerge w:val="continue"/>
            <w:noWrap w:val="0"/>
            <w:vAlign w:val="center"/>
          </w:tcPr>
          <w:p>
            <w:pPr>
              <w:spacing w:line="360" w:lineRule="auto"/>
              <w:jc w:val="center"/>
              <w:rPr>
                <w:rFonts w:hAnsi="宋体" w:cs="宋体"/>
                <w:color w:val="auto"/>
                <w:szCs w:val="28"/>
              </w:rPr>
            </w:pPr>
          </w:p>
        </w:tc>
      </w:tr>
    </w:tbl>
    <w:p>
      <w:pPr>
        <w:widowControl/>
        <w:rPr>
          <w:color w:val="auto"/>
        </w:rPr>
      </w:pPr>
    </w:p>
    <w:p>
      <w:pPr>
        <w:spacing w:line="360" w:lineRule="auto"/>
        <w:jc w:val="center"/>
        <w:rPr>
          <w:color w:val="auto"/>
          <w:sz w:val="72"/>
        </w:rPr>
      </w:pPr>
    </w:p>
    <w:p>
      <w:pPr>
        <w:spacing w:line="360" w:lineRule="auto"/>
        <w:jc w:val="center"/>
        <w:rPr>
          <w:rFonts w:ascii="宋体" w:hAnsi="宋体" w:eastAsia="宋体"/>
          <w:color w:val="auto"/>
          <w:sz w:val="72"/>
        </w:rPr>
      </w:pPr>
      <w:r>
        <w:rPr>
          <w:rFonts w:hint="eastAsia" w:ascii="宋体" w:hAnsi="宋体" w:eastAsia="宋体"/>
          <w:color w:val="auto"/>
          <w:sz w:val="72"/>
        </w:rPr>
        <w:t>施工投标文件</w:t>
      </w:r>
    </w:p>
    <w:p>
      <w:pPr>
        <w:jc w:val="center"/>
        <w:rPr>
          <w:rFonts w:ascii="宋体" w:hAnsi="宋体" w:eastAsia="宋体"/>
          <w:color w:val="auto"/>
          <w:sz w:val="32"/>
        </w:rPr>
      </w:pPr>
      <w:r>
        <w:rPr>
          <w:rFonts w:hint="eastAsia" w:ascii="宋体" w:hAnsi="宋体" w:eastAsia="宋体"/>
          <w:color w:val="auto"/>
          <w:sz w:val="32"/>
        </w:rPr>
        <w:t>（封面）</w:t>
      </w:r>
    </w:p>
    <w:p>
      <w:pPr>
        <w:jc w:val="center"/>
        <w:rPr>
          <w:rFonts w:ascii="宋体" w:hAnsi="宋体" w:eastAsia="宋体"/>
          <w:color w:val="auto"/>
          <w:sz w:val="32"/>
        </w:rPr>
      </w:pPr>
    </w:p>
    <w:p>
      <w:pPr>
        <w:jc w:val="center"/>
        <w:rPr>
          <w:rFonts w:ascii="宋体" w:hAnsi="宋体" w:eastAsia="宋体"/>
          <w:color w:val="auto"/>
          <w:sz w:val="32"/>
        </w:rPr>
      </w:pPr>
    </w:p>
    <w:p>
      <w:pPr>
        <w:jc w:val="center"/>
        <w:rPr>
          <w:rFonts w:ascii="宋体" w:hAnsi="宋体" w:eastAsia="宋体"/>
          <w:color w:val="auto"/>
          <w:sz w:val="32"/>
        </w:rPr>
      </w:pPr>
    </w:p>
    <w:p>
      <w:pPr>
        <w:spacing w:line="480" w:lineRule="auto"/>
        <w:jc w:val="center"/>
        <w:rPr>
          <w:rFonts w:ascii="宋体" w:hAnsi="宋体" w:eastAsia="宋体"/>
          <w:color w:val="auto"/>
          <w:sz w:val="32"/>
        </w:rPr>
      </w:pPr>
    </w:p>
    <w:p>
      <w:pPr>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工程名称：</w:t>
      </w:r>
      <w:r>
        <w:rPr>
          <w:rFonts w:ascii="宋体" w:hAnsi="宋体" w:eastAsia="宋体"/>
          <w:color w:val="auto"/>
          <w:sz w:val="32"/>
          <w:u w:val="single"/>
        </w:rPr>
        <w:t xml:space="preserve">                                 </w:t>
      </w:r>
    </w:p>
    <w:p>
      <w:pPr>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投标文件内容：</w:t>
      </w:r>
      <w:r>
        <w:rPr>
          <w:rFonts w:ascii="宋体" w:hAnsi="宋体" w:eastAsia="宋体"/>
          <w:color w:val="auto"/>
          <w:sz w:val="32"/>
          <w:u w:val="single"/>
        </w:rPr>
        <w:t xml:space="preserve">  </w:t>
      </w:r>
      <w:r>
        <w:rPr>
          <w:rFonts w:hint="eastAsia" w:ascii="宋体" w:hAnsi="宋体" w:eastAsia="宋体"/>
          <w:color w:val="auto"/>
          <w:sz w:val="32"/>
          <w:u w:val="single"/>
        </w:rPr>
        <w:t>投标文件资信标</w:t>
      </w:r>
      <w:r>
        <w:rPr>
          <w:rFonts w:ascii="宋体" w:hAnsi="宋体" w:eastAsia="宋体"/>
          <w:color w:val="auto"/>
          <w:sz w:val="32"/>
          <w:u w:val="single"/>
        </w:rPr>
        <w:t xml:space="preserve">             </w:t>
      </w:r>
    </w:p>
    <w:p>
      <w:pPr>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投标人：</w:t>
      </w:r>
      <w:r>
        <w:rPr>
          <w:rFonts w:ascii="宋体" w:hAnsi="宋体" w:eastAsia="宋体"/>
          <w:color w:val="auto"/>
          <w:sz w:val="32"/>
          <w:u w:val="single"/>
        </w:rPr>
        <w:t xml:space="preserve">                     （单位盖章）   </w:t>
      </w:r>
    </w:p>
    <w:p>
      <w:pPr>
        <w:spacing w:after="360" w:afterLines="150" w:line="480" w:lineRule="auto"/>
        <w:ind w:firstLine="627" w:firstLineChars="196"/>
        <w:rPr>
          <w:rFonts w:ascii="宋体" w:hAnsi="宋体" w:eastAsia="宋体"/>
          <w:color w:val="auto"/>
          <w:sz w:val="32"/>
        </w:rPr>
      </w:pPr>
      <w:r>
        <w:rPr>
          <w:rFonts w:hint="eastAsia" w:ascii="宋体" w:hAnsi="宋体" w:eastAsia="宋体"/>
          <w:color w:val="auto"/>
          <w:sz w:val="32"/>
        </w:rPr>
        <w:t>法定代表人或委托代理人：</w:t>
      </w:r>
      <w:r>
        <w:rPr>
          <w:rFonts w:ascii="宋体" w:hAnsi="宋体" w:eastAsia="宋体"/>
          <w:color w:val="auto"/>
          <w:sz w:val="32"/>
          <w:u w:val="single"/>
        </w:rPr>
        <w:t xml:space="preserve">      </w:t>
      </w:r>
      <w:r>
        <w:rPr>
          <w:rFonts w:hint="eastAsia" w:ascii="宋体" w:hAnsi="宋体" w:eastAsia="宋体"/>
          <w:color w:val="auto"/>
          <w:sz w:val="32"/>
          <w:u w:val="single"/>
        </w:rPr>
        <w:t>（</w:t>
      </w:r>
      <w:r>
        <w:rPr>
          <w:rFonts w:hint="eastAsia"/>
          <w:color w:val="auto"/>
          <w:u w:val="single"/>
        </w:rPr>
        <w:t>签字或盖章</w:t>
      </w:r>
      <w:r>
        <w:rPr>
          <w:rFonts w:hint="eastAsia" w:ascii="宋体" w:hAnsi="宋体" w:eastAsia="宋体"/>
          <w:color w:val="auto"/>
          <w:sz w:val="32"/>
          <w:u w:val="single"/>
        </w:rPr>
        <w:t>）</w:t>
      </w:r>
      <w:r>
        <w:rPr>
          <w:rFonts w:ascii="宋体" w:hAnsi="宋体" w:eastAsia="宋体"/>
          <w:color w:val="auto"/>
          <w:sz w:val="32"/>
        </w:rPr>
        <w:t xml:space="preserve">     </w:t>
      </w:r>
    </w:p>
    <w:p>
      <w:pPr>
        <w:spacing w:after="360" w:afterLines="150" w:line="480" w:lineRule="auto"/>
        <w:ind w:firstLine="627" w:firstLineChars="196"/>
        <w:jc w:val="center"/>
        <w:rPr>
          <w:rFonts w:ascii="宋体" w:hAnsi="宋体" w:eastAsia="宋体"/>
          <w:color w:val="auto"/>
          <w:sz w:val="32"/>
        </w:rPr>
      </w:pPr>
      <w:r>
        <w:rPr>
          <w:rFonts w:hint="eastAsia" w:ascii="宋体" w:hAnsi="宋体" w:eastAsia="宋体"/>
          <w:color w:val="auto"/>
          <w:sz w:val="32"/>
        </w:rPr>
        <w:t>日期：</w:t>
      </w:r>
      <w:r>
        <w:rPr>
          <w:rFonts w:ascii="宋体" w:hAnsi="宋体" w:eastAsia="宋体"/>
          <w:color w:val="auto"/>
          <w:sz w:val="32"/>
        </w:rPr>
        <w:t xml:space="preserve">    </w:t>
      </w:r>
      <w:r>
        <w:rPr>
          <w:rFonts w:hint="eastAsia" w:ascii="宋体" w:hAnsi="宋体" w:eastAsia="宋体"/>
          <w:color w:val="auto"/>
          <w:sz w:val="32"/>
        </w:rPr>
        <w:t>年</w:t>
      </w:r>
      <w:r>
        <w:rPr>
          <w:rFonts w:ascii="宋体" w:hAnsi="宋体" w:eastAsia="宋体"/>
          <w:color w:val="auto"/>
          <w:sz w:val="32"/>
        </w:rPr>
        <w:t xml:space="preserve">    </w:t>
      </w:r>
      <w:r>
        <w:rPr>
          <w:rFonts w:hint="eastAsia" w:ascii="宋体" w:hAnsi="宋体" w:eastAsia="宋体"/>
          <w:color w:val="auto"/>
          <w:sz w:val="32"/>
        </w:rPr>
        <w:t>月</w:t>
      </w:r>
      <w:r>
        <w:rPr>
          <w:rFonts w:ascii="宋体" w:hAnsi="宋体" w:eastAsia="宋体"/>
          <w:color w:val="auto"/>
          <w:sz w:val="32"/>
        </w:rPr>
        <w:t xml:space="preserve">    </w:t>
      </w:r>
      <w:r>
        <w:rPr>
          <w:rFonts w:hint="eastAsia" w:ascii="宋体" w:hAnsi="宋体" w:eastAsia="宋体"/>
          <w:color w:val="auto"/>
          <w:sz w:val="32"/>
        </w:rPr>
        <w:t>日</w:t>
      </w:r>
    </w:p>
    <w:p>
      <w:pPr>
        <w:widowControl/>
        <w:rPr>
          <w:color w:val="auto"/>
        </w:rPr>
      </w:pPr>
      <w:r>
        <w:rPr>
          <w:color w:val="auto"/>
        </w:rPr>
        <w:br w:type="page"/>
      </w:r>
    </w:p>
    <w:p>
      <w:pPr>
        <w:spacing w:after="360" w:afterLines="150"/>
        <w:jc w:val="center"/>
        <w:rPr>
          <w:color w:val="auto"/>
          <w:sz w:val="30"/>
        </w:rPr>
      </w:pPr>
    </w:p>
    <w:p>
      <w:pPr>
        <w:pStyle w:val="25"/>
        <w:spacing w:line="360" w:lineRule="auto"/>
        <w:ind w:firstLine="602"/>
        <w:jc w:val="center"/>
        <w:rPr>
          <w:b/>
          <w:bCs/>
          <w:color w:val="auto"/>
          <w:sz w:val="36"/>
          <w:szCs w:val="36"/>
        </w:rPr>
      </w:pPr>
      <w:r>
        <w:rPr>
          <w:rFonts w:hint="eastAsia"/>
          <w:b/>
          <w:bCs/>
          <w:color w:val="auto"/>
          <w:sz w:val="36"/>
          <w:szCs w:val="36"/>
        </w:rPr>
        <w:t>目</w:t>
      </w:r>
      <w:r>
        <w:rPr>
          <w:b/>
          <w:bCs/>
          <w:color w:val="auto"/>
          <w:sz w:val="36"/>
          <w:szCs w:val="36"/>
        </w:rPr>
        <w:t xml:space="preserve">    </w:t>
      </w:r>
      <w:r>
        <w:rPr>
          <w:rFonts w:hint="eastAsia"/>
          <w:b/>
          <w:bCs/>
          <w:color w:val="auto"/>
          <w:sz w:val="36"/>
          <w:szCs w:val="36"/>
        </w:rPr>
        <w:t>录</w:t>
      </w:r>
    </w:p>
    <w:p>
      <w:pPr>
        <w:tabs>
          <w:tab w:val="left" w:pos="567"/>
        </w:tabs>
        <w:autoSpaceDE/>
        <w:autoSpaceDN/>
        <w:adjustRightInd/>
        <w:spacing w:after="360" w:afterLines="150" w:line="360" w:lineRule="auto"/>
        <w:ind w:firstLine="560" w:firstLineChars="200"/>
        <w:jc w:val="both"/>
        <w:rPr>
          <w:rFonts w:ascii="宋体" w:hAnsi="宋体" w:eastAsia="宋体"/>
          <w:color w:val="auto"/>
          <w:sz w:val="28"/>
          <w:szCs w:val="28"/>
        </w:rPr>
      </w:pPr>
      <w:r>
        <w:rPr>
          <w:rFonts w:ascii="宋体" w:hAnsi="宋体" w:eastAsia="宋体"/>
          <w:color w:val="auto"/>
          <w:sz w:val="28"/>
          <w:szCs w:val="28"/>
        </w:rPr>
        <w:t>1.</w:t>
      </w:r>
      <w:r>
        <w:rPr>
          <w:rFonts w:hint="eastAsia" w:ascii="宋体" w:hAnsi="宋体" w:eastAsia="宋体"/>
          <w:color w:val="auto"/>
          <w:sz w:val="28"/>
          <w:szCs w:val="28"/>
        </w:rPr>
        <w:t>投标人一般情况（表</w:t>
      </w:r>
      <w:r>
        <w:rPr>
          <w:rFonts w:ascii="宋体" w:hAnsi="宋体" w:eastAsia="宋体"/>
          <w:color w:val="auto"/>
          <w:sz w:val="28"/>
          <w:szCs w:val="28"/>
        </w:rPr>
        <w:t>1</w:t>
      </w:r>
      <w:r>
        <w:rPr>
          <w:rFonts w:hint="eastAsia" w:ascii="宋体" w:hAnsi="宋体" w:eastAsia="宋体"/>
          <w:color w:val="auto"/>
          <w:sz w:val="28"/>
          <w:szCs w:val="28"/>
        </w:rPr>
        <w:t>）</w:t>
      </w:r>
    </w:p>
    <w:p>
      <w:pPr>
        <w:tabs>
          <w:tab w:val="left" w:pos="567"/>
        </w:tabs>
        <w:autoSpaceDE/>
        <w:autoSpaceDN/>
        <w:adjustRightInd/>
        <w:spacing w:after="360" w:afterLines="150" w:line="360" w:lineRule="auto"/>
        <w:ind w:firstLine="560" w:firstLineChars="200"/>
        <w:jc w:val="both"/>
        <w:rPr>
          <w:rFonts w:ascii="宋体" w:hAnsi="宋体" w:eastAsia="宋体"/>
          <w:color w:val="auto"/>
          <w:sz w:val="28"/>
          <w:szCs w:val="28"/>
        </w:rPr>
      </w:pPr>
      <w:r>
        <w:rPr>
          <w:rFonts w:ascii="宋体" w:hAnsi="宋体" w:eastAsia="宋体"/>
          <w:color w:val="auto"/>
          <w:sz w:val="28"/>
          <w:szCs w:val="28"/>
        </w:rPr>
        <w:t>2.</w:t>
      </w:r>
      <w:r>
        <w:rPr>
          <w:rFonts w:hint="eastAsia" w:ascii="宋体" w:hAnsi="宋体" w:eastAsia="宋体"/>
          <w:color w:val="auto"/>
          <w:sz w:val="28"/>
          <w:szCs w:val="28"/>
        </w:rPr>
        <w:t>近年财务状况表（表</w:t>
      </w:r>
      <w:r>
        <w:rPr>
          <w:rFonts w:ascii="宋体" w:hAnsi="宋体" w:eastAsia="宋体"/>
          <w:color w:val="auto"/>
          <w:sz w:val="28"/>
          <w:szCs w:val="28"/>
        </w:rPr>
        <w:t>2</w:t>
      </w:r>
      <w:r>
        <w:rPr>
          <w:rFonts w:hint="eastAsia" w:ascii="宋体" w:hAnsi="宋体" w:eastAsia="宋体"/>
          <w:color w:val="auto"/>
          <w:sz w:val="28"/>
          <w:szCs w:val="28"/>
        </w:rPr>
        <w:t>）</w:t>
      </w:r>
    </w:p>
    <w:p>
      <w:pPr>
        <w:tabs>
          <w:tab w:val="left" w:pos="567"/>
        </w:tabs>
        <w:autoSpaceDE/>
        <w:autoSpaceDN/>
        <w:snapToGrid w:val="0"/>
        <w:spacing w:after="360" w:afterLines="150" w:line="360" w:lineRule="auto"/>
        <w:ind w:left="1020" w:leftChars="250" w:hanging="420" w:hangingChars="150"/>
        <w:jc w:val="both"/>
        <w:rPr>
          <w:rFonts w:ascii="宋体" w:hAnsi="宋体" w:eastAsia="宋体"/>
          <w:color w:val="auto"/>
          <w:sz w:val="28"/>
          <w:szCs w:val="28"/>
        </w:rPr>
      </w:pPr>
      <w:r>
        <w:rPr>
          <w:rFonts w:ascii="宋体" w:hAnsi="宋体" w:eastAsia="宋体"/>
          <w:color w:val="auto"/>
          <w:sz w:val="28"/>
          <w:szCs w:val="28"/>
        </w:rPr>
        <w:t>3.</w:t>
      </w:r>
      <w:r>
        <w:rPr>
          <w:rFonts w:hint="eastAsia" w:ascii="宋体" w:hAnsi="宋体" w:eastAsia="宋体"/>
          <w:color w:val="auto"/>
          <w:sz w:val="28"/>
          <w:szCs w:val="28"/>
        </w:rPr>
        <w:t>业绩汇总表（表</w:t>
      </w:r>
      <w:r>
        <w:rPr>
          <w:rFonts w:ascii="宋体" w:hAnsi="宋体" w:eastAsia="宋体"/>
          <w:color w:val="auto"/>
          <w:sz w:val="28"/>
          <w:szCs w:val="28"/>
        </w:rPr>
        <w:t>3</w:t>
      </w:r>
      <w:r>
        <w:rPr>
          <w:rFonts w:hint="eastAsia" w:ascii="宋体" w:hAnsi="宋体" w:eastAsia="宋体"/>
          <w:color w:val="auto"/>
          <w:sz w:val="28"/>
          <w:szCs w:val="28"/>
        </w:rPr>
        <w:t>）（附相关业绩的证明材料，且需要准确详细列入）</w:t>
      </w:r>
    </w:p>
    <w:p>
      <w:pPr>
        <w:tabs>
          <w:tab w:val="left" w:pos="513"/>
          <w:tab w:val="left" w:pos="567"/>
        </w:tabs>
        <w:autoSpaceDE/>
        <w:autoSpaceDN/>
        <w:adjustRightInd/>
        <w:spacing w:after="360" w:afterLines="150" w:line="360" w:lineRule="auto"/>
        <w:ind w:firstLine="560" w:firstLineChars="200"/>
        <w:jc w:val="both"/>
        <w:rPr>
          <w:rFonts w:ascii="宋体" w:hAnsi="宋体" w:eastAsia="宋体"/>
          <w:color w:val="auto"/>
          <w:sz w:val="28"/>
          <w:szCs w:val="28"/>
        </w:rPr>
      </w:pPr>
      <w:r>
        <w:rPr>
          <w:rFonts w:ascii="宋体" w:hAnsi="宋体" w:eastAsia="宋体"/>
          <w:color w:val="auto"/>
          <w:sz w:val="28"/>
          <w:szCs w:val="28"/>
        </w:rPr>
        <w:t>4.</w:t>
      </w:r>
      <w:r>
        <w:rPr>
          <w:rFonts w:hint="eastAsia" w:ascii="宋体" w:hAnsi="宋体" w:eastAsia="宋体"/>
          <w:color w:val="auto"/>
          <w:sz w:val="28"/>
          <w:szCs w:val="28"/>
        </w:rPr>
        <w:t>投标承诺书</w:t>
      </w:r>
    </w:p>
    <w:p>
      <w:pPr>
        <w:tabs>
          <w:tab w:val="left" w:pos="567"/>
        </w:tabs>
        <w:autoSpaceDE/>
        <w:autoSpaceDN/>
        <w:adjustRightInd/>
        <w:spacing w:after="360" w:afterLines="150" w:line="360" w:lineRule="auto"/>
        <w:ind w:firstLine="560" w:firstLineChars="200"/>
        <w:jc w:val="both"/>
        <w:rPr>
          <w:rFonts w:ascii="宋体" w:hAnsi="宋体" w:eastAsia="宋体"/>
          <w:color w:val="auto"/>
          <w:sz w:val="28"/>
          <w:szCs w:val="28"/>
        </w:rPr>
      </w:pPr>
      <w:r>
        <w:rPr>
          <w:rFonts w:ascii="宋体" w:hAnsi="宋体" w:eastAsia="宋体"/>
          <w:color w:val="auto"/>
          <w:sz w:val="28"/>
          <w:szCs w:val="28"/>
        </w:rPr>
        <w:t>5.</w:t>
      </w:r>
      <w:r>
        <w:rPr>
          <w:rFonts w:hint="eastAsia" w:ascii="宋体" w:hAnsi="宋体" w:eastAsia="宋体"/>
          <w:color w:val="auto"/>
          <w:sz w:val="28"/>
          <w:szCs w:val="28"/>
        </w:rPr>
        <w:t>招标人要求提交的其他资料</w:t>
      </w:r>
      <w:r>
        <w:rPr>
          <w:rFonts w:ascii="宋体" w:hAnsi="宋体" w:eastAsia="宋体" w:cs="宋体"/>
          <w:bCs/>
          <w:color w:val="auto"/>
          <w:sz w:val="28"/>
          <w:szCs w:val="28"/>
        </w:rPr>
        <w:t>(详见投标须知前附表)</w:t>
      </w:r>
      <w:r>
        <w:rPr>
          <w:rFonts w:hint="eastAsia" w:ascii="宋体" w:hAnsi="宋体" w:eastAsia="宋体"/>
          <w:color w:val="auto"/>
          <w:sz w:val="28"/>
          <w:szCs w:val="28"/>
        </w:rPr>
        <w:t>。</w:t>
      </w:r>
    </w:p>
    <w:p>
      <w:pPr>
        <w:pStyle w:val="2"/>
        <w:spacing w:after="360"/>
        <w:rPr>
          <w:color w:val="auto"/>
        </w:rPr>
      </w:pPr>
    </w:p>
    <w:p>
      <w:pPr>
        <w:spacing w:after="360"/>
        <w:rPr>
          <w:color w:val="auto"/>
        </w:rPr>
      </w:pPr>
    </w:p>
    <w:p>
      <w:pPr>
        <w:widowControl/>
        <w:rPr>
          <w:color w:val="auto"/>
        </w:rPr>
      </w:pPr>
      <w:r>
        <w:rPr>
          <w:color w:val="auto"/>
        </w:rPr>
        <w:br w:type="page"/>
      </w:r>
    </w:p>
    <w:p>
      <w:pPr>
        <w:spacing w:line="360" w:lineRule="auto"/>
        <w:ind w:firstLine="361" w:firstLineChars="150"/>
        <w:jc w:val="center"/>
        <w:rPr>
          <w:rFonts w:hAnsi="宋体" w:cs="宋体"/>
          <w:b/>
          <w:bCs/>
          <w:color w:val="auto"/>
          <w:szCs w:val="28"/>
        </w:rPr>
      </w:pPr>
    </w:p>
    <w:p>
      <w:pPr>
        <w:spacing w:line="360" w:lineRule="auto"/>
        <w:jc w:val="center"/>
        <w:rPr>
          <w:rFonts w:ascii="宋体" w:hAnsi="宋体" w:eastAsia="宋体" w:cs="宋体"/>
          <w:b/>
          <w:bCs/>
          <w:color w:val="auto"/>
          <w:szCs w:val="28"/>
        </w:rPr>
      </w:pPr>
      <w:r>
        <w:rPr>
          <w:rFonts w:hint="eastAsia" w:ascii="宋体" w:hAnsi="宋体" w:eastAsia="宋体" w:cs="宋体"/>
          <w:b/>
          <w:bCs/>
          <w:color w:val="auto"/>
          <w:szCs w:val="28"/>
        </w:rPr>
        <w:t>表</w:t>
      </w:r>
      <w:r>
        <w:rPr>
          <w:rFonts w:ascii="宋体" w:hAnsi="宋体" w:eastAsia="宋体" w:cs="宋体"/>
          <w:b/>
          <w:bCs/>
          <w:color w:val="auto"/>
          <w:szCs w:val="28"/>
        </w:rPr>
        <w:t xml:space="preserve">1  </w:t>
      </w:r>
      <w:r>
        <w:rPr>
          <w:rFonts w:hint="eastAsia" w:ascii="宋体" w:hAnsi="宋体" w:eastAsia="宋体" w:cs="宋体"/>
          <w:b/>
          <w:bCs/>
          <w:color w:val="auto"/>
          <w:szCs w:val="28"/>
        </w:rPr>
        <w:t>投标人基本情况表</w:t>
      </w:r>
    </w:p>
    <w:p>
      <w:pPr>
        <w:spacing w:line="360" w:lineRule="auto"/>
        <w:ind w:firstLine="361" w:firstLineChars="150"/>
        <w:jc w:val="center"/>
        <w:rPr>
          <w:rFonts w:hAnsi="宋体" w:cs="宋体"/>
          <w:b/>
          <w:bCs/>
          <w:color w:val="auto"/>
          <w:szCs w:val="28"/>
        </w:rPr>
      </w:pPr>
    </w:p>
    <w:tbl>
      <w:tblPr>
        <w:tblStyle w:val="40"/>
        <w:tblW w:w="918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993"/>
        <w:gridCol w:w="1134"/>
        <w:gridCol w:w="1275"/>
        <w:gridCol w:w="1389"/>
        <w:gridCol w:w="173"/>
        <w:gridCol w:w="1038"/>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843" w:type="dxa"/>
            <w:noWrap w:val="0"/>
            <w:vAlign w:val="center"/>
          </w:tcPr>
          <w:p>
            <w:pPr>
              <w:rPr>
                <w:rFonts w:hAnsi="宋体"/>
                <w:color w:val="auto"/>
              </w:rPr>
            </w:pPr>
            <w:r>
              <w:rPr>
                <w:rFonts w:hint="eastAsia" w:hAnsi="宋体"/>
                <w:color w:val="auto"/>
              </w:rPr>
              <w:t>投标人名称</w:t>
            </w:r>
          </w:p>
        </w:tc>
        <w:tc>
          <w:tcPr>
            <w:tcW w:w="7343" w:type="dxa"/>
            <w:gridSpan w:val="7"/>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843" w:type="dxa"/>
            <w:noWrap w:val="0"/>
            <w:vAlign w:val="center"/>
          </w:tcPr>
          <w:p>
            <w:pPr>
              <w:rPr>
                <w:rFonts w:hAnsi="宋体"/>
                <w:color w:val="auto"/>
              </w:rPr>
            </w:pPr>
            <w:r>
              <w:rPr>
                <w:rFonts w:hint="eastAsia" w:hAnsi="宋体"/>
                <w:color w:val="auto"/>
              </w:rPr>
              <w:t>注册地址</w:t>
            </w:r>
          </w:p>
        </w:tc>
        <w:tc>
          <w:tcPr>
            <w:tcW w:w="3402" w:type="dxa"/>
            <w:gridSpan w:val="3"/>
            <w:noWrap w:val="0"/>
            <w:vAlign w:val="center"/>
          </w:tcPr>
          <w:p>
            <w:pPr>
              <w:rPr>
                <w:rFonts w:hAnsi="宋体"/>
                <w:color w:val="auto"/>
              </w:rPr>
            </w:pPr>
          </w:p>
        </w:tc>
        <w:tc>
          <w:tcPr>
            <w:tcW w:w="1389" w:type="dxa"/>
            <w:noWrap w:val="0"/>
            <w:vAlign w:val="center"/>
          </w:tcPr>
          <w:p>
            <w:pPr>
              <w:rPr>
                <w:rFonts w:hAnsi="宋体"/>
                <w:color w:val="auto"/>
              </w:rPr>
            </w:pPr>
            <w:r>
              <w:rPr>
                <w:rFonts w:hint="eastAsia" w:hAnsi="宋体"/>
                <w:color w:val="auto"/>
              </w:rPr>
              <w:t>邮政编码</w:t>
            </w:r>
          </w:p>
        </w:tc>
        <w:tc>
          <w:tcPr>
            <w:tcW w:w="2552" w:type="dxa"/>
            <w:gridSpan w:val="3"/>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843" w:type="dxa"/>
            <w:vMerge w:val="restart"/>
            <w:noWrap w:val="0"/>
            <w:vAlign w:val="center"/>
          </w:tcPr>
          <w:p>
            <w:pPr>
              <w:rPr>
                <w:rFonts w:hAnsi="宋体"/>
                <w:color w:val="auto"/>
              </w:rPr>
            </w:pPr>
            <w:r>
              <w:rPr>
                <w:rFonts w:hint="eastAsia" w:hAnsi="宋体"/>
                <w:color w:val="auto"/>
              </w:rPr>
              <w:t>联系方式</w:t>
            </w:r>
          </w:p>
        </w:tc>
        <w:tc>
          <w:tcPr>
            <w:tcW w:w="993" w:type="dxa"/>
            <w:noWrap w:val="0"/>
            <w:vAlign w:val="center"/>
          </w:tcPr>
          <w:p>
            <w:pPr>
              <w:rPr>
                <w:rFonts w:hAnsi="宋体"/>
                <w:color w:val="auto"/>
              </w:rPr>
            </w:pPr>
            <w:r>
              <w:rPr>
                <w:rFonts w:hint="eastAsia" w:hAnsi="宋体"/>
                <w:color w:val="auto"/>
              </w:rPr>
              <w:t>联系人</w:t>
            </w:r>
          </w:p>
        </w:tc>
        <w:tc>
          <w:tcPr>
            <w:tcW w:w="2409" w:type="dxa"/>
            <w:gridSpan w:val="2"/>
            <w:noWrap w:val="0"/>
            <w:vAlign w:val="center"/>
          </w:tcPr>
          <w:p>
            <w:pPr>
              <w:rPr>
                <w:rFonts w:hAnsi="宋体"/>
                <w:color w:val="auto"/>
              </w:rPr>
            </w:pPr>
          </w:p>
        </w:tc>
        <w:tc>
          <w:tcPr>
            <w:tcW w:w="1389" w:type="dxa"/>
            <w:noWrap w:val="0"/>
            <w:vAlign w:val="center"/>
          </w:tcPr>
          <w:p>
            <w:pPr>
              <w:rPr>
                <w:rFonts w:hAnsi="宋体"/>
                <w:color w:val="auto"/>
              </w:rPr>
            </w:pPr>
            <w:r>
              <w:rPr>
                <w:rFonts w:hint="eastAsia" w:hAnsi="宋体"/>
                <w:color w:val="auto"/>
              </w:rPr>
              <w:t>电话</w:t>
            </w:r>
          </w:p>
        </w:tc>
        <w:tc>
          <w:tcPr>
            <w:tcW w:w="2552" w:type="dxa"/>
            <w:gridSpan w:val="3"/>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43" w:type="dxa"/>
            <w:vMerge w:val="continue"/>
            <w:noWrap w:val="0"/>
            <w:vAlign w:val="center"/>
          </w:tcPr>
          <w:p>
            <w:pPr>
              <w:rPr>
                <w:rFonts w:hAnsi="宋体"/>
                <w:color w:val="auto"/>
              </w:rPr>
            </w:pPr>
          </w:p>
        </w:tc>
        <w:tc>
          <w:tcPr>
            <w:tcW w:w="993" w:type="dxa"/>
            <w:noWrap w:val="0"/>
            <w:vAlign w:val="center"/>
          </w:tcPr>
          <w:p>
            <w:pPr>
              <w:rPr>
                <w:rFonts w:hAnsi="宋体"/>
                <w:color w:val="auto"/>
              </w:rPr>
            </w:pPr>
            <w:r>
              <w:rPr>
                <w:rFonts w:hint="eastAsia" w:hAnsi="宋体"/>
                <w:color w:val="auto"/>
              </w:rPr>
              <w:t>传真</w:t>
            </w:r>
          </w:p>
        </w:tc>
        <w:tc>
          <w:tcPr>
            <w:tcW w:w="2409" w:type="dxa"/>
            <w:gridSpan w:val="2"/>
            <w:noWrap w:val="0"/>
            <w:vAlign w:val="center"/>
          </w:tcPr>
          <w:p>
            <w:pPr>
              <w:rPr>
                <w:rFonts w:hAnsi="宋体"/>
                <w:color w:val="auto"/>
              </w:rPr>
            </w:pPr>
          </w:p>
        </w:tc>
        <w:tc>
          <w:tcPr>
            <w:tcW w:w="1389" w:type="dxa"/>
            <w:noWrap w:val="0"/>
            <w:vAlign w:val="center"/>
          </w:tcPr>
          <w:p>
            <w:pPr>
              <w:rPr>
                <w:rFonts w:hAnsi="宋体"/>
                <w:color w:val="auto"/>
              </w:rPr>
            </w:pPr>
            <w:r>
              <w:rPr>
                <w:rFonts w:hint="eastAsia" w:hAnsi="宋体"/>
                <w:color w:val="auto"/>
              </w:rPr>
              <w:t>网址</w:t>
            </w:r>
          </w:p>
        </w:tc>
        <w:tc>
          <w:tcPr>
            <w:tcW w:w="2552" w:type="dxa"/>
            <w:gridSpan w:val="3"/>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43" w:type="dxa"/>
            <w:noWrap w:val="0"/>
            <w:vAlign w:val="center"/>
          </w:tcPr>
          <w:p>
            <w:pPr>
              <w:rPr>
                <w:rFonts w:hAnsi="宋体"/>
                <w:color w:val="auto"/>
              </w:rPr>
            </w:pPr>
            <w:r>
              <w:rPr>
                <w:rFonts w:hint="eastAsia" w:hAnsi="宋体"/>
                <w:color w:val="auto"/>
              </w:rPr>
              <w:t>组织结构</w:t>
            </w:r>
          </w:p>
        </w:tc>
        <w:tc>
          <w:tcPr>
            <w:tcW w:w="7343" w:type="dxa"/>
            <w:gridSpan w:val="7"/>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843" w:type="dxa"/>
            <w:noWrap w:val="0"/>
            <w:vAlign w:val="center"/>
          </w:tcPr>
          <w:p>
            <w:pPr>
              <w:rPr>
                <w:rFonts w:hAnsi="宋体"/>
                <w:color w:val="auto"/>
              </w:rPr>
            </w:pPr>
            <w:r>
              <w:rPr>
                <w:rFonts w:hint="eastAsia" w:hAnsi="宋体"/>
                <w:color w:val="auto"/>
              </w:rPr>
              <w:t>法定代表人</w:t>
            </w:r>
          </w:p>
        </w:tc>
        <w:tc>
          <w:tcPr>
            <w:tcW w:w="993" w:type="dxa"/>
            <w:noWrap w:val="0"/>
            <w:vAlign w:val="center"/>
          </w:tcPr>
          <w:p>
            <w:pPr>
              <w:rPr>
                <w:rFonts w:hAnsi="宋体"/>
                <w:color w:val="auto"/>
              </w:rPr>
            </w:pPr>
            <w:r>
              <w:rPr>
                <w:rFonts w:hint="eastAsia" w:hAnsi="宋体"/>
                <w:color w:val="auto"/>
              </w:rPr>
              <w:t>姓名</w:t>
            </w:r>
          </w:p>
        </w:tc>
        <w:tc>
          <w:tcPr>
            <w:tcW w:w="1134" w:type="dxa"/>
            <w:noWrap w:val="0"/>
            <w:vAlign w:val="center"/>
          </w:tcPr>
          <w:p>
            <w:pPr>
              <w:rPr>
                <w:rFonts w:hAnsi="宋体"/>
                <w:color w:val="auto"/>
              </w:rPr>
            </w:pPr>
          </w:p>
        </w:tc>
        <w:tc>
          <w:tcPr>
            <w:tcW w:w="1275" w:type="dxa"/>
            <w:noWrap w:val="0"/>
            <w:vAlign w:val="center"/>
          </w:tcPr>
          <w:p>
            <w:pPr>
              <w:rPr>
                <w:rFonts w:hAnsi="宋体"/>
                <w:color w:val="auto"/>
              </w:rPr>
            </w:pPr>
            <w:r>
              <w:rPr>
                <w:rFonts w:hint="eastAsia" w:hAnsi="宋体"/>
                <w:color w:val="auto"/>
              </w:rPr>
              <w:t>技术职称</w:t>
            </w:r>
          </w:p>
        </w:tc>
        <w:tc>
          <w:tcPr>
            <w:tcW w:w="1562" w:type="dxa"/>
            <w:gridSpan w:val="2"/>
            <w:noWrap w:val="0"/>
            <w:vAlign w:val="center"/>
          </w:tcPr>
          <w:p>
            <w:pPr>
              <w:rPr>
                <w:rFonts w:hAnsi="宋体"/>
                <w:color w:val="auto"/>
              </w:rPr>
            </w:pPr>
          </w:p>
        </w:tc>
        <w:tc>
          <w:tcPr>
            <w:tcW w:w="1038" w:type="dxa"/>
            <w:noWrap w:val="0"/>
            <w:vAlign w:val="center"/>
          </w:tcPr>
          <w:p>
            <w:pPr>
              <w:rPr>
                <w:rFonts w:hAnsi="宋体"/>
                <w:color w:val="auto"/>
              </w:rPr>
            </w:pPr>
            <w:r>
              <w:rPr>
                <w:rFonts w:hint="eastAsia" w:hAnsi="宋体"/>
                <w:color w:val="auto"/>
              </w:rPr>
              <w:t>电话</w:t>
            </w:r>
          </w:p>
        </w:tc>
        <w:tc>
          <w:tcPr>
            <w:tcW w:w="1341" w:type="dxa"/>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843" w:type="dxa"/>
            <w:noWrap w:val="0"/>
            <w:vAlign w:val="center"/>
          </w:tcPr>
          <w:p>
            <w:pPr>
              <w:rPr>
                <w:rFonts w:hAnsi="宋体"/>
                <w:color w:val="auto"/>
              </w:rPr>
            </w:pPr>
            <w:r>
              <w:rPr>
                <w:rFonts w:hint="eastAsia" w:hAnsi="宋体"/>
                <w:color w:val="auto"/>
              </w:rPr>
              <w:t>技术负责人</w:t>
            </w:r>
          </w:p>
        </w:tc>
        <w:tc>
          <w:tcPr>
            <w:tcW w:w="993" w:type="dxa"/>
            <w:noWrap w:val="0"/>
            <w:vAlign w:val="center"/>
          </w:tcPr>
          <w:p>
            <w:pPr>
              <w:rPr>
                <w:rFonts w:hAnsi="宋体"/>
                <w:color w:val="auto"/>
              </w:rPr>
            </w:pPr>
            <w:r>
              <w:rPr>
                <w:rFonts w:hint="eastAsia" w:hAnsi="宋体"/>
                <w:color w:val="auto"/>
              </w:rPr>
              <w:t>姓名</w:t>
            </w:r>
          </w:p>
        </w:tc>
        <w:tc>
          <w:tcPr>
            <w:tcW w:w="1134" w:type="dxa"/>
            <w:noWrap w:val="0"/>
            <w:vAlign w:val="center"/>
          </w:tcPr>
          <w:p>
            <w:pPr>
              <w:rPr>
                <w:rFonts w:hAnsi="宋体"/>
                <w:color w:val="auto"/>
              </w:rPr>
            </w:pPr>
          </w:p>
        </w:tc>
        <w:tc>
          <w:tcPr>
            <w:tcW w:w="1275" w:type="dxa"/>
            <w:noWrap w:val="0"/>
            <w:vAlign w:val="center"/>
          </w:tcPr>
          <w:p>
            <w:pPr>
              <w:rPr>
                <w:rFonts w:hAnsi="宋体"/>
                <w:color w:val="auto"/>
              </w:rPr>
            </w:pPr>
            <w:r>
              <w:rPr>
                <w:rFonts w:hint="eastAsia" w:hAnsi="宋体"/>
                <w:color w:val="auto"/>
              </w:rPr>
              <w:t>技术职称</w:t>
            </w:r>
          </w:p>
        </w:tc>
        <w:tc>
          <w:tcPr>
            <w:tcW w:w="1562" w:type="dxa"/>
            <w:gridSpan w:val="2"/>
            <w:noWrap w:val="0"/>
            <w:vAlign w:val="center"/>
          </w:tcPr>
          <w:p>
            <w:pPr>
              <w:rPr>
                <w:rFonts w:hAnsi="宋体"/>
                <w:color w:val="auto"/>
              </w:rPr>
            </w:pPr>
          </w:p>
        </w:tc>
        <w:tc>
          <w:tcPr>
            <w:tcW w:w="1038" w:type="dxa"/>
            <w:noWrap w:val="0"/>
            <w:vAlign w:val="center"/>
          </w:tcPr>
          <w:p>
            <w:pPr>
              <w:rPr>
                <w:rFonts w:hAnsi="宋体"/>
                <w:color w:val="auto"/>
              </w:rPr>
            </w:pPr>
            <w:r>
              <w:rPr>
                <w:rFonts w:hint="eastAsia" w:hAnsi="宋体"/>
                <w:color w:val="auto"/>
              </w:rPr>
              <w:t>电话</w:t>
            </w:r>
          </w:p>
        </w:tc>
        <w:tc>
          <w:tcPr>
            <w:tcW w:w="1341" w:type="dxa"/>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843" w:type="dxa"/>
            <w:noWrap w:val="0"/>
            <w:vAlign w:val="center"/>
          </w:tcPr>
          <w:p>
            <w:pPr>
              <w:rPr>
                <w:rFonts w:hAnsi="宋体"/>
                <w:color w:val="auto"/>
              </w:rPr>
            </w:pPr>
            <w:r>
              <w:rPr>
                <w:rFonts w:hint="eastAsia" w:hAnsi="宋体"/>
                <w:color w:val="auto"/>
              </w:rPr>
              <w:t>成立时间</w:t>
            </w:r>
          </w:p>
        </w:tc>
        <w:tc>
          <w:tcPr>
            <w:tcW w:w="2127" w:type="dxa"/>
            <w:gridSpan w:val="2"/>
            <w:noWrap w:val="0"/>
            <w:vAlign w:val="center"/>
          </w:tcPr>
          <w:p>
            <w:pPr>
              <w:rPr>
                <w:rFonts w:hAnsi="宋体"/>
                <w:color w:val="auto"/>
              </w:rPr>
            </w:pPr>
          </w:p>
        </w:tc>
        <w:tc>
          <w:tcPr>
            <w:tcW w:w="5216" w:type="dxa"/>
            <w:gridSpan w:val="5"/>
            <w:noWrap w:val="0"/>
            <w:vAlign w:val="center"/>
          </w:tcPr>
          <w:p>
            <w:pPr>
              <w:rPr>
                <w:rFonts w:hAnsi="宋体"/>
                <w:color w:val="auto"/>
              </w:rPr>
            </w:pPr>
            <w:r>
              <w:rPr>
                <w:rFonts w:hint="eastAsia" w:hAnsi="宋体"/>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843" w:type="dxa"/>
            <w:noWrap w:val="0"/>
            <w:vAlign w:val="center"/>
          </w:tcPr>
          <w:p>
            <w:pPr>
              <w:rPr>
                <w:rFonts w:hAnsi="宋体"/>
                <w:color w:val="auto"/>
              </w:rPr>
            </w:pPr>
            <w:r>
              <w:rPr>
                <w:rFonts w:hint="eastAsia" w:hAnsi="宋体"/>
                <w:color w:val="auto"/>
              </w:rPr>
              <w:t>企业资质等级</w:t>
            </w:r>
          </w:p>
        </w:tc>
        <w:tc>
          <w:tcPr>
            <w:tcW w:w="2127" w:type="dxa"/>
            <w:gridSpan w:val="2"/>
            <w:noWrap w:val="0"/>
            <w:vAlign w:val="center"/>
          </w:tcPr>
          <w:p>
            <w:pPr>
              <w:rPr>
                <w:rFonts w:hAnsi="宋体"/>
                <w:color w:val="auto"/>
              </w:rPr>
            </w:pPr>
          </w:p>
        </w:tc>
        <w:tc>
          <w:tcPr>
            <w:tcW w:w="1275" w:type="dxa"/>
            <w:vMerge w:val="restart"/>
            <w:noWrap w:val="0"/>
            <w:vAlign w:val="center"/>
          </w:tcPr>
          <w:p>
            <w:pPr>
              <w:rPr>
                <w:rFonts w:hAnsi="宋体"/>
                <w:color w:val="auto"/>
              </w:rPr>
            </w:pPr>
            <w:r>
              <w:rPr>
                <w:rFonts w:hint="eastAsia" w:hAnsi="宋体"/>
                <w:color w:val="auto"/>
              </w:rPr>
              <w:t>其中</w:t>
            </w:r>
          </w:p>
        </w:tc>
        <w:tc>
          <w:tcPr>
            <w:tcW w:w="1562" w:type="dxa"/>
            <w:gridSpan w:val="2"/>
            <w:noWrap w:val="0"/>
            <w:vAlign w:val="center"/>
          </w:tcPr>
          <w:p>
            <w:pPr>
              <w:rPr>
                <w:rFonts w:hAnsi="宋体"/>
                <w:color w:val="auto"/>
              </w:rPr>
            </w:pPr>
            <w:r>
              <w:rPr>
                <w:rFonts w:hint="eastAsia" w:hAnsi="宋体"/>
                <w:color w:val="auto"/>
              </w:rPr>
              <w:t>项目负责人</w:t>
            </w:r>
          </w:p>
        </w:tc>
        <w:tc>
          <w:tcPr>
            <w:tcW w:w="2379" w:type="dxa"/>
            <w:gridSpan w:val="2"/>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43" w:type="dxa"/>
            <w:noWrap w:val="0"/>
            <w:vAlign w:val="center"/>
          </w:tcPr>
          <w:p>
            <w:pPr>
              <w:rPr>
                <w:rFonts w:hAnsi="宋体"/>
                <w:color w:val="auto"/>
              </w:rPr>
            </w:pPr>
            <w:r>
              <w:rPr>
                <w:rFonts w:hint="eastAsia" w:hAnsi="宋体"/>
                <w:color w:val="auto"/>
              </w:rPr>
              <w:t>营业执照号</w:t>
            </w:r>
          </w:p>
        </w:tc>
        <w:tc>
          <w:tcPr>
            <w:tcW w:w="2127" w:type="dxa"/>
            <w:gridSpan w:val="2"/>
            <w:noWrap w:val="0"/>
            <w:vAlign w:val="center"/>
          </w:tcPr>
          <w:p>
            <w:pPr>
              <w:rPr>
                <w:rFonts w:hAnsi="宋体"/>
                <w:color w:val="auto"/>
              </w:rPr>
            </w:pPr>
          </w:p>
        </w:tc>
        <w:tc>
          <w:tcPr>
            <w:tcW w:w="1275" w:type="dxa"/>
            <w:vMerge w:val="continue"/>
            <w:noWrap w:val="0"/>
            <w:vAlign w:val="center"/>
          </w:tcPr>
          <w:p>
            <w:pPr>
              <w:rPr>
                <w:rFonts w:hAnsi="宋体"/>
                <w:color w:val="auto"/>
              </w:rPr>
            </w:pPr>
          </w:p>
        </w:tc>
        <w:tc>
          <w:tcPr>
            <w:tcW w:w="1562" w:type="dxa"/>
            <w:gridSpan w:val="2"/>
            <w:noWrap w:val="0"/>
            <w:vAlign w:val="center"/>
          </w:tcPr>
          <w:p>
            <w:pPr>
              <w:rPr>
                <w:rFonts w:hAnsi="宋体"/>
                <w:color w:val="auto"/>
              </w:rPr>
            </w:pPr>
            <w:r>
              <w:rPr>
                <w:rFonts w:hint="eastAsia" w:hAnsi="宋体"/>
                <w:color w:val="auto"/>
              </w:rPr>
              <w:t>高级职称人员</w:t>
            </w:r>
          </w:p>
        </w:tc>
        <w:tc>
          <w:tcPr>
            <w:tcW w:w="2379" w:type="dxa"/>
            <w:gridSpan w:val="2"/>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843" w:type="dxa"/>
            <w:noWrap w:val="0"/>
            <w:vAlign w:val="center"/>
          </w:tcPr>
          <w:p>
            <w:pPr>
              <w:rPr>
                <w:rFonts w:hAnsi="宋体"/>
                <w:color w:val="auto"/>
              </w:rPr>
            </w:pPr>
            <w:r>
              <w:rPr>
                <w:rFonts w:hint="eastAsia" w:hAnsi="宋体"/>
                <w:color w:val="auto"/>
              </w:rPr>
              <w:t>注册资金</w:t>
            </w:r>
          </w:p>
        </w:tc>
        <w:tc>
          <w:tcPr>
            <w:tcW w:w="2127" w:type="dxa"/>
            <w:gridSpan w:val="2"/>
            <w:noWrap w:val="0"/>
            <w:vAlign w:val="center"/>
          </w:tcPr>
          <w:p>
            <w:pPr>
              <w:rPr>
                <w:rFonts w:hAnsi="宋体"/>
                <w:color w:val="auto"/>
              </w:rPr>
            </w:pPr>
          </w:p>
        </w:tc>
        <w:tc>
          <w:tcPr>
            <w:tcW w:w="1275" w:type="dxa"/>
            <w:vMerge w:val="continue"/>
            <w:noWrap w:val="0"/>
            <w:vAlign w:val="center"/>
          </w:tcPr>
          <w:p>
            <w:pPr>
              <w:rPr>
                <w:rFonts w:hAnsi="宋体"/>
                <w:color w:val="auto"/>
              </w:rPr>
            </w:pPr>
          </w:p>
        </w:tc>
        <w:tc>
          <w:tcPr>
            <w:tcW w:w="1562" w:type="dxa"/>
            <w:gridSpan w:val="2"/>
            <w:noWrap w:val="0"/>
            <w:vAlign w:val="center"/>
          </w:tcPr>
          <w:p>
            <w:pPr>
              <w:rPr>
                <w:rFonts w:hAnsi="宋体"/>
                <w:color w:val="auto"/>
              </w:rPr>
            </w:pPr>
            <w:r>
              <w:rPr>
                <w:rFonts w:hint="eastAsia" w:hAnsi="宋体"/>
                <w:color w:val="auto"/>
              </w:rPr>
              <w:t>中级职称人员</w:t>
            </w:r>
          </w:p>
        </w:tc>
        <w:tc>
          <w:tcPr>
            <w:tcW w:w="2379" w:type="dxa"/>
            <w:gridSpan w:val="2"/>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trPr>
        <w:tc>
          <w:tcPr>
            <w:tcW w:w="1843" w:type="dxa"/>
            <w:noWrap w:val="0"/>
            <w:vAlign w:val="center"/>
          </w:tcPr>
          <w:p>
            <w:pPr>
              <w:rPr>
                <w:rFonts w:hAnsi="宋体"/>
                <w:color w:val="auto"/>
              </w:rPr>
            </w:pPr>
            <w:r>
              <w:rPr>
                <w:rFonts w:hint="eastAsia" w:hAnsi="宋体"/>
                <w:color w:val="auto"/>
              </w:rPr>
              <w:t>开户银行</w:t>
            </w:r>
          </w:p>
        </w:tc>
        <w:tc>
          <w:tcPr>
            <w:tcW w:w="2127" w:type="dxa"/>
            <w:gridSpan w:val="2"/>
            <w:noWrap w:val="0"/>
            <w:vAlign w:val="center"/>
          </w:tcPr>
          <w:p>
            <w:pPr>
              <w:rPr>
                <w:rFonts w:hAnsi="宋体"/>
                <w:color w:val="auto"/>
              </w:rPr>
            </w:pPr>
          </w:p>
        </w:tc>
        <w:tc>
          <w:tcPr>
            <w:tcW w:w="1275" w:type="dxa"/>
            <w:vMerge w:val="continue"/>
            <w:noWrap w:val="0"/>
            <w:vAlign w:val="center"/>
          </w:tcPr>
          <w:p>
            <w:pPr>
              <w:rPr>
                <w:rFonts w:hAnsi="宋体"/>
                <w:color w:val="auto"/>
              </w:rPr>
            </w:pPr>
          </w:p>
        </w:tc>
        <w:tc>
          <w:tcPr>
            <w:tcW w:w="1562" w:type="dxa"/>
            <w:gridSpan w:val="2"/>
            <w:noWrap w:val="0"/>
            <w:vAlign w:val="center"/>
          </w:tcPr>
          <w:p>
            <w:pPr>
              <w:rPr>
                <w:rFonts w:hAnsi="宋体"/>
                <w:color w:val="auto"/>
              </w:rPr>
            </w:pPr>
            <w:r>
              <w:rPr>
                <w:rFonts w:hint="eastAsia" w:hAnsi="宋体"/>
                <w:color w:val="auto"/>
              </w:rPr>
              <w:t>初级职称人员</w:t>
            </w:r>
          </w:p>
        </w:tc>
        <w:tc>
          <w:tcPr>
            <w:tcW w:w="2379" w:type="dxa"/>
            <w:gridSpan w:val="2"/>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1843" w:type="dxa"/>
            <w:noWrap w:val="0"/>
            <w:vAlign w:val="center"/>
          </w:tcPr>
          <w:p>
            <w:pPr>
              <w:rPr>
                <w:rFonts w:hAnsi="宋体"/>
                <w:color w:val="auto"/>
              </w:rPr>
            </w:pPr>
            <w:r>
              <w:rPr>
                <w:rFonts w:hint="eastAsia" w:hAnsi="宋体"/>
                <w:color w:val="auto"/>
              </w:rPr>
              <w:t>账号</w:t>
            </w:r>
          </w:p>
        </w:tc>
        <w:tc>
          <w:tcPr>
            <w:tcW w:w="2127" w:type="dxa"/>
            <w:gridSpan w:val="2"/>
            <w:noWrap w:val="0"/>
            <w:vAlign w:val="center"/>
          </w:tcPr>
          <w:p>
            <w:pPr>
              <w:rPr>
                <w:rFonts w:hAnsi="宋体"/>
                <w:color w:val="auto"/>
              </w:rPr>
            </w:pPr>
          </w:p>
        </w:tc>
        <w:tc>
          <w:tcPr>
            <w:tcW w:w="1275" w:type="dxa"/>
            <w:vMerge w:val="continue"/>
            <w:noWrap w:val="0"/>
            <w:vAlign w:val="center"/>
          </w:tcPr>
          <w:p>
            <w:pPr>
              <w:rPr>
                <w:rFonts w:hAnsi="宋体"/>
                <w:color w:val="auto"/>
              </w:rPr>
            </w:pPr>
          </w:p>
        </w:tc>
        <w:tc>
          <w:tcPr>
            <w:tcW w:w="1562" w:type="dxa"/>
            <w:gridSpan w:val="2"/>
            <w:noWrap w:val="0"/>
            <w:vAlign w:val="center"/>
          </w:tcPr>
          <w:p>
            <w:pPr>
              <w:rPr>
                <w:rFonts w:hAnsi="宋体"/>
                <w:color w:val="auto"/>
              </w:rPr>
            </w:pPr>
            <w:r>
              <w:rPr>
                <w:rFonts w:hint="eastAsia" w:hAnsi="宋体"/>
                <w:color w:val="auto"/>
              </w:rPr>
              <w:t>技工</w:t>
            </w:r>
          </w:p>
        </w:tc>
        <w:tc>
          <w:tcPr>
            <w:tcW w:w="2379" w:type="dxa"/>
            <w:gridSpan w:val="2"/>
            <w:noWrap w:val="0"/>
            <w:vAlign w:val="center"/>
          </w:tcPr>
          <w:p>
            <w:pPr>
              <w:rPr>
                <w:rFonts w:hAnsi="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trPr>
        <w:tc>
          <w:tcPr>
            <w:tcW w:w="1843" w:type="dxa"/>
            <w:noWrap w:val="0"/>
            <w:vAlign w:val="center"/>
          </w:tcPr>
          <w:p>
            <w:pPr>
              <w:rPr>
                <w:rFonts w:hAnsi="宋体"/>
                <w:color w:val="auto"/>
              </w:rPr>
            </w:pPr>
            <w:r>
              <w:rPr>
                <w:rFonts w:hint="eastAsia" w:hAnsi="宋体"/>
                <w:color w:val="auto"/>
              </w:rPr>
              <w:t>经营范围备注</w:t>
            </w:r>
          </w:p>
        </w:tc>
        <w:tc>
          <w:tcPr>
            <w:tcW w:w="7343" w:type="dxa"/>
            <w:gridSpan w:val="7"/>
            <w:noWrap w:val="0"/>
            <w:vAlign w:val="center"/>
          </w:tcPr>
          <w:p>
            <w:pPr>
              <w:ind w:firstLine="480" w:firstLineChars="200"/>
              <w:rPr>
                <w:rFonts w:hAnsi="宋体"/>
                <w:color w:val="auto"/>
              </w:rPr>
            </w:pPr>
          </w:p>
        </w:tc>
      </w:tr>
    </w:tbl>
    <w:p>
      <w:pPr>
        <w:rPr>
          <w:color w:val="auto"/>
        </w:rPr>
      </w:pPr>
    </w:p>
    <w:p>
      <w:pPr>
        <w:rPr>
          <w:color w:val="auto"/>
        </w:rPr>
      </w:pPr>
      <w:r>
        <w:rPr>
          <w:rFonts w:hint="eastAsia"/>
          <w:color w:val="auto"/>
        </w:rPr>
        <w:t>附营业执照、资质证书、认证体系证书等相关打分资料。</w:t>
      </w:r>
    </w:p>
    <w:p>
      <w:pPr>
        <w:widowControl/>
        <w:rPr>
          <w:color w:val="auto"/>
        </w:rPr>
      </w:pPr>
      <w:r>
        <w:rPr>
          <w:color w:val="auto"/>
        </w:rPr>
        <w:br w:type="page"/>
      </w:r>
    </w:p>
    <w:p>
      <w:pPr>
        <w:spacing w:line="360" w:lineRule="auto"/>
        <w:jc w:val="center"/>
        <w:rPr>
          <w:rFonts w:ascii="宋体" w:hAnsi="宋体" w:eastAsia="宋体" w:cs="宋体"/>
          <w:b/>
          <w:bCs/>
          <w:color w:val="auto"/>
          <w:szCs w:val="28"/>
        </w:rPr>
      </w:pPr>
      <w:r>
        <w:rPr>
          <w:rFonts w:hint="eastAsia" w:ascii="宋体" w:hAnsi="宋体" w:eastAsia="宋体" w:cs="宋体"/>
          <w:b/>
          <w:bCs/>
          <w:color w:val="auto"/>
          <w:szCs w:val="28"/>
        </w:rPr>
        <w:t>表</w:t>
      </w:r>
      <w:r>
        <w:rPr>
          <w:rFonts w:ascii="宋体" w:hAnsi="宋体" w:eastAsia="宋体" w:cs="宋体"/>
          <w:b/>
          <w:bCs/>
          <w:color w:val="auto"/>
          <w:szCs w:val="28"/>
        </w:rPr>
        <w:t xml:space="preserve">2  </w:t>
      </w:r>
      <w:r>
        <w:rPr>
          <w:rFonts w:hint="eastAsia" w:ascii="宋体" w:hAnsi="宋体" w:eastAsia="宋体" w:cs="宋体"/>
          <w:b/>
          <w:bCs/>
          <w:color w:val="auto"/>
          <w:szCs w:val="28"/>
        </w:rPr>
        <w:t>近年财务状况表</w:t>
      </w:r>
    </w:p>
    <w:p>
      <w:pPr>
        <w:pStyle w:val="2"/>
        <w:rPr>
          <w:rFonts w:eastAsia="宋体"/>
          <w:i/>
          <w:iCs/>
          <w:color w:val="auto"/>
        </w:rPr>
      </w:pPr>
      <w:r>
        <w:rPr>
          <w:rFonts w:hint="eastAsia" w:ascii="宋体" w:hAnsi="宋体" w:eastAsia="宋体" w:cs="宋体"/>
          <w:b/>
          <w:bCs/>
          <w:i/>
          <w:iCs/>
          <w:color w:val="auto"/>
          <w:szCs w:val="28"/>
        </w:rPr>
        <w:t>（格式招标人自拟或者有投标人自拟）</w:t>
      </w: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rPr>
          <w:rFonts w:ascii="等线" w:hAnsi="等线" w:eastAsia="等线"/>
          <w:color w:val="auto"/>
          <w:sz w:val="22"/>
          <w:szCs w:val="22"/>
        </w:rPr>
      </w:pPr>
    </w:p>
    <w:p>
      <w:pPr>
        <w:pStyle w:val="2"/>
        <w:rPr>
          <w:color w:val="auto"/>
        </w:rPr>
      </w:pPr>
    </w:p>
    <w:p>
      <w:pPr>
        <w:spacing w:line="360" w:lineRule="auto"/>
        <w:jc w:val="center"/>
        <w:rPr>
          <w:rFonts w:ascii="宋体" w:hAnsi="宋体" w:eastAsia="宋体" w:cs="宋体"/>
          <w:b/>
          <w:bCs/>
          <w:color w:val="auto"/>
          <w:szCs w:val="28"/>
        </w:rPr>
      </w:pPr>
      <w:r>
        <w:rPr>
          <w:rFonts w:hint="eastAsia" w:ascii="宋体" w:hAnsi="宋体" w:eastAsia="宋体" w:cs="宋体"/>
          <w:b/>
          <w:bCs/>
          <w:color w:val="auto"/>
          <w:szCs w:val="28"/>
        </w:rPr>
        <w:t>表</w:t>
      </w:r>
      <w:r>
        <w:rPr>
          <w:rFonts w:ascii="宋体" w:hAnsi="宋体" w:eastAsia="宋体" w:cs="宋体"/>
          <w:b/>
          <w:bCs/>
          <w:color w:val="auto"/>
          <w:szCs w:val="28"/>
        </w:rPr>
        <w:t xml:space="preserve">3  </w:t>
      </w:r>
      <w:r>
        <w:rPr>
          <w:rFonts w:hint="eastAsia" w:ascii="宋体" w:hAnsi="宋体" w:eastAsia="宋体" w:cs="宋体"/>
          <w:b/>
          <w:bCs/>
          <w:color w:val="auto"/>
          <w:szCs w:val="28"/>
        </w:rPr>
        <w:t>（一）业绩汇总表（评分业绩的汇总）</w:t>
      </w:r>
    </w:p>
    <w:tbl>
      <w:tblPr>
        <w:tblStyle w:val="40"/>
        <w:tblW w:w="9454" w:type="dxa"/>
        <w:tblInd w:w="-411"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28"/>
        <w:gridCol w:w="1843"/>
        <w:gridCol w:w="1417"/>
        <w:gridCol w:w="1276"/>
        <w:gridCol w:w="1745"/>
        <w:gridCol w:w="1255"/>
        <w:gridCol w:w="119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900" w:hRule="atLeast"/>
        </w:trPr>
        <w:tc>
          <w:tcPr>
            <w:tcW w:w="728" w:type="dxa"/>
            <w:tcBorders>
              <w:top w:val="single" w:color="000000" w:sz="12" w:space="0"/>
              <w:left w:val="single" w:color="000000" w:sz="12"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序号</w:t>
            </w:r>
          </w:p>
        </w:tc>
        <w:tc>
          <w:tcPr>
            <w:tcW w:w="1843" w:type="dxa"/>
            <w:tcBorders>
              <w:top w:val="single" w:color="000000" w:sz="12"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该业绩证明对象</w:t>
            </w:r>
          </w:p>
        </w:tc>
        <w:tc>
          <w:tcPr>
            <w:tcW w:w="1417" w:type="dxa"/>
            <w:tcBorders>
              <w:top w:val="single" w:color="000000" w:sz="12"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项目名称</w:t>
            </w:r>
          </w:p>
        </w:tc>
        <w:tc>
          <w:tcPr>
            <w:tcW w:w="1276" w:type="dxa"/>
            <w:tcBorders>
              <w:top w:val="single" w:color="000000" w:sz="12"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建设单位（项目业主）</w:t>
            </w:r>
          </w:p>
        </w:tc>
        <w:tc>
          <w:tcPr>
            <w:tcW w:w="1745" w:type="dxa"/>
            <w:tcBorders>
              <w:top w:val="single" w:color="000000" w:sz="12"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与评审有关的时间、规模、技术指标及其他要求</w:t>
            </w:r>
          </w:p>
        </w:tc>
        <w:tc>
          <w:tcPr>
            <w:tcW w:w="1255" w:type="dxa"/>
            <w:tcBorders>
              <w:top w:val="single" w:color="000000" w:sz="12"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提交证明材料内容</w:t>
            </w:r>
          </w:p>
        </w:tc>
        <w:tc>
          <w:tcPr>
            <w:tcW w:w="1190" w:type="dxa"/>
            <w:tcBorders>
              <w:top w:val="single" w:color="000000" w:sz="12" w:space="0"/>
              <w:left w:val="single" w:color="000000" w:sz="6" w:space="0"/>
              <w:bottom w:val="single" w:color="000000" w:sz="6" w:space="0"/>
              <w:right w:val="single" w:color="000000" w:sz="12" w:space="0"/>
            </w:tcBorders>
            <w:noWrap w:val="0"/>
            <w:vAlign w:val="center"/>
          </w:tcPr>
          <w:p>
            <w:pPr>
              <w:kinsoku w:val="0"/>
              <w:spacing w:line="320" w:lineRule="exact"/>
              <w:jc w:val="center"/>
              <w:rPr>
                <w:rFonts w:hAnsi="宋体"/>
                <w:color w:val="auto"/>
              </w:rPr>
            </w:pPr>
            <w:r>
              <w:rPr>
                <w:rFonts w:hint="eastAsia" w:hAnsi="宋体"/>
                <w:color w:val="auto"/>
              </w:rPr>
              <w:t>在投标文件的位置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72" w:hRule="atLeast"/>
        </w:trPr>
        <w:tc>
          <w:tcPr>
            <w:tcW w:w="728" w:type="dxa"/>
            <w:tcBorders>
              <w:top w:val="single" w:color="000000" w:sz="6" w:space="0"/>
              <w:left w:val="single" w:color="000000" w:sz="12"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Ansi="宋体"/>
                <w:color w:val="auto"/>
              </w:rPr>
              <w:t>1</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例如：企业名称或</w:t>
            </w:r>
            <w:r>
              <w:rPr>
                <w:rFonts w:hint="eastAsia" w:ascii="宋体" w:hAnsi="宋体"/>
                <w:color w:val="auto"/>
              </w:rPr>
              <w:t>项目负责人</w:t>
            </w:r>
            <w:r>
              <w:rPr>
                <w:rFonts w:hint="eastAsia" w:hAnsi="宋体"/>
                <w:color w:val="auto"/>
              </w:rPr>
              <w:t>或技术负责人名字等</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例如：</w:t>
            </w:r>
            <w:r>
              <w:rPr>
                <w:rFonts w:hAnsi="宋体"/>
                <w:color w:val="auto"/>
              </w:rPr>
              <w:t>XX</w:t>
            </w:r>
            <w:r>
              <w:rPr>
                <w:rFonts w:hint="eastAsia" w:hAnsi="宋体"/>
                <w:color w:val="auto"/>
              </w:rPr>
              <w:t>工程等</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例如：</w:t>
            </w:r>
            <w:r>
              <w:rPr>
                <w:rFonts w:hAnsi="宋体"/>
                <w:color w:val="auto"/>
              </w:rPr>
              <w:t>XX</w:t>
            </w:r>
            <w:r>
              <w:rPr>
                <w:rFonts w:hint="eastAsia" w:hAnsi="宋体"/>
                <w:color w:val="auto"/>
              </w:rPr>
              <w:t>公司或指挥部等</w:t>
            </w:r>
          </w:p>
        </w:tc>
        <w:tc>
          <w:tcPr>
            <w:tcW w:w="1745"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例如：</w:t>
            </w:r>
            <w:r>
              <w:rPr>
                <w:rFonts w:hAnsi="宋体"/>
                <w:color w:val="auto"/>
              </w:rPr>
              <w:t>X</w:t>
            </w:r>
            <w:r>
              <w:rPr>
                <w:rFonts w:hint="eastAsia" w:hAnsi="宋体"/>
                <w:color w:val="auto"/>
              </w:rPr>
              <w:t>年</w:t>
            </w:r>
            <w:r>
              <w:rPr>
                <w:rFonts w:hAnsi="宋体"/>
                <w:color w:val="auto"/>
              </w:rPr>
              <w:t>X</w:t>
            </w:r>
            <w:r>
              <w:rPr>
                <w:rFonts w:hint="eastAsia" w:hAnsi="宋体"/>
                <w:color w:val="auto"/>
              </w:rPr>
              <w:t>月</w:t>
            </w:r>
            <w:r>
              <w:rPr>
                <w:rFonts w:hAnsi="宋体"/>
                <w:color w:val="auto"/>
              </w:rPr>
              <w:t>X</w:t>
            </w:r>
            <w:r>
              <w:rPr>
                <w:rFonts w:hint="eastAsia" w:hAnsi="宋体"/>
                <w:color w:val="auto"/>
              </w:rPr>
              <w:t>日完成，长度或深度</w:t>
            </w:r>
            <w:r>
              <w:rPr>
                <w:rFonts w:hAnsi="宋体"/>
                <w:color w:val="auto"/>
              </w:rPr>
              <w:t>X</w:t>
            </w:r>
            <w:r>
              <w:rPr>
                <w:rFonts w:hint="eastAsia" w:hAnsi="宋体"/>
                <w:color w:val="auto"/>
              </w:rPr>
              <w:t>米等</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例如：施工合同或中标通知书等</w:t>
            </w:r>
          </w:p>
        </w:tc>
        <w:tc>
          <w:tcPr>
            <w:tcW w:w="1190" w:type="dxa"/>
            <w:tcBorders>
              <w:top w:val="single" w:color="000000" w:sz="6" w:space="0"/>
              <w:left w:val="single" w:color="000000" w:sz="6" w:space="0"/>
              <w:bottom w:val="single" w:color="000000" w:sz="6" w:space="0"/>
              <w:right w:val="single" w:color="000000" w:sz="12" w:space="0"/>
            </w:tcBorders>
            <w:noWrap w:val="0"/>
            <w:vAlign w:val="center"/>
          </w:tcPr>
          <w:p>
            <w:pPr>
              <w:kinsoku w:val="0"/>
              <w:spacing w:line="320" w:lineRule="exact"/>
              <w:jc w:val="center"/>
              <w:rPr>
                <w:rFonts w:hAnsi="宋体"/>
                <w:color w:val="auto"/>
              </w:rPr>
            </w:pPr>
            <w:r>
              <w:rPr>
                <w:rFonts w:hint="eastAsia" w:hAnsi="宋体"/>
                <w:color w:val="auto"/>
              </w:rPr>
              <w:t>例如：投标文件第</w:t>
            </w:r>
            <w:r>
              <w:rPr>
                <w:rFonts w:hAnsi="宋体"/>
                <w:color w:val="auto"/>
              </w:rPr>
              <w:t>X</w:t>
            </w:r>
            <w:r>
              <w:rPr>
                <w:rFonts w:hint="eastAsia" w:hAnsi="宋体"/>
                <w:color w:val="auto"/>
              </w:rPr>
              <w:t>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63" w:hRule="atLeast"/>
        </w:trPr>
        <w:tc>
          <w:tcPr>
            <w:tcW w:w="728" w:type="dxa"/>
            <w:tcBorders>
              <w:top w:val="single" w:color="000000" w:sz="6" w:space="0"/>
              <w:left w:val="single" w:color="000000" w:sz="12"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Ansi="宋体"/>
                <w:color w:val="auto"/>
              </w:rPr>
              <w:t>2</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r>
              <w:rPr>
                <w:rFonts w:hint="eastAsia" w:hAnsi="宋体"/>
                <w:color w:val="auto"/>
              </w:rPr>
              <w:t>……</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p>
        </w:tc>
        <w:tc>
          <w:tcPr>
            <w:tcW w:w="1745"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hAnsi="宋体"/>
                <w:color w:val="auto"/>
              </w:rPr>
            </w:pPr>
          </w:p>
        </w:tc>
        <w:tc>
          <w:tcPr>
            <w:tcW w:w="1190" w:type="dxa"/>
            <w:tcBorders>
              <w:top w:val="single" w:color="000000" w:sz="6" w:space="0"/>
              <w:left w:val="single" w:color="000000" w:sz="6" w:space="0"/>
              <w:bottom w:val="single" w:color="000000" w:sz="6" w:space="0"/>
              <w:right w:val="single" w:color="000000" w:sz="12" w:space="0"/>
            </w:tcBorders>
            <w:noWrap w:val="0"/>
            <w:vAlign w:val="center"/>
          </w:tcPr>
          <w:p>
            <w:pPr>
              <w:spacing w:line="320" w:lineRule="exact"/>
              <w:jc w:val="center"/>
              <w:rPr>
                <w:rFonts w:hAnsi="宋体"/>
                <w:color w:va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706" w:hRule="atLeast"/>
        </w:trPr>
        <w:tc>
          <w:tcPr>
            <w:tcW w:w="728" w:type="dxa"/>
            <w:tcBorders>
              <w:top w:val="single" w:color="000000" w:sz="6" w:space="0"/>
              <w:left w:val="single" w:color="000000" w:sz="12" w:space="0"/>
              <w:bottom w:val="single" w:color="000000" w:sz="12" w:space="0"/>
              <w:right w:val="single" w:color="000000" w:sz="6" w:space="0"/>
            </w:tcBorders>
            <w:noWrap w:val="0"/>
            <w:vAlign w:val="center"/>
          </w:tcPr>
          <w:p>
            <w:pPr>
              <w:spacing w:line="320" w:lineRule="exact"/>
              <w:jc w:val="center"/>
              <w:rPr>
                <w:rFonts w:hAnsi="宋体"/>
                <w:color w:val="auto"/>
              </w:rPr>
            </w:pPr>
          </w:p>
        </w:tc>
        <w:tc>
          <w:tcPr>
            <w:tcW w:w="1843" w:type="dxa"/>
            <w:tcBorders>
              <w:top w:val="single" w:color="000000" w:sz="6" w:space="0"/>
              <w:left w:val="single" w:color="000000" w:sz="6" w:space="0"/>
              <w:bottom w:val="single" w:color="000000" w:sz="12" w:space="0"/>
              <w:right w:val="single" w:color="000000" w:sz="6" w:space="0"/>
            </w:tcBorders>
            <w:noWrap w:val="0"/>
            <w:vAlign w:val="center"/>
          </w:tcPr>
          <w:p>
            <w:pPr>
              <w:kinsoku w:val="0"/>
              <w:spacing w:line="320" w:lineRule="exact"/>
              <w:jc w:val="center"/>
              <w:rPr>
                <w:rFonts w:hAnsi="宋体"/>
                <w:color w:val="auto"/>
              </w:rPr>
            </w:pPr>
          </w:p>
        </w:tc>
        <w:tc>
          <w:tcPr>
            <w:tcW w:w="1417" w:type="dxa"/>
            <w:tcBorders>
              <w:top w:val="single" w:color="000000" w:sz="6" w:space="0"/>
              <w:left w:val="single" w:color="000000" w:sz="6" w:space="0"/>
              <w:bottom w:val="single" w:color="000000" w:sz="12" w:space="0"/>
              <w:right w:val="single" w:color="000000" w:sz="6" w:space="0"/>
            </w:tcBorders>
            <w:noWrap w:val="0"/>
            <w:vAlign w:val="center"/>
          </w:tcPr>
          <w:p>
            <w:pPr>
              <w:kinsoku w:val="0"/>
              <w:spacing w:line="320" w:lineRule="exact"/>
              <w:jc w:val="center"/>
              <w:rPr>
                <w:rFonts w:hAnsi="宋体"/>
                <w:color w:val="auto"/>
              </w:rPr>
            </w:pPr>
          </w:p>
        </w:tc>
        <w:tc>
          <w:tcPr>
            <w:tcW w:w="1276" w:type="dxa"/>
            <w:tcBorders>
              <w:top w:val="single" w:color="000000" w:sz="6" w:space="0"/>
              <w:left w:val="single" w:color="000000" w:sz="6" w:space="0"/>
              <w:bottom w:val="single" w:color="000000" w:sz="12" w:space="0"/>
              <w:right w:val="single" w:color="000000" w:sz="6" w:space="0"/>
            </w:tcBorders>
            <w:noWrap w:val="0"/>
            <w:vAlign w:val="center"/>
          </w:tcPr>
          <w:p>
            <w:pPr>
              <w:spacing w:line="320" w:lineRule="exact"/>
              <w:jc w:val="center"/>
              <w:rPr>
                <w:rFonts w:hAnsi="宋体"/>
                <w:color w:val="auto"/>
              </w:rPr>
            </w:pPr>
          </w:p>
        </w:tc>
        <w:tc>
          <w:tcPr>
            <w:tcW w:w="1745" w:type="dxa"/>
            <w:tcBorders>
              <w:top w:val="single" w:color="000000" w:sz="6" w:space="0"/>
              <w:left w:val="single" w:color="000000" w:sz="6" w:space="0"/>
              <w:bottom w:val="single" w:color="000000" w:sz="12" w:space="0"/>
              <w:right w:val="single" w:color="000000" w:sz="6" w:space="0"/>
            </w:tcBorders>
            <w:noWrap w:val="0"/>
            <w:vAlign w:val="center"/>
          </w:tcPr>
          <w:p>
            <w:pPr>
              <w:spacing w:line="320" w:lineRule="exact"/>
              <w:jc w:val="center"/>
              <w:rPr>
                <w:rFonts w:hAnsi="宋体"/>
                <w:color w:val="auto"/>
              </w:rPr>
            </w:pPr>
          </w:p>
        </w:tc>
        <w:tc>
          <w:tcPr>
            <w:tcW w:w="1255" w:type="dxa"/>
            <w:tcBorders>
              <w:top w:val="single" w:color="000000" w:sz="6" w:space="0"/>
              <w:left w:val="single" w:color="000000" w:sz="6" w:space="0"/>
              <w:bottom w:val="single" w:color="000000" w:sz="12" w:space="0"/>
              <w:right w:val="single" w:color="000000" w:sz="6" w:space="0"/>
            </w:tcBorders>
            <w:noWrap w:val="0"/>
            <w:vAlign w:val="center"/>
          </w:tcPr>
          <w:p>
            <w:pPr>
              <w:spacing w:line="320" w:lineRule="exact"/>
              <w:jc w:val="center"/>
              <w:rPr>
                <w:rFonts w:hAnsi="宋体"/>
                <w:color w:val="auto"/>
              </w:rPr>
            </w:pPr>
          </w:p>
        </w:tc>
        <w:tc>
          <w:tcPr>
            <w:tcW w:w="1190" w:type="dxa"/>
            <w:tcBorders>
              <w:top w:val="single" w:color="000000" w:sz="6" w:space="0"/>
              <w:left w:val="single" w:color="000000" w:sz="6" w:space="0"/>
              <w:bottom w:val="single" w:color="000000" w:sz="12" w:space="0"/>
              <w:right w:val="single" w:color="000000" w:sz="12" w:space="0"/>
            </w:tcBorders>
            <w:noWrap w:val="0"/>
            <w:vAlign w:val="center"/>
          </w:tcPr>
          <w:p>
            <w:pPr>
              <w:spacing w:line="320" w:lineRule="exact"/>
              <w:jc w:val="center"/>
              <w:rPr>
                <w:rFonts w:hAnsi="宋体"/>
                <w:color w:val="auto"/>
              </w:rPr>
            </w:pPr>
          </w:p>
        </w:tc>
      </w:tr>
    </w:tbl>
    <w:p>
      <w:pPr>
        <w:tabs>
          <w:tab w:val="left" w:pos="567"/>
          <w:tab w:val="left" w:pos="1146"/>
        </w:tabs>
        <w:autoSpaceDE/>
        <w:autoSpaceDN/>
        <w:adjustRightInd/>
        <w:spacing w:after="360" w:afterLines="150"/>
        <w:ind w:left="1146" w:hanging="1347"/>
        <w:jc w:val="both"/>
        <w:rPr>
          <w:color w:val="auto"/>
        </w:rPr>
      </w:pPr>
      <w:r>
        <w:rPr>
          <w:rFonts w:hAnsi="宋体"/>
          <w:color w:val="auto"/>
          <w:szCs w:val="21"/>
        </w:rPr>
        <w:t xml:space="preserve">  </w:t>
      </w:r>
      <w:r>
        <w:rPr>
          <w:rFonts w:hint="eastAsia" w:hAnsi="宋体"/>
          <w:color w:val="auto"/>
          <w:szCs w:val="21"/>
        </w:rPr>
        <w:t>备注：不录入此表的不作为评审依据。</w:t>
      </w:r>
    </w:p>
    <w:p>
      <w:pPr>
        <w:widowControl/>
        <w:autoSpaceDE/>
        <w:autoSpaceDN/>
        <w:adjustRightInd/>
        <w:rPr>
          <w:rFonts w:hAnsi="宋体" w:cs="宋体"/>
          <w:b/>
          <w:bCs/>
          <w:color w:val="auto"/>
          <w:sz w:val="44"/>
          <w:szCs w:val="44"/>
        </w:rPr>
      </w:pPr>
      <w:r>
        <w:rPr>
          <w:rFonts w:hAnsi="宋体" w:cs="宋体"/>
          <w:b/>
          <w:bCs/>
          <w:color w:val="auto"/>
          <w:sz w:val="44"/>
          <w:szCs w:val="44"/>
        </w:rPr>
        <w:br w:type="page"/>
      </w:r>
    </w:p>
    <w:p>
      <w:pPr>
        <w:tabs>
          <w:tab w:val="left" w:pos="567"/>
          <w:tab w:val="left" w:pos="1146"/>
        </w:tabs>
        <w:autoSpaceDE/>
        <w:autoSpaceDN/>
        <w:adjustRightInd/>
        <w:spacing w:after="360" w:afterLines="150"/>
        <w:jc w:val="center"/>
        <w:rPr>
          <w:color w:val="auto"/>
          <w:sz w:val="36"/>
          <w:szCs w:val="36"/>
        </w:rPr>
      </w:pPr>
      <w:r>
        <w:rPr>
          <w:rFonts w:hint="eastAsia" w:hAnsi="宋体" w:cs="宋体"/>
          <w:b/>
          <w:bCs/>
          <w:color w:val="auto"/>
          <w:sz w:val="36"/>
          <w:szCs w:val="36"/>
        </w:rPr>
        <w:t>投标承诺书</w:t>
      </w:r>
    </w:p>
    <w:p>
      <w:pPr>
        <w:pStyle w:val="25"/>
        <w:spacing w:line="440" w:lineRule="exact"/>
        <w:ind w:firstLine="240" w:firstLineChars="100"/>
        <w:rPr>
          <w:rFonts w:hAnsi="宋体"/>
          <w:color w:val="auto"/>
          <w:sz w:val="24"/>
          <w:szCs w:val="24"/>
        </w:rPr>
      </w:pPr>
      <w:r>
        <w:rPr>
          <w:rFonts w:hint="eastAsia" w:hAnsi="宋体"/>
          <w:color w:val="auto"/>
          <w:sz w:val="24"/>
          <w:szCs w:val="24"/>
          <w:u w:val="single"/>
        </w:rPr>
        <w:t>（招标人名称）</w:t>
      </w:r>
      <w:r>
        <w:rPr>
          <w:rFonts w:hAnsi="宋体"/>
          <w:color w:val="auto"/>
          <w:sz w:val="24"/>
          <w:szCs w:val="24"/>
          <w:u w:val="single"/>
        </w:rPr>
        <w:t xml:space="preserve">                    </w:t>
      </w:r>
      <w:r>
        <w:rPr>
          <w:rFonts w:hint="eastAsia" w:hAnsi="宋体"/>
          <w:color w:val="auto"/>
          <w:sz w:val="24"/>
          <w:szCs w:val="24"/>
        </w:rPr>
        <w:t>：</w:t>
      </w:r>
    </w:p>
    <w:p>
      <w:pPr>
        <w:pStyle w:val="25"/>
        <w:spacing w:line="440" w:lineRule="exact"/>
        <w:ind w:firstLine="480" w:firstLineChars="200"/>
        <w:rPr>
          <w:rFonts w:hAnsi="宋体"/>
          <w:color w:val="auto"/>
          <w:sz w:val="24"/>
          <w:szCs w:val="24"/>
        </w:rPr>
      </w:pPr>
      <w:r>
        <w:rPr>
          <w:rFonts w:hint="eastAsia" w:hAnsi="宋体"/>
          <w:color w:val="auto"/>
          <w:sz w:val="24"/>
          <w:szCs w:val="24"/>
        </w:rPr>
        <w:t>本公司已详细阅读</w:t>
      </w:r>
      <w:r>
        <w:rPr>
          <w:rFonts w:hAnsi="宋体"/>
          <w:color w:val="auto"/>
          <w:sz w:val="24"/>
          <w:szCs w:val="24"/>
          <w:u w:val="single"/>
        </w:rPr>
        <w:t xml:space="preserve">    （工程名称及招标编号）   </w:t>
      </w:r>
      <w:r>
        <w:rPr>
          <w:rFonts w:hint="eastAsia" w:hAnsi="宋体"/>
          <w:color w:val="auto"/>
          <w:sz w:val="24"/>
          <w:szCs w:val="24"/>
        </w:rPr>
        <w:t>招标文件，自觉遵守中华人民共和国、浙江省及当地有关招标投标的法律法规规定，自觉维护建筑市场正常秩序，现自愿就参加该工程投标有关事项郑重承诺如下：</w:t>
      </w:r>
    </w:p>
    <w:p>
      <w:pPr>
        <w:pStyle w:val="25"/>
        <w:spacing w:line="440" w:lineRule="exact"/>
        <w:ind w:firstLine="480" w:firstLineChars="200"/>
        <w:rPr>
          <w:rFonts w:hAnsi="宋体"/>
          <w:color w:val="auto"/>
          <w:sz w:val="24"/>
          <w:szCs w:val="24"/>
        </w:rPr>
      </w:pPr>
      <w:r>
        <w:rPr>
          <w:rFonts w:hAnsi="宋体"/>
          <w:color w:val="auto"/>
          <w:sz w:val="24"/>
          <w:szCs w:val="24"/>
        </w:rPr>
        <w:t>1.承诺投标文件无虚假、伪造的内容。若投标文件中存在虚假、伪造的内容，同意作无效投标处理</w:t>
      </w:r>
      <w:r>
        <w:rPr>
          <w:rFonts w:hint="eastAsia" w:hAnsi="宋体"/>
          <w:color w:val="auto"/>
          <w:sz w:val="24"/>
          <w:szCs w:val="24"/>
        </w:rPr>
        <w:t>，</w:t>
      </w:r>
      <w:r>
        <w:rPr>
          <w:rFonts w:hAnsi="宋体"/>
          <w:color w:val="auto"/>
          <w:sz w:val="24"/>
          <w:szCs w:val="24"/>
        </w:rPr>
        <w:t>投标保证金并</w:t>
      </w:r>
      <w:r>
        <w:rPr>
          <w:rFonts w:hint="eastAsia" w:hAnsi="宋体"/>
          <w:color w:val="auto"/>
          <w:sz w:val="24"/>
          <w:szCs w:val="24"/>
        </w:rPr>
        <w:t>不予退还；</w:t>
      </w:r>
      <w:r>
        <w:rPr>
          <w:rFonts w:hAnsi="宋体"/>
          <w:color w:val="auto"/>
          <w:sz w:val="24"/>
          <w:szCs w:val="24"/>
        </w:rPr>
        <w:t>若中标之后被查实弄虚作假，同意取消中标资格</w:t>
      </w:r>
      <w:r>
        <w:rPr>
          <w:rFonts w:hint="eastAsia" w:hAnsi="宋体"/>
          <w:color w:val="auto"/>
          <w:sz w:val="24"/>
          <w:szCs w:val="24"/>
        </w:rPr>
        <w:t>，</w:t>
      </w:r>
      <w:r>
        <w:rPr>
          <w:rFonts w:hAnsi="宋体"/>
          <w:color w:val="auto"/>
          <w:sz w:val="24"/>
          <w:szCs w:val="24"/>
        </w:rPr>
        <w:t>投标保证金、履约保证金并</w:t>
      </w:r>
      <w:r>
        <w:rPr>
          <w:rFonts w:hint="eastAsia" w:hAnsi="宋体"/>
          <w:color w:val="auto"/>
          <w:sz w:val="24"/>
          <w:szCs w:val="24"/>
        </w:rPr>
        <w:t>不予退还</w:t>
      </w:r>
      <w:r>
        <w:rPr>
          <w:rFonts w:hAnsi="宋体"/>
          <w:color w:val="auto"/>
          <w:sz w:val="24"/>
          <w:szCs w:val="24"/>
        </w:rPr>
        <w:t>；</w:t>
      </w:r>
    </w:p>
    <w:p>
      <w:pPr>
        <w:pStyle w:val="25"/>
        <w:spacing w:line="440" w:lineRule="exact"/>
        <w:ind w:firstLine="480" w:firstLineChars="200"/>
        <w:rPr>
          <w:rFonts w:hAnsi="宋体"/>
          <w:color w:val="auto"/>
          <w:sz w:val="24"/>
          <w:szCs w:val="24"/>
        </w:rPr>
      </w:pPr>
      <w:r>
        <w:rPr>
          <w:rFonts w:hAnsi="宋体"/>
          <w:color w:val="auto"/>
          <w:sz w:val="24"/>
          <w:szCs w:val="24"/>
        </w:rPr>
        <w:t>2.</w:t>
      </w:r>
      <w:r>
        <w:rPr>
          <w:rFonts w:hint="eastAsia" w:hAnsi="宋体"/>
          <w:color w:val="auto"/>
          <w:sz w:val="24"/>
          <w:szCs w:val="24"/>
        </w:rPr>
        <w:t>承诺无串通投标行为，若存在与其他投标人的投标文件存在投标文件两处及以上错误一致、内容多处雷同、电子检测码一致的情况，同意作无效投标处理，并接受有关行政监督部门的调查和处罚；</w:t>
      </w:r>
    </w:p>
    <w:p>
      <w:pPr>
        <w:pStyle w:val="25"/>
        <w:spacing w:line="440" w:lineRule="exact"/>
        <w:ind w:firstLine="480" w:firstLineChars="200"/>
        <w:rPr>
          <w:rFonts w:hAnsi="宋体"/>
          <w:color w:val="auto"/>
          <w:sz w:val="24"/>
          <w:szCs w:val="24"/>
        </w:rPr>
      </w:pPr>
      <w:r>
        <w:rPr>
          <w:rFonts w:hAnsi="宋体"/>
          <w:color w:val="auto"/>
          <w:sz w:val="24"/>
          <w:szCs w:val="24"/>
        </w:rPr>
        <w:t>3.承诺无恶意报价行为，若被认定存在严重哄抬标价或影响合同履行的异常低价竞标行为，同意作无效投标处理，并接受有关行政监督部门的调查和处罚；</w:t>
      </w:r>
    </w:p>
    <w:p>
      <w:pPr>
        <w:pStyle w:val="25"/>
        <w:spacing w:line="440" w:lineRule="exact"/>
        <w:ind w:firstLine="480" w:firstLineChars="200"/>
        <w:rPr>
          <w:rFonts w:hAnsi="宋体"/>
          <w:color w:val="auto"/>
          <w:sz w:val="24"/>
          <w:szCs w:val="24"/>
        </w:rPr>
      </w:pPr>
      <w:r>
        <w:rPr>
          <w:rFonts w:hAnsi="宋体"/>
          <w:color w:val="auto"/>
          <w:sz w:val="24"/>
          <w:szCs w:val="24"/>
        </w:rPr>
        <w:t>4、承诺按照投标文件派驻管理人员及投入机械设备，若存在不到位的情况，同意接受合同约定的处罚。若严重影响合同履约的，同意接受招标人解除合同的要求。</w:t>
      </w:r>
    </w:p>
    <w:p>
      <w:pPr>
        <w:pStyle w:val="25"/>
        <w:spacing w:line="440" w:lineRule="exact"/>
        <w:ind w:firstLine="480" w:firstLineChars="200"/>
        <w:rPr>
          <w:rFonts w:hAnsi="宋体"/>
          <w:color w:val="auto"/>
          <w:sz w:val="24"/>
          <w:szCs w:val="24"/>
        </w:rPr>
      </w:pPr>
      <w:r>
        <w:rPr>
          <w:rFonts w:hAnsi="宋体"/>
          <w:color w:val="auto"/>
          <w:sz w:val="24"/>
          <w:szCs w:val="24"/>
        </w:rPr>
        <w:t>5、承诺本项</w:t>
      </w:r>
      <w:r>
        <w:rPr>
          <w:rFonts w:hint="eastAsia" w:hAnsi="宋体"/>
          <w:color w:val="auto"/>
          <w:sz w:val="24"/>
          <w:szCs w:val="24"/>
        </w:rPr>
        <w:t>目拟派项目负责人</w:t>
      </w:r>
      <w:r>
        <w:rPr>
          <w:rFonts w:hint="eastAsia" w:ascii="宋体" w:hAnsi="宋体"/>
          <w:color w:val="auto"/>
          <w:sz w:val="24"/>
          <w:szCs w:val="24"/>
        </w:rPr>
        <w:t>在</w:t>
      </w:r>
      <w:r>
        <w:rPr>
          <w:rFonts w:ascii="宋体" w:hAnsi="宋体"/>
          <w:color w:val="auto"/>
          <w:sz w:val="24"/>
          <w:szCs w:val="24"/>
        </w:rPr>
        <w:t>投标截止</w:t>
      </w:r>
      <w:r>
        <w:rPr>
          <w:rFonts w:hint="eastAsia" w:ascii="宋体" w:hAnsi="宋体"/>
          <w:color w:val="auto"/>
          <w:sz w:val="24"/>
          <w:szCs w:val="24"/>
        </w:rPr>
        <w:t>日无在其他任何在建合同工程上担任项目负责人（包括工程总承包项目中的施工负责人）的情形。在建合同工程的开始时间为合同工程中标通知书发出日期（不通过招标方式的，开始时间为合同签订日期），结束时间为该合同</w:t>
      </w:r>
      <w:r>
        <w:rPr>
          <w:rFonts w:ascii="宋体" w:hAnsi="宋体"/>
          <w:color w:val="auto"/>
          <w:sz w:val="24"/>
          <w:szCs w:val="24"/>
        </w:rPr>
        <w:t>通过</w:t>
      </w:r>
      <w:r>
        <w:rPr>
          <w:rFonts w:hint="eastAsia" w:ascii="宋体" w:hAnsi="宋体"/>
          <w:color w:val="auto"/>
          <w:sz w:val="24"/>
          <w:szCs w:val="24"/>
        </w:rPr>
        <w:t>合同验收或合同解除日期。</w:t>
      </w:r>
    </w:p>
    <w:p>
      <w:pPr>
        <w:pStyle w:val="25"/>
        <w:spacing w:line="440" w:lineRule="exact"/>
        <w:ind w:firstLine="480" w:firstLineChars="200"/>
        <w:rPr>
          <w:rFonts w:hAnsi="宋体"/>
          <w:color w:val="auto"/>
          <w:sz w:val="24"/>
          <w:szCs w:val="24"/>
        </w:rPr>
      </w:pPr>
      <w:r>
        <w:rPr>
          <w:rFonts w:hAnsi="宋体"/>
          <w:color w:val="auto"/>
          <w:sz w:val="24"/>
          <w:szCs w:val="24"/>
        </w:rPr>
        <w:t>6、承诺</w:t>
      </w:r>
      <w:r>
        <w:rPr>
          <w:rFonts w:hint="eastAsia" w:hAnsi="宋体"/>
          <w:color w:val="auto"/>
          <w:sz w:val="24"/>
          <w:szCs w:val="24"/>
        </w:rPr>
        <w:t>本招标文件要求的人员和单位</w:t>
      </w:r>
      <w:r>
        <w:rPr>
          <w:rFonts w:hAnsi="宋体"/>
          <w:color w:val="auto"/>
          <w:sz w:val="24"/>
          <w:szCs w:val="24"/>
        </w:rPr>
        <w:t>没有被人民法院列入限制失信被执行人名单和</w:t>
      </w:r>
      <w:r>
        <w:rPr>
          <w:rFonts w:hint="eastAsia" w:hAnsi="宋体"/>
          <w:color w:val="auto"/>
          <w:sz w:val="24"/>
          <w:szCs w:val="24"/>
        </w:rPr>
        <w:t>至投标截止时间三年</w:t>
      </w:r>
      <w:r>
        <w:rPr>
          <w:rFonts w:hAnsi="宋体"/>
          <w:color w:val="auto"/>
          <w:sz w:val="24"/>
          <w:szCs w:val="24"/>
        </w:rPr>
        <w:t>内没有行贿犯罪</w:t>
      </w:r>
      <w:r>
        <w:rPr>
          <w:rFonts w:hint="eastAsia" w:hAnsi="宋体"/>
          <w:color w:val="auto"/>
          <w:sz w:val="24"/>
          <w:szCs w:val="24"/>
        </w:rPr>
        <w:t>记</w:t>
      </w:r>
      <w:r>
        <w:rPr>
          <w:rFonts w:hAnsi="宋体"/>
          <w:color w:val="auto"/>
          <w:sz w:val="24"/>
          <w:szCs w:val="24"/>
        </w:rPr>
        <w:t>录。</w:t>
      </w:r>
    </w:p>
    <w:p>
      <w:pPr>
        <w:pStyle w:val="25"/>
        <w:spacing w:line="440" w:lineRule="exact"/>
        <w:ind w:firstLine="480" w:firstLineChars="200"/>
        <w:rPr>
          <w:rFonts w:hAnsi="宋体"/>
          <w:color w:val="auto"/>
          <w:sz w:val="24"/>
          <w:szCs w:val="24"/>
        </w:rPr>
      </w:pPr>
      <w:r>
        <w:rPr>
          <w:rFonts w:hAnsi="宋体"/>
          <w:color w:val="auto"/>
          <w:sz w:val="24"/>
          <w:szCs w:val="24"/>
        </w:rPr>
        <w:t>7、承诺未被</w:t>
      </w:r>
      <w:r>
        <w:rPr>
          <w:rFonts w:hint="eastAsia" w:hAnsi="宋体"/>
          <w:color w:val="auto"/>
          <w:sz w:val="24"/>
          <w:szCs w:val="24"/>
        </w:rPr>
        <w:t>有关</w:t>
      </w:r>
      <w:r>
        <w:rPr>
          <w:rFonts w:hAnsi="宋体"/>
          <w:color w:val="auto"/>
          <w:sz w:val="24"/>
          <w:szCs w:val="24"/>
        </w:rPr>
        <w:t>行政主管部门</w:t>
      </w:r>
      <w:r>
        <w:rPr>
          <w:rFonts w:hint="eastAsia" w:hAnsi="宋体"/>
          <w:color w:val="auto"/>
          <w:sz w:val="24"/>
          <w:szCs w:val="24"/>
        </w:rPr>
        <w:t>列入严重失信黑名单</w:t>
      </w:r>
      <w:r>
        <w:rPr>
          <w:rFonts w:hAnsi="宋体"/>
          <w:color w:val="auto"/>
          <w:sz w:val="24"/>
          <w:szCs w:val="24"/>
        </w:rPr>
        <w:t>或限制参加投标</w:t>
      </w:r>
      <w:r>
        <w:rPr>
          <w:rFonts w:hint="eastAsia" w:hAnsi="宋体"/>
          <w:color w:val="auto"/>
          <w:sz w:val="24"/>
          <w:szCs w:val="24"/>
        </w:rPr>
        <w:t>。</w:t>
      </w:r>
    </w:p>
    <w:p>
      <w:pPr>
        <w:pStyle w:val="25"/>
        <w:spacing w:line="440" w:lineRule="exact"/>
        <w:ind w:firstLine="480" w:firstLineChars="200"/>
        <w:rPr>
          <w:rFonts w:hAnsi="宋体"/>
          <w:color w:val="auto"/>
          <w:sz w:val="24"/>
          <w:szCs w:val="24"/>
          <w:u w:val="single"/>
        </w:rPr>
      </w:pPr>
      <w:r>
        <w:rPr>
          <w:rFonts w:hAnsi="宋体"/>
          <w:color w:val="auto"/>
          <w:sz w:val="24"/>
          <w:szCs w:val="24"/>
        </w:rPr>
        <w:t>8、其他：</w:t>
      </w:r>
      <w:r>
        <w:rPr>
          <w:rFonts w:hAnsi="宋体"/>
          <w:color w:val="auto"/>
          <w:sz w:val="24"/>
          <w:szCs w:val="24"/>
          <w:u w:val="single"/>
        </w:rPr>
        <w:t xml:space="preserve">    （招标人可根据实际情况增加相应的条款）    </w:t>
      </w:r>
    </w:p>
    <w:p>
      <w:pPr>
        <w:pStyle w:val="25"/>
        <w:spacing w:line="440" w:lineRule="exact"/>
        <w:ind w:firstLine="480" w:firstLineChars="200"/>
        <w:rPr>
          <w:rFonts w:hAnsi="宋体"/>
          <w:color w:val="auto"/>
        </w:rPr>
      </w:pPr>
      <w:r>
        <w:rPr>
          <w:rFonts w:hAnsi="宋体"/>
          <w:color w:val="auto"/>
          <w:sz w:val="24"/>
          <w:szCs w:val="24"/>
        </w:rPr>
        <w:t>9</w:t>
      </w:r>
      <w:r>
        <w:rPr>
          <w:rFonts w:hint="eastAsia" w:hAnsi="宋体"/>
          <w:color w:val="auto"/>
          <w:sz w:val="24"/>
          <w:szCs w:val="24"/>
        </w:rPr>
        <w:t>、以上承诺如有虚假，愿意接</w:t>
      </w:r>
      <w:r>
        <w:rPr>
          <w:rFonts w:hAnsi="宋体"/>
          <w:color w:val="auto"/>
          <w:sz w:val="24"/>
          <w:szCs w:val="24"/>
        </w:rPr>
        <w:t>受投标保证金不予退还的</w:t>
      </w:r>
      <w:r>
        <w:rPr>
          <w:rFonts w:hint="eastAsia" w:hAnsi="宋体"/>
          <w:color w:val="auto"/>
          <w:sz w:val="24"/>
          <w:szCs w:val="24"/>
        </w:rPr>
        <w:t>处罚。给招标人造成损失的，愿意依法承担赔偿责任。如已中标，同意招标人取消我单位中标资格的处理。</w:t>
      </w:r>
    </w:p>
    <w:p>
      <w:pPr>
        <w:pStyle w:val="25"/>
        <w:spacing w:line="440" w:lineRule="exact"/>
        <w:ind w:firstLine="3840" w:firstLineChars="1600"/>
        <w:rPr>
          <w:rFonts w:hAnsi="宋体" w:cs="Courier New"/>
          <w:color w:val="auto"/>
          <w:sz w:val="24"/>
          <w:szCs w:val="24"/>
        </w:rPr>
      </w:pPr>
      <w:r>
        <w:rPr>
          <w:rFonts w:hint="eastAsia" w:hAnsi="宋体" w:cs="Courier New"/>
          <w:color w:val="auto"/>
          <w:sz w:val="24"/>
          <w:szCs w:val="24"/>
        </w:rPr>
        <w:t>法定代表人（签字或盖章）：</w:t>
      </w:r>
    </w:p>
    <w:p>
      <w:pPr>
        <w:spacing w:line="440" w:lineRule="exact"/>
        <w:ind w:firstLine="3840" w:firstLineChars="1600"/>
        <w:rPr>
          <w:rFonts w:ascii="宋体" w:hAnsi="宋体" w:cs="Courier New"/>
          <w:color w:val="auto"/>
        </w:rPr>
      </w:pPr>
      <w:r>
        <w:rPr>
          <w:rFonts w:hint="eastAsia" w:ascii="宋体" w:hAnsi="宋体" w:cs="Courier New"/>
          <w:color w:val="auto"/>
        </w:rPr>
        <w:t>投标人（单位盖章）：</w:t>
      </w:r>
      <w:r>
        <w:rPr>
          <w:rFonts w:ascii="宋体" w:hAnsi="宋体" w:cs="Courier New"/>
          <w:color w:val="auto"/>
        </w:rPr>
        <w:t xml:space="preserve">                                     </w:t>
      </w:r>
    </w:p>
    <w:p>
      <w:pPr>
        <w:spacing w:line="440" w:lineRule="exact"/>
        <w:ind w:firstLine="4800" w:firstLineChars="2000"/>
        <w:rPr>
          <w:rFonts w:ascii="Microsoft JhengHei" w:hAnsi="Times New Roman" w:eastAsia="Microsoft JhengHei" w:cs="Microsoft JhengHei"/>
          <w:b/>
          <w:bCs/>
          <w:color w:val="auto"/>
        </w:rPr>
      </w:pPr>
      <w:r>
        <w:rPr>
          <w:rFonts w:ascii="宋体" w:hAnsi="宋体" w:cs="Courier New"/>
          <w:color w:val="auto"/>
        </w:rPr>
        <w:t>年    月    日</w:t>
      </w:r>
      <w:r>
        <w:rPr>
          <w:rFonts w:ascii="Microsoft JhengHei" w:eastAsia="Microsoft JhengHei" w:cs="Microsoft JhengHei"/>
          <w:b/>
          <w:bCs/>
          <w:color w:val="auto"/>
        </w:rPr>
        <w:br w:type="page"/>
      </w:r>
    </w:p>
    <w:p>
      <w:pPr>
        <w:spacing w:line="360" w:lineRule="auto"/>
        <w:jc w:val="center"/>
        <w:rPr>
          <w:color w:val="auto"/>
          <w:sz w:val="72"/>
        </w:rPr>
      </w:pPr>
      <w:r>
        <w:rPr>
          <w:rFonts w:hint="eastAsia"/>
          <w:color w:val="auto"/>
          <w:sz w:val="72"/>
        </w:rPr>
        <w:t>施工投标文件</w:t>
      </w:r>
    </w:p>
    <w:p>
      <w:pPr>
        <w:jc w:val="center"/>
        <w:rPr>
          <w:color w:val="auto"/>
          <w:sz w:val="32"/>
        </w:rPr>
      </w:pPr>
      <w:r>
        <w:rPr>
          <w:rFonts w:hint="eastAsia"/>
          <w:color w:val="auto"/>
          <w:sz w:val="32"/>
        </w:rPr>
        <w:t>（封面）</w:t>
      </w:r>
    </w:p>
    <w:p>
      <w:pPr>
        <w:jc w:val="center"/>
        <w:rPr>
          <w:color w:val="auto"/>
          <w:sz w:val="32"/>
        </w:rPr>
      </w:pPr>
    </w:p>
    <w:p>
      <w:pPr>
        <w:jc w:val="center"/>
        <w:rPr>
          <w:color w:val="auto"/>
          <w:sz w:val="32"/>
        </w:rPr>
      </w:pPr>
    </w:p>
    <w:p>
      <w:pPr>
        <w:jc w:val="center"/>
        <w:rPr>
          <w:color w:val="auto"/>
          <w:sz w:val="32"/>
        </w:rPr>
      </w:pPr>
    </w:p>
    <w:p>
      <w:pPr>
        <w:spacing w:line="480" w:lineRule="auto"/>
        <w:jc w:val="center"/>
        <w:rPr>
          <w:color w:val="auto"/>
          <w:sz w:val="32"/>
        </w:rPr>
      </w:pPr>
    </w:p>
    <w:p>
      <w:pPr>
        <w:spacing w:after="360" w:afterLines="150" w:line="480" w:lineRule="auto"/>
        <w:ind w:firstLine="627" w:firstLineChars="196"/>
        <w:rPr>
          <w:color w:val="auto"/>
          <w:sz w:val="32"/>
        </w:rPr>
      </w:pPr>
      <w:r>
        <w:rPr>
          <w:rFonts w:hint="eastAsia"/>
          <w:color w:val="auto"/>
          <w:sz w:val="32"/>
        </w:rPr>
        <w:t>工程名称：</w:t>
      </w:r>
      <w:r>
        <w:rPr>
          <w:color w:val="auto"/>
          <w:sz w:val="32"/>
          <w:u w:val="single"/>
        </w:rPr>
        <w:t xml:space="preserve">                                                                 </w:t>
      </w:r>
    </w:p>
    <w:p>
      <w:pPr>
        <w:spacing w:after="360" w:afterLines="150" w:line="480" w:lineRule="auto"/>
        <w:ind w:firstLine="627" w:firstLineChars="196"/>
        <w:rPr>
          <w:color w:val="auto"/>
          <w:sz w:val="32"/>
        </w:rPr>
      </w:pPr>
      <w:r>
        <w:rPr>
          <w:rFonts w:hint="eastAsia"/>
          <w:color w:val="auto"/>
          <w:sz w:val="32"/>
        </w:rPr>
        <w:t>投标文件内容：</w:t>
      </w:r>
      <w:r>
        <w:rPr>
          <w:color w:val="auto"/>
          <w:sz w:val="32"/>
          <w:u w:val="single"/>
        </w:rPr>
        <w:t xml:space="preserve">    </w:t>
      </w:r>
      <w:r>
        <w:rPr>
          <w:color w:val="auto"/>
          <w:u w:val="single"/>
        </w:rPr>
        <w:t xml:space="preserve">  </w:t>
      </w:r>
      <w:r>
        <w:rPr>
          <w:rFonts w:hint="eastAsia"/>
          <w:color w:val="auto"/>
          <w:u w:val="single"/>
        </w:rPr>
        <w:t>投标文件资格审查资料</w:t>
      </w:r>
      <w:r>
        <w:rPr>
          <w:color w:val="auto"/>
          <w:sz w:val="32"/>
          <w:u w:val="single"/>
        </w:rPr>
        <w:t xml:space="preserve">                  </w:t>
      </w:r>
    </w:p>
    <w:p>
      <w:pPr>
        <w:spacing w:after="360" w:afterLines="150" w:line="480" w:lineRule="auto"/>
        <w:ind w:firstLine="627" w:firstLineChars="196"/>
        <w:rPr>
          <w:color w:val="auto"/>
          <w:sz w:val="32"/>
        </w:rPr>
      </w:pPr>
      <w:r>
        <w:rPr>
          <w:rFonts w:hint="eastAsia"/>
          <w:color w:val="auto"/>
          <w:sz w:val="32"/>
        </w:rPr>
        <w:t>投标人：</w:t>
      </w:r>
      <w:r>
        <w:rPr>
          <w:color w:val="auto"/>
          <w:sz w:val="32"/>
          <w:u w:val="single"/>
        </w:rPr>
        <w:t xml:space="preserve">                                     </w:t>
      </w:r>
      <w:r>
        <w:rPr>
          <w:rFonts w:hint="eastAsia"/>
          <w:color w:val="auto"/>
          <w:sz w:val="32"/>
          <w:u w:val="single"/>
        </w:rPr>
        <w:t>（单位盖章）</w:t>
      </w:r>
      <w:r>
        <w:rPr>
          <w:color w:val="auto"/>
          <w:sz w:val="32"/>
          <w:u w:val="single"/>
        </w:rPr>
        <w:t xml:space="preserve">              </w:t>
      </w:r>
    </w:p>
    <w:p>
      <w:pPr>
        <w:spacing w:after="360" w:afterLines="150" w:line="480" w:lineRule="auto"/>
        <w:ind w:firstLine="627" w:firstLineChars="196"/>
        <w:rPr>
          <w:color w:val="auto"/>
          <w:sz w:val="32"/>
        </w:rPr>
      </w:pPr>
      <w:r>
        <w:rPr>
          <w:rFonts w:hint="eastAsia"/>
          <w:color w:val="auto"/>
          <w:sz w:val="32"/>
        </w:rPr>
        <w:t>法定代表人或委托代理人</w:t>
      </w:r>
      <w:r>
        <w:rPr>
          <w:rFonts w:hint="eastAsia"/>
          <w:color w:val="auto"/>
          <w:sz w:val="32"/>
          <w:u w:val="single"/>
        </w:rPr>
        <w:t>：</w:t>
      </w:r>
      <w:r>
        <w:rPr>
          <w:color w:val="auto"/>
          <w:sz w:val="32"/>
          <w:u w:val="single"/>
        </w:rPr>
        <w:t xml:space="preserve">      </w:t>
      </w:r>
      <w:r>
        <w:rPr>
          <w:rFonts w:hint="eastAsia"/>
          <w:color w:val="auto"/>
          <w:sz w:val="32"/>
          <w:u w:val="single"/>
        </w:rPr>
        <w:t>（</w:t>
      </w:r>
      <w:r>
        <w:rPr>
          <w:rFonts w:hint="eastAsia" w:hAnsi="宋体" w:cs="Courier New"/>
          <w:color w:val="auto"/>
          <w:u w:val="single"/>
        </w:rPr>
        <w:t>签字或盖章</w:t>
      </w:r>
      <w:r>
        <w:rPr>
          <w:rFonts w:hint="eastAsia"/>
          <w:color w:val="auto"/>
          <w:sz w:val="32"/>
          <w:u w:val="single"/>
        </w:rPr>
        <w:t>）</w:t>
      </w:r>
      <w:r>
        <w:rPr>
          <w:color w:val="auto"/>
          <w:sz w:val="32"/>
          <w:u w:val="single"/>
        </w:rPr>
        <w:t xml:space="preserve">     </w:t>
      </w:r>
    </w:p>
    <w:p>
      <w:pPr>
        <w:spacing w:after="360" w:afterLines="150" w:line="480" w:lineRule="auto"/>
        <w:ind w:firstLine="627" w:firstLineChars="196"/>
        <w:jc w:val="center"/>
        <w:rPr>
          <w:color w:val="auto"/>
          <w:sz w:val="32"/>
        </w:rPr>
      </w:pPr>
      <w:r>
        <w:rPr>
          <w:rFonts w:hint="eastAsia"/>
          <w:color w:val="auto"/>
          <w:sz w:val="32"/>
        </w:rPr>
        <w:t>日期：</w:t>
      </w:r>
      <w:r>
        <w:rPr>
          <w:color w:val="auto"/>
          <w:sz w:val="32"/>
          <w:u w:val="single"/>
        </w:rPr>
        <w:t xml:space="preserve">        </w:t>
      </w:r>
      <w:r>
        <w:rPr>
          <w:rFonts w:hint="eastAsia"/>
          <w:color w:val="auto"/>
          <w:sz w:val="32"/>
        </w:rPr>
        <w:t>年</w:t>
      </w:r>
      <w:r>
        <w:rPr>
          <w:color w:val="auto"/>
          <w:sz w:val="32"/>
          <w:u w:val="single"/>
        </w:rPr>
        <w:t xml:space="preserve">          </w:t>
      </w:r>
      <w:r>
        <w:rPr>
          <w:rFonts w:hint="eastAsia"/>
          <w:color w:val="auto"/>
          <w:sz w:val="32"/>
        </w:rPr>
        <w:t>月</w:t>
      </w:r>
      <w:r>
        <w:rPr>
          <w:color w:val="auto"/>
          <w:sz w:val="32"/>
          <w:u w:val="single"/>
        </w:rPr>
        <w:t xml:space="preserve">        </w:t>
      </w:r>
      <w:r>
        <w:rPr>
          <w:rFonts w:hint="eastAsia"/>
          <w:color w:val="auto"/>
          <w:sz w:val="32"/>
        </w:rPr>
        <w:t>日</w:t>
      </w:r>
    </w:p>
    <w:p>
      <w:pPr>
        <w:widowControl/>
        <w:autoSpaceDE/>
        <w:autoSpaceDN/>
        <w:adjustRightInd/>
        <w:rPr>
          <w:rFonts w:ascii="宋体" w:hAnsi="宋体" w:cs="宋体"/>
          <w:bCs/>
          <w:color w:val="auto"/>
        </w:rPr>
      </w:pPr>
      <w:r>
        <w:rPr>
          <w:rFonts w:ascii="宋体" w:hAnsi="宋体" w:cs="宋体"/>
          <w:bCs/>
          <w:color w:val="auto"/>
        </w:rPr>
        <w:br w:type="page"/>
      </w:r>
    </w:p>
    <w:p>
      <w:pPr>
        <w:pStyle w:val="25"/>
        <w:spacing w:line="360" w:lineRule="auto"/>
        <w:ind w:firstLine="602"/>
        <w:jc w:val="center"/>
        <w:rPr>
          <w:b/>
          <w:bCs/>
          <w:color w:val="auto"/>
          <w:sz w:val="36"/>
          <w:szCs w:val="36"/>
        </w:rPr>
      </w:pPr>
      <w:r>
        <w:rPr>
          <w:rFonts w:hint="eastAsia"/>
          <w:b/>
          <w:bCs/>
          <w:color w:val="auto"/>
          <w:sz w:val="36"/>
          <w:szCs w:val="36"/>
        </w:rPr>
        <w:t>目</w:t>
      </w:r>
      <w:r>
        <w:rPr>
          <w:b/>
          <w:bCs/>
          <w:color w:val="auto"/>
          <w:sz w:val="36"/>
          <w:szCs w:val="36"/>
        </w:rPr>
        <w:t xml:space="preserve">    </w:t>
      </w:r>
      <w:r>
        <w:rPr>
          <w:rFonts w:hint="eastAsia"/>
          <w:b/>
          <w:bCs/>
          <w:color w:val="auto"/>
          <w:sz w:val="36"/>
          <w:szCs w:val="36"/>
        </w:rPr>
        <w:t>录</w:t>
      </w:r>
    </w:p>
    <w:p>
      <w:pPr>
        <w:pStyle w:val="25"/>
        <w:spacing w:line="360" w:lineRule="auto"/>
        <w:ind w:firstLine="602"/>
        <w:jc w:val="center"/>
        <w:rPr>
          <w:b/>
          <w:bCs/>
          <w:color w:val="auto"/>
          <w:sz w:val="36"/>
          <w:szCs w:val="36"/>
        </w:rPr>
      </w:pPr>
    </w:p>
    <w:p>
      <w:pPr>
        <w:snapToGrid w:val="0"/>
        <w:spacing w:after="360" w:afterLines="150" w:line="360" w:lineRule="auto"/>
        <w:ind w:firstLine="560" w:firstLineChars="200"/>
        <w:rPr>
          <w:rFonts w:ascii="宋体" w:hAnsi="宋体" w:cs="宋体"/>
          <w:bCs/>
          <w:color w:val="auto"/>
          <w:sz w:val="28"/>
          <w:szCs w:val="28"/>
        </w:rPr>
      </w:pPr>
      <w:r>
        <w:rPr>
          <w:rFonts w:ascii="宋体" w:hAnsi="宋体" w:cs="宋体"/>
          <w:bCs/>
          <w:color w:val="auto"/>
          <w:sz w:val="28"/>
          <w:szCs w:val="28"/>
        </w:rPr>
        <w:t>1.</w:t>
      </w:r>
      <w:r>
        <w:rPr>
          <w:rFonts w:hint="eastAsia" w:ascii="宋体" w:hAnsi="宋体" w:cs="宋体"/>
          <w:bCs/>
          <w:color w:val="auto"/>
          <w:sz w:val="28"/>
          <w:szCs w:val="28"/>
        </w:rPr>
        <w:t>资格</w:t>
      </w:r>
      <w:r>
        <w:rPr>
          <w:rFonts w:ascii="宋体" w:hAnsi="宋体" w:cs="宋体"/>
          <w:bCs/>
          <w:color w:val="auto"/>
          <w:sz w:val="28"/>
          <w:szCs w:val="28"/>
        </w:rPr>
        <w:t>业绩材料</w:t>
      </w:r>
      <w:r>
        <w:rPr>
          <w:rFonts w:hint="eastAsia" w:ascii="宋体" w:hAnsi="宋体" w:cs="宋体"/>
          <w:bCs/>
          <w:color w:val="auto"/>
          <w:sz w:val="28"/>
          <w:szCs w:val="28"/>
        </w:rPr>
        <w:t>（若有），含业绩汇总表（资格后审业绩条件的汇总）及相关附件；</w:t>
      </w:r>
    </w:p>
    <w:p>
      <w:pPr>
        <w:spacing w:after="360" w:afterLines="150" w:line="360" w:lineRule="auto"/>
        <w:rPr>
          <w:rFonts w:ascii="宋体" w:hAnsi="宋体" w:cs="宋体"/>
          <w:b/>
          <w:bCs/>
          <w:color w:val="auto"/>
          <w:sz w:val="28"/>
          <w:szCs w:val="28"/>
        </w:rPr>
      </w:pPr>
      <w:r>
        <w:rPr>
          <w:rFonts w:ascii="宋体" w:hAnsi="宋体" w:cs="宋体"/>
          <w:bCs/>
          <w:color w:val="auto"/>
          <w:sz w:val="28"/>
          <w:szCs w:val="28"/>
        </w:rPr>
        <w:t xml:space="preserve">    2.联合体协议书</w:t>
      </w:r>
      <w:r>
        <w:rPr>
          <w:rFonts w:hint="eastAsia" w:ascii="宋体" w:hAnsi="宋体" w:cs="宋体"/>
          <w:bCs/>
          <w:color w:val="auto"/>
          <w:sz w:val="28"/>
          <w:szCs w:val="28"/>
        </w:rPr>
        <w:t>；</w:t>
      </w:r>
    </w:p>
    <w:p>
      <w:pPr>
        <w:spacing w:after="360" w:afterLines="150" w:line="360" w:lineRule="auto"/>
        <w:ind w:firstLine="560" w:firstLineChars="200"/>
        <w:rPr>
          <w:rFonts w:ascii="宋体" w:hAnsi="宋体" w:cs="宋体"/>
          <w:bCs/>
          <w:color w:val="auto"/>
          <w:sz w:val="28"/>
          <w:szCs w:val="28"/>
        </w:rPr>
      </w:pPr>
      <w:r>
        <w:rPr>
          <w:rFonts w:ascii="宋体" w:hAnsi="宋体" w:cs="宋体"/>
          <w:bCs/>
          <w:color w:val="auto"/>
          <w:sz w:val="28"/>
          <w:szCs w:val="28"/>
        </w:rPr>
        <w:t>3.</w:t>
      </w:r>
      <w:r>
        <w:rPr>
          <w:rFonts w:hint="eastAsia" w:ascii="宋体" w:hAnsi="宋体" w:cs="宋体"/>
          <w:bCs/>
          <w:color w:val="auto"/>
          <w:sz w:val="28"/>
          <w:szCs w:val="28"/>
        </w:rPr>
        <w:t>投标保证金；</w:t>
      </w:r>
    </w:p>
    <w:p>
      <w:pPr>
        <w:pStyle w:val="18"/>
        <w:kinsoku w:val="0"/>
        <w:spacing w:after="360" w:afterLines="150" w:line="360" w:lineRule="auto"/>
        <w:ind w:left="0" w:firstLine="560" w:firstLineChars="200"/>
        <w:rPr>
          <w:rFonts w:ascii="宋体" w:hAnsi="宋体" w:cs="宋体"/>
          <w:bCs/>
          <w:color w:val="auto"/>
          <w:sz w:val="28"/>
          <w:szCs w:val="28"/>
        </w:rPr>
      </w:pPr>
      <w:r>
        <w:rPr>
          <w:rFonts w:ascii="宋体" w:hAnsi="宋体" w:cs="宋体"/>
          <w:bCs/>
          <w:color w:val="auto"/>
          <w:sz w:val="28"/>
          <w:szCs w:val="28"/>
        </w:rPr>
        <w:t>4.招标文件要求投标人提交的其他</w:t>
      </w:r>
      <w:r>
        <w:rPr>
          <w:rFonts w:hint="eastAsia" w:ascii="宋体" w:hAnsi="宋体" w:cs="宋体"/>
          <w:bCs/>
          <w:color w:val="auto"/>
          <w:sz w:val="28"/>
          <w:szCs w:val="28"/>
        </w:rPr>
        <w:t>资料</w:t>
      </w:r>
      <w:r>
        <w:rPr>
          <w:rFonts w:ascii="宋体" w:hAnsi="宋体" w:cs="宋体"/>
          <w:bCs/>
          <w:color w:val="auto"/>
          <w:sz w:val="28"/>
          <w:szCs w:val="28"/>
        </w:rPr>
        <w:t>(详见投标须知前附表)</w:t>
      </w:r>
    </w:p>
    <w:p>
      <w:pPr>
        <w:widowControl/>
        <w:autoSpaceDE/>
        <w:autoSpaceDN/>
        <w:adjustRightInd/>
        <w:spacing w:after="360" w:afterLines="150" w:line="360" w:lineRule="auto"/>
        <w:rPr>
          <w:rFonts w:ascii="宋体" w:hAnsi="宋体" w:cs="宋体"/>
          <w:bCs/>
          <w:color w:val="auto"/>
          <w:sz w:val="28"/>
          <w:szCs w:val="28"/>
        </w:rPr>
      </w:pPr>
      <w:r>
        <w:rPr>
          <w:rFonts w:ascii="宋体" w:hAnsi="宋体" w:cs="宋体"/>
          <w:bCs/>
          <w:color w:val="auto"/>
          <w:sz w:val="28"/>
          <w:szCs w:val="28"/>
        </w:rPr>
        <w:br w:type="page"/>
      </w:r>
    </w:p>
    <w:p>
      <w:pPr>
        <w:widowControl/>
        <w:autoSpaceDE/>
        <w:autoSpaceDN/>
        <w:adjustRightInd/>
        <w:rPr>
          <w:rFonts w:ascii="宋体" w:hAnsi="宋体" w:cs="宋体"/>
          <w:bCs/>
          <w:color w:val="auto"/>
        </w:rPr>
      </w:pPr>
    </w:p>
    <w:p>
      <w:pPr>
        <w:spacing w:line="360" w:lineRule="auto"/>
        <w:jc w:val="center"/>
        <w:rPr>
          <w:rFonts w:ascii="宋体" w:hAnsi="宋体" w:cs="宋体"/>
          <w:b/>
          <w:bCs/>
          <w:color w:val="auto"/>
          <w:szCs w:val="28"/>
        </w:rPr>
      </w:pPr>
      <w:r>
        <w:rPr>
          <w:rFonts w:hint="eastAsia" w:ascii="宋体" w:hAnsi="宋体" w:cs="宋体"/>
          <w:b/>
          <w:bCs/>
          <w:color w:val="auto"/>
          <w:szCs w:val="28"/>
        </w:rPr>
        <w:t>业绩汇总表（资格后审业绩条件的汇总）（若有）</w:t>
      </w:r>
    </w:p>
    <w:tbl>
      <w:tblPr>
        <w:tblStyle w:val="40"/>
        <w:tblW w:w="9679" w:type="dxa"/>
        <w:tblInd w:w="-411"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728"/>
        <w:gridCol w:w="1843"/>
        <w:gridCol w:w="1417"/>
        <w:gridCol w:w="1276"/>
        <w:gridCol w:w="1745"/>
        <w:gridCol w:w="1255"/>
        <w:gridCol w:w="141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900" w:hRule="atLeast"/>
        </w:trPr>
        <w:tc>
          <w:tcPr>
            <w:tcW w:w="728" w:type="dxa"/>
            <w:tcBorders>
              <w:top w:val="single" w:color="000000" w:sz="12" w:space="0"/>
              <w:left w:val="single" w:color="000000" w:sz="12"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序号</w:t>
            </w:r>
          </w:p>
        </w:tc>
        <w:tc>
          <w:tcPr>
            <w:tcW w:w="1843" w:type="dxa"/>
            <w:tcBorders>
              <w:top w:val="single" w:color="000000" w:sz="12"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该业绩证明对象</w:t>
            </w:r>
          </w:p>
        </w:tc>
        <w:tc>
          <w:tcPr>
            <w:tcW w:w="1417" w:type="dxa"/>
            <w:tcBorders>
              <w:top w:val="single" w:color="000000" w:sz="12"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项目名称</w:t>
            </w:r>
          </w:p>
        </w:tc>
        <w:tc>
          <w:tcPr>
            <w:tcW w:w="1276" w:type="dxa"/>
            <w:tcBorders>
              <w:top w:val="single" w:color="000000" w:sz="12"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建设单位（项目业主）</w:t>
            </w:r>
          </w:p>
        </w:tc>
        <w:tc>
          <w:tcPr>
            <w:tcW w:w="1745" w:type="dxa"/>
            <w:tcBorders>
              <w:top w:val="single" w:color="000000" w:sz="12"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与评审有关的时间、规模、技术指标及其他要求</w:t>
            </w:r>
          </w:p>
        </w:tc>
        <w:tc>
          <w:tcPr>
            <w:tcW w:w="1255" w:type="dxa"/>
            <w:tcBorders>
              <w:top w:val="single" w:color="000000" w:sz="12"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提交证明材料内容</w:t>
            </w:r>
          </w:p>
        </w:tc>
        <w:tc>
          <w:tcPr>
            <w:tcW w:w="1415" w:type="dxa"/>
            <w:tcBorders>
              <w:top w:val="single" w:color="000000" w:sz="12" w:space="0"/>
              <w:left w:val="single" w:color="000000" w:sz="6" w:space="0"/>
              <w:bottom w:val="single" w:color="000000" w:sz="6" w:space="0"/>
              <w:right w:val="single" w:color="000000" w:sz="12" w:space="0"/>
            </w:tcBorders>
            <w:noWrap w:val="0"/>
            <w:vAlign w:val="center"/>
          </w:tcPr>
          <w:p>
            <w:pPr>
              <w:kinsoku w:val="0"/>
              <w:spacing w:line="320" w:lineRule="exact"/>
              <w:jc w:val="center"/>
              <w:rPr>
                <w:rFonts w:ascii="宋体" w:hAnsi="宋体"/>
                <w:color w:val="auto"/>
              </w:rPr>
            </w:pPr>
            <w:r>
              <w:rPr>
                <w:rFonts w:hint="eastAsia" w:ascii="宋体" w:hAnsi="宋体"/>
                <w:color w:val="auto"/>
              </w:rPr>
              <w:t>在投标文件的位置</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772" w:hRule="atLeast"/>
        </w:trPr>
        <w:tc>
          <w:tcPr>
            <w:tcW w:w="728" w:type="dxa"/>
            <w:tcBorders>
              <w:top w:val="single" w:color="000000" w:sz="6" w:space="0"/>
              <w:left w:val="single" w:color="000000" w:sz="12"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ascii="宋体" w:hAnsi="宋体"/>
                <w:color w:val="auto"/>
              </w:rPr>
              <w:t>1</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例如：企业名称或项目负责人或技术负责人名字等</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例如：</w:t>
            </w:r>
            <w:r>
              <w:rPr>
                <w:rFonts w:ascii="宋体" w:hAnsi="宋体"/>
                <w:color w:val="auto"/>
              </w:rPr>
              <w:t>XX</w:t>
            </w:r>
            <w:r>
              <w:rPr>
                <w:rFonts w:hint="eastAsia" w:ascii="宋体" w:hAnsi="宋体"/>
                <w:color w:val="auto"/>
              </w:rPr>
              <w:t>工程等</w:t>
            </w: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例如：</w:t>
            </w:r>
            <w:r>
              <w:rPr>
                <w:rFonts w:ascii="宋体" w:hAnsi="宋体"/>
                <w:color w:val="auto"/>
              </w:rPr>
              <w:t>XX</w:t>
            </w:r>
            <w:r>
              <w:rPr>
                <w:rFonts w:hint="eastAsia" w:ascii="宋体" w:hAnsi="宋体"/>
                <w:color w:val="auto"/>
              </w:rPr>
              <w:t>公司或指挥部等</w:t>
            </w:r>
          </w:p>
        </w:tc>
        <w:tc>
          <w:tcPr>
            <w:tcW w:w="1745"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例如：</w:t>
            </w:r>
            <w:r>
              <w:rPr>
                <w:rFonts w:ascii="宋体" w:hAnsi="宋体"/>
                <w:color w:val="auto"/>
              </w:rPr>
              <w:t>X</w:t>
            </w:r>
            <w:r>
              <w:rPr>
                <w:rFonts w:hint="eastAsia" w:ascii="宋体" w:hAnsi="宋体"/>
                <w:color w:val="auto"/>
              </w:rPr>
              <w:t>年</w:t>
            </w:r>
            <w:r>
              <w:rPr>
                <w:rFonts w:ascii="宋体" w:hAnsi="宋体"/>
                <w:color w:val="auto"/>
              </w:rPr>
              <w:t>X</w:t>
            </w:r>
            <w:r>
              <w:rPr>
                <w:rFonts w:hint="eastAsia" w:ascii="宋体" w:hAnsi="宋体"/>
                <w:color w:val="auto"/>
              </w:rPr>
              <w:t>月</w:t>
            </w:r>
            <w:r>
              <w:rPr>
                <w:rFonts w:ascii="宋体" w:hAnsi="宋体"/>
                <w:color w:val="auto"/>
              </w:rPr>
              <w:t>X</w:t>
            </w:r>
            <w:r>
              <w:rPr>
                <w:rFonts w:hint="eastAsia" w:ascii="宋体" w:hAnsi="宋体"/>
                <w:color w:val="auto"/>
              </w:rPr>
              <w:t>日完成长度或深度</w:t>
            </w:r>
            <w:r>
              <w:rPr>
                <w:rFonts w:ascii="宋体" w:hAnsi="宋体"/>
                <w:color w:val="auto"/>
              </w:rPr>
              <w:t>X</w:t>
            </w:r>
            <w:r>
              <w:rPr>
                <w:rFonts w:hint="eastAsia" w:ascii="宋体" w:hAnsi="宋体"/>
                <w:color w:val="auto"/>
              </w:rPr>
              <w:t>米等</w:t>
            </w: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例如：施工合同或中标通知书等</w:t>
            </w:r>
          </w:p>
        </w:tc>
        <w:tc>
          <w:tcPr>
            <w:tcW w:w="1415" w:type="dxa"/>
            <w:tcBorders>
              <w:top w:val="single" w:color="000000" w:sz="6" w:space="0"/>
              <w:left w:val="single" w:color="000000" w:sz="6" w:space="0"/>
              <w:bottom w:val="single" w:color="000000" w:sz="6" w:space="0"/>
              <w:right w:val="single" w:color="000000" w:sz="12" w:space="0"/>
            </w:tcBorders>
            <w:noWrap w:val="0"/>
            <w:vAlign w:val="center"/>
          </w:tcPr>
          <w:p>
            <w:pPr>
              <w:kinsoku w:val="0"/>
              <w:spacing w:line="320" w:lineRule="exact"/>
              <w:jc w:val="center"/>
              <w:rPr>
                <w:rFonts w:ascii="宋体" w:hAnsi="宋体"/>
                <w:color w:val="auto"/>
              </w:rPr>
            </w:pPr>
            <w:r>
              <w:rPr>
                <w:rFonts w:hint="eastAsia" w:ascii="宋体" w:hAnsi="宋体"/>
                <w:color w:val="auto"/>
              </w:rPr>
              <w:t>例如：投标文件第</w:t>
            </w:r>
            <w:r>
              <w:rPr>
                <w:rFonts w:ascii="宋体" w:hAnsi="宋体"/>
                <w:color w:val="auto"/>
              </w:rPr>
              <w:t>X</w:t>
            </w:r>
            <w:r>
              <w:rPr>
                <w:rFonts w:hint="eastAsia" w:ascii="宋体" w:hAnsi="宋体"/>
                <w:color w:val="auto"/>
              </w:rPr>
              <w:t>页</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728" w:type="dxa"/>
            <w:tcBorders>
              <w:top w:val="single" w:color="000000" w:sz="6" w:space="0"/>
              <w:left w:val="single" w:color="000000" w:sz="12"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ascii="宋体" w:hAnsi="宋体"/>
                <w:color w:val="auto"/>
              </w:rPr>
              <w:t>2</w:t>
            </w:r>
          </w:p>
        </w:tc>
        <w:tc>
          <w:tcPr>
            <w:tcW w:w="1843" w:type="dxa"/>
            <w:tcBorders>
              <w:top w:val="single" w:color="000000" w:sz="6" w:space="0"/>
              <w:left w:val="single" w:color="000000" w:sz="6" w:space="0"/>
              <w:bottom w:val="single" w:color="000000" w:sz="6" w:space="0"/>
              <w:right w:val="single" w:color="000000" w:sz="6" w:space="0"/>
            </w:tcBorders>
            <w:noWrap w:val="0"/>
            <w:vAlign w:val="center"/>
          </w:tcPr>
          <w:p>
            <w:pPr>
              <w:kinsoku w:val="0"/>
              <w:spacing w:line="320" w:lineRule="exact"/>
              <w:jc w:val="center"/>
              <w:rPr>
                <w:rFonts w:ascii="宋体" w:hAnsi="宋体"/>
                <w:color w:val="auto"/>
              </w:rPr>
            </w:pPr>
            <w:r>
              <w:rPr>
                <w:rFonts w:hint="eastAsia" w:ascii="宋体" w:hAnsi="宋体"/>
                <w:color w:val="auto"/>
              </w:rPr>
              <w:t>……</w:t>
            </w:r>
          </w:p>
        </w:tc>
        <w:tc>
          <w:tcPr>
            <w:tcW w:w="1417" w:type="dxa"/>
            <w:tcBorders>
              <w:top w:val="single" w:color="000000" w:sz="6" w:space="0"/>
              <w:left w:val="single" w:color="000000" w:sz="6" w:space="0"/>
              <w:bottom w:val="single" w:color="000000" w:sz="6" w:space="0"/>
              <w:right w:val="single" w:color="000000" w:sz="6" w:space="0"/>
            </w:tcBorders>
            <w:noWrap w:val="0"/>
            <w:vAlign w:val="center"/>
          </w:tcPr>
          <w:p>
            <w:pPr>
              <w:keepNext/>
              <w:keepLines/>
              <w:kinsoku w:val="0"/>
              <w:spacing w:line="320" w:lineRule="exact"/>
              <w:jc w:val="center"/>
              <w:rPr>
                <w:rFonts w:ascii="宋体" w:hAnsi="宋体"/>
                <w:color w:val="auto"/>
              </w:rPr>
            </w:pPr>
          </w:p>
        </w:tc>
        <w:tc>
          <w:tcPr>
            <w:tcW w:w="1276" w:type="dxa"/>
            <w:tcBorders>
              <w:top w:val="single" w:color="000000" w:sz="6" w:space="0"/>
              <w:left w:val="single" w:color="000000" w:sz="6" w:space="0"/>
              <w:bottom w:val="single" w:color="000000" w:sz="6" w:space="0"/>
              <w:right w:val="single" w:color="000000" w:sz="6" w:space="0"/>
            </w:tcBorders>
            <w:noWrap w:val="0"/>
            <w:vAlign w:val="center"/>
          </w:tcPr>
          <w:p>
            <w:pPr>
              <w:keepNext/>
              <w:keepLines/>
              <w:kinsoku w:val="0"/>
              <w:spacing w:line="320" w:lineRule="exact"/>
              <w:jc w:val="center"/>
              <w:rPr>
                <w:rFonts w:ascii="宋体" w:hAnsi="宋体"/>
                <w:color w:val="auto"/>
              </w:rPr>
            </w:pPr>
          </w:p>
        </w:tc>
        <w:tc>
          <w:tcPr>
            <w:tcW w:w="1745" w:type="dxa"/>
            <w:tcBorders>
              <w:top w:val="single" w:color="000000" w:sz="6" w:space="0"/>
              <w:left w:val="single" w:color="000000" w:sz="6" w:space="0"/>
              <w:bottom w:val="single" w:color="000000" w:sz="6" w:space="0"/>
              <w:right w:val="single" w:color="000000" w:sz="6" w:space="0"/>
            </w:tcBorders>
            <w:noWrap w:val="0"/>
            <w:vAlign w:val="center"/>
          </w:tcPr>
          <w:p>
            <w:pPr>
              <w:keepNext/>
              <w:keepLines/>
              <w:kinsoku w:val="0"/>
              <w:spacing w:line="320" w:lineRule="exact"/>
              <w:jc w:val="center"/>
              <w:rPr>
                <w:rFonts w:ascii="宋体" w:hAnsi="宋体"/>
                <w:color w:val="auto"/>
              </w:rPr>
            </w:pPr>
          </w:p>
        </w:tc>
        <w:tc>
          <w:tcPr>
            <w:tcW w:w="1255" w:type="dxa"/>
            <w:tcBorders>
              <w:top w:val="single" w:color="000000" w:sz="6" w:space="0"/>
              <w:left w:val="single" w:color="000000" w:sz="6" w:space="0"/>
              <w:bottom w:val="single" w:color="000000" w:sz="6" w:space="0"/>
              <w:right w:val="single" w:color="000000" w:sz="6" w:space="0"/>
            </w:tcBorders>
            <w:noWrap w:val="0"/>
            <w:vAlign w:val="center"/>
          </w:tcPr>
          <w:p>
            <w:pPr>
              <w:keepNext/>
              <w:keepLines/>
              <w:kinsoku w:val="0"/>
              <w:spacing w:line="320" w:lineRule="exact"/>
              <w:jc w:val="center"/>
              <w:rPr>
                <w:rFonts w:ascii="宋体" w:hAnsi="宋体"/>
                <w:color w:val="auto"/>
              </w:rPr>
            </w:pPr>
          </w:p>
        </w:tc>
        <w:tc>
          <w:tcPr>
            <w:tcW w:w="1415" w:type="dxa"/>
            <w:tcBorders>
              <w:top w:val="single" w:color="000000" w:sz="6" w:space="0"/>
              <w:left w:val="single" w:color="000000" w:sz="6" w:space="0"/>
              <w:bottom w:val="single" w:color="000000" w:sz="6" w:space="0"/>
              <w:right w:val="single" w:color="000000" w:sz="12" w:space="0"/>
            </w:tcBorders>
            <w:noWrap w:val="0"/>
            <w:vAlign w:val="center"/>
          </w:tcPr>
          <w:p>
            <w:pPr>
              <w:keepNext/>
              <w:keepLines/>
              <w:spacing w:line="320" w:lineRule="exact"/>
              <w:jc w:val="center"/>
              <w:rPr>
                <w:rFonts w:ascii="宋体" w:hAnsi="宋体"/>
                <w:color w:val="auto"/>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trHeight w:val="827" w:hRule="atLeast"/>
        </w:trPr>
        <w:tc>
          <w:tcPr>
            <w:tcW w:w="728" w:type="dxa"/>
            <w:tcBorders>
              <w:top w:val="single" w:color="000000" w:sz="6" w:space="0"/>
              <w:left w:val="single" w:color="000000" w:sz="12" w:space="0"/>
              <w:bottom w:val="single" w:color="000000" w:sz="12" w:space="0"/>
              <w:right w:val="single" w:color="000000" w:sz="6" w:space="0"/>
            </w:tcBorders>
            <w:noWrap w:val="0"/>
            <w:vAlign w:val="center"/>
          </w:tcPr>
          <w:p>
            <w:pPr>
              <w:keepNext/>
              <w:keepLines/>
              <w:spacing w:line="320" w:lineRule="exact"/>
              <w:jc w:val="center"/>
              <w:rPr>
                <w:rFonts w:ascii="宋体" w:hAnsi="宋体"/>
                <w:color w:val="auto"/>
              </w:rPr>
            </w:pPr>
          </w:p>
        </w:tc>
        <w:tc>
          <w:tcPr>
            <w:tcW w:w="1843" w:type="dxa"/>
            <w:tcBorders>
              <w:top w:val="single" w:color="000000" w:sz="6" w:space="0"/>
              <w:left w:val="single" w:color="000000" w:sz="6" w:space="0"/>
              <w:bottom w:val="single" w:color="000000" w:sz="12" w:space="0"/>
              <w:right w:val="single" w:color="000000" w:sz="6" w:space="0"/>
            </w:tcBorders>
            <w:noWrap w:val="0"/>
            <w:vAlign w:val="center"/>
          </w:tcPr>
          <w:p>
            <w:pPr>
              <w:keepNext/>
              <w:keepLines/>
              <w:kinsoku w:val="0"/>
              <w:spacing w:line="320" w:lineRule="exact"/>
              <w:jc w:val="center"/>
              <w:rPr>
                <w:rFonts w:ascii="宋体" w:hAnsi="宋体"/>
                <w:color w:val="auto"/>
              </w:rPr>
            </w:pPr>
          </w:p>
        </w:tc>
        <w:tc>
          <w:tcPr>
            <w:tcW w:w="1417" w:type="dxa"/>
            <w:tcBorders>
              <w:top w:val="single" w:color="000000" w:sz="6" w:space="0"/>
              <w:left w:val="single" w:color="000000" w:sz="6" w:space="0"/>
              <w:bottom w:val="single" w:color="000000" w:sz="12" w:space="0"/>
              <w:right w:val="single" w:color="000000" w:sz="6" w:space="0"/>
            </w:tcBorders>
            <w:noWrap w:val="0"/>
            <w:vAlign w:val="center"/>
          </w:tcPr>
          <w:p>
            <w:pPr>
              <w:keepNext/>
              <w:keepLines/>
              <w:kinsoku w:val="0"/>
              <w:spacing w:line="320" w:lineRule="exact"/>
              <w:jc w:val="center"/>
              <w:rPr>
                <w:rFonts w:ascii="宋体" w:hAnsi="宋体"/>
                <w:color w:val="auto"/>
              </w:rPr>
            </w:pPr>
          </w:p>
        </w:tc>
        <w:tc>
          <w:tcPr>
            <w:tcW w:w="1276" w:type="dxa"/>
            <w:tcBorders>
              <w:top w:val="single" w:color="000000" w:sz="6" w:space="0"/>
              <w:left w:val="single" w:color="000000" w:sz="6" w:space="0"/>
              <w:bottom w:val="single" w:color="000000" w:sz="12" w:space="0"/>
              <w:right w:val="single" w:color="000000" w:sz="6" w:space="0"/>
            </w:tcBorders>
            <w:noWrap w:val="0"/>
            <w:vAlign w:val="center"/>
          </w:tcPr>
          <w:p>
            <w:pPr>
              <w:keepNext/>
              <w:keepLines/>
              <w:spacing w:line="320" w:lineRule="exact"/>
              <w:jc w:val="center"/>
              <w:rPr>
                <w:rFonts w:ascii="宋体" w:hAnsi="宋体"/>
                <w:color w:val="auto"/>
              </w:rPr>
            </w:pPr>
          </w:p>
        </w:tc>
        <w:tc>
          <w:tcPr>
            <w:tcW w:w="1745" w:type="dxa"/>
            <w:tcBorders>
              <w:top w:val="single" w:color="000000" w:sz="6" w:space="0"/>
              <w:left w:val="single" w:color="000000" w:sz="6" w:space="0"/>
              <w:bottom w:val="single" w:color="000000" w:sz="12" w:space="0"/>
              <w:right w:val="single" w:color="000000" w:sz="6" w:space="0"/>
            </w:tcBorders>
            <w:noWrap w:val="0"/>
            <w:vAlign w:val="center"/>
          </w:tcPr>
          <w:p>
            <w:pPr>
              <w:keepNext/>
              <w:keepLines/>
              <w:spacing w:line="320" w:lineRule="exact"/>
              <w:jc w:val="center"/>
              <w:rPr>
                <w:rFonts w:ascii="宋体" w:hAnsi="宋体"/>
                <w:color w:val="auto"/>
              </w:rPr>
            </w:pPr>
          </w:p>
        </w:tc>
        <w:tc>
          <w:tcPr>
            <w:tcW w:w="1255" w:type="dxa"/>
            <w:tcBorders>
              <w:top w:val="single" w:color="000000" w:sz="6" w:space="0"/>
              <w:left w:val="single" w:color="000000" w:sz="6" w:space="0"/>
              <w:bottom w:val="single" w:color="000000" w:sz="12" w:space="0"/>
              <w:right w:val="single" w:color="000000" w:sz="6" w:space="0"/>
            </w:tcBorders>
            <w:noWrap w:val="0"/>
            <w:vAlign w:val="center"/>
          </w:tcPr>
          <w:p>
            <w:pPr>
              <w:keepNext/>
              <w:keepLines/>
              <w:spacing w:line="320" w:lineRule="exact"/>
              <w:jc w:val="center"/>
              <w:rPr>
                <w:rFonts w:ascii="宋体" w:hAnsi="宋体"/>
                <w:color w:val="auto"/>
              </w:rPr>
            </w:pPr>
          </w:p>
        </w:tc>
        <w:tc>
          <w:tcPr>
            <w:tcW w:w="1415" w:type="dxa"/>
            <w:tcBorders>
              <w:top w:val="single" w:color="000000" w:sz="6" w:space="0"/>
              <w:left w:val="single" w:color="000000" w:sz="6" w:space="0"/>
              <w:bottom w:val="single" w:color="000000" w:sz="12" w:space="0"/>
              <w:right w:val="single" w:color="000000" w:sz="12" w:space="0"/>
            </w:tcBorders>
            <w:noWrap w:val="0"/>
            <w:vAlign w:val="center"/>
          </w:tcPr>
          <w:p>
            <w:pPr>
              <w:keepNext/>
              <w:keepLines/>
              <w:spacing w:line="320" w:lineRule="exact"/>
              <w:jc w:val="center"/>
              <w:rPr>
                <w:rFonts w:ascii="宋体" w:hAnsi="宋体"/>
                <w:color w:val="auto"/>
              </w:rPr>
            </w:pPr>
          </w:p>
        </w:tc>
      </w:tr>
    </w:tbl>
    <w:p>
      <w:pPr>
        <w:spacing w:line="400" w:lineRule="exact"/>
        <w:rPr>
          <w:rFonts w:ascii="宋体" w:hAnsi="宋体"/>
          <w:color w:val="auto"/>
          <w:szCs w:val="21"/>
        </w:rPr>
      </w:pPr>
      <w:r>
        <w:rPr>
          <w:rFonts w:hint="eastAsia" w:ascii="宋体" w:hAnsi="宋体"/>
          <w:color w:val="auto"/>
          <w:szCs w:val="21"/>
        </w:rPr>
        <w:t>备注：不填写此表的不作为评审依据，并附上相关附件</w:t>
      </w:r>
    </w:p>
    <w:p>
      <w:pPr>
        <w:widowControl/>
        <w:autoSpaceDE/>
        <w:autoSpaceDN/>
        <w:adjustRightInd/>
        <w:rPr>
          <w:rFonts w:ascii="Microsoft JhengHei" w:hAnsi="Times New Roman" w:eastAsia="Microsoft JhengHei" w:cs="Microsoft JhengHei"/>
          <w:b/>
          <w:bCs/>
          <w:color w:val="auto"/>
        </w:rPr>
      </w:pPr>
      <w:r>
        <w:rPr>
          <w:rFonts w:ascii="Microsoft JhengHei" w:eastAsia="Microsoft JhengHei" w:cs="Microsoft JhengHei"/>
          <w:b/>
          <w:bCs/>
          <w:color w:val="auto"/>
        </w:rPr>
        <w:br w:type="page"/>
      </w:r>
    </w:p>
    <w:p>
      <w:pPr>
        <w:jc w:val="center"/>
        <w:rPr>
          <w:rFonts w:ascii="宋体" w:hAnsi="宋体"/>
          <w:b/>
          <w:bCs/>
          <w:color w:val="auto"/>
          <w:sz w:val="36"/>
        </w:rPr>
      </w:pPr>
      <w:r>
        <w:rPr>
          <w:rFonts w:hint="eastAsia" w:ascii="宋体" w:hAnsi="宋体"/>
          <w:b/>
          <w:bCs/>
          <w:color w:val="auto"/>
          <w:sz w:val="36"/>
        </w:rPr>
        <w:t>联合体投标协议书</w:t>
      </w:r>
    </w:p>
    <w:p>
      <w:pPr>
        <w:snapToGrid w:val="0"/>
        <w:spacing w:line="360" w:lineRule="auto"/>
        <w:jc w:val="center"/>
        <w:rPr>
          <w:rFonts w:ascii="宋体" w:hAnsi="宋体" w:cs="Arial"/>
          <w:color w:val="auto"/>
        </w:rPr>
      </w:pPr>
      <w:r>
        <w:rPr>
          <w:rFonts w:hint="eastAsia" w:ascii="宋体" w:hAnsi="宋体" w:cs="Arial"/>
          <w:color w:val="auto"/>
        </w:rPr>
        <w:t>（格式供参考）</w:t>
      </w:r>
    </w:p>
    <w:p>
      <w:pPr>
        <w:snapToGrid w:val="0"/>
        <w:spacing w:line="360" w:lineRule="auto"/>
        <w:jc w:val="center"/>
        <w:rPr>
          <w:rFonts w:ascii="宋体" w:hAnsi="宋体" w:cs="Arial"/>
          <w:color w:val="auto"/>
        </w:rPr>
      </w:pPr>
    </w:p>
    <w:p>
      <w:pPr>
        <w:snapToGrid w:val="0"/>
        <w:spacing w:line="360" w:lineRule="auto"/>
        <w:rPr>
          <w:rFonts w:ascii="宋体" w:hAnsi="宋体" w:cs="Arial"/>
          <w:color w:val="auto"/>
        </w:rPr>
      </w:pPr>
      <w:r>
        <w:rPr>
          <w:rFonts w:hint="eastAsia" w:ascii="宋体" w:hAnsi="宋体" w:cs="Arial"/>
          <w:color w:val="auto"/>
        </w:rPr>
        <w:t>（所有成员单位名称）自愿组成（联合体名称）联合体，共同参加（项目名称）投标。现就联合体投标事宜订立如下协议。</w:t>
      </w:r>
    </w:p>
    <w:p>
      <w:pPr>
        <w:snapToGrid w:val="0"/>
        <w:spacing w:line="360" w:lineRule="auto"/>
        <w:rPr>
          <w:rFonts w:ascii="宋体" w:hAnsi="宋体" w:cs="Arial"/>
          <w:color w:val="auto"/>
        </w:rPr>
      </w:pPr>
      <w:r>
        <w:rPr>
          <w:rFonts w:ascii="宋体" w:hAnsi="宋体" w:cs="Arial"/>
          <w:color w:val="auto"/>
        </w:rPr>
        <w:t>1</w:t>
      </w:r>
      <w:r>
        <w:rPr>
          <w:rFonts w:hint="eastAsia" w:ascii="宋体" w:hAnsi="宋体" w:cs="Arial"/>
          <w:color w:val="auto"/>
        </w:rPr>
        <w:t>、（某成员单位名称）为（联合体名称）牵头人。</w:t>
      </w:r>
    </w:p>
    <w:p>
      <w:pPr>
        <w:snapToGrid w:val="0"/>
        <w:spacing w:line="360" w:lineRule="auto"/>
        <w:rPr>
          <w:rFonts w:ascii="宋体" w:hAnsi="宋体" w:cs="Arial"/>
          <w:color w:val="auto"/>
        </w:rPr>
      </w:pPr>
      <w:r>
        <w:rPr>
          <w:rFonts w:ascii="宋体" w:hAnsi="宋体" w:cs="Arial"/>
          <w:color w:val="auto"/>
        </w:rPr>
        <w:t>2</w:t>
      </w:r>
      <w:r>
        <w:rPr>
          <w:rFonts w:hint="eastAsia" w:ascii="宋体" w:hAnsi="宋体" w:cs="Arial"/>
          <w:color w:val="auto"/>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napToGrid w:val="0"/>
        <w:spacing w:line="360" w:lineRule="auto"/>
        <w:rPr>
          <w:rFonts w:ascii="宋体" w:hAnsi="宋体" w:cs="Arial"/>
          <w:color w:val="auto"/>
        </w:rPr>
      </w:pPr>
      <w:r>
        <w:rPr>
          <w:rFonts w:ascii="宋体" w:hAnsi="宋体" w:cs="Arial"/>
          <w:color w:val="auto"/>
        </w:rPr>
        <w:t>3</w:t>
      </w:r>
      <w:r>
        <w:rPr>
          <w:rFonts w:hint="eastAsia" w:ascii="宋体" w:hAnsi="宋体" w:cs="Arial"/>
          <w:color w:val="auto"/>
        </w:rPr>
        <w:t>、联合体将按照招标文件的各项要求，递交投标文件，履行合同，并对招标人承担连带责任。</w:t>
      </w:r>
    </w:p>
    <w:p>
      <w:pPr>
        <w:snapToGrid w:val="0"/>
        <w:spacing w:line="360" w:lineRule="auto"/>
        <w:rPr>
          <w:rFonts w:ascii="宋体" w:hAnsi="宋体" w:cs="Arial"/>
          <w:color w:val="auto"/>
        </w:rPr>
      </w:pPr>
      <w:r>
        <w:rPr>
          <w:rFonts w:ascii="宋体" w:hAnsi="宋体" w:cs="Arial"/>
          <w:color w:val="auto"/>
        </w:rPr>
        <w:t>4</w:t>
      </w:r>
      <w:r>
        <w:rPr>
          <w:rFonts w:hint="eastAsia" w:ascii="宋体" w:hAnsi="宋体" w:cs="Arial"/>
          <w:color w:val="auto"/>
        </w:rPr>
        <w:t>、联合体各成员单位内部的职责分工如下</w:t>
      </w:r>
      <w:r>
        <w:rPr>
          <w:rFonts w:hint="eastAsia" w:ascii="宋体" w:hAnsi="宋体" w:cs="Arial"/>
          <w:color w:val="auto"/>
          <w:u w:val="single"/>
        </w:rPr>
        <w:t>：</w:t>
      </w:r>
      <w:r>
        <w:rPr>
          <w:rFonts w:hint="eastAsia" w:ascii="宋体" w:hAnsi="宋体" w:cs="Arial"/>
          <w:color w:val="auto"/>
          <w:u w:val="single"/>
          <w:lang w:val="en-US" w:eastAsia="zh-CN"/>
        </w:rPr>
        <w:t xml:space="preserve">                        </w:t>
      </w:r>
      <w:r>
        <w:rPr>
          <w:rFonts w:hint="eastAsia" w:ascii="宋体" w:hAnsi="宋体" w:cs="Arial"/>
          <w:color w:val="auto"/>
        </w:rPr>
        <w:t>。</w:t>
      </w:r>
    </w:p>
    <w:p>
      <w:pPr>
        <w:snapToGrid w:val="0"/>
        <w:spacing w:line="360" w:lineRule="auto"/>
        <w:rPr>
          <w:rFonts w:ascii="宋体" w:hAnsi="宋体" w:cs="Arial"/>
          <w:color w:val="auto"/>
        </w:rPr>
      </w:pPr>
      <w:r>
        <w:rPr>
          <w:rFonts w:ascii="宋体" w:hAnsi="宋体" w:cs="Arial"/>
          <w:color w:val="auto"/>
        </w:rPr>
        <w:t>5</w:t>
      </w:r>
      <w:r>
        <w:rPr>
          <w:rFonts w:hint="eastAsia" w:ascii="宋体" w:hAnsi="宋体" w:cs="Arial"/>
          <w:color w:val="auto"/>
        </w:rPr>
        <w:t>、联合体各成员单位关于收取招标人支付项目各项费用的约定如下：。</w:t>
      </w:r>
    </w:p>
    <w:p>
      <w:pPr>
        <w:snapToGrid w:val="0"/>
        <w:spacing w:line="360" w:lineRule="auto"/>
        <w:rPr>
          <w:rFonts w:ascii="宋体" w:hAnsi="宋体" w:cs="Arial"/>
          <w:color w:val="auto"/>
        </w:rPr>
      </w:pPr>
      <w:r>
        <w:rPr>
          <w:rFonts w:ascii="宋体" w:hAnsi="宋体" w:cs="Arial"/>
          <w:color w:val="auto"/>
        </w:rPr>
        <w:t>6</w:t>
      </w:r>
      <w:r>
        <w:rPr>
          <w:rFonts w:hint="eastAsia" w:ascii="宋体" w:hAnsi="宋体" w:cs="Arial"/>
          <w:color w:val="auto"/>
        </w:rPr>
        <w:t>、本协议书自签署之日起生效。</w:t>
      </w:r>
    </w:p>
    <w:p>
      <w:pPr>
        <w:snapToGrid w:val="0"/>
        <w:spacing w:line="360" w:lineRule="auto"/>
        <w:rPr>
          <w:rFonts w:ascii="宋体" w:hAnsi="宋体" w:cs="Arial"/>
          <w:color w:val="auto"/>
        </w:rPr>
      </w:pPr>
      <w:r>
        <w:rPr>
          <w:rFonts w:ascii="宋体" w:hAnsi="宋体" w:cs="Arial"/>
          <w:color w:val="auto"/>
        </w:rPr>
        <w:t>7</w:t>
      </w:r>
      <w:r>
        <w:rPr>
          <w:rFonts w:hint="eastAsia" w:ascii="宋体" w:hAnsi="宋体" w:cs="Arial"/>
          <w:color w:val="auto"/>
        </w:rPr>
        <w:t>、本协议书一式份，联合体成员和招标人各执一份。</w:t>
      </w:r>
    </w:p>
    <w:p>
      <w:pPr>
        <w:snapToGrid w:val="0"/>
        <w:spacing w:line="360" w:lineRule="auto"/>
        <w:rPr>
          <w:rFonts w:ascii="宋体" w:hAnsi="宋体" w:cs="Arial"/>
          <w:color w:val="auto"/>
        </w:rPr>
      </w:pPr>
      <w:r>
        <w:rPr>
          <w:rFonts w:hint="eastAsia" w:ascii="宋体" w:hAnsi="宋体" w:cs="Arial"/>
          <w:color w:val="auto"/>
        </w:rPr>
        <w:t>注：本协议书由委托代理人签字的，应附法定代表人签字或盖章的授权委托书。</w:t>
      </w:r>
    </w:p>
    <w:p>
      <w:pPr>
        <w:snapToGrid w:val="0"/>
        <w:spacing w:line="360" w:lineRule="auto"/>
        <w:rPr>
          <w:rFonts w:ascii="宋体" w:hAnsi="宋体" w:cs="Arial"/>
          <w:color w:val="auto"/>
        </w:rPr>
      </w:pPr>
    </w:p>
    <w:p>
      <w:pPr>
        <w:snapToGrid w:val="0"/>
        <w:spacing w:line="360" w:lineRule="auto"/>
        <w:rPr>
          <w:rFonts w:ascii="宋体" w:hAnsi="宋体" w:cs="Arial"/>
          <w:color w:val="auto"/>
          <w:u w:val="single"/>
        </w:rPr>
      </w:pPr>
      <w:r>
        <w:rPr>
          <w:rFonts w:hint="eastAsia" w:ascii="宋体" w:hAnsi="宋体" w:cs="Arial"/>
          <w:color w:val="auto"/>
          <w:u w:val="single"/>
        </w:rPr>
        <w:t>牵头人名称：</w:t>
      </w:r>
      <w:r>
        <w:rPr>
          <w:rFonts w:ascii="宋体" w:hAnsi="宋体" w:cs="Arial"/>
          <w:color w:val="auto"/>
          <w:u w:val="single"/>
        </w:rPr>
        <w:t xml:space="preserve">      </w:t>
      </w:r>
      <w:r>
        <w:rPr>
          <w:rFonts w:hint="eastAsia" w:ascii="宋体" w:hAnsi="宋体" w:cs="Arial"/>
          <w:color w:val="auto"/>
          <w:u w:val="single"/>
        </w:rPr>
        <w:t>（单位盖章）</w:t>
      </w:r>
    </w:p>
    <w:p>
      <w:pPr>
        <w:snapToGrid w:val="0"/>
        <w:spacing w:line="360" w:lineRule="auto"/>
        <w:rPr>
          <w:rFonts w:ascii="宋体" w:hAnsi="宋体" w:cs="Arial"/>
          <w:color w:val="auto"/>
          <w:u w:val="single"/>
        </w:rPr>
      </w:pPr>
      <w:r>
        <w:rPr>
          <w:rFonts w:hint="eastAsia" w:ascii="宋体" w:hAnsi="宋体" w:cs="Arial"/>
          <w:color w:val="auto"/>
          <w:u w:val="single"/>
        </w:rPr>
        <w:t>法定代表人或其委托代理人（</w:t>
      </w:r>
      <w:r>
        <w:rPr>
          <w:rFonts w:hint="eastAsia" w:hAnsi="宋体" w:cs="Courier New"/>
          <w:color w:val="auto"/>
          <w:u w:val="single"/>
        </w:rPr>
        <w:t>签字或盖章</w:t>
      </w:r>
      <w:r>
        <w:rPr>
          <w:rFonts w:hint="eastAsia" w:ascii="宋体" w:hAnsi="宋体" w:cs="Arial"/>
          <w:color w:val="auto"/>
          <w:u w:val="single"/>
        </w:rPr>
        <w:t>）：</w:t>
      </w:r>
    </w:p>
    <w:p>
      <w:pPr>
        <w:snapToGrid w:val="0"/>
        <w:spacing w:line="360" w:lineRule="auto"/>
        <w:rPr>
          <w:rFonts w:ascii="宋体" w:hAnsi="宋体" w:cs="Arial"/>
          <w:color w:val="auto"/>
          <w:u w:val="single"/>
        </w:rPr>
      </w:pPr>
    </w:p>
    <w:p>
      <w:pPr>
        <w:snapToGrid w:val="0"/>
        <w:spacing w:line="360" w:lineRule="auto"/>
        <w:rPr>
          <w:rFonts w:ascii="宋体" w:hAnsi="宋体" w:cs="Arial"/>
          <w:color w:val="auto"/>
          <w:u w:val="single"/>
        </w:rPr>
      </w:pPr>
      <w:r>
        <w:rPr>
          <w:rFonts w:hint="eastAsia" w:ascii="宋体" w:hAnsi="宋体" w:cs="Arial"/>
          <w:color w:val="auto"/>
          <w:u w:val="single"/>
        </w:rPr>
        <w:t>成员名称：（单位盖章）</w:t>
      </w:r>
    </w:p>
    <w:p>
      <w:pPr>
        <w:snapToGrid w:val="0"/>
        <w:spacing w:line="360" w:lineRule="auto"/>
        <w:rPr>
          <w:rFonts w:ascii="宋体" w:hAnsi="宋体" w:cs="Arial"/>
          <w:color w:val="auto"/>
          <w:u w:val="single"/>
        </w:rPr>
      </w:pPr>
      <w:r>
        <w:rPr>
          <w:rFonts w:hint="eastAsia" w:ascii="宋体" w:hAnsi="宋体" w:cs="Arial"/>
          <w:color w:val="auto"/>
          <w:u w:val="single"/>
        </w:rPr>
        <w:t>法定代表人或其委托代理人（</w:t>
      </w:r>
      <w:r>
        <w:rPr>
          <w:rFonts w:hint="eastAsia" w:hAnsi="宋体" w:cs="Courier New"/>
          <w:color w:val="auto"/>
          <w:u w:val="single"/>
        </w:rPr>
        <w:t>签字或盖章</w:t>
      </w:r>
      <w:r>
        <w:rPr>
          <w:rFonts w:hint="eastAsia" w:ascii="宋体" w:hAnsi="宋体" w:cs="Arial"/>
          <w:color w:val="auto"/>
          <w:u w:val="single"/>
        </w:rPr>
        <w:t>）：</w:t>
      </w:r>
    </w:p>
    <w:p>
      <w:pPr>
        <w:pStyle w:val="2"/>
        <w:rPr>
          <w:rFonts w:ascii="宋体" w:hAnsi="宋体" w:eastAsia="宋体" w:cs="Arial"/>
          <w:color w:val="auto"/>
        </w:rPr>
      </w:pPr>
      <w:r>
        <w:rPr>
          <w:rFonts w:hint="eastAsia" w:ascii="宋体" w:hAnsi="宋体" w:eastAsia="宋体" w:cs="Arial"/>
          <w:color w:val="auto"/>
        </w:rPr>
        <w:t>年月日</w:t>
      </w:r>
    </w:p>
    <w:p>
      <w:pPr>
        <w:widowControl/>
        <w:autoSpaceDE/>
        <w:autoSpaceDN/>
        <w:adjustRightInd/>
        <w:rPr>
          <w:rFonts w:ascii="Microsoft JhengHei" w:hAnsi="Times New Roman" w:eastAsia="Microsoft JhengHei" w:cs="Microsoft JhengHei"/>
          <w:b/>
          <w:bCs/>
          <w:color w:val="auto"/>
        </w:rPr>
      </w:pPr>
      <w:r>
        <w:rPr>
          <w:rFonts w:ascii="Microsoft JhengHei" w:eastAsia="Microsoft JhengHei" w:cs="Microsoft JhengHei"/>
          <w:b/>
          <w:bCs/>
          <w:color w:val="auto"/>
        </w:rPr>
        <w:br w:type="page"/>
      </w:r>
    </w:p>
    <w:p>
      <w:pPr>
        <w:spacing w:line="480" w:lineRule="auto"/>
        <w:ind w:firstLine="2891" w:firstLineChars="800"/>
        <w:jc w:val="both"/>
        <w:rPr>
          <w:color w:val="auto"/>
        </w:rPr>
      </w:pPr>
      <w:r>
        <w:rPr>
          <w:rFonts w:hint="eastAsia" w:ascii="宋体" w:hAnsi="宋体"/>
          <w:b/>
          <w:bCs/>
          <w:color w:val="auto"/>
          <w:sz w:val="36"/>
          <w:szCs w:val="20"/>
        </w:rPr>
        <w:t>投标保证金</w:t>
      </w:r>
    </w:p>
    <w:p>
      <w:pPr>
        <w:spacing w:line="480" w:lineRule="auto"/>
        <w:ind w:firstLine="0" w:firstLineChars="0"/>
        <w:jc w:val="both"/>
        <w:rPr>
          <w:rFonts w:hint="eastAsia" w:eastAsia="宋体"/>
          <w:color w:val="auto"/>
          <w:lang w:eastAsia="zh-CN"/>
        </w:rPr>
      </w:pPr>
      <w:r>
        <w:rPr>
          <w:rFonts w:hint="eastAsia"/>
          <w:color w:val="auto"/>
          <w:lang w:eastAsia="zh-CN"/>
        </w:rPr>
        <w:t>提供以下证明材料：</w:t>
      </w:r>
    </w:p>
    <w:p>
      <w:pPr>
        <w:pStyle w:val="18"/>
        <w:numPr>
          <w:ilvl w:val="0"/>
          <w:numId w:val="47"/>
        </w:numPr>
        <w:kinsoku w:val="0"/>
        <w:spacing w:before="7"/>
        <w:ind w:left="0" w:leftChars="0" w:firstLine="0" w:firstLineChars="0"/>
        <w:rPr>
          <w:rFonts w:hint="eastAsia" w:ascii="宋体" w:hAnsi="宋体" w:cs="Arial"/>
          <w:b w:val="0"/>
          <w:bCs w:val="0"/>
          <w:color w:val="auto"/>
          <w:lang w:val="en-US" w:eastAsia="zh-CN"/>
        </w:rPr>
      </w:pPr>
      <w:r>
        <w:rPr>
          <w:rFonts w:hint="eastAsia" w:ascii="宋体" w:hAnsi="宋体" w:cs="Arial"/>
          <w:b w:val="0"/>
          <w:bCs w:val="0"/>
          <w:color w:val="auto"/>
          <w:u w:val="single"/>
          <w:lang w:val="en-US" w:eastAsia="zh-CN"/>
        </w:rPr>
        <w:t xml:space="preserve">              </w:t>
      </w:r>
      <w:r>
        <w:rPr>
          <w:rFonts w:hint="eastAsia" w:ascii="宋体" w:hAnsi="宋体" w:cs="Arial"/>
          <w:b w:val="0"/>
          <w:bCs w:val="0"/>
          <w:color w:val="auto"/>
          <w:lang w:val="en-US" w:eastAsia="zh-CN"/>
        </w:rPr>
        <w:t>年度（联保）保证金证明材料扫描（电子）</w:t>
      </w:r>
      <w:r>
        <w:rPr>
          <w:rFonts w:hint="eastAsia" w:ascii="宋体" w:hAnsi="宋体" w:cs="Arial"/>
          <w:color w:val="auto"/>
          <w:sz w:val="24"/>
          <w:lang w:val="en-US" w:eastAsia="zh-CN"/>
        </w:rPr>
        <w:t>件（投标人盖章）</w:t>
      </w:r>
    </w:p>
    <w:p>
      <w:pPr>
        <w:pStyle w:val="18"/>
        <w:numPr>
          <w:ilvl w:val="-1"/>
          <w:numId w:val="0"/>
        </w:numPr>
        <w:kinsoku w:val="0"/>
        <w:spacing w:before="7"/>
        <w:ind w:left="0" w:leftChars="0" w:firstLine="0" w:firstLineChars="0"/>
        <w:rPr>
          <w:rFonts w:hint="eastAsia" w:ascii="宋体" w:hAnsi="宋体" w:cs="Arial"/>
          <w:color w:val="auto"/>
          <w:lang w:val="en-US" w:eastAsia="zh-CN"/>
        </w:rPr>
      </w:pPr>
    </w:p>
    <w:p>
      <w:pPr>
        <w:pStyle w:val="18"/>
        <w:numPr>
          <w:ilvl w:val="-1"/>
          <w:numId w:val="0"/>
        </w:numPr>
        <w:kinsoku w:val="0"/>
        <w:spacing w:before="7"/>
        <w:ind w:left="0" w:leftChars="0" w:firstLine="0" w:firstLineChars="0"/>
        <w:rPr>
          <w:rFonts w:hint="eastAsia" w:ascii="宋体" w:hAnsi="宋体" w:cs="Arial"/>
          <w:b w:val="0"/>
          <w:bCs w:val="0"/>
          <w:color w:val="auto"/>
          <w:lang w:val="en-US" w:eastAsia="zh-CN"/>
        </w:rPr>
      </w:pPr>
      <w:r>
        <w:rPr>
          <w:rFonts w:hint="eastAsia" w:ascii="宋体" w:hAnsi="宋体" w:cs="Arial"/>
          <w:color w:val="auto"/>
          <w:lang w:val="en-US" w:eastAsia="zh-CN"/>
        </w:rPr>
        <w:t>2.银行转账凭证</w:t>
      </w:r>
      <w:r>
        <w:rPr>
          <w:rFonts w:hint="eastAsia" w:ascii="宋体" w:hAnsi="宋体" w:cs="Arial"/>
          <w:b w:val="0"/>
          <w:bCs w:val="0"/>
          <w:color w:val="auto"/>
          <w:lang w:val="en-US" w:eastAsia="zh-CN"/>
        </w:rPr>
        <w:t>扫描（电子）</w:t>
      </w:r>
      <w:r>
        <w:rPr>
          <w:rFonts w:hint="eastAsia" w:ascii="宋体" w:hAnsi="宋体" w:cs="Arial"/>
          <w:color w:val="auto"/>
          <w:sz w:val="24"/>
          <w:lang w:val="en-US" w:eastAsia="zh-CN"/>
        </w:rPr>
        <w:t>件（投标人盖章）</w:t>
      </w:r>
    </w:p>
    <w:p>
      <w:pPr>
        <w:pStyle w:val="19"/>
        <w:numPr>
          <w:ilvl w:val="-1"/>
          <w:numId w:val="0"/>
        </w:numPr>
        <w:ind w:left="0" w:leftChars="0" w:firstLine="0" w:firstLineChars="0"/>
        <w:rPr>
          <w:rFonts w:hint="eastAsia" w:ascii="宋体" w:hAnsi="宋体" w:cs="Arial"/>
          <w:color w:val="auto"/>
          <w:sz w:val="24"/>
          <w:lang w:val="en-US" w:eastAsia="zh-CN"/>
        </w:rPr>
      </w:pPr>
    </w:p>
    <w:p>
      <w:pPr>
        <w:pStyle w:val="18"/>
        <w:numPr>
          <w:ilvl w:val="-1"/>
          <w:numId w:val="0"/>
        </w:numPr>
        <w:kinsoku w:val="0"/>
        <w:spacing w:before="7"/>
        <w:ind w:left="0" w:leftChars="0" w:firstLine="0" w:firstLineChars="0"/>
        <w:rPr>
          <w:rFonts w:hint="eastAsia" w:ascii="宋体" w:hAnsi="宋体" w:cs="Arial"/>
          <w:b w:val="0"/>
          <w:bCs w:val="0"/>
          <w:color w:val="auto"/>
          <w:lang w:val="en-US" w:eastAsia="zh-CN"/>
        </w:rPr>
      </w:pPr>
      <w:r>
        <w:rPr>
          <w:rFonts w:hint="eastAsia" w:ascii="宋体" w:hAnsi="宋体" w:cs="Arial"/>
          <w:color w:val="auto"/>
          <w:lang w:val="en-US" w:eastAsia="zh-CN"/>
        </w:rPr>
        <w:t>3.保函</w:t>
      </w:r>
      <w:r>
        <w:rPr>
          <w:rFonts w:hint="eastAsia" w:ascii="宋体" w:hAnsi="宋体" w:cs="Arial"/>
          <w:b w:val="0"/>
          <w:bCs w:val="0"/>
          <w:color w:val="auto"/>
          <w:lang w:val="en-US" w:eastAsia="zh-CN"/>
        </w:rPr>
        <w:t>扫描（电子）</w:t>
      </w:r>
      <w:r>
        <w:rPr>
          <w:rFonts w:hint="eastAsia" w:ascii="宋体" w:hAnsi="宋体" w:cs="Arial"/>
          <w:color w:val="auto"/>
          <w:sz w:val="24"/>
          <w:lang w:val="en-US" w:eastAsia="zh-CN"/>
        </w:rPr>
        <w:t>件（投标人盖章）</w:t>
      </w:r>
    </w:p>
    <w:p>
      <w:pPr>
        <w:pStyle w:val="19"/>
        <w:numPr>
          <w:ilvl w:val="-1"/>
          <w:numId w:val="0"/>
        </w:numPr>
        <w:ind w:left="0" w:leftChars="0" w:firstLine="0" w:firstLineChars="0"/>
        <w:rPr>
          <w:rFonts w:hint="eastAsia" w:ascii="宋体" w:hAnsi="宋体" w:cs="Arial"/>
          <w:color w:val="auto"/>
          <w:sz w:val="24"/>
          <w:lang w:val="en-US" w:eastAsia="zh-CN"/>
        </w:rPr>
      </w:pPr>
      <w:r>
        <w:rPr>
          <w:rFonts w:hint="eastAsia" w:ascii="宋体" w:hAnsi="宋体" w:cs="Arial"/>
          <w:color w:val="auto"/>
          <w:sz w:val="24"/>
          <w:lang w:val="en-US" w:eastAsia="zh-CN"/>
        </w:rPr>
        <w:t xml:space="preserve">                          </w:t>
      </w:r>
    </w:p>
    <w:p>
      <w:pPr>
        <w:tabs>
          <w:tab w:val="left" w:pos="5295"/>
        </w:tabs>
        <w:bidi w:val="0"/>
        <w:jc w:val="left"/>
        <w:rPr>
          <w:rFonts w:hint="default"/>
          <w:lang w:val="en-US" w:eastAsia="zh-CN"/>
        </w:rPr>
      </w:pPr>
      <w:r>
        <w:rPr>
          <w:rFonts w:hint="eastAsia"/>
          <w:lang w:val="en-US" w:eastAsia="zh-CN"/>
        </w:rPr>
        <w:tab/>
      </w:r>
    </w:p>
    <w:sectPr>
      <w:pgSz w:w="12240" w:h="15840"/>
      <w:pgMar w:top="1400" w:right="1718" w:bottom="1123" w:left="1718" w:header="0" w:footer="919" w:gutter="0"/>
      <w:cols w:space="720" w:num="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裘建达" w:date="2022-06-06T13:07:01Z" w:initials="裘建达">
    <w:p w14:paraId="17557054">
      <w:pPr>
        <w:pStyle w:val="16"/>
        <w:rPr>
          <w:rFonts w:hint="eastAsia" w:eastAsia="宋体"/>
          <w:lang w:eastAsia="zh-CN"/>
        </w:rPr>
      </w:pPr>
      <w:r>
        <w:rPr>
          <w:rFonts w:hint="eastAsia"/>
          <w:lang w:eastAsia="zh-CN"/>
        </w:rPr>
        <w:t>建设局调整内容，再次确认一下安责险</w:t>
      </w:r>
    </w:p>
  </w:comment>
  <w:comment w:id="1" w:author="qyl" w:date="2022-06-07T17:13:10Z" w:initials="">
    <w:p w14:paraId="3BC14314">
      <w:pPr>
        <w:pStyle w:val="16"/>
        <w:rPr>
          <w:rFonts w:hint="default" w:eastAsia="宋体"/>
          <w:lang w:val="en-US" w:eastAsia="zh-CN"/>
        </w:rPr>
      </w:pPr>
      <w:r>
        <w:rPr>
          <w:rFonts w:hint="eastAsia"/>
          <w:lang w:val="en-US" w:eastAsia="zh-CN"/>
        </w:rPr>
        <w:t>安责险不用了</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7557054" w15:done="1"/>
  <w15:commentEx w15:paraId="3BC14314" w15:done="0" w15:paraIdParent="1755705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icrosoft YaHei UI">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CS?o｡ﾀ?">
    <w:altName w:val="Yu Gothic"/>
    <w:panose1 w:val="00000000000000000000"/>
    <w:charset w:val="80"/>
    <w:family w:val="modern"/>
    <w:pitch w:val="default"/>
    <w:sig w:usb0="00000000" w:usb1="00000000" w:usb2="00000010" w:usb3="00000000" w:csb0="00020000" w:csb1="00000000"/>
  </w:font>
  <w:font w:name="Tahoma">
    <w:panose1 w:val="020B0604030504040204"/>
    <w:charset w:val="00"/>
    <w:family w:val="swiss"/>
    <w:pitch w:val="default"/>
    <w:sig w:usb0="E1002EFF" w:usb1="C000605B" w:usb2="00000029" w:usb3="00000000" w:csb0="200101FF" w:csb1="20280000"/>
  </w:font>
  <w:font w:name="Wingdings 2">
    <w:altName w:val="Wingdings"/>
    <w:panose1 w:val="05020102010507070707"/>
    <w:charset w:val="02"/>
    <w:family w:val="roman"/>
    <w:pitch w:val="default"/>
    <w:sig w:usb0="00000000" w:usb1="00000000" w:usb2="00000000" w:usb3="00000000" w:csb0="80000000" w:csb1="00000000"/>
  </w:font>
  <w:font w:name="Microsoft JhengHei">
    <w:panose1 w:val="020B0604030504040204"/>
    <w:charset w:val="88"/>
    <w:family w:val="swiss"/>
    <w:pitch w:val="default"/>
    <w:sig w:usb0="000002A7" w:usb1="28CF4400" w:usb2="00000016" w:usb3="00000000" w:csb0="00100009"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 w:name="方正公文黑体">
    <w:altName w:val="黑体"/>
    <w:panose1 w:val="02000500000000000000"/>
    <w:charset w:val="86"/>
    <w:family w:val="auto"/>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inherit">
    <w:altName w:val="微软雅黑"/>
    <w:panose1 w:val="00000000000000000000"/>
    <w:charset w:val="00"/>
    <w:family w:val="roman"/>
    <w:pitch w:val="default"/>
    <w:sig w:usb0="00000000" w:usb1="00000000" w:usb2="00000000" w:usb3="00000000" w:csb0="00040001" w:csb1="00000000"/>
  </w:font>
  <w:font w:name="ËÎÌå">
    <w:altName w:val="Times New Roman"/>
    <w:panose1 w:val="00000000000000000000"/>
    <w:charset w:val="00"/>
    <w:family w:val="swiss"/>
    <w:pitch w:val="default"/>
    <w:sig w:usb0="00000000" w:usb1="00000000" w:usb2="00000000" w:usb3="00000000" w:csb0="00000001" w:csb1="00000000"/>
  </w:font>
  <w:font w:name="Yu Gothic">
    <w:panose1 w:val="020B04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1</w:t>
    </w:r>
    <w:r>
      <w:fldChar w:fldCharType="end"/>
    </w:r>
  </w:p>
  <w:p>
    <w:pPr>
      <w:pStyle w:val="18"/>
      <w:kinsoku w:val="0"/>
      <w:overflowPunct w:val="0"/>
      <w:spacing w:line="14" w:lineRule="auto"/>
      <w:ind w:left="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8</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26"/>
              <wp:cNvGraphicFramePr/>
              <a:graphic xmlns:a="http://schemas.openxmlformats.org/drawingml/2006/main">
                <a:graphicData uri="http://schemas.microsoft.com/office/word/2010/wordprocessingShape">
                  <wps:wsp>
                    <wps:cNvSpPr txBox="1"/>
                    <wps:spPr bwMode="auto">
                      <a:xfrm>
                        <a:off x="0" y="0"/>
                        <a:ext cx="114935" cy="131445"/>
                      </a:xfrm>
                      <a:prstGeom prst="rect">
                        <a:avLst/>
                      </a:prstGeom>
                      <a:noFill/>
                      <a:ln>
                        <a:noFill/>
                      </a:ln>
                      <a:effectLst/>
                    </wps:spPr>
                    <wps:txbx>
                      <w:txbxContent>
                        <w:p>
                          <w:pPr>
                            <w:pStyle w:val="30"/>
                            <w:jc w:val="center"/>
                          </w:pPr>
                          <w:r>
                            <w:fldChar w:fldCharType="begin"/>
                          </w:r>
                          <w:r>
                            <w:instrText xml:space="preserve">PAGE   \* MERGEFORMAT</w:instrText>
                          </w:r>
                          <w:r>
                            <w:fldChar w:fldCharType="separate"/>
                          </w:r>
                          <w:r>
                            <w:rPr>
                              <w:lang w:val="zh-CN"/>
                            </w:rPr>
                            <w:t>10</w:t>
                          </w:r>
                          <w:r>
                            <w:rPr>
                              <w:lang w:val="zh-CN"/>
                            </w:rPr>
                            <w:fldChar w:fldCharType="end"/>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V+SdAAAAADAQAADwAAAAAAAAABACAAAAAiAAAAZHJzL2Rvd25yZXYueG1sUEsBAhQAFAAA&#10;AAgAh07iQPf723b3AQAA4wMAAA4AAAAAAAAAAQAgAAAAHwEAAGRycy9lMm9Eb2MueG1sUEsFBgAA&#10;AAAGAAYAWQEAAIgFAAAAAA==&#10;">
              <v:fill on="f" focussize="0,0"/>
              <v:stroke on="f"/>
              <v:imagedata o:title=""/>
              <o:lock v:ext="edit" aspectratio="f"/>
              <v:textbox inset="0mm,0mm,0mm,0mm" style="mso-fit-shape-to-text:t;">
                <w:txbxContent>
                  <w:p>
                    <w:pPr>
                      <w:pStyle w:val="30"/>
                      <w:jc w:val="center"/>
                    </w:pPr>
                    <w:r>
                      <w:fldChar w:fldCharType="begin"/>
                    </w:r>
                    <w:r>
                      <w:instrText xml:space="preserve">PAGE   \* MERGEFORMAT</w:instrText>
                    </w:r>
                    <w:r>
                      <w:fldChar w:fldCharType="separate"/>
                    </w:r>
                    <w:r>
                      <w:rPr>
                        <w:lang w:val="zh-CN"/>
                      </w:rPr>
                      <w:t>10</w:t>
                    </w:r>
                    <w:r>
                      <w:rPr>
                        <w:lang w:val="zh-CN"/>
                      </w:rPr>
                      <w:fldChar w:fldCharType="end"/>
                    </w:r>
                  </w:p>
                </w:txbxContent>
              </v:textbox>
            </v:shape>
          </w:pict>
        </mc:Fallback>
      </mc:AlternateContent>
    </w:r>
  </w:p>
  <w:p>
    <w:pPr>
      <w:pStyle w:val="18"/>
      <w:kinsoku w:val="0"/>
      <w:overflowPunct w:val="0"/>
      <w:spacing w:line="14" w:lineRule="auto"/>
      <w:ind w:left="0"/>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PAGE   \* MERGEFORMAT</w:instrText>
    </w:r>
    <w:r>
      <w:fldChar w:fldCharType="separate"/>
    </w:r>
    <w:r>
      <w:rPr>
        <w:lang w:val="zh-CN"/>
      </w:rPr>
      <w:t>107</w:t>
    </w:r>
    <w:r>
      <w:fldChar w:fldCharType="end"/>
    </w:r>
  </w:p>
  <w:p>
    <w:pPr>
      <w:pStyle w:val="18"/>
      <w:kinsoku w:val="0"/>
      <w:overflowPunct w:val="0"/>
      <w:spacing w:line="14" w:lineRule="auto"/>
      <w:ind w:left="0"/>
      <w:rPr>
        <w:sz w:val="20"/>
        <w:szCs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1B0FD6"/>
    <w:multiLevelType w:val="singleLevel"/>
    <w:tmpl w:val="841B0FD6"/>
    <w:lvl w:ilvl="0" w:tentative="0">
      <w:start w:val="2"/>
      <w:numFmt w:val="decimal"/>
      <w:suff w:val="nothing"/>
      <w:lvlText w:val="（%1）"/>
      <w:lvlJc w:val="left"/>
    </w:lvl>
  </w:abstractNum>
  <w:abstractNum w:abstractNumId="1">
    <w:nsid w:val="99BA29B3"/>
    <w:multiLevelType w:val="singleLevel"/>
    <w:tmpl w:val="99BA29B3"/>
    <w:lvl w:ilvl="0" w:tentative="0">
      <w:start w:val="7"/>
      <w:numFmt w:val="chineseCounting"/>
      <w:suff w:val="space"/>
      <w:lvlText w:val="第%1章"/>
      <w:lvlJc w:val="left"/>
      <w:rPr>
        <w:rFonts w:hint="eastAsia"/>
      </w:rPr>
    </w:lvl>
  </w:abstractNum>
  <w:abstractNum w:abstractNumId="2">
    <w:nsid w:val="DD1BD1C8"/>
    <w:multiLevelType w:val="singleLevel"/>
    <w:tmpl w:val="DD1BD1C8"/>
    <w:lvl w:ilvl="0" w:tentative="0">
      <w:start w:val="1"/>
      <w:numFmt w:val="decimal"/>
      <w:suff w:val="space"/>
      <w:lvlText w:val="%1."/>
      <w:lvlJc w:val="left"/>
    </w:lvl>
  </w:abstractNum>
  <w:abstractNum w:abstractNumId="3">
    <w:nsid w:val="02D31612"/>
    <w:multiLevelType w:val="multilevel"/>
    <w:tmpl w:val="02D3161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3075D51"/>
    <w:multiLevelType w:val="multilevel"/>
    <w:tmpl w:val="03075D51"/>
    <w:lvl w:ilvl="0" w:tentative="0">
      <w:start w:val="1"/>
      <w:numFmt w:val="decimal"/>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suff w:val="nothing"/>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5">
    <w:nsid w:val="06D30FDE"/>
    <w:multiLevelType w:val="multilevel"/>
    <w:tmpl w:val="06D30FD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6">
    <w:nsid w:val="0AF20FCC"/>
    <w:multiLevelType w:val="multilevel"/>
    <w:tmpl w:val="0AF20FCC"/>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7">
    <w:nsid w:val="0B3F2601"/>
    <w:multiLevelType w:val="multilevel"/>
    <w:tmpl w:val="0B3F2601"/>
    <w:lvl w:ilvl="0" w:tentative="0">
      <w:start w:val="1"/>
      <w:numFmt w:val="none"/>
      <w:lvlText w:val="一、"/>
      <w:lvlJc w:val="left"/>
      <w:pPr>
        <w:tabs>
          <w:tab w:val="left" w:pos="1080"/>
        </w:tabs>
        <w:ind w:left="1080" w:hanging="720"/>
      </w:pPr>
      <w:rPr>
        <w:rFonts w:hint="eastAsia" w:ascii="Times New Roman" w:hAnsi="Times New Roman" w:cs="Times New Roman"/>
        <w:sz w:val="32"/>
      </w:rPr>
    </w:lvl>
    <w:lvl w:ilvl="1" w:tentative="0">
      <w:start w:val="1"/>
      <w:numFmt w:val="decimal"/>
      <w:suff w:val="nothing"/>
      <w:lvlText w:val="%2."/>
      <w:lvlJc w:val="left"/>
      <w:pPr>
        <w:ind w:left="1140" w:hanging="360"/>
      </w:pPr>
      <w:rPr>
        <w:rFonts w:hint="eastAsia"/>
      </w:rPr>
    </w:lvl>
    <w:lvl w:ilvl="2" w:tentative="0">
      <w:start w:val="1"/>
      <w:numFmt w:val="decimal"/>
      <w:lvlText w:val="（%3）"/>
      <w:lvlJc w:val="left"/>
      <w:pPr>
        <w:tabs>
          <w:tab w:val="left" w:pos="1920"/>
        </w:tabs>
        <w:ind w:left="1920" w:hanging="720"/>
      </w:pPr>
      <w:rPr>
        <w:rFonts w:hint="eastAsia"/>
      </w:rPr>
    </w:lvl>
    <w:lvl w:ilvl="3" w:tentative="0">
      <w:start w:val="1"/>
      <w:numFmt w:val="decimal"/>
      <w:lvlText w:val="%4."/>
      <w:lvlJc w:val="left"/>
      <w:pPr>
        <w:tabs>
          <w:tab w:val="left" w:pos="2040"/>
        </w:tabs>
        <w:ind w:left="2040" w:hanging="420"/>
      </w:pPr>
      <w:rPr>
        <w:rFonts w:hint="eastAsia"/>
      </w:rPr>
    </w:lvl>
    <w:lvl w:ilvl="4" w:tentative="0">
      <w:start w:val="1"/>
      <w:numFmt w:val="lowerLetter"/>
      <w:lvlText w:val="%5)"/>
      <w:lvlJc w:val="left"/>
      <w:pPr>
        <w:tabs>
          <w:tab w:val="left" w:pos="2460"/>
        </w:tabs>
        <w:ind w:left="2460" w:hanging="420"/>
      </w:pPr>
      <w:rPr>
        <w:rFonts w:hint="eastAsia"/>
      </w:rPr>
    </w:lvl>
    <w:lvl w:ilvl="5" w:tentative="0">
      <w:start w:val="1"/>
      <w:numFmt w:val="lowerRoman"/>
      <w:lvlText w:val="%6."/>
      <w:lvlJc w:val="right"/>
      <w:pPr>
        <w:tabs>
          <w:tab w:val="left" w:pos="2880"/>
        </w:tabs>
        <w:ind w:left="2880" w:hanging="420"/>
      </w:pPr>
      <w:rPr>
        <w:rFonts w:hint="eastAsia"/>
      </w:rPr>
    </w:lvl>
    <w:lvl w:ilvl="6" w:tentative="0">
      <w:start w:val="1"/>
      <w:numFmt w:val="decimal"/>
      <w:lvlText w:val="%7."/>
      <w:lvlJc w:val="left"/>
      <w:pPr>
        <w:tabs>
          <w:tab w:val="left" w:pos="3300"/>
        </w:tabs>
        <w:ind w:left="3300" w:hanging="420"/>
      </w:pPr>
      <w:rPr>
        <w:rFonts w:hint="eastAsia"/>
      </w:rPr>
    </w:lvl>
    <w:lvl w:ilvl="7" w:tentative="0">
      <w:start w:val="1"/>
      <w:numFmt w:val="lowerLetter"/>
      <w:lvlText w:val="%8)"/>
      <w:lvlJc w:val="left"/>
      <w:pPr>
        <w:tabs>
          <w:tab w:val="left" w:pos="3720"/>
        </w:tabs>
        <w:ind w:left="3720" w:hanging="420"/>
      </w:pPr>
      <w:rPr>
        <w:rFonts w:hint="eastAsia"/>
      </w:rPr>
    </w:lvl>
    <w:lvl w:ilvl="8" w:tentative="0">
      <w:start w:val="1"/>
      <w:numFmt w:val="lowerRoman"/>
      <w:lvlText w:val="%9."/>
      <w:lvlJc w:val="right"/>
      <w:pPr>
        <w:tabs>
          <w:tab w:val="left" w:pos="4140"/>
        </w:tabs>
        <w:ind w:left="4140" w:hanging="420"/>
      </w:pPr>
      <w:rPr>
        <w:rFonts w:hint="eastAsia"/>
      </w:rPr>
    </w:lvl>
  </w:abstractNum>
  <w:abstractNum w:abstractNumId="8">
    <w:nsid w:val="12D938BB"/>
    <w:multiLevelType w:val="multilevel"/>
    <w:tmpl w:val="12D938BB"/>
    <w:lvl w:ilvl="0" w:tentative="0">
      <w:start w:val="1"/>
      <w:numFmt w:val="decimal"/>
      <w:suff w:val="nothing"/>
      <w:lvlText w:val="%1."/>
      <w:lvlJc w:val="left"/>
      <w:pPr>
        <w:ind w:left="846" w:hanging="420"/>
      </w:pPr>
      <w:rPr>
        <w:rFonts w:hint="eastAsia"/>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9">
    <w:nsid w:val="14A47AD7"/>
    <w:multiLevelType w:val="multilevel"/>
    <w:tmpl w:val="14A47AD7"/>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0">
    <w:nsid w:val="157D04D6"/>
    <w:multiLevelType w:val="multilevel"/>
    <w:tmpl w:val="157D04D6"/>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4.%3 "/>
      <w:lvlJc w:val="left"/>
      <w:pPr>
        <w:ind w:left="993"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1">
    <w:nsid w:val="171C32B2"/>
    <w:multiLevelType w:val="multilevel"/>
    <w:tmpl w:val="171C32B2"/>
    <w:lvl w:ilvl="0" w:tentative="0">
      <w:start w:val="1"/>
      <w:numFmt w:val="decimal"/>
      <w:suff w:val="nothing"/>
      <w:lvlText w:val="（%1）"/>
      <w:lvlJc w:val="left"/>
      <w:pPr>
        <w:ind w:left="1200" w:hanging="720"/>
      </w:pPr>
      <w:rPr>
        <w:rFonts w:hint="default"/>
        <w:b w:val="0"/>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2">
    <w:nsid w:val="175D0791"/>
    <w:multiLevelType w:val="multilevel"/>
    <w:tmpl w:val="175D0791"/>
    <w:lvl w:ilvl="0" w:tentative="0">
      <w:start w:val="1"/>
      <w:numFmt w:val="chineseCountingThousand"/>
      <w:suff w:val="nothing"/>
      <w:lvlText w:val="%1、"/>
      <w:lvlJc w:val="left"/>
      <w:pPr>
        <w:ind w:left="987" w:hanging="420"/>
      </w:pPr>
      <w:rPr>
        <w:rFonts w:hint="eastAsia"/>
      </w:rPr>
    </w:lvl>
    <w:lvl w:ilvl="1" w:tentative="0">
      <w:start w:val="1"/>
      <w:numFmt w:val="lowerLetter"/>
      <w:lvlText w:val="%2)"/>
      <w:lvlJc w:val="left"/>
      <w:pPr>
        <w:ind w:left="1438" w:hanging="420"/>
      </w:pPr>
      <w:rPr>
        <w:rFonts w:hint="eastAsia"/>
      </w:rPr>
    </w:lvl>
    <w:lvl w:ilvl="2" w:tentative="0">
      <w:start w:val="1"/>
      <w:numFmt w:val="lowerRoman"/>
      <w:lvlText w:val="%3."/>
      <w:lvlJc w:val="right"/>
      <w:pPr>
        <w:ind w:left="1858" w:hanging="420"/>
      </w:pPr>
      <w:rPr>
        <w:rFonts w:hint="eastAsia"/>
      </w:rPr>
    </w:lvl>
    <w:lvl w:ilvl="3" w:tentative="0">
      <w:start w:val="1"/>
      <w:numFmt w:val="decimal"/>
      <w:lvlText w:val="%4."/>
      <w:lvlJc w:val="left"/>
      <w:pPr>
        <w:ind w:left="2278" w:hanging="420"/>
      </w:pPr>
      <w:rPr>
        <w:rFonts w:hint="eastAsia"/>
      </w:rPr>
    </w:lvl>
    <w:lvl w:ilvl="4" w:tentative="0">
      <w:start w:val="1"/>
      <w:numFmt w:val="lowerLetter"/>
      <w:lvlText w:val="%5)"/>
      <w:lvlJc w:val="left"/>
      <w:pPr>
        <w:ind w:left="2698" w:hanging="420"/>
      </w:pPr>
      <w:rPr>
        <w:rFonts w:hint="eastAsia"/>
      </w:rPr>
    </w:lvl>
    <w:lvl w:ilvl="5" w:tentative="0">
      <w:start w:val="1"/>
      <w:numFmt w:val="lowerRoman"/>
      <w:lvlText w:val="%6."/>
      <w:lvlJc w:val="right"/>
      <w:pPr>
        <w:ind w:left="3118" w:hanging="420"/>
      </w:pPr>
      <w:rPr>
        <w:rFonts w:hint="eastAsia"/>
      </w:rPr>
    </w:lvl>
    <w:lvl w:ilvl="6" w:tentative="0">
      <w:start w:val="1"/>
      <w:numFmt w:val="decimal"/>
      <w:lvlText w:val="%7."/>
      <w:lvlJc w:val="left"/>
      <w:pPr>
        <w:ind w:left="3538" w:hanging="420"/>
      </w:pPr>
      <w:rPr>
        <w:rFonts w:hint="eastAsia"/>
      </w:rPr>
    </w:lvl>
    <w:lvl w:ilvl="7" w:tentative="0">
      <w:start w:val="1"/>
      <w:numFmt w:val="lowerLetter"/>
      <w:lvlText w:val="%8)"/>
      <w:lvlJc w:val="left"/>
      <w:pPr>
        <w:ind w:left="3958" w:hanging="420"/>
      </w:pPr>
      <w:rPr>
        <w:rFonts w:hint="eastAsia"/>
      </w:rPr>
    </w:lvl>
    <w:lvl w:ilvl="8" w:tentative="0">
      <w:start w:val="1"/>
      <w:numFmt w:val="lowerRoman"/>
      <w:lvlText w:val="%9."/>
      <w:lvlJc w:val="right"/>
      <w:pPr>
        <w:ind w:left="4378" w:hanging="420"/>
      </w:pPr>
      <w:rPr>
        <w:rFonts w:hint="eastAsia"/>
      </w:rPr>
    </w:lvl>
  </w:abstractNum>
  <w:abstractNum w:abstractNumId="13">
    <w:nsid w:val="1BAD6D32"/>
    <w:multiLevelType w:val="multilevel"/>
    <w:tmpl w:val="1BAD6D32"/>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2.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4">
    <w:nsid w:val="1D3C4B95"/>
    <w:multiLevelType w:val="multilevel"/>
    <w:tmpl w:val="1D3C4B9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258930FC"/>
    <w:multiLevelType w:val="multilevel"/>
    <w:tmpl w:val="258930FC"/>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6">
    <w:nsid w:val="258A319B"/>
    <w:multiLevelType w:val="singleLevel"/>
    <w:tmpl w:val="258A319B"/>
    <w:lvl w:ilvl="0" w:tentative="0">
      <w:start w:val="3"/>
      <w:numFmt w:val="chineseCounting"/>
      <w:suff w:val="nothing"/>
      <w:lvlText w:val="（%1）"/>
      <w:lvlJc w:val="left"/>
      <w:rPr>
        <w:rFonts w:hint="eastAsia"/>
      </w:rPr>
    </w:lvl>
  </w:abstractNum>
  <w:abstractNum w:abstractNumId="17">
    <w:nsid w:val="2EB5077F"/>
    <w:multiLevelType w:val="multilevel"/>
    <w:tmpl w:val="2EB5077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0.%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8">
    <w:nsid w:val="2FCC6CCB"/>
    <w:multiLevelType w:val="multilevel"/>
    <w:tmpl w:val="2FCC6CCB"/>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19">
    <w:nsid w:val="317C0F8F"/>
    <w:multiLevelType w:val="multilevel"/>
    <w:tmpl w:val="317C0F8F"/>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0">
    <w:nsid w:val="31F67974"/>
    <w:multiLevelType w:val="multilevel"/>
    <w:tmpl w:val="31F67974"/>
    <w:lvl w:ilvl="0" w:tentative="0">
      <w:start w:val="1"/>
      <w:numFmt w:val="decimal"/>
      <w:suff w:val="nothing"/>
      <w:lvlText w:val="（%1）"/>
      <w:lvlJc w:val="left"/>
      <w:pPr>
        <w:ind w:left="1696"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1">
    <w:nsid w:val="41F16A67"/>
    <w:multiLevelType w:val="multilevel"/>
    <w:tmpl w:val="41F16A67"/>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2">
    <w:nsid w:val="43DA4957"/>
    <w:multiLevelType w:val="multilevel"/>
    <w:tmpl w:val="43DA4957"/>
    <w:lvl w:ilvl="0" w:tentative="0">
      <w:start w:val="1"/>
      <w:numFmt w:val="decimal"/>
      <w:lvlText w:val="%1"/>
      <w:lvlJc w:val="left"/>
      <w:pPr>
        <w:ind w:left="425" w:hanging="425"/>
      </w:pPr>
      <w:rPr>
        <w:rFonts w:hint="eastAsia"/>
      </w:rPr>
    </w:lvl>
    <w:lvl w:ilvl="1" w:tentative="0">
      <w:start w:val="1"/>
      <w:numFmt w:val="decimal"/>
      <w:suff w:val="nothing"/>
      <w:lvlText w:val="6.%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44B77664"/>
    <w:multiLevelType w:val="multilevel"/>
    <w:tmpl w:val="44B77664"/>
    <w:lvl w:ilvl="0" w:tentative="0">
      <w:start w:val="1"/>
      <w:numFmt w:val="decimal"/>
      <w:lvlText w:val="%1."/>
      <w:lvlJc w:val="left"/>
      <w:pPr>
        <w:ind w:left="520" w:hanging="420"/>
      </w:pPr>
      <w:rPr>
        <w:rFonts w:hint="eastAsia"/>
      </w:rPr>
    </w:lvl>
    <w:lvl w:ilvl="1" w:tentative="0">
      <w:start w:val="1"/>
      <w:numFmt w:val="lowerLetter"/>
      <w:lvlText w:val="%2)"/>
      <w:lvlJc w:val="left"/>
      <w:pPr>
        <w:ind w:left="940" w:hanging="420"/>
      </w:pPr>
      <w:rPr>
        <w:rFonts w:hint="eastAsia"/>
      </w:rPr>
    </w:lvl>
    <w:lvl w:ilvl="2" w:tentative="0">
      <w:start w:val="1"/>
      <w:numFmt w:val="lowerRoman"/>
      <w:lvlText w:val="%3."/>
      <w:lvlJc w:val="right"/>
      <w:pPr>
        <w:ind w:left="1360" w:hanging="420"/>
      </w:pPr>
      <w:rPr>
        <w:rFonts w:hint="eastAsia"/>
      </w:rPr>
    </w:lvl>
    <w:lvl w:ilvl="3" w:tentative="0">
      <w:start w:val="1"/>
      <w:numFmt w:val="decimal"/>
      <w:pStyle w:val="153"/>
      <w:suff w:val="nothing"/>
      <w:lvlText w:val="%4."/>
      <w:lvlJc w:val="left"/>
      <w:pPr>
        <w:ind w:left="1780" w:hanging="420"/>
      </w:pPr>
      <w:rPr>
        <w:rFonts w:hint="eastAsia"/>
      </w:rPr>
    </w:lvl>
    <w:lvl w:ilvl="4" w:tentative="0">
      <w:start w:val="1"/>
      <w:numFmt w:val="lowerLetter"/>
      <w:lvlText w:val="%5)"/>
      <w:lvlJc w:val="left"/>
      <w:pPr>
        <w:ind w:left="2200" w:hanging="420"/>
      </w:pPr>
      <w:rPr>
        <w:rFonts w:hint="eastAsia"/>
      </w:rPr>
    </w:lvl>
    <w:lvl w:ilvl="5" w:tentative="0">
      <w:start w:val="1"/>
      <w:numFmt w:val="lowerRoman"/>
      <w:lvlText w:val="%6."/>
      <w:lvlJc w:val="right"/>
      <w:pPr>
        <w:ind w:left="2620" w:hanging="420"/>
      </w:pPr>
      <w:rPr>
        <w:rFonts w:hint="eastAsia"/>
      </w:rPr>
    </w:lvl>
    <w:lvl w:ilvl="6" w:tentative="0">
      <w:start w:val="1"/>
      <w:numFmt w:val="decimal"/>
      <w:lvlText w:val="%7."/>
      <w:lvlJc w:val="left"/>
      <w:pPr>
        <w:ind w:left="3040" w:hanging="420"/>
      </w:pPr>
      <w:rPr>
        <w:rFonts w:hint="eastAsia"/>
      </w:rPr>
    </w:lvl>
    <w:lvl w:ilvl="7" w:tentative="0">
      <w:start w:val="1"/>
      <w:numFmt w:val="lowerLetter"/>
      <w:lvlText w:val="%8)"/>
      <w:lvlJc w:val="left"/>
      <w:pPr>
        <w:ind w:left="3460" w:hanging="420"/>
      </w:pPr>
      <w:rPr>
        <w:rFonts w:hint="eastAsia"/>
      </w:rPr>
    </w:lvl>
    <w:lvl w:ilvl="8" w:tentative="0">
      <w:start w:val="1"/>
      <w:numFmt w:val="lowerRoman"/>
      <w:lvlText w:val="%9."/>
      <w:lvlJc w:val="right"/>
      <w:pPr>
        <w:ind w:left="3880" w:hanging="420"/>
      </w:pPr>
      <w:rPr>
        <w:rFonts w:hint="eastAsia"/>
      </w:rPr>
    </w:lvl>
  </w:abstractNum>
  <w:abstractNum w:abstractNumId="24">
    <w:nsid w:val="48760BBD"/>
    <w:multiLevelType w:val="multilevel"/>
    <w:tmpl w:val="48760BBD"/>
    <w:lvl w:ilvl="0" w:tentative="0">
      <w:start w:val="1"/>
      <w:numFmt w:val="decimal"/>
      <w:lvlText w:val="%1"/>
      <w:lvlJc w:val="left"/>
      <w:pPr>
        <w:ind w:left="425" w:hanging="425"/>
      </w:pPr>
      <w:rPr>
        <w:rFonts w:hint="eastAsia"/>
      </w:rPr>
    </w:lvl>
    <w:lvl w:ilvl="1" w:tentative="0">
      <w:start w:val="1"/>
      <w:numFmt w:val="decimal"/>
      <w:suff w:val="nothing"/>
      <w:lvlText w:val="8.%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5">
    <w:nsid w:val="49A63137"/>
    <w:multiLevelType w:val="multilevel"/>
    <w:tmpl w:val="49A63137"/>
    <w:lvl w:ilvl="0" w:tentative="0">
      <w:start w:val="1"/>
      <w:numFmt w:val="decimal"/>
      <w:lvlText w:val="%1"/>
      <w:lvlJc w:val="left"/>
      <w:pPr>
        <w:ind w:left="425" w:hanging="425"/>
      </w:pPr>
      <w:rPr>
        <w:rFonts w:hint="eastAsia"/>
      </w:rPr>
    </w:lvl>
    <w:lvl w:ilvl="1" w:tentative="0">
      <w:start w:val="1"/>
      <w:numFmt w:val="decimal"/>
      <w:suff w:val="nothing"/>
      <w:lvlText w:val="4.%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6">
    <w:nsid w:val="4A253215"/>
    <w:multiLevelType w:val="multilevel"/>
    <w:tmpl w:val="4A25321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7">
    <w:nsid w:val="4FD7280C"/>
    <w:multiLevelType w:val="multilevel"/>
    <w:tmpl w:val="4FD7280C"/>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28">
    <w:nsid w:val="502F5755"/>
    <w:multiLevelType w:val="multilevel"/>
    <w:tmpl w:val="502F5755"/>
    <w:lvl w:ilvl="0" w:tentative="0">
      <w:start w:val="1"/>
      <w:numFmt w:val="decimal"/>
      <w:suff w:val="nothing"/>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9">
    <w:nsid w:val="517C4111"/>
    <w:multiLevelType w:val="multilevel"/>
    <w:tmpl w:val="517C411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0">
    <w:nsid w:val="53967465"/>
    <w:multiLevelType w:val="multilevel"/>
    <w:tmpl w:val="53967465"/>
    <w:lvl w:ilvl="0" w:tentative="0">
      <w:start w:val="1"/>
      <w:numFmt w:val="decimal"/>
      <w:lvlText w:val="%1"/>
      <w:lvlJc w:val="left"/>
      <w:pPr>
        <w:ind w:left="425" w:hanging="425"/>
      </w:pPr>
      <w:rPr>
        <w:rFonts w:hint="eastAsia"/>
      </w:rPr>
    </w:lvl>
    <w:lvl w:ilvl="1" w:tentative="0">
      <w:start w:val="1"/>
      <w:numFmt w:val="decimal"/>
      <w:suff w:val="nothing"/>
      <w:lvlText w:val="9.%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1">
    <w:nsid w:val="5821389A"/>
    <w:multiLevelType w:val="multilevel"/>
    <w:tmpl w:val="5821389A"/>
    <w:lvl w:ilvl="0" w:tentative="0">
      <w:start w:val="1"/>
      <w:numFmt w:val="chineseCountingThousand"/>
      <w:suff w:val="nothing"/>
      <w:lvlText w:val="%1、"/>
      <w:lvlJc w:val="left"/>
      <w:pPr>
        <w:ind w:left="950" w:hanging="420"/>
      </w:pPr>
      <w:rPr>
        <w:rFonts w:hint="eastAsia"/>
      </w:rPr>
    </w:lvl>
    <w:lvl w:ilvl="1" w:tentative="0">
      <w:start w:val="1"/>
      <w:numFmt w:val="lowerLetter"/>
      <w:lvlText w:val="%2)"/>
      <w:lvlJc w:val="left"/>
      <w:pPr>
        <w:ind w:left="1370" w:hanging="420"/>
      </w:pPr>
      <w:rPr>
        <w:rFonts w:hint="eastAsia"/>
      </w:rPr>
    </w:lvl>
    <w:lvl w:ilvl="2" w:tentative="0">
      <w:start w:val="1"/>
      <w:numFmt w:val="lowerRoman"/>
      <w:lvlText w:val="%3."/>
      <w:lvlJc w:val="right"/>
      <w:pPr>
        <w:ind w:left="1790" w:hanging="420"/>
      </w:pPr>
      <w:rPr>
        <w:rFonts w:hint="eastAsia"/>
      </w:rPr>
    </w:lvl>
    <w:lvl w:ilvl="3" w:tentative="0">
      <w:start w:val="1"/>
      <w:numFmt w:val="decimal"/>
      <w:lvlText w:val="%4."/>
      <w:lvlJc w:val="left"/>
      <w:pPr>
        <w:ind w:left="2210" w:hanging="420"/>
      </w:pPr>
      <w:rPr>
        <w:rFonts w:hint="eastAsia"/>
      </w:rPr>
    </w:lvl>
    <w:lvl w:ilvl="4" w:tentative="0">
      <w:start w:val="1"/>
      <w:numFmt w:val="lowerLetter"/>
      <w:lvlText w:val="%5)"/>
      <w:lvlJc w:val="left"/>
      <w:pPr>
        <w:ind w:left="2630" w:hanging="420"/>
      </w:pPr>
      <w:rPr>
        <w:rFonts w:hint="eastAsia"/>
      </w:rPr>
    </w:lvl>
    <w:lvl w:ilvl="5" w:tentative="0">
      <w:start w:val="1"/>
      <w:numFmt w:val="lowerRoman"/>
      <w:lvlText w:val="%6."/>
      <w:lvlJc w:val="right"/>
      <w:pPr>
        <w:ind w:left="3050" w:hanging="420"/>
      </w:pPr>
      <w:rPr>
        <w:rFonts w:hint="eastAsia"/>
      </w:rPr>
    </w:lvl>
    <w:lvl w:ilvl="6" w:tentative="0">
      <w:start w:val="1"/>
      <w:numFmt w:val="decimal"/>
      <w:lvlText w:val="%7."/>
      <w:lvlJc w:val="left"/>
      <w:pPr>
        <w:ind w:left="3470" w:hanging="420"/>
      </w:pPr>
      <w:rPr>
        <w:rFonts w:hint="eastAsia"/>
      </w:rPr>
    </w:lvl>
    <w:lvl w:ilvl="7" w:tentative="0">
      <w:start w:val="1"/>
      <w:numFmt w:val="lowerLetter"/>
      <w:lvlText w:val="%8)"/>
      <w:lvlJc w:val="left"/>
      <w:pPr>
        <w:ind w:left="3890" w:hanging="420"/>
      </w:pPr>
      <w:rPr>
        <w:rFonts w:hint="eastAsia"/>
      </w:rPr>
    </w:lvl>
    <w:lvl w:ilvl="8" w:tentative="0">
      <w:start w:val="1"/>
      <w:numFmt w:val="lowerRoman"/>
      <w:lvlText w:val="%9."/>
      <w:lvlJc w:val="right"/>
      <w:pPr>
        <w:ind w:left="4310" w:hanging="420"/>
      </w:pPr>
      <w:rPr>
        <w:rFonts w:hint="eastAsia"/>
      </w:rPr>
    </w:lvl>
  </w:abstractNum>
  <w:abstractNum w:abstractNumId="32">
    <w:nsid w:val="5B662475"/>
    <w:multiLevelType w:val="multilevel"/>
    <w:tmpl w:val="5B662475"/>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4.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3">
    <w:nsid w:val="5F1E4DA1"/>
    <w:multiLevelType w:val="multilevel"/>
    <w:tmpl w:val="5F1E4DA1"/>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9.%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4">
    <w:nsid w:val="5F9F2BF2"/>
    <w:multiLevelType w:val="multilevel"/>
    <w:tmpl w:val="5F9F2BF2"/>
    <w:lvl w:ilvl="0" w:tentative="0">
      <w:start w:val="1"/>
      <w:numFmt w:val="decimal"/>
      <w:suff w:val="nothing"/>
      <w:lvlText w:val="（%1）"/>
      <w:lvlJc w:val="left"/>
      <w:pPr>
        <w:ind w:left="1156" w:hanging="420"/>
      </w:pPr>
      <w:rPr>
        <w:rFonts w:hint="eastAsia"/>
      </w:rPr>
    </w:lvl>
    <w:lvl w:ilvl="1" w:tentative="0">
      <w:start w:val="1"/>
      <w:numFmt w:val="lowerLetter"/>
      <w:lvlText w:val="%2)"/>
      <w:lvlJc w:val="left"/>
      <w:pPr>
        <w:ind w:left="1304" w:hanging="420"/>
      </w:pPr>
      <w:rPr>
        <w:rFonts w:hint="eastAsia"/>
      </w:rPr>
    </w:lvl>
    <w:lvl w:ilvl="2" w:tentative="0">
      <w:start w:val="1"/>
      <w:numFmt w:val="lowerRoman"/>
      <w:lvlText w:val="%3."/>
      <w:lvlJc w:val="right"/>
      <w:pPr>
        <w:ind w:left="1724" w:hanging="420"/>
      </w:pPr>
      <w:rPr>
        <w:rFonts w:hint="eastAsia"/>
      </w:rPr>
    </w:lvl>
    <w:lvl w:ilvl="3" w:tentative="0">
      <w:start w:val="1"/>
      <w:numFmt w:val="decimal"/>
      <w:lvlText w:val="%4."/>
      <w:lvlJc w:val="left"/>
      <w:pPr>
        <w:ind w:left="2144" w:hanging="420"/>
      </w:pPr>
      <w:rPr>
        <w:rFonts w:hint="eastAsia"/>
      </w:rPr>
    </w:lvl>
    <w:lvl w:ilvl="4" w:tentative="0">
      <w:start w:val="1"/>
      <w:numFmt w:val="lowerLetter"/>
      <w:lvlText w:val="%5)"/>
      <w:lvlJc w:val="left"/>
      <w:pPr>
        <w:ind w:left="2564" w:hanging="420"/>
      </w:pPr>
      <w:rPr>
        <w:rFonts w:hint="eastAsia"/>
      </w:rPr>
    </w:lvl>
    <w:lvl w:ilvl="5" w:tentative="0">
      <w:start w:val="1"/>
      <w:numFmt w:val="lowerRoman"/>
      <w:lvlText w:val="%6."/>
      <w:lvlJc w:val="right"/>
      <w:pPr>
        <w:ind w:left="2984" w:hanging="420"/>
      </w:pPr>
      <w:rPr>
        <w:rFonts w:hint="eastAsia"/>
      </w:rPr>
    </w:lvl>
    <w:lvl w:ilvl="6" w:tentative="0">
      <w:start w:val="1"/>
      <w:numFmt w:val="decimal"/>
      <w:lvlText w:val="%7."/>
      <w:lvlJc w:val="left"/>
      <w:pPr>
        <w:ind w:left="3404" w:hanging="420"/>
      </w:pPr>
      <w:rPr>
        <w:rFonts w:hint="eastAsia"/>
      </w:rPr>
    </w:lvl>
    <w:lvl w:ilvl="7" w:tentative="0">
      <w:start w:val="1"/>
      <w:numFmt w:val="lowerLetter"/>
      <w:lvlText w:val="%8)"/>
      <w:lvlJc w:val="left"/>
      <w:pPr>
        <w:ind w:left="3824" w:hanging="420"/>
      </w:pPr>
      <w:rPr>
        <w:rFonts w:hint="eastAsia"/>
      </w:rPr>
    </w:lvl>
    <w:lvl w:ilvl="8" w:tentative="0">
      <w:start w:val="1"/>
      <w:numFmt w:val="lowerRoman"/>
      <w:lvlText w:val="%9."/>
      <w:lvlJc w:val="right"/>
      <w:pPr>
        <w:ind w:left="4244" w:hanging="420"/>
      </w:pPr>
      <w:rPr>
        <w:rFonts w:hint="eastAsia"/>
      </w:rPr>
    </w:lvl>
  </w:abstractNum>
  <w:abstractNum w:abstractNumId="35">
    <w:nsid w:val="62F110DF"/>
    <w:multiLevelType w:val="multilevel"/>
    <w:tmpl w:val="62F110DF"/>
    <w:lvl w:ilvl="0" w:tentative="0">
      <w:start w:val="1"/>
      <w:numFmt w:val="decimal"/>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36">
    <w:nsid w:val="63FD235B"/>
    <w:multiLevelType w:val="multilevel"/>
    <w:tmpl w:val="63FD235B"/>
    <w:lvl w:ilvl="0" w:tentative="0">
      <w:start w:val="1"/>
      <w:numFmt w:val="chineseCountingThousand"/>
      <w:suff w:val="nothing"/>
      <w:lvlText w:val="%1、"/>
      <w:lvlJc w:val="left"/>
      <w:pPr>
        <w:ind w:left="952" w:hanging="420"/>
      </w:pPr>
      <w:rPr>
        <w:rFonts w:hint="eastAsia"/>
      </w:rPr>
    </w:lvl>
    <w:lvl w:ilvl="1" w:tentative="0">
      <w:start w:val="1"/>
      <w:numFmt w:val="lowerLetter"/>
      <w:lvlText w:val="%2)"/>
      <w:lvlJc w:val="left"/>
      <w:pPr>
        <w:ind w:left="1372" w:hanging="420"/>
      </w:pPr>
      <w:rPr>
        <w:rFonts w:hint="eastAsia"/>
      </w:rPr>
    </w:lvl>
    <w:lvl w:ilvl="2" w:tentative="0">
      <w:start w:val="1"/>
      <w:numFmt w:val="lowerRoman"/>
      <w:lvlText w:val="%3."/>
      <w:lvlJc w:val="right"/>
      <w:pPr>
        <w:ind w:left="1792" w:hanging="420"/>
      </w:pPr>
      <w:rPr>
        <w:rFonts w:hint="eastAsia"/>
      </w:rPr>
    </w:lvl>
    <w:lvl w:ilvl="3" w:tentative="0">
      <w:start w:val="1"/>
      <w:numFmt w:val="decimal"/>
      <w:lvlText w:val="%4."/>
      <w:lvlJc w:val="left"/>
      <w:pPr>
        <w:ind w:left="2212" w:hanging="420"/>
      </w:pPr>
      <w:rPr>
        <w:rFonts w:hint="eastAsia"/>
      </w:rPr>
    </w:lvl>
    <w:lvl w:ilvl="4" w:tentative="0">
      <w:start w:val="1"/>
      <w:numFmt w:val="lowerLetter"/>
      <w:lvlText w:val="%5)"/>
      <w:lvlJc w:val="left"/>
      <w:pPr>
        <w:ind w:left="2632" w:hanging="420"/>
      </w:pPr>
      <w:rPr>
        <w:rFonts w:hint="eastAsia"/>
      </w:rPr>
    </w:lvl>
    <w:lvl w:ilvl="5" w:tentative="0">
      <w:start w:val="1"/>
      <w:numFmt w:val="lowerRoman"/>
      <w:lvlText w:val="%6."/>
      <w:lvlJc w:val="right"/>
      <w:pPr>
        <w:ind w:left="3052" w:hanging="420"/>
      </w:pPr>
      <w:rPr>
        <w:rFonts w:hint="eastAsia"/>
      </w:rPr>
    </w:lvl>
    <w:lvl w:ilvl="6" w:tentative="0">
      <w:start w:val="1"/>
      <w:numFmt w:val="decimal"/>
      <w:lvlText w:val="%7."/>
      <w:lvlJc w:val="left"/>
      <w:pPr>
        <w:ind w:left="3472" w:hanging="420"/>
      </w:pPr>
      <w:rPr>
        <w:rFonts w:hint="eastAsia"/>
      </w:rPr>
    </w:lvl>
    <w:lvl w:ilvl="7" w:tentative="0">
      <w:start w:val="1"/>
      <w:numFmt w:val="lowerLetter"/>
      <w:lvlText w:val="%8)"/>
      <w:lvlJc w:val="left"/>
      <w:pPr>
        <w:ind w:left="3892" w:hanging="420"/>
      </w:pPr>
      <w:rPr>
        <w:rFonts w:hint="eastAsia"/>
      </w:rPr>
    </w:lvl>
    <w:lvl w:ilvl="8" w:tentative="0">
      <w:start w:val="1"/>
      <w:numFmt w:val="lowerRoman"/>
      <w:lvlText w:val="%9."/>
      <w:lvlJc w:val="right"/>
      <w:pPr>
        <w:ind w:left="4312" w:hanging="420"/>
      </w:pPr>
      <w:rPr>
        <w:rFonts w:hint="eastAsia"/>
      </w:rPr>
    </w:lvl>
  </w:abstractNum>
  <w:abstractNum w:abstractNumId="37">
    <w:nsid w:val="66BC1659"/>
    <w:multiLevelType w:val="multilevel"/>
    <w:tmpl w:val="66BC1659"/>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2.%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8">
    <w:nsid w:val="670F647B"/>
    <w:multiLevelType w:val="multilevel"/>
    <w:tmpl w:val="670F647B"/>
    <w:lvl w:ilvl="0" w:tentative="0">
      <w:start w:val="1"/>
      <w:numFmt w:val="chineseCountingThousand"/>
      <w:suff w:val="nothing"/>
      <w:lvlText w:val="（%1）"/>
      <w:lvlJc w:val="left"/>
      <w:pPr>
        <w:ind w:left="900" w:hanging="420"/>
      </w:pPr>
      <w:rPr>
        <w:rFonts w:hint="eastAsia"/>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39">
    <w:nsid w:val="6F6F5172"/>
    <w:multiLevelType w:val="multilevel"/>
    <w:tmpl w:val="6F6F5172"/>
    <w:lvl w:ilvl="0" w:tentative="0">
      <w:start w:val="1"/>
      <w:numFmt w:val="decimal"/>
      <w:lvlText w:val="%1"/>
      <w:lvlJc w:val="left"/>
      <w:pPr>
        <w:ind w:left="425" w:hanging="425"/>
      </w:pPr>
      <w:rPr>
        <w:rFonts w:hint="eastAsia"/>
      </w:rPr>
    </w:lvl>
    <w:lvl w:ilvl="1" w:tentative="0">
      <w:start w:val="1"/>
      <w:numFmt w:val="decimal"/>
      <w:suff w:val="nothing"/>
      <w:lvlText w:val="7.%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0">
    <w:nsid w:val="768C383E"/>
    <w:multiLevelType w:val="multilevel"/>
    <w:tmpl w:val="768C383E"/>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1.3.%3 "/>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1">
    <w:nsid w:val="78495C3F"/>
    <w:multiLevelType w:val="multilevel"/>
    <w:tmpl w:val="78495C3F"/>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2.%3 "/>
      <w:lvlJc w:val="left"/>
      <w:pPr>
        <w:ind w:left="1134" w:hanging="567"/>
      </w:pPr>
      <w:rPr>
        <w:rFonts w:hint="eastAsia" w:ascii="宋体" w:hAnsi="宋体" w:eastAsia="宋体"/>
        <w:sz w:val="24"/>
        <w:szCs w:val="24"/>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2">
    <w:nsid w:val="784E156C"/>
    <w:multiLevelType w:val="multilevel"/>
    <w:tmpl w:val="784E156C"/>
    <w:lvl w:ilvl="0" w:tentative="0">
      <w:start w:val="1"/>
      <w:numFmt w:val="decimal"/>
      <w:lvlText w:val="%1"/>
      <w:lvlJc w:val="left"/>
      <w:pPr>
        <w:ind w:left="425" w:hanging="425"/>
      </w:pPr>
      <w:rPr>
        <w:rFonts w:hint="eastAsia"/>
      </w:rPr>
    </w:lvl>
    <w:lvl w:ilvl="1" w:tentative="0">
      <w:start w:val="1"/>
      <w:numFmt w:val="decimal"/>
      <w:suff w:val="nothing"/>
      <w:lvlText w:val="5.%2 "/>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3">
    <w:nsid w:val="7A7A5B24"/>
    <w:multiLevelType w:val="multilevel"/>
    <w:tmpl w:val="7A7A5B24"/>
    <w:lvl w:ilvl="0" w:tentative="0">
      <w:start w:val="1"/>
      <w:numFmt w:val="decimal"/>
      <w:suff w:val="nothing"/>
      <w:lvlText w:val="（%1）"/>
      <w:lvlJc w:val="left"/>
      <w:pPr>
        <w:ind w:left="1712" w:hanging="720"/>
      </w:pPr>
      <w:rPr>
        <w:rFonts w:hint="default"/>
        <w:color w:val="auto"/>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4">
    <w:nsid w:val="7C7903FD"/>
    <w:multiLevelType w:val="multilevel"/>
    <w:tmpl w:val="7C7903FD"/>
    <w:lvl w:ilvl="0" w:tentative="0">
      <w:start w:val="1"/>
      <w:numFmt w:val="decimal"/>
      <w:suff w:val="nothing"/>
      <w:lvlText w:val="（%1）"/>
      <w:lvlJc w:val="left"/>
      <w:pPr>
        <w:ind w:left="900" w:hanging="420"/>
      </w:pPr>
      <w:rPr>
        <w:rFonts w:hint="eastAsia"/>
        <w:b w:val="0"/>
        <w:bCs w:val="0"/>
      </w:rPr>
    </w:lvl>
    <w:lvl w:ilvl="1" w:tentative="0">
      <w:start w:val="1"/>
      <w:numFmt w:val="lowerLetter"/>
      <w:lvlText w:val="%2)"/>
      <w:lvlJc w:val="left"/>
      <w:pPr>
        <w:ind w:left="1320" w:hanging="420"/>
      </w:pPr>
      <w:rPr>
        <w:rFonts w:hint="eastAsia"/>
      </w:rPr>
    </w:lvl>
    <w:lvl w:ilvl="2" w:tentative="0">
      <w:start w:val="1"/>
      <w:numFmt w:val="lowerRoman"/>
      <w:lvlText w:val="%3."/>
      <w:lvlJc w:val="right"/>
      <w:pPr>
        <w:ind w:left="1740" w:hanging="420"/>
      </w:pPr>
      <w:rPr>
        <w:rFonts w:hint="eastAsia"/>
      </w:rPr>
    </w:lvl>
    <w:lvl w:ilvl="3" w:tentative="0">
      <w:start w:val="1"/>
      <w:numFmt w:val="decimal"/>
      <w:lvlText w:val="%4."/>
      <w:lvlJc w:val="left"/>
      <w:pPr>
        <w:ind w:left="2160" w:hanging="420"/>
      </w:pPr>
      <w:rPr>
        <w:rFonts w:hint="eastAsia"/>
      </w:rPr>
    </w:lvl>
    <w:lvl w:ilvl="4" w:tentative="0">
      <w:start w:val="1"/>
      <w:numFmt w:val="lowerLetter"/>
      <w:lvlText w:val="%5)"/>
      <w:lvlJc w:val="left"/>
      <w:pPr>
        <w:ind w:left="2580" w:hanging="420"/>
      </w:pPr>
      <w:rPr>
        <w:rFonts w:hint="eastAsia"/>
      </w:rPr>
    </w:lvl>
    <w:lvl w:ilvl="5" w:tentative="0">
      <w:start w:val="1"/>
      <w:numFmt w:val="lowerRoman"/>
      <w:lvlText w:val="%6."/>
      <w:lvlJc w:val="right"/>
      <w:pPr>
        <w:ind w:left="3000" w:hanging="420"/>
      </w:pPr>
      <w:rPr>
        <w:rFonts w:hint="eastAsia"/>
      </w:rPr>
    </w:lvl>
    <w:lvl w:ilvl="6" w:tentative="0">
      <w:start w:val="1"/>
      <w:numFmt w:val="decimal"/>
      <w:lvlText w:val="%7."/>
      <w:lvlJc w:val="left"/>
      <w:pPr>
        <w:ind w:left="3420" w:hanging="420"/>
      </w:pPr>
      <w:rPr>
        <w:rFonts w:hint="eastAsia"/>
      </w:rPr>
    </w:lvl>
    <w:lvl w:ilvl="7" w:tentative="0">
      <w:start w:val="1"/>
      <w:numFmt w:val="lowerLetter"/>
      <w:lvlText w:val="%8)"/>
      <w:lvlJc w:val="left"/>
      <w:pPr>
        <w:ind w:left="3840" w:hanging="420"/>
      </w:pPr>
      <w:rPr>
        <w:rFonts w:hint="eastAsia"/>
      </w:rPr>
    </w:lvl>
    <w:lvl w:ilvl="8" w:tentative="0">
      <w:start w:val="1"/>
      <w:numFmt w:val="lowerRoman"/>
      <w:lvlText w:val="%9."/>
      <w:lvlJc w:val="right"/>
      <w:pPr>
        <w:ind w:left="4260" w:hanging="420"/>
      </w:pPr>
      <w:rPr>
        <w:rFonts w:hint="eastAsia"/>
      </w:rPr>
    </w:lvl>
  </w:abstractNum>
  <w:abstractNum w:abstractNumId="45">
    <w:nsid w:val="7D6843B4"/>
    <w:multiLevelType w:val="multilevel"/>
    <w:tmpl w:val="7D6843B4"/>
    <w:lvl w:ilvl="0" w:tentative="0">
      <w:start w:val="1"/>
      <w:numFmt w:val="japaneseCounting"/>
      <w:lvlText w:val="%1、"/>
      <w:lvlJc w:val="left"/>
      <w:pPr>
        <w:tabs>
          <w:tab w:val="left" w:pos="1347"/>
        </w:tabs>
        <w:ind w:left="1347" w:hanging="720"/>
      </w:pPr>
      <w:rPr>
        <w:rFonts w:hint="eastAsia"/>
      </w:rPr>
    </w:lvl>
    <w:lvl w:ilvl="1" w:tentative="0">
      <w:start w:val="1"/>
      <w:numFmt w:val="decimal"/>
      <w:suff w:val="nothing"/>
      <w:lvlText w:val="%2. "/>
      <w:lvlJc w:val="left"/>
      <w:pPr>
        <w:ind w:left="1767" w:hanging="720"/>
      </w:pPr>
      <w:rPr>
        <w:rFonts w:hint="eastAsia"/>
      </w:rPr>
    </w:lvl>
    <w:lvl w:ilvl="2" w:tentative="0">
      <w:start w:val="1"/>
      <w:numFmt w:val="lowerRoman"/>
      <w:lvlText w:val="%3."/>
      <w:lvlJc w:val="right"/>
      <w:pPr>
        <w:tabs>
          <w:tab w:val="left" w:pos="1887"/>
        </w:tabs>
        <w:ind w:left="1887" w:hanging="420"/>
      </w:pPr>
      <w:rPr>
        <w:rFonts w:hint="eastAsia"/>
      </w:rPr>
    </w:lvl>
    <w:lvl w:ilvl="3" w:tentative="0">
      <w:start w:val="1"/>
      <w:numFmt w:val="decimal"/>
      <w:lvlText w:val="%4."/>
      <w:lvlJc w:val="left"/>
      <w:pPr>
        <w:tabs>
          <w:tab w:val="left" w:pos="2307"/>
        </w:tabs>
        <w:ind w:left="2307" w:hanging="420"/>
      </w:pPr>
      <w:rPr>
        <w:rFonts w:hint="eastAsia"/>
      </w:rPr>
    </w:lvl>
    <w:lvl w:ilvl="4" w:tentative="0">
      <w:start w:val="1"/>
      <w:numFmt w:val="lowerLetter"/>
      <w:lvlText w:val="%5)"/>
      <w:lvlJc w:val="left"/>
      <w:pPr>
        <w:tabs>
          <w:tab w:val="left" w:pos="2727"/>
        </w:tabs>
        <w:ind w:left="2727" w:hanging="420"/>
      </w:pPr>
      <w:rPr>
        <w:rFonts w:hint="eastAsia"/>
      </w:rPr>
    </w:lvl>
    <w:lvl w:ilvl="5" w:tentative="0">
      <w:start w:val="1"/>
      <w:numFmt w:val="lowerRoman"/>
      <w:lvlText w:val="%6."/>
      <w:lvlJc w:val="right"/>
      <w:pPr>
        <w:tabs>
          <w:tab w:val="left" w:pos="3147"/>
        </w:tabs>
        <w:ind w:left="3147" w:hanging="420"/>
      </w:pPr>
      <w:rPr>
        <w:rFonts w:hint="eastAsia"/>
      </w:rPr>
    </w:lvl>
    <w:lvl w:ilvl="6" w:tentative="0">
      <w:start w:val="1"/>
      <w:numFmt w:val="decimal"/>
      <w:lvlText w:val="%7."/>
      <w:lvlJc w:val="left"/>
      <w:pPr>
        <w:tabs>
          <w:tab w:val="left" w:pos="3567"/>
        </w:tabs>
        <w:ind w:left="3567" w:hanging="420"/>
      </w:pPr>
      <w:rPr>
        <w:rFonts w:hint="eastAsia"/>
      </w:rPr>
    </w:lvl>
    <w:lvl w:ilvl="7" w:tentative="0">
      <w:start w:val="1"/>
      <w:numFmt w:val="lowerLetter"/>
      <w:lvlText w:val="%8)"/>
      <w:lvlJc w:val="left"/>
      <w:pPr>
        <w:tabs>
          <w:tab w:val="left" w:pos="3987"/>
        </w:tabs>
        <w:ind w:left="3987" w:hanging="420"/>
      </w:pPr>
      <w:rPr>
        <w:rFonts w:hint="eastAsia"/>
      </w:rPr>
    </w:lvl>
    <w:lvl w:ilvl="8" w:tentative="0">
      <w:start w:val="1"/>
      <w:numFmt w:val="lowerRoman"/>
      <w:lvlText w:val="%9."/>
      <w:lvlJc w:val="right"/>
      <w:pPr>
        <w:tabs>
          <w:tab w:val="left" w:pos="4407"/>
        </w:tabs>
        <w:ind w:left="4407" w:hanging="420"/>
      </w:pPr>
      <w:rPr>
        <w:rFonts w:hint="eastAsia"/>
      </w:rPr>
    </w:lvl>
  </w:abstractNum>
  <w:abstractNum w:abstractNumId="46">
    <w:nsid w:val="7FB33E58"/>
    <w:multiLevelType w:val="multilevel"/>
    <w:tmpl w:val="7FB33E58"/>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suff w:val="nothing"/>
      <w:lvlText w:val="3.3.%3 "/>
      <w:lvlJc w:val="left"/>
      <w:pPr>
        <w:ind w:left="1418" w:hanging="567"/>
      </w:pPr>
      <w:rPr>
        <w:rFonts w:hint="eastAsia" w:ascii="宋体" w:hAnsi="宋体" w:eastAsia="宋体"/>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23"/>
  </w:num>
  <w:num w:numId="2">
    <w:abstractNumId w:val="31"/>
  </w:num>
  <w:num w:numId="3">
    <w:abstractNumId w:val="19"/>
  </w:num>
  <w:num w:numId="4">
    <w:abstractNumId w:val="36"/>
  </w:num>
  <w:num w:numId="5">
    <w:abstractNumId w:val="8"/>
  </w:num>
  <w:num w:numId="6">
    <w:abstractNumId w:val="38"/>
  </w:num>
  <w:num w:numId="7">
    <w:abstractNumId w:val="6"/>
  </w:num>
  <w:num w:numId="8">
    <w:abstractNumId w:val="18"/>
  </w:num>
  <w:num w:numId="9">
    <w:abstractNumId w:val="27"/>
  </w:num>
  <w:num w:numId="10">
    <w:abstractNumId w:val="9"/>
  </w:num>
  <w:num w:numId="11">
    <w:abstractNumId w:val="0"/>
  </w:num>
  <w:num w:numId="12">
    <w:abstractNumId w:val="37"/>
  </w:num>
  <w:num w:numId="13">
    <w:abstractNumId w:val="5"/>
  </w:num>
  <w:num w:numId="14">
    <w:abstractNumId w:val="40"/>
  </w:num>
  <w:num w:numId="15">
    <w:abstractNumId w:val="10"/>
  </w:num>
  <w:num w:numId="16">
    <w:abstractNumId w:val="28"/>
  </w:num>
  <w:num w:numId="17">
    <w:abstractNumId w:val="43"/>
  </w:num>
  <w:num w:numId="18">
    <w:abstractNumId w:val="35"/>
  </w:num>
  <w:num w:numId="19">
    <w:abstractNumId w:val="33"/>
  </w:num>
  <w:num w:numId="20">
    <w:abstractNumId w:val="17"/>
  </w:num>
  <w:num w:numId="21">
    <w:abstractNumId w:val="21"/>
  </w:num>
  <w:num w:numId="22">
    <w:abstractNumId w:val="34"/>
  </w:num>
  <w:num w:numId="23">
    <w:abstractNumId w:val="13"/>
  </w:num>
  <w:num w:numId="24">
    <w:abstractNumId w:val="3"/>
  </w:num>
  <w:num w:numId="25">
    <w:abstractNumId w:val="15"/>
  </w:num>
  <w:num w:numId="26">
    <w:abstractNumId w:val="26"/>
  </w:num>
  <w:num w:numId="27">
    <w:abstractNumId w:val="16"/>
  </w:num>
  <w:num w:numId="28">
    <w:abstractNumId w:val="11"/>
  </w:num>
  <w:num w:numId="29">
    <w:abstractNumId w:val="41"/>
  </w:num>
  <w:num w:numId="30">
    <w:abstractNumId w:val="46"/>
  </w:num>
  <w:num w:numId="31">
    <w:abstractNumId w:val="29"/>
  </w:num>
  <w:num w:numId="32">
    <w:abstractNumId w:val="32"/>
  </w:num>
  <w:num w:numId="33">
    <w:abstractNumId w:val="14"/>
  </w:num>
  <w:num w:numId="34">
    <w:abstractNumId w:val="25"/>
  </w:num>
  <w:num w:numId="35">
    <w:abstractNumId w:val="42"/>
  </w:num>
  <w:num w:numId="36">
    <w:abstractNumId w:val="22"/>
  </w:num>
  <w:num w:numId="37">
    <w:abstractNumId w:val="39"/>
  </w:num>
  <w:num w:numId="38">
    <w:abstractNumId w:val="24"/>
  </w:num>
  <w:num w:numId="39">
    <w:abstractNumId w:val="30"/>
  </w:num>
  <w:num w:numId="40">
    <w:abstractNumId w:val="12"/>
  </w:num>
  <w:num w:numId="41">
    <w:abstractNumId w:val="44"/>
  </w:num>
  <w:num w:numId="42">
    <w:abstractNumId w:val="4"/>
  </w:num>
  <w:num w:numId="43">
    <w:abstractNumId w:val="1"/>
  </w:num>
  <w:num w:numId="44">
    <w:abstractNumId w:val="20"/>
  </w:num>
  <w:num w:numId="45">
    <w:abstractNumId w:val="7"/>
  </w:num>
  <w:num w:numId="46">
    <w:abstractNumId w:val="45"/>
  </w:num>
  <w:num w:numId="47">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裘建达">
    <w15:presenceInfo w15:providerId="None" w15:userId="裘建达"/>
  </w15:person>
  <w15:person w15:author="qyl">
    <w15:presenceInfo w15:providerId="None" w15:userId="qy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doNotValidateAgainstSchema/>
  <w:doNotDemarcateInvalidXml/>
  <w:compat>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ZiNzAxYTc1ODczYTQ1OWZkNTE4YWRmMzZlZDU0MDUifQ=="/>
  </w:docVars>
  <w:rsids>
    <w:rsidRoot w:val="008343B6"/>
    <w:rsid w:val="000001BE"/>
    <w:rsid w:val="00001B50"/>
    <w:rsid w:val="000039A3"/>
    <w:rsid w:val="000051AB"/>
    <w:rsid w:val="00006C64"/>
    <w:rsid w:val="00007B9B"/>
    <w:rsid w:val="000100A9"/>
    <w:rsid w:val="00012772"/>
    <w:rsid w:val="00014083"/>
    <w:rsid w:val="0002036A"/>
    <w:rsid w:val="0002350A"/>
    <w:rsid w:val="000255F9"/>
    <w:rsid w:val="00026424"/>
    <w:rsid w:val="00026CC3"/>
    <w:rsid w:val="00027837"/>
    <w:rsid w:val="00034B7E"/>
    <w:rsid w:val="0003584A"/>
    <w:rsid w:val="00035FBB"/>
    <w:rsid w:val="00043A4F"/>
    <w:rsid w:val="00044F92"/>
    <w:rsid w:val="00051BA9"/>
    <w:rsid w:val="00052E02"/>
    <w:rsid w:val="0005429C"/>
    <w:rsid w:val="00055B9B"/>
    <w:rsid w:val="00055DCD"/>
    <w:rsid w:val="00066C49"/>
    <w:rsid w:val="0006796B"/>
    <w:rsid w:val="00067FAE"/>
    <w:rsid w:val="00072B7C"/>
    <w:rsid w:val="0007705A"/>
    <w:rsid w:val="00077362"/>
    <w:rsid w:val="00077EC1"/>
    <w:rsid w:val="000804C7"/>
    <w:rsid w:val="00085162"/>
    <w:rsid w:val="00085630"/>
    <w:rsid w:val="000865C4"/>
    <w:rsid w:val="00087D5D"/>
    <w:rsid w:val="0009097A"/>
    <w:rsid w:val="00095437"/>
    <w:rsid w:val="0009681C"/>
    <w:rsid w:val="000969B9"/>
    <w:rsid w:val="0009709A"/>
    <w:rsid w:val="000A24C7"/>
    <w:rsid w:val="000A5038"/>
    <w:rsid w:val="000A557E"/>
    <w:rsid w:val="000A7133"/>
    <w:rsid w:val="000B0A63"/>
    <w:rsid w:val="000B13B2"/>
    <w:rsid w:val="000B1EA5"/>
    <w:rsid w:val="000B1FAF"/>
    <w:rsid w:val="000B4292"/>
    <w:rsid w:val="000B6654"/>
    <w:rsid w:val="000B6EB9"/>
    <w:rsid w:val="000C0EF7"/>
    <w:rsid w:val="000C1C4A"/>
    <w:rsid w:val="000C3929"/>
    <w:rsid w:val="000C3CC6"/>
    <w:rsid w:val="000C517D"/>
    <w:rsid w:val="000C5280"/>
    <w:rsid w:val="000C651C"/>
    <w:rsid w:val="000D0041"/>
    <w:rsid w:val="000D043C"/>
    <w:rsid w:val="000E304D"/>
    <w:rsid w:val="000E4DDC"/>
    <w:rsid w:val="000E56AF"/>
    <w:rsid w:val="000F2154"/>
    <w:rsid w:val="000F2282"/>
    <w:rsid w:val="000F616D"/>
    <w:rsid w:val="000F63A3"/>
    <w:rsid w:val="000F7B64"/>
    <w:rsid w:val="00100BF4"/>
    <w:rsid w:val="00101FF7"/>
    <w:rsid w:val="0010511B"/>
    <w:rsid w:val="00106D33"/>
    <w:rsid w:val="00110C63"/>
    <w:rsid w:val="001132D2"/>
    <w:rsid w:val="001145C5"/>
    <w:rsid w:val="00114788"/>
    <w:rsid w:val="00114E2A"/>
    <w:rsid w:val="0011524F"/>
    <w:rsid w:val="001161C2"/>
    <w:rsid w:val="00120263"/>
    <w:rsid w:val="00121F17"/>
    <w:rsid w:val="00122064"/>
    <w:rsid w:val="00123399"/>
    <w:rsid w:val="00126BE4"/>
    <w:rsid w:val="00131DD2"/>
    <w:rsid w:val="001329E7"/>
    <w:rsid w:val="00133294"/>
    <w:rsid w:val="00135834"/>
    <w:rsid w:val="00136B07"/>
    <w:rsid w:val="0013799F"/>
    <w:rsid w:val="0014044F"/>
    <w:rsid w:val="00140956"/>
    <w:rsid w:val="0014232B"/>
    <w:rsid w:val="00142934"/>
    <w:rsid w:val="00142A82"/>
    <w:rsid w:val="00144FA8"/>
    <w:rsid w:val="001517A9"/>
    <w:rsid w:val="0015244E"/>
    <w:rsid w:val="001533CF"/>
    <w:rsid w:val="001537FA"/>
    <w:rsid w:val="00154A0B"/>
    <w:rsid w:val="0015510C"/>
    <w:rsid w:val="0016098A"/>
    <w:rsid w:val="00162893"/>
    <w:rsid w:val="0016317F"/>
    <w:rsid w:val="00163D20"/>
    <w:rsid w:val="00164598"/>
    <w:rsid w:val="0016784C"/>
    <w:rsid w:val="0017147F"/>
    <w:rsid w:val="00175841"/>
    <w:rsid w:val="00177F48"/>
    <w:rsid w:val="00180001"/>
    <w:rsid w:val="001906A2"/>
    <w:rsid w:val="001909A2"/>
    <w:rsid w:val="0019136A"/>
    <w:rsid w:val="001919D9"/>
    <w:rsid w:val="00192676"/>
    <w:rsid w:val="001935F4"/>
    <w:rsid w:val="00196362"/>
    <w:rsid w:val="00196913"/>
    <w:rsid w:val="00196A52"/>
    <w:rsid w:val="00197863"/>
    <w:rsid w:val="001A43CA"/>
    <w:rsid w:val="001B0CCF"/>
    <w:rsid w:val="001B1219"/>
    <w:rsid w:val="001B6AB2"/>
    <w:rsid w:val="001C2533"/>
    <w:rsid w:val="001C4644"/>
    <w:rsid w:val="001D08EB"/>
    <w:rsid w:val="001D0D43"/>
    <w:rsid w:val="001D0D7D"/>
    <w:rsid w:val="001D286B"/>
    <w:rsid w:val="001D2A2E"/>
    <w:rsid w:val="001D708D"/>
    <w:rsid w:val="001D721D"/>
    <w:rsid w:val="001E2F6E"/>
    <w:rsid w:val="001E378F"/>
    <w:rsid w:val="001E477D"/>
    <w:rsid w:val="001E6E01"/>
    <w:rsid w:val="001E72CF"/>
    <w:rsid w:val="001E742D"/>
    <w:rsid w:val="001E7EB5"/>
    <w:rsid w:val="001F00F9"/>
    <w:rsid w:val="001F2795"/>
    <w:rsid w:val="001F291F"/>
    <w:rsid w:val="001F5D27"/>
    <w:rsid w:val="001F6CF7"/>
    <w:rsid w:val="002024D8"/>
    <w:rsid w:val="0020469D"/>
    <w:rsid w:val="00207734"/>
    <w:rsid w:val="00213E45"/>
    <w:rsid w:val="00214666"/>
    <w:rsid w:val="00216EE2"/>
    <w:rsid w:val="00220B4B"/>
    <w:rsid w:val="00223F73"/>
    <w:rsid w:val="002243D7"/>
    <w:rsid w:val="00225F58"/>
    <w:rsid w:val="00226FD9"/>
    <w:rsid w:val="002270F7"/>
    <w:rsid w:val="002279A2"/>
    <w:rsid w:val="00227B30"/>
    <w:rsid w:val="00227EE2"/>
    <w:rsid w:val="00227F60"/>
    <w:rsid w:val="00230ED3"/>
    <w:rsid w:val="00231701"/>
    <w:rsid w:val="002326EB"/>
    <w:rsid w:val="002331A1"/>
    <w:rsid w:val="00233B82"/>
    <w:rsid w:val="00235270"/>
    <w:rsid w:val="00235C2F"/>
    <w:rsid w:val="002362E6"/>
    <w:rsid w:val="0023661B"/>
    <w:rsid w:val="00237F40"/>
    <w:rsid w:val="002407EE"/>
    <w:rsid w:val="002409B6"/>
    <w:rsid w:val="00244528"/>
    <w:rsid w:val="00245F6A"/>
    <w:rsid w:val="00250DDA"/>
    <w:rsid w:val="00251223"/>
    <w:rsid w:val="002515E4"/>
    <w:rsid w:val="002515E6"/>
    <w:rsid w:val="00254E0E"/>
    <w:rsid w:val="0025500A"/>
    <w:rsid w:val="00261CCF"/>
    <w:rsid w:val="0026597E"/>
    <w:rsid w:val="002700FB"/>
    <w:rsid w:val="00272256"/>
    <w:rsid w:val="00272770"/>
    <w:rsid w:val="002735B0"/>
    <w:rsid w:val="00281353"/>
    <w:rsid w:val="0028167E"/>
    <w:rsid w:val="00281957"/>
    <w:rsid w:val="00291FF7"/>
    <w:rsid w:val="00292C06"/>
    <w:rsid w:val="00294168"/>
    <w:rsid w:val="00294356"/>
    <w:rsid w:val="002A00D6"/>
    <w:rsid w:val="002A3031"/>
    <w:rsid w:val="002A3946"/>
    <w:rsid w:val="002A6D3F"/>
    <w:rsid w:val="002B5121"/>
    <w:rsid w:val="002B6E3A"/>
    <w:rsid w:val="002B7D57"/>
    <w:rsid w:val="002C164E"/>
    <w:rsid w:val="002C178B"/>
    <w:rsid w:val="002C20D9"/>
    <w:rsid w:val="002C2B12"/>
    <w:rsid w:val="002D76EE"/>
    <w:rsid w:val="002E0E56"/>
    <w:rsid w:val="002E69F2"/>
    <w:rsid w:val="002E6E1E"/>
    <w:rsid w:val="002E7D97"/>
    <w:rsid w:val="002F2F7D"/>
    <w:rsid w:val="002F3F10"/>
    <w:rsid w:val="002F3F84"/>
    <w:rsid w:val="002F4CDD"/>
    <w:rsid w:val="002F4E97"/>
    <w:rsid w:val="00300896"/>
    <w:rsid w:val="00303DDC"/>
    <w:rsid w:val="00307048"/>
    <w:rsid w:val="0031301A"/>
    <w:rsid w:val="003165F1"/>
    <w:rsid w:val="00316EC7"/>
    <w:rsid w:val="003208DF"/>
    <w:rsid w:val="00321082"/>
    <w:rsid w:val="003223A1"/>
    <w:rsid w:val="00322F72"/>
    <w:rsid w:val="0032337C"/>
    <w:rsid w:val="00324F04"/>
    <w:rsid w:val="00326FF2"/>
    <w:rsid w:val="00326FF4"/>
    <w:rsid w:val="003301D2"/>
    <w:rsid w:val="00331F05"/>
    <w:rsid w:val="003352D1"/>
    <w:rsid w:val="00340240"/>
    <w:rsid w:val="003402BF"/>
    <w:rsid w:val="00340A45"/>
    <w:rsid w:val="00341A7B"/>
    <w:rsid w:val="0034229C"/>
    <w:rsid w:val="00342F9B"/>
    <w:rsid w:val="00343544"/>
    <w:rsid w:val="003467A4"/>
    <w:rsid w:val="003479AF"/>
    <w:rsid w:val="00352917"/>
    <w:rsid w:val="00360356"/>
    <w:rsid w:val="0036166F"/>
    <w:rsid w:val="003672E9"/>
    <w:rsid w:val="00371B54"/>
    <w:rsid w:val="003720B5"/>
    <w:rsid w:val="00373ACA"/>
    <w:rsid w:val="00373C2C"/>
    <w:rsid w:val="003756F5"/>
    <w:rsid w:val="0037708D"/>
    <w:rsid w:val="003776AB"/>
    <w:rsid w:val="0037783B"/>
    <w:rsid w:val="00383A37"/>
    <w:rsid w:val="003844F1"/>
    <w:rsid w:val="00387071"/>
    <w:rsid w:val="00387D45"/>
    <w:rsid w:val="00391947"/>
    <w:rsid w:val="00392BF1"/>
    <w:rsid w:val="003931D5"/>
    <w:rsid w:val="00394CEE"/>
    <w:rsid w:val="00396F77"/>
    <w:rsid w:val="003972B2"/>
    <w:rsid w:val="003A169C"/>
    <w:rsid w:val="003A39CE"/>
    <w:rsid w:val="003A41E0"/>
    <w:rsid w:val="003A6481"/>
    <w:rsid w:val="003B11C2"/>
    <w:rsid w:val="003B18DA"/>
    <w:rsid w:val="003B1AD2"/>
    <w:rsid w:val="003B4A76"/>
    <w:rsid w:val="003B54CE"/>
    <w:rsid w:val="003B58B9"/>
    <w:rsid w:val="003B6CCE"/>
    <w:rsid w:val="003C09DF"/>
    <w:rsid w:val="003C502D"/>
    <w:rsid w:val="003D11FF"/>
    <w:rsid w:val="003D261E"/>
    <w:rsid w:val="003D4982"/>
    <w:rsid w:val="003D562D"/>
    <w:rsid w:val="003D6113"/>
    <w:rsid w:val="003D6BF8"/>
    <w:rsid w:val="003D6F87"/>
    <w:rsid w:val="003E09B1"/>
    <w:rsid w:val="003E3112"/>
    <w:rsid w:val="003E4708"/>
    <w:rsid w:val="003E7792"/>
    <w:rsid w:val="003F12FB"/>
    <w:rsid w:val="003F4B81"/>
    <w:rsid w:val="00401461"/>
    <w:rsid w:val="0040146D"/>
    <w:rsid w:val="004039AF"/>
    <w:rsid w:val="004051F7"/>
    <w:rsid w:val="004103BF"/>
    <w:rsid w:val="0041159D"/>
    <w:rsid w:val="00411CD4"/>
    <w:rsid w:val="00413AD4"/>
    <w:rsid w:val="00414170"/>
    <w:rsid w:val="00414893"/>
    <w:rsid w:val="004156F6"/>
    <w:rsid w:val="004232BC"/>
    <w:rsid w:val="00424501"/>
    <w:rsid w:val="00424DB4"/>
    <w:rsid w:val="00425B27"/>
    <w:rsid w:val="00431125"/>
    <w:rsid w:val="00434F3B"/>
    <w:rsid w:val="0043581D"/>
    <w:rsid w:val="00445092"/>
    <w:rsid w:val="00445954"/>
    <w:rsid w:val="00446DB1"/>
    <w:rsid w:val="00446DF2"/>
    <w:rsid w:val="00447630"/>
    <w:rsid w:val="004502F8"/>
    <w:rsid w:val="00464F47"/>
    <w:rsid w:val="00467B5A"/>
    <w:rsid w:val="0047351E"/>
    <w:rsid w:val="00473F53"/>
    <w:rsid w:val="00481135"/>
    <w:rsid w:val="00484D6E"/>
    <w:rsid w:val="00493DC5"/>
    <w:rsid w:val="00493F78"/>
    <w:rsid w:val="00495319"/>
    <w:rsid w:val="00495373"/>
    <w:rsid w:val="00495DC1"/>
    <w:rsid w:val="004963A2"/>
    <w:rsid w:val="004968E9"/>
    <w:rsid w:val="00497D3F"/>
    <w:rsid w:val="004A0AC7"/>
    <w:rsid w:val="004A21FB"/>
    <w:rsid w:val="004A48CD"/>
    <w:rsid w:val="004A5693"/>
    <w:rsid w:val="004A7AF9"/>
    <w:rsid w:val="004B0911"/>
    <w:rsid w:val="004B36CD"/>
    <w:rsid w:val="004B3853"/>
    <w:rsid w:val="004B5944"/>
    <w:rsid w:val="004B5CD5"/>
    <w:rsid w:val="004C3DA1"/>
    <w:rsid w:val="004C5B99"/>
    <w:rsid w:val="004D2313"/>
    <w:rsid w:val="004D2B86"/>
    <w:rsid w:val="004D53E1"/>
    <w:rsid w:val="004D702D"/>
    <w:rsid w:val="004D7EF1"/>
    <w:rsid w:val="004E2CEB"/>
    <w:rsid w:val="004E4062"/>
    <w:rsid w:val="004E544A"/>
    <w:rsid w:val="004E66B2"/>
    <w:rsid w:val="004F1905"/>
    <w:rsid w:val="004F1E66"/>
    <w:rsid w:val="004F264F"/>
    <w:rsid w:val="004F2BC3"/>
    <w:rsid w:val="004F3A74"/>
    <w:rsid w:val="004F41BA"/>
    <w:rsid w:val="004F5AE9"/>
    <w:rsid w:val="004F6CAC"/>
    <w:rsid w:val="00500CAC"/>
    <w:rsid w:val="005049A9"/>
    <w:rsid w:val="00505FB8"/>
    <w:rsid w:val="005069A5"/>
    <w:rsid w:val="00507DDB"/>
    <w:rsid w:val="005114AC"/>
    <w:rsid w:val="00514D96"/>
    <w:rsid w:val="00515719"/>
    <w:rsid w:val="00515E64"/>
    <w:rsid w:val="00516B98"/>
    <w:rsid w:val="00517640"/>
    <w:rsid w:val="00517ADF"/>
    <w:rsid w:val="00517D74"/>
    <w:rsid w:val="00517FFA"/>
    <w:rsid w:val="005216E3"/>
    <w:rsid w:val="005218A2"/>
    <w:rsid w:val="00523B86"/>
    <w:rsid w:val="0052436A"/>
    <w:rsid w:val="00527BE8"/>
    <w:rsid w:val="0053049C"/>
    <w:rsid w:val="00530C0F"/>
    <w:rsid w:val="005312A0"/>
    <w:rsid w:val="0053242F"/>
    <w:rsid w:val="005406D7"/>
    <w:rsid w:val="0054104C"/>
    <w:rsid w:val="005415D4"/>
    <w:rsid w:val="00545349"/>
    <w:rsid w:val="0054724F"/>
    <w:rsid w:val="005516FD"/>
    <w:rsid w:val="00552041"/>
    <w:rsid w:val="00555239"/>
    <w:rsid w:val="005618AA"/>
    <w:rsid w:val="00561A1B"/>
    <w:rsid w:val="00567A44"/>
    <w:rsid w:val="005718F4"/>
    <w:rsid w:val="005740E6"/>
    <w:rsid w:val="0057470F"/>
    <w:rsid w:val="00575587"/>
    <w:rsid w:val="00582C2F"/>
    <w:rsid w:val="00583ACD"/>
    <w:rsid w:val="005958E3"/>
    <w:rsid w:val="005A1ECD"/>
    <w:rsid w:val="005A4247"/>
    <w:rsid w:val="005A4E71"/>
    <w:rsid w:val="005A7DB8"/>
    <w:rsid w:val="005B09B0"/>
    <w:rsid w:val="005B3995"/>
    <w:rsid w:val="005B46FB"/>
    <w:rsid w:val="005B4A69"/>
    <w:rsid w:val="005B68A4"/>
    <w:rsid w:val="005C244C"/>
    <w:rsid w:val="005C4742"/>
    <w:rsid w:val="005C48BE"/>
    <w:rsid w:val="005D0BD6"/>
    <w:rsid w:val="005D2C07"/>
    <w:rsid w:val="005D30BF"/>
    <w:rsid w:val="005D50A5"/>
    <w:rsid w:val="005E1B38"/>
    <w:rsid w:val="005E2D4F"/>
    <w:rsid w:val="005E3FC3"/>
    <w:rsid w:val="005E4F60"/>
    <w:rsid w:val="005F1BC0"/>
    <w:rsid w:val="005F40A9"/>
    <w:rsid w:val="005F77B6"/>
    <w:rsid w:val="00600D49"/>
    <w:rsid w:val="00602AB4"/>
    <w:rsid w:val="00603E13"/>
    <w:rsid w:val="00605FB3"/>
    <w:rsid w:val="00606537"/>
    <w:rsid w:val="00607739"/>
    <w:rsid w:val="00607A92"/>
    <w:rsid w:val="00610351"/>
    <w:rsid w:val="00610B10"/>
    <w:rsid w:val="006146F9"/>
    <w:rsid w:val="00616F5D"/>
    <w:rsid w:val="00622BB5"/>
    <w:rsid w:val="00623BC6"/>
    <w:rsid w:val="006318FD"/>
    <w:rsid w:val="00632AA1"/>
    <w:rsid w:val="00633709"/>
    <w:rsid w:val="00635D43"/>
    <w:rsid w:val="00637487"/>
    <w:rsid w:val="006379BD"/>
    <w:rsid w:val="0064029F"/>
    <w:rsid w:val="00640AA2"/>
    <w:rsid w:val="00643EEB"/>
    <w:rsid w:val="00644C8C"/>
    <w:rsid w:val="0064791C"/>
    <w:rsid w:val="00647D55"/>
    <w:rsid w:val="00650830"/>
    <w:rsid w:val="0065175B"/>
    <w:rsid w:val="00652B4A"/>
    <w:rsid w:val="006533FA"/>
    <w:rsid w:val="00656AC2"/>
    <w:rsid w:val="00657006"/>
    <w:rsid w:val="00657294"/>
    <w:rsid w:val="006573D4"/>
    <w:rsid w:val="0066022A"/>
    <w:rsid w:val="00662B5D"/>
    <w:rsid w:val="00663A22"/>
    <w:rsid w:val="00666B31"/>
    <w:rsid w:val="006708B1"/>
    <w:rsid w:val="006708F4"/>
    <w:rsid w:val="00670D44"/>
    <w:rsid w:val="00673656"/>
    <w:rsid w:val="0067477D"/>
    <w:rsid w:val="00675268"/>
    <w:rsid w:val="0068182B"/>
    <w:rsid w:val="00685321"/>
    <w:rsid w:val="00685BF5"/>
    <w:rsid w:val="00686C0C"/>
    <w:rsid w:val="0069212F"/>
    <w:rsid w:val="00692922"/>
    <w:rsid w:val="006929A5"/>
    <w:rsid w:val="00693991"/>
    <w:rsid w:val="00694F62"/>
    <w:rsid w:val="00695AB6"/>
    <w:rsid w:val="00696F45"/>
    <w:rsid w:val="00697D88"/>
    <w:rsid w:val="006A2405"/>
    <w:rsid w:val="006A25C2"/>
    <w:rsid w:val="006A2DB9"/>
    <w:rsid w:val="006A3402"/>
    <w:rsid w:val="006A3E14"/>
    <w:rsid w:val="006A5F36"/>
    <w:rsid w:val="006A6066"/>
    <w:rsid w:val="006B0F64"/>
    <w:rsid w:val="006B25B6"/>
    <w:rsid w:val="006B5346"/>
    <w:rsid w:val="006B6D91"/>
    <w:rsid w:val="006C25DD"/>
    <w:rsid w:val="006D0192"/>
    <w:rsid w:val="006D1337"/>
    <w:rsid w:val="006D1FB4"/>
    <w:rsid w:val="006D2227"/>
    <w:rsid w:val="006D3307"/>
    <w:rsid w:val="006D704F"/>
    <w:rsid w:val="006D7919"/>
    <w:rsid w:val="006E4679"/>
    <w:rsid w:val="006F0097"/>
    <w:rsid w:val="006F192C"/>
    <w:rsid w:val="006F4F92"/>
    <w:rsid w:val="006F6FD6"/>
    <w:rsid w:val="006F7D49"/>
    <w:rsid w:val="007000E8"/>
    <w:rsid w:val="00700157"/>
    <w:rsid w:val="00702254"/>
    <w:rsid w:val="00704783"/>
    <w:rsid w:val="007057A0"/>
    <w:rsid w:val="00713BA6"/>
    <w:rsid w:val="0071492A"/>
    <w:rsid w:val="00716B76"/>
    <w:rsid w:val="00716BCA"/>
    <w:rsid w:val="007172D7"/>
    <w:rsid w:val="007178BC"/>
    <w:rsid w:val="007215AD"/>
    <w:rsid w:val="0072170C"/>
    <w:rsid w:val="00727705"/>
    <w:rsid w:val="007279A8"/>
    <w:rsid w:val="00731EE0"/>
    <w:rsid w:val="007329E8"/>
    <w:rsid w:val="007348EC"/>
    <w:rsid w:val="007356FF"/>
    <w:rsid w:val="0073627D"/>
    <w:rsid w:val="007374A8"/>
    <w:rsid w:val="007409F0"/>
    <w:rsid w:val="00740A43"/>
    <w:rsid w:val="00741BBB"/>
    <w:rsid w:val="00741FFA"/>
    <w:rsid w:val="007444C0"/>
    <w:rsid w:val="00744719"/>
    <w:rsid w:val="00745D12"/>
    <w:rsid w:val="00746C0A"/>
    <w:rsid w:val="007470CD"/>
    <w:rsid w:val="00753943"/>
    <w:rsid w:val="007541AE"/>
    <w:rsid w:val="00754B32"/>
    <w:rsid w:val="00755F59"/>
    <w:rsid w:val="00762B49"/>
    <w:rsid w:val="00766D41"/>
    <w:rsid w:val="007672E4"/>
    <w:rsid w:val="00770485"/>
    <w:rsid w:val="00770ADE"/>
    <w:rsid w:val="00771447"/>
    <w:rsid w:val="00777EFE"/>
    <w:rsid w:val="007810F3"/>
    <w:rsid w:val="00781115"/>
    <w:rsid w:val="00781DA5"/>
    <w:rsid w:val="007820BE"/>
    <w:rsid w:val="00783FA2"/>
    <w:rsid w:val="0078555B"/>
    <w:rsid w:val="00786A37"/>
    <w:rsid w:val="00787058"/>
    <w:rsid w:val="00787CA4"/>
    <w:rsid w:val="007A1DC5"/>
    <w:rsid w:val="007A2078"/>
    <w:rsid w:val="007A6AC1"/>
    <w:rsid w:val="007B0376"/>
    <w:rsid w:val="007B2391"/>
    <w:rsid w:val="007B2649"/>
    <w:rsid w:val="007B2FF9"/>
    <w:rsid w:val="007B6E4A"/>
    <w:rsid w:val="007B70B6"/>
    <w:rsid w:val="007C04B4"/>
    <w:rsid w:val="007C117A"/>
    <w:rsid w:val="007C45AC"/>
    <w:rsid w:val="007C7F5F"/>
    <w:rsid w:val="007D1DD0"/>
    <w:rsid w:val="007D1FBD"/>
    <w:rsid w:val="007D399E"/>
    <w:rsid w:val="007D571F"/>
    <w:rsid w:val="007E1AED"/>
    <w:rsid w:val="007F0ED6"/>
    <w:rsid w:val="007F2893"/>
    <w:rsid w:val="007F29CA"/>
    <w:rsid w:val="007F4A5D"/>
    <w:rsid w:val="007F531F"/>
    <w:rsid w:val="007F6C07"/>
    <w:rsid w:val="007F7DBE"/>
    <w:rsid w:val="007F7FDE"/>
    <w:rsid w:val="00800136"/>
    <w:rsid w:val="008049DC"/>
    <w:rsid w:val="00805132"/>
    <w:rsid w:val="008057A0"/>
    <w:rsid w:val="00810AE1"/>
    <w:rsid w:val="00812174"/>
    <w:rsid w:val="008123B3"/>
    <w:rsid w:val="00816421"/>
    <w:rsid w:val="008225EF"/>
    <w:rsid w:val="00823C7B"/>
    <w:rsid w:val="00824C13"/>
    <w:rsid w:val="008264A6"/>
    <w:rsid w:val="00832B21"/>
    <w:rsid w:val="008331CB"/>
    <w:rsid w:val="008343B6"/>
    <w:rsid w:val="0083531B"/>
    <w:rsid w:val="0083575B"/>
    <w:rsid w:val="00836C32"/>
    <w:rsid w:val="00845CE0"/>
    <w:rsid w:val="008478AB"/>
    <w:rsid w:val="008503B1"/>
    <w:rsid w:val="0085404E"/>
    <w:rsid w:val="00856DC6"/>
    <w:rsid w:val="00857319"/>
    <w:rsid w:val="0085767E"/>
    <w:rsid w:val="008601B2"/>
    <w:rsid w:val="00860365"/>
    <w:rsid w:val="00860ADB"/>
    <w:rsid w:val="008627D9"/>
    <w:rsid w:val="008654C7"/>
    <w:rsid w:val="008671A5"/>
    <w:rsid w:val="0087068C"/>
    <w:rsid w:val="0087276A"/>
    <w:rsid w:val="0087306E"/>
    <w:rsid w:val="0087501E"/>
    <w:rsid w:val="0087660F"/>
    <w:rsid w:val="00881375"/>
    <w:rsid w:val="00882109"/>
    <w:rsid w:val="00884E39"/>
    <w:rsid w:val="008851FF"/>
    <w:rsid w:val="00885B98"/>
    <w:rsid w:val="00885D9C"/>
    <w:rsid w:val="00885DCC"/>
    <w:rsid w:val="00893355"/>
    <w:rsid w:val="008955EA"/>
    <w:rsid w:val="0089784F"/>
    <w:rsid w:val="008A119F"/>
    <w:rsid w:val="008A1584"/>
    <w:rsid w:val="008A59E1"/>
    <w:rsid w:val="008A5B63"/>
    <w:rsid w:val="008A6475"/>
    <w:rsid w:val="008A665C"/>
    <w:rsid w:val="008A726E"/>
    <w:rsid w:val="008A77BF"/>
    <w:rsid w:val="008B11B3"/>
    <w:rsid w:val="008B1251"/>
    <w:rsid w:val="008B1522"/>
    <w:rsid w:val="008B160F"/>
    <w:rsid w:val="008B28C6"/>
    <w:rsid w:val="008B695A"/>
    <w:rsid w:val="008B7737"/>
    <w:rsid w:val="008B7F82"/>
    <w:rsid w:val="008C1E82"/>
    <w:rsid w:val="008C2E54"/>
    <w:rsid w:val="008D03F5"/>
    <w:rsid w:val="008D30D3"/>
    <w:rsid w:val="008D34BA"/>
    <w:rsid w:val="008D4094"/>
    <w:rsid w:val="008D5A03"/>
    <w:rsid w:val="008D7124"/>
    <w:rsid w:val="008D7FC7"/>
    <w:rsid w:val="008E2353"/>
    <w:rsid w:val="008E2889"/>
    <w:rsid w:val="008E45C2"/>
    <w:rsid w:val="008E584E"/>
    <w:rsid w:val="008E6153"/>
    <w:rsid w:val="008E70C2"/>
    <w:rsid w:val="008F1790"/>
    <w:rsid w:val="008F5071"/>
    <w:rsid w:val="008F516A"/>
    <w:rsid w:val="008F6665"/>
    <w:rsid w:val="00901C1B"/>
    <w:rsid w:val="009021FA"/>
    <w:rsid w:val="00903554"/>
    <w:rsid w:val="00905422"/>
    <w:rsid w:val="00906D1E"/>
    <w:rsid w:val="00907315"/>
    <w:rsid w:val="00907901"/>
    <w:rsid w:val="00910891"/>
    <w:rsid w:val="00911678"/>
    <w:rsid w:val="00915537"/>
    <w:rsid w:val="00915BAC"/>
    <w:rsid w:val="009175A8"/>
    <w:rsid w:val="00921488"/>
    <w:rsid w:val="009219E5"/>
    <w:rsid w:val="00923C43"/>
    <w:rsid w:val="00925056"/>
    <w:rsid w:val="00926694"/>
    <w:rsid w:val="0093113C"/>
    <w:rsid w:val="009315B2"/>
    <w:rsid w:val="00936881"/>
    <w:rsid w:val="00943659"/>
    <w:rsid w:val="00945733"/>
    <w:rsid w:val="00950060"/>
    <w:rsid w:val="009504C2"/>
    <w:rsid w:val="00950E81"/>
    <w:rsid w:val="009514C7"/>
    <w:rsid w:val="00954B5E"/>
    <w:rsid w:val="00954D0C"/>
    <w:rsid w:val="00956AF4"/>
    <w:rsid w:val="00957DEB"/>
    <w:rsid w:val="00963B48"/>
    <w:rsid w:val="00967C34"/>
    <w:rsid w:val="00970DDE"/>
    <w:rsid w:val="00973590"/>
    <w:rsid w:val="00973F3A"/>
    <w:rsid w:val="009753D4"/>
    <w:rsid w:val="00981D31"/>
    <w:rsid w:val="00981F9A"/>
    <w:rsid w:val="00982E14"/>
    <w:rsid w:val="00984203"/>
    <w:rsid w:val="00993BBE"/>
    <w:rsid w:val="00995969"/>
    <w:rsid w:val="00997FE8"/>
    <w:rsid w:val="009A074A"/>
    <w:rsid w:val="009A2C55"/>
    <w:rsid w:val="009A32A8"/>
    <w:rsid w:val="009A4CF0"/>
    <w:rsid w:val="009A5383"/>
    <w:rsid w:val="009B16E0"/>
    <w:rsid w:val="009B1741"/>
    <w:rsid w:val="009B21E1"/>
    <w:rsid w:val="009B30BB"/>
    <w:rsid w:val="009B427F"/>
    <w:rsid w:val="009B5FEE"/>
    <w:rsid w:val="009B6FC5"/>
    <w:rsid w:val="009B7C10"/>
    <w:rsid w:val="009C02EC"/>
    <w:rsid w:val="009C02F6"/>
    <w:rsid w:val="009C07E9"/>
    <w:rsid w:val="009C08F2"/>
    <w:rsid w:val="009C24B3"/>
    <w:rsid w:val="009C259B"/>
    <w:rsid w:val="009C2BE3"/>
    <w:rsid w:val="009C580B"/>
    <w:rsid w:val="009C66D3"/>
    <w:rsid w:val="009D00EB"/>
    <w:rsid w:val="009D0762"/>
    <w:rsid w:val="009D2615"/>
    <w:rsid w:val="009D2AA5"/>
    <w:rsid w:val="009D3C37"/>
    <w:rsid w:val="009D418F"/>
    <w:rsid w:val="009E3AB1"/>
    <w:rsid w:val="009E5679"/>
    <w:rsid w:val="009E670D"/>
    <w:rsid w:val="009E793C"/>
    <w:rsid w:val="009F0BC7"/>
    <w:rsid w:val="009F14E7"/>
    <w:rsid w:val="009F29D8"/>
    <w:rsid w:val="009F663F"/>
    <w:rsid w:val="00A0127F"/>
    <w:rsid w:val="00A069C6"/>
    <w:rsid w:val="00A10671"/>
    <w:rsid w:val="00A1214C"/>
    <w:rsid w:val="00A1305E"/>
    <w:rsid w:val="00A16598"/>
    <w:rsid w:val="00A16A98"/>
    <w:rsid w:val="00A21B4B"/>
    <w:rsid w:val="00A22234"/>
    <w:rsid w:val="00A24058"/>
    <w:rsid w:val="00A24F53"/>
    <w:rsid w:val="00A256C7"/>
    <w:rsid w:val="00A25BE5"/>
    <w:rsid w:val="00A267ED"/>
    <w:rsid w:val="00A274CB"/>
    <w:rsid w:val="00A27DCA"/>
    <w:rsid w:val="00A27FA1"/>
    <w:rsid w:val="00A40288"/>
    <w:rsid w:val="00A41217"/>
    <w:rsid w:val="00A428B2"/>
    <w:rsid w:val="00A428ED"/>
    <w:rsid w:val="00A43089"/>
    <w:rsid w:val="00A43D30"/>
    <w:rsid w:val="00A445BA"/>
    <w:rsid w:val="00A445DF"/>
    <w:rsid w:val="00A447D4"/>
    <w:rsid w:val="00A44818"/>
    <w:rsid w:val="00A46FBF"/>
    <w:rsid w:val="00A50178"/>
    <w:rsid w:val="00A509D7"/>
    <w:rsid w:val="00A50CD5"/>
    <w:rsid w:val="00A548EE"/>
    <w:rsid w:val="00A579FD"/>
    <w:rsid w:val="00A57F03"/>
    <w:rsid w:val="00A608D6"/>
    <w:rsid w:val="00A61C30"/>
    <w:rsid w:val="00A64E73"/>
    <w:rsid w:val="00A6685D"/>
    <w:rsid w:val="00A71711"/>
    <w:rsid w:val="00A71C65"/>
    <w:rsid w:val="00A73F05"/>
    <w:rsid w:val="00A7601D"/>
    <w:rsid w:val="00A7677D"/>
    <w:rsid w:val="00A826F8"/>
    <w:rsid w:val="00A8626D"/>
    <w:rsid w:val="00A866DC"/>
    <w:rsid w:val="00A867AF"/>
    <w:rsid w:val="00A87843"/>
    <w:rsid w:val="00A87CCC"/>
    <w:rsid w:val="00A958B4"/>
    <w:rsid w:val="00A95E44"/>
    <w:rsid w:val="00A9640A"/>
    <w:rsid w:val="00AA1A2B"/>
    <w:rsid w:val="00AA20A7"/>
    <w:rsid w:val="00AA264F"/>
    <w:rsid w:val="00AA2E78"/>
    <w:rsid w:val="00AA45A6"/>
    <w:rsid w:val="00AA6B78"/>
    <w:rsid w:val="00AA7017"/>
    <w:rsid w:val="00AB1461"/>
    <w:rsid w:val="00AB2BFA"/>
    <w:rsid w:val="00AB3262"/>
    <w:rsid w:val="00AC43AE"/>
    <w:rsid w:val="00AC6379"/>
    <w:rsid w:val="00AC6A08"/>
    <w:rsid w:val="00AD0075"/>
    <w:rsid w:val="00AD2118"/>
    <w:rsid w:val="00AD4976"/>
    <w:rsid w:val="00AD73E2"/>
    <w:rsid w:val="00AE1385"/>
    <w:rsid w:val="00AE711B"/>
    <w:rsid w:val="00AE7125"/>
    <w:rsid w:val="00AF114E"/>
    <w:rsid w:val="00AF20EC"/>
    <w:rsid w:val="00AF313F"/>
    <w:rsid w:val="00AF3E9B"/>
    <w:rsid w:val="00AF4239"/>
    <w:rsid w:val="00AF5E3E"/>
    <w:rsid w:val="00AF65E9"/>
    <w:rsid w:val="00AF783A"/>
    <w:rsid w:val="00AF7DA7"/>
    <w:rsid w:val="00B026E8"/>
    <w:rsid w:val="00B0743F"/>
    <w:rsid w:val="00B0758D"/>
    <w:rsid w:val="00B14D1A"/>
    <w:rsid w:val="00B153C3"/>
    <w:rsid w:val="00B225AE"/>
    <w:rsid w:val="00B2260D"/>
    <w:rsid w:val="00B2411A"/>
    <w:rsid w:val="00B24BB8"/>
    <w:rsid w:val="00B257ED"/>
    <w:rsid w:val="00B25C68"/>
    <w:rsid w:val="00B27818"/>
    <w:rsid w:val="00B32522"/>
    <w:rsid w:val="00B347BB"/>
    <w:rsid w:val="00B37129"/>
    <w:rsid w:val="00B40CC0"/>
    <w:rsid w:val="00B41996"/>
    <w:rsid w:val="00B4253E"/>
    <w:rsid w:val="00B42880"/>
    <w:rsid w:val="00B474C9"/>
    <w:rsid w:val="00B47876"/>
    <w:rsid w:val="00B542E1"/>
    <w:rsid w:val="00B5665D"/>
    <w:rsid w:val="00B56F7F"/>
    <w:rsid w:val="00B61665"/>
    <w:rsid w:val="00B63853"/>
    <w:rsid w:val="00B666F9"/>
    <w:rsid w:val="00B674E1"/>
    <w:rsid w:val="00B716A7"/>
    <w:rsid w:val="00B71EF9"/>
    <w:rsid w:val="00B762B9"/>
    <w:rsid w:val="00B771DA"/>
    <w:rsid w:val="00B77EFB"/>
    <w:rsid w:val="00B80E7B"/>
    <w:rsid w:val="00B83FA9"/>
    <w:rsid w:val="00B8755D"/>
    <w:rsid w:val="00B90F28"/>
    <w:rsid w:val="00B914D3"/>
    <w:rsid w:val="00B91E31"/>
    <w:rsid w:val="00B92ACA"/>
    <w:rsid w:val="00B94BAC"/>
    <w:rsid w:val="00B958CE"/>
    <w:rsid w:val="00B95BF8"/>
    <w:rsid w:val="00B96248"/>
    <w:rsid w:val="00B9715F"/>
    <w:rsid w:val="00BA7324"/>
    <w:rsid w:val="00BB30CD"/>
    <w:rsid w:val="00BB3C74"/>
    <w:rsid w:val="00BB4D4F"/>
    <w:rsid w:val="00BC022C"/>
    <w:rsid w:val="00BC05AC"/>
    <w:rsid w:val="00BC0758"/>
    <w:rsid w:val="00BC4E71"/>
    <w:rsid w:val="00BC6772"/>
    <w:rsid w:val="00BD4127"/>
    <w:rsid w:val="00BD4BEE"/>
    <w:rsid w:val="00BD786E"/>
    <w:rsid w:val="00BE0740"/>
    <w:rsid w:val="00BE197B"/>
    <w:rsid w:val="00BE591A"/>
    <w:rsid w:val="00BE6429"/>
    <w:rsid w:val="00BE72B5"/>
    <w:rsid w:val="00BF364D"/>
    <w:rsid w:val="00BF4AFA"/>
    <w:rsid w:val="00C0094E"/>
    <w:rsid w:val="00C01767"/>
    <w:rsid w:val="00C035A3"/>
    <w:rsid w:val="00C044AD"/>
    <w:rsid w:val="00C07F0E"/>
    <w:rsid w:val="00C1387A"/>
    <w:rsid w:val="00C13D04"/>
    <w:rsid w:val="00C14354"/>
    <w:rsid w:val="00C159BE"/>
    <w:rsid w:val="00C1701B"/>
    <w:rsid w:val="00C17416"/>
    <w:rsid w:val="00C17839"/>
    <w:rsid w:val="00C20E8F"/>
    <w:rsid w:val="00C24233"/>
    <w:rsid w:val="00C27C5B"/>
    <w:rsid w:val="00C3009E"/>
    <w:rsid w:val="00C31606"/>
    <w:rsid w:val="00C36752"/>
    <w:rsid w:val="00C37BF2"/>
    <w:rsid w:val="00C40D60"/>
    <w:rsid w:val="00C43870"/>
    <w:rsid w:val="00C45518"/>
    <w:rsid w:val="00C47521"/>
    <w:rsid w:val="00C54983"/>
    <w:rsid w:val="00C555F2"/>
    <w:rsid w:val="00C557D7"/>
    <w:rsid w:val="00C55BF8"/>
    <w:rsid w:val="00C60415"/>
    <w:rsid w:val="00C63C6E"/>
    <w:rsid w:val="00C67C60"/>
    <w:rsid w:val="00C71571"/>
    <w:rsid w:val="00C71782"/>
    <w:rsid w:val="00C7496E"/>
    <w:rsid w:val="00C7547E"/>
    <w:rsid w:val="00C75823"/>
    <w:rsid w:val="00C76BEC"/>
    <w:rsid w:val="00C802D2"/>
    <w:rsid w:val="00C82A5A"/>
    <w:rsid w:val="00C82C5E"/>
    <w:rsid w:val="00C851DD"/>
    <w:rsid w:val="00C86C46"/>
    <w:rsid w:val="00C9115C"/>
    <w:rsid w:val="00C917FE"/>
    <w:rsid w:val="00C925C3"/>
    <w:rsid w:val="00C9336E"/>
    <w:rsid w:val="00C940CE"/>
    <w:rsid w:val="00C942CB"/>
    <w:rsid w:val="00CA4BDA"/>
    <w:rsid w:val="00CA7572"/>
    <w:rsid w:val="00CB067C"/>
    <w:rsid w:val="00CB1961"/>
    <w:rsid w:val="00CB2D47"/>
    <w:rsid w:val="00CB3EE3"/>
    <w:rsid w:val="00CB3EE6"/>
    <w:rsid w:val="00CB530A"/>
    <w:rsid w:val="00CB5BE2"/>
    <w:rsid w:val="00CB7D8E"/>
    <w:rsid w:val="00CB7DF5"/>
    <w:rsid w:val="00CC10BF"/>
    <w:rsid w:val="00CC311D"/>
    <w:rsid w:val="00CC7943"/>
    <w:rsid w:val="00CD02D2"/>
    <w:rsid w:val="00CD1331"/>
    <w:rsid w:val="00CD3FFE"/>
    <w:rsid w:val="00CD5FCE"/>
    <w:rsid w:val="00CE1E94"/>
    <w:rsid w:val="00CE1EA6"/>
    <w:rsid w:val="00CE44AF"/>
    <w:rsid w:val="00CE5C8C"/>
    <w:rsid w:val="00CE71DC"/>
    <w:rsid w:val="00CF157A"/>
    <w:rsid w:val="00CF36C5"/>
    <w:rsid w:val="00CF670D"/>
    <w:rsid w:val="00CF6822"/>
    <w:rsid w:val="00CF77C1"/>
    <w:rsid w:val="00D00909"/>
    <w:rsid w:val="00D030CF"/>
    <w:rsid w:val="00D049B4"/>
    <w:rsid w:val="00D06F11"/>
    <w:rsid w:val="00D10E6B"/>
    <w:rsid w:val="00D127A6"/>
    <w:rsid w:val="00D1286C"/>
    <w:rsid w:val="00D15F72"/>
    <w:rsid w:val="00D167CF"/>
    <w:rsid w:val="00D20C0C"/>
    <w:rsid w:val="00D218E3"/>
    <w:rsid w:val="00D22104"/>
    <w:rsid w:val="00D22BE7"/>
    <w:rsid w:val="00D22D84"/>
    <w:rsid w:val="00D23066"/>
    <w:rsid w:val="00D25F00"/>
    <w:rsid w:val="00D26C56"/>
    <w:rsid w:val="00D270F1"/>
    <w:rsid w:val="00D311F1"/>
    <w:rsid w:val="00D31862"/>
    <w:rsid w:val="00D34224"/>
    <w:rsid w:val="00D3549B"/>
    <w:rsid w:val="00D36035"/>
    <w:rsid w:val="00D364BC"/>
    <w:rsid w:val="00D4255F"/>
    <w:rsid w:val="00D43633"/>
    <w:rsid w:val="00D45B2F"/>
    <w:rsid w:val="00D53B2C"/>
    <w:rsid w:val="00D55AFD"/>
    <w:rsid w:val="00D57BEF"/>
    <w:rsid w:val="00D60F0B"/>
    <w:rsid w:val="00D63E85"/>
    <w:rsid w:val="00D7067E"/>
    <w:rsid w:val="00D73826"/>
    <w:rsid w:val="00D74769"/>
    <w:rsid w:val="00D74D23"/>
    <w:rsid w:val="00D74F48"/>
    <w:rsid w:val="00D771D3"/>
    <w:rsid w:val="00D777E2"/>
    <w:rsid w:val="00D81026"/>
    <w:rsid w:val="00D83F0E"/>
    <w:rsid w:val="00D841C4"/>
    <w:rsid w:val="00D90990"/>
    <w:rsid w:val="00D92D7B"/>
    <w:rsid w:val="00D9370D"/>
    <w:rsid w:val="00D96073"/>
    <w:rsid w:val="00DA02E7"/>
    <w:rsid w:val="00DA11AC"/>
    <w:rsid w:val="00DA7CE2"/>
    <w:rsid w:val="00DB1D7A"/>
    <w:rsid w:val="00DB2466"/>
    <w:rsid w:val="00DB2AB2"/>
    <w:rsid w:val="00DB3860"/>
    <w:rsid w:val="00DB44A3"/>
    <w:rsid w:val="00DB6885"/>
    <w:rsid w:val="00DB7773"/>
    <w:rsid w:val="00DB7E3A"/>
    <w:rsid w:val="00DC4240"/>
    <w:rsid w:val="00DD4F8F"/>
    <w:rsid w:val="00DD6227"/>
    <w:rsid w:val="00DD6BAF"/>
    <w:rsid w:val="00DD7CD7"/>
    <w:rsid w:val="00DE011D"/>
    <w:rsid w:val="00DE131E"/>
    <w:rsid w:val="00DE1619"/>
    <w:rsid w:val="00DE1B8A"/>
    <w:rsid w:val="00DE236E"/>
    <w:rsid w:val="00DE707D"/>
    <w:rsid w:val="00DF3F80"/>
    <w:rsid w:val="00DF560E"/>
    <w:rsid w:val="00DF779F"/>
    <w:rsid w:val="00DF77F6"/>
    <w:rsid w:val="00E0116E"/>
    <w:rsid w:val="00E04D6B"/>
    <w:rsid w:val="00E053AC"/>
    <w:rsid w:val="00E07465"/>
    <w:rsid w:val="00E07AD9"/>
    <w:rsid w:val="00E10893"/>
    <w:rsid w:val="00E10977"/>
    <w:rsid w:val="00E1493E"/>
    <w:rsid w:val="00E209C3"/>
    <w:rsid w:val="00E21369"/>
    <w:rsid w:val="00E23BFC"/>
    <w:rsid w:val="00E248BF"/>
    <w:rsid w:val="00E2521A"/>
    <w:rsid w:val="00E2581F"/>
    <w:rsid w:val="00E30E22"/>
    <w:rsid w:val="00E32E0E"/>
    <w:rsid w:val="00E350B5"/>
    <w:rsid w:val="00E37E19"/>
    <w:rsid w:val="00E37FE6"/>
    <w:rsid w:val="00E4059E"/>
    <w:rsid w:val="00E408D0"/>
    <w:rsid w:val="00E43C23"/>
    <w:rsid w:val="00E45A44"/>
    <w:rsid w:val="00E463D3"/>
    <w:rsid w:val="00E4703D"/>
    <w:rsid w:val="00E47C63"/>
    <w:rsid w:val="00E53378"/>
    <w:rsid w:val="00E5393C"/>
    <w:rsid w:val="00E5692E"/>
    <w:rsid w:val="00E56BD5"/>
    <w:rsid w:val="00E608A5"/>
    <w:rsid w:val="00E63C28"/>
    <w:rsid w:val="00E64539"/>
    <w:rsid w:val="00E64C44"/>
    <w:rsid w:val="00E652E8"/>
    <w:rsid w:val="00E67850"/>
    <w:rsid w:val="00E716D1"/>
    <w:rsid w:val="00E722BA"/>
    <w:rsid w:val="00E759FC"/>
    <w:rsid w:val="00E76C67"/>
    <w:rsid w:val="00E810FA"/>
    <w:rsid w:val="00E815E9"/>
    <w:rsid w:val="00E8253B"/>
    <w:rsid w:val="00E842A4"/>
    <w:rsid w:val="00E8573C"/>
    <w:rsid w:val="00E85CF4"/>
    <w:rsid w:val="00E860CD"/>
    <w:rsid w:val="00E86A7B"/>
    <w:rsid w:val="00E90EA8"/>
    <w:rsid w:val="00E9298B"/>
    <w:rsid w:val="00E943CA"/>
    <w:rsid w:val="00E9545B"/>
    <w:rsid w:val="00EA54F0"/>
    <w:rsid w:val="00EA727A"/>
    <w:rsid w:val="00EA7E33"/>
    <w:rsid w:val="00EB51DF"/>
    <w:rsid w:val="00EB640B"/>
    <w:rsid w:val="00EB68C4"/>
    <w:rsid w:val="00EB6DF7"/>
    <w:rsid w:val="00EB7E07"/>
    <w:rsid w:val="00EC01AB"/>
    <w:rsid w:val="00EC3F3A"/>
    <w:rsid w:val="00EC646A"/>
    <w:rsid w:val="00EC711F"/>
    <w:rsid w:val="00EC7C9A"/>
    <w:rsid w:val="00EC7F78"/>
    <w:rsid w:val="00ED1D54"/>
    <w:rsid w:val="00ED30A3"/>
    <w:rsid w:val="00ED357B"/>
    <w:rsid w:val="00ED4117"/>
    <w:rsid w:val="00ED508B"/>
    <w:rsid w:val="00ED69B4"/>
    <w:rsid w:val="00EE067D"/>
    <w:rsid w:val="00EE0DD4"/>
    <w:rsid w:val="00EE18FC"/>
    <w:rsid w:val="00EE2FFF"/>
    <w:rsid w:val="00EE3483"/>
    <w:rsid w:val="00EE36BD"/>
    <w:rsid w:val="00EE5953"/>
    <w:rsid w:val="00F00315"/>
    <w:rsid w:val="00F05DA0"/>
    <w:rsid w:val="00F06057"/>
    <w:rsid w:val="00F073E5"/>
    <w:rsid w:val="00F104FA"/>
    <w:rsid w:val="00F11E12"/>
    <w:rsid w:val="00F1244E"/>
    <w:rsid w:val="00F126A0"/>
    <w:rsid w:val="00F13785"/>
    <w:rsid w:val="00F15659"/>
    <w:rsid w:val="00F165BB"/>
    <w:rsid w:val="00F273F5"/>
    <w:rsid w:val="00F30F78"/>
    <w:rsid w:val="00F3118F"/>
    <w:rsid w:val="00F33E72"/>
    <w:rsid w:val="00F377FA"/>
    <w:rsid w:val="00F42294"/>
    <w:rsid w:val="00F43FC5"/>
    <w:rsid w:val="00F4463E"/>
    <w:rsid w:val="00F4541C"/>
    <w:rsid w:val="00F52338"/>
    <w:rsid w:val="00F531A5"/>
    <w:rsid w:val="00F53386"/>
    <w:rsid w:val="00F55C3A"/>
    <w:rsid w:val="00F60EB2"/>
    <w:rsid w:val="00F642CA"/>
    <w:rsid w:val="00F64909"/>
    <w:rsid w:val="00F64D27"/>
    <w:rsid w:val="00F6724B"/>
    <w:rsid w:val="00F7342A"/>
    <w:rsid w:val="00F7386D"/>
    <w:rsid w:val="00F749A3"/>
    <w:rsid w:val="00F7768C"/>
    <w:rsid w:val="00F77C3D"/>
    <w:rsid w:val="00F81790"/>
    <w:rsid w:val="00F82E51"/>
    <w:rsid w:val="00F83DCD"/>
    <w:rsid w:val="00F84F21"/>
    <w:rsid w:val="00F85995"/>
    <w:rsid w:val="00F86C80"/>
    <w:rsid w:val="00F91016"/>
    <w:rsid w:val="00F910E3"/>
    <w:rsid w:val="00F91DAA"/>
    <w:rsid w:val="00F92175"/>
    <w:rsid w:val="00F92E9D"/>
    <w:rsid w:val="00F92EC8"/>
    <w:rsid w:val="00F94959"/>
    <w:rsid w:val="00F95861"/>
    <w:rsid w:val="00F95974"/>
    <w:rsid w:val="00F96F21"/>
    <w:rsid w:val="00FA1615"/>
    <w:rsid w:val="00FA1F4F"/>
    <w:rsid w:val="00FA232A"/>
    <w:rsid w:val="00FA3F90"/>
    <w:rsid w:val="00FA6141"/>
    <w:rsid w:val="00FA78E6"/>
    <w:rsid w:val="00FA7F52"/>
    <w:rsid w:val="00FB1E9B"/>
    <w:rsid w:val="00FB1FF8"/>
    <w:rsid w:val="00FB29CA"/>
    <w:rsid w:val="00FB456E"/>
    <w:rsid w:val="00FB538E"/>
    <w:rsid w:val="00FB7168"/>
    <w:rsid w:val="00FC20B4"/>
    <w:rsid w:val="00FC375A"/>
    <w:rsid w:val="00FC5CB0"/>
    <w:rsid w:val="00FC64DF"/>
    <w:rsid w:val="00FC672A"/>
    <w:rsid w:val="00FC6CB4"/>
    <w:rsid w:val="00FD23C0"/>
    <w:rsid w:val="00FD2D21"/>
    <w:rsid w:val="00FD635C"/>
    <w:rsid w:val="00FD7D49"/>
    <w:rsid w:val="00FE043A"/>
    <w:rsid w:val="00FE0FAB"/>
    <w:rsid w:val="00FE10ED"/>
    <w:rsid w:val="00FE5DD0"/>
    <w:rsid w:val="00FE613A"/>
    <w:rsid w:val="00FF0E4F"/>
    <w:rsid w:val="00FF12AF"/>
    <w:rsid w:val="00FF7472"/>
    <w:rsid w:val="013658C9"/>
    <w:rsid w:val="01CE185D"/>
    <w:rsid w:val="025941CA"/>
    <w:rsid w:val="029C6541"/>
    <w:rsid w:val="029F0509"/>
    <w:rsid w:val="030A1699"/>
    <w:rsid w:val="035556E8"/>
    <w:rsid w:val="03B44EAE"/>
    <w:rsid w:val="041413E5"/>
    <w:rsid w:val="041B2FAD"/>
    <w:rsid w:val="04716E2C"/>
    <w:rsid w:val="049118AD"/>
    <w:rsid w:val="04A1422A"/>
    <w:rsid w:val="04E54111"/>
    <w:rsid w:val="04EB55C2"/>
    <w:rsid w:val="04F87E04"/>
    <w:rsid w:val="051B6ECD"/>
    <w:rsid w:val="056B33E0"/>
    <w:rsid w:val="057729EC"/>
    <w:rsid w:val="05853761"/>
    <w:rsid w:val="058A5B80"/>
    <w:rsid w:val="05D53B07"/>
    <w:rsid w:val="05DF20CD"/>
    <w:rsid w:val="062A53C6"/>
    <w:rsid w:val="063A0E4C"/>
    <w:rsid w:val="0656765F"/>
    <w:rsid w:val="06C81778"/>
    <w:rsid w:val="07242596"/>
    <w:rsid w:val="073D565F"/>
    <w:rsid w:val="075A1291"/>
    <w:rsid w:val="08401324"/>
    <w:rsid w:val="084D361A"/>
    <w:rsid w:val="086C767A"/>
    <w:rsid w:val="08807C8F"/>
    <w:rsid w:val="08A61F26"/>
    <w:rsid w:val="08AC0286"/>
    <w:rsid w:val="08AC6617"/>
    <w:rsid w:val="08DB7189"/>
    <w:rsid w:val="08F633AB"/>
    <w:rsid w:val="090E1207"/>
    <w:rsid w:val="09102BA1"/>
    <w:rsid w:val="0917534D"/>
    <w:rsid w:val="091E3FFC"/>
    <w:rsid w:val="092D1D23"/>
    <w:rsid w:val="09494D36"/>
    <w:rsid w:val="094E437B"/>
    <w:rsid w:val="099579CD"/>
    <w:rsid w:val="09CD1ADF"/>
    <w:rsid w:val="09F307FD"/>
    <w:rsid w:val="09F74E6A"/>
    <w:rsid w:val="0A2075A9"/>
    <w:rsid w:val="0A461467"/>
    <w:rsid w:val="0A4D3FF7"/>
    <w:rsid w:val="0A5A534E"/>
    <w:rsid w:val="0A6B1E4E"/>
    <w:rsid w:val="0A7D2D37"/>
    <w:rsid w:val="0A803280"/>
    <w:rsid w:val="0AA46249"/>
    <w:rsid w:val="0AAB1E48"/>
    <w:rsid w:val="0AB57259"/>
    <w:rsid w:val="0AC25D8A"/>
    <w:rsid w:val="0AE00071"/>
    <w:rsid w:val="0B570074"/>
    <w:rsid w:val="0B625F80"/>
    <w:rsid w:val="0B94531B"/>
    <w:rsid w:val="0BDB7272"/>
    <w:rsid w:val="0BE050EC"/>
    <w:rsid w:val="0C181BB9"/>
    <w:rsid w:val="0C2F02B1"/>
    <w:rsid w:val="0C564F40"/>
    <w:rsid w:val="0C580249"/>
    <w:rsid w:val="0CF51526"/>
    <w:rsid w:val="0D2D733C"/>
    <w:rsid w:val="0D3C7221"/>
    <w:rsid w:val="0D953036"/>
    <w:rsid w:val="0DF3381A"/>
    <w:rsid w:val="0DFD40BC"/>
    <w:rsid w:val="0E1103DB"/>
    <w:rsid w:val="0E3C5521"/>
    <w:rsid w:val="0E3F6D7F"/>
    <w:rsid w:val="0E406BE4"/>
    <w:rsid w:val="0E44085B"/>
    <w:rsid w:val="0E51058C"/>
    <w:rsid w:val="0E5E27A7"/>
    <w:rsid w:val="0E621B3C"/>
    <w:rsid w:val="0EE5037A"/>
    <w:rsid w:val="0F154ED2"/>
    <w:rsid w:val="0F3D1066"/>
    <w:rsid w:val="0F4318AE"/>
    <w:rsid w:val="0F81185A"/>
    <w:rsid w:val="0F920DAF"/>
    <w:rsid w:val="0FB81F70"/>
    <w:rsid w:val="0FC14ACF"/>
    <w:rsid w:val="0FD97210"/>
    <w:rsid w:val="0FEA16DE"/>
    <w:rsid w:val="0FF57B46"/>
    <w:rsid w:val="103C6C09"/>
    <w:rsid w:val="10B23F89"/>
    <w:rsid w:val="10CD23EC"/>
    <w:rsid w:val="10D3067A"/>
    <w:rsid w:val="114502E5"/>
    <w:rsid w:val="11532505"/>
    <w:rsid w:val="11983911"/>
    <w:rsid w:val="11BC7B17"/>
    <w:rsid w:val="11F23C9D"/>
    <w:rsid w:val="11F25FD8"/>
    <w:rsid w:val="12844903"/>
    <w:rsid w:val="12A97887"/>
    <w:rsid w:val="12E241F2"/>
    <w:rsid w:val="1333437E"/>
    <w:rsid w:val="133527EE"/>
    <w:rsid w:val="13CB37BB"/>
    <w:rsid w:val="13D01CA2"/>
    <w:rsid w:val="13EE326C"/>
    <w:rsid w:val="141F3FD6"/>
    <w:rsid w:val="14244F4B"/>
    <w:rsid w:val="142B3EFE"/>
    <w:rsid w:val="143875E2"/>
    <w:rsid w:val="143D133D"/>
    <w:rsid w:val="143D23F8"/>
    <w:rsid w:val="145948D0"/>
    <w:rsid w:val="147E2727"/>
    <w:rsid w:val="14903C4B"/>
    <w:rsid w:val="14981F13"/>
    <w:rsid w:val="149A0E1D"/>
    <w:rsid w:val="14A14401"/>
    <w:rsid w:val="14A643E1"/>
    <w:rsid w:val="14B30A83"/>
    <w:rsid w:val="14BB04A6"/>
    <w:rsid w:val="14C4249C"/>
    <w:rsid w:val="14FE1393"/>
    <w:rsid w:val="15053142"/>
    <w:rsid w:val="155C0F77"/>
    <w:rsid w:val="15EC784C"/>
    <w:rsid w:val="1620386A"/>
    <w:rsid w:val="166E409B"/>
    <w:rsid w:val="168508AF"/>
    <w:rsid w:val="16897794"/>
    <w:rsid w:val="168A7CA2"/>
    <w:rsid w:val="169049D9"/>
    <w:rsid w:val="16A4545E"/>
    <w:rsid w:val="16E866A6"/>
    <w:rsid w:val="16FF5B68"/>
    <w:rsid w:val="17167F68"/>
    <w:rsid w:val="175954D4"/>
    <w:rsid w:val="17A14803"/>
    <w:rsid w:val="17A25A3E"/>
    <w:rsid w:val="18045B1F"/>
    <w:rsid w:val="182D2E82"/>
    <w:rsid w:val="1842125D"/>
    <w:rsid w:val="186832BA"/>
    <w:rsid w:val="18C767F4"/>
    <w:rsid w:val="18D14B90"/>
    <w:rsid w:val="18E8730D"/>
    <w:rsid w:val="18F1469E"/>
    <w:rsid w:val="1915018F"/>
    <w:rsid w:val="193E08BC"/>
    <w:rsid w:val="196F6E68"/>
    <w:rsid w:val="19F560B0"/>
    <w:rsid w:val="1A071DA8"/>
    <w:rsid w:val="1A4D0E7D"/>
    <w:rsid w:val="1A63212E"/>
    <w:rsid w:val="1AD7023E"/>
    <w:rsid w:val="1B031645"/>
    <w:rsid w:val="1B325C1D"/>
    <w:rsid w:val="1B3F349C"/>
    <w:rsid w:val="1B8B5518"/>
    <w:rsid w:val="1B994EDC"/>
    <w:rsid w:val="1BA33A56"/>
    <w:rsid w:val="1BB2427A"/>
    <w:rsid w:val="1BF94E9C"/>
    <w:rsid w:val="1C015DEA"/>
    <w:rsid w:val="1C0A608B"/>
    <w:rsid w:val="1C284EF1"/>
    <w:rsid w:val="1C5503EA"/>
    <w:rsid w:val="1C971AA2"/>
    <w:rsid w:val="1CA71756"/>
    <w:rsid w:val="1CC551DB"/>
    <w:rsid w:val="1CD12A1F"/>
    <w:rsid w:val="1CE800BA"/>
    <w:rsid w:val="1D0E13A6"/>
    <w:rsid w:val="1D6A2A74"/>
    <w:rsid w:val="1D7C0A94"/>
    <w:rsid w:val="1DA01F5E"/>
    <w:rsid w:val="1DA135CF"/>
    <w:rsid w:val="1DA320B5"/>
    <w:rsid w:val="1E294C73"/>
    <w:rsid w:val="1E660292"/>
    <w:rsid w:val="1E871679"/>
    <w:rsid w:val="1EB02C25"/>
    <w:rsid w:val="1EE658E6"/>
    <w:rsid w:val="1EF95C2D"/>
    <w:rsid w:val="1F037A7A"/>
    <w:rsid w:val="1F336A23"/>
    <w:rsid w:val="1F365B8A"/>
    <w:rsid w:val="1F3B1605"/>
    <w:rsid w:val="1F9702DD"/>
    <w:rsid w:val="200C2298"/>
    <w:rsid w:val="205E0A20"/>
    <w:rsid w:val="20B21977"/>
    <w:rsid w:val="20DF09CE"/>
    <w:rsid w:val="20FB336F"/>
    <w:rsid w:val="211F06D4"/>
    <w:rsid w:val="21241616"/>
    <w:rsid w:val="21596E46"/>
    <w:rsid w:val="216F5531"/>
    <w:rsid w:val="22067DBB"/>
    <w:rsid w:val="222B5DAC"/>
    <w:rsid w:val="22451EDF"/>
    <w:rsid w:val="224776A3"/>
    <w:rsid w:val="228147B0"/>
    <w:rsid w:val="228C1E1D"/>
    <w:rsid w:val="22B2018B"/>
    <w:rsid w:val="22D57F01"/>
    <w:rsid w:val="22E21256"/>
    <w:rsid w:val="2324612D"/>
    <w:rsid w:val="23564BBB"/>
    <w:rsid w:val="238A1303"/>
    <w:rsid w:val="239552AE"/>
    <w:rsid w:val="23CD0646"/>
    <w:rsid w:val="23F63DA1"/>
    <w:rsid w:val="2406282D"/>
    <w:rsid w:val="247754E4"/>
    <w:rsid w:val="24F4396E"/>
    <w:rsid w:val="24F657F8"/>
    <w:rsid w:val="251C66F2"/>
    <w:rsid w:val="252B75E8"/>
    <w:rsid w:val="25740EFF"/>
    <w:rsid w:val="25776AA4"/>
    <w:rsid w:val="25985A2A"/>
    <w:rsid w:val="259C1387"/>
    <w:rsid w:val="25B07B71"/>
    <w:rsid w:val="25B35268"/>
    <w:rsid w:val="25F360C1"/>
    <w:rsid w:val="2634178C"/>
    <w:rsid w:val="26352C7E"/>
    <w:rsid w:val="265B4412"/>
    <w:rsid w:val="266968D8"/>
    <w:rsid w:val="26905F7C"/>
    <w:rsid w:val="269765EE"/>
    <w:rsid w:val="269C477E"/>
    <w:rsid w:val="26A06C4B"/>
    <w:rsid w:val="26A10437"/>
    <w:rsid w:val="26C87453"/>
    <w:rsid w:val="26D47FF5"/>
    <w:rsid w:val="271A7A0C"/>
    <w:rsid w:val="27220E53"/>
    <w:rsid w:val="275C47B4"/>
    <w:rsid w:val="276611FC"/>
    <w:rsid w:val="27895F06"/>
    <w:rsid w:val="27AF08F4"/>
    <w:rsid w:val="27B44754"/>
    <w:rsid w:val="27C53710"/>
    <w:rsid w:val="2808097C"/>
    <w:rsid w:val="28251939"/>
    <w:rsid w:val="28410850"/>
    <w:rsid w:val="28604D24"/>
    <w:rsid w:val="288E32E3"/>
    <w:rsid w:val="288F4CB7"/>
    <w:rsid w:val="28BD7821"/>
    <w:rsid w:val="28DF1942"/>
    <w:rsid w:val="28E6366A"/>
    <w:rsid w:val="28EE57EA"/>
    <w:rsid w:val="28F00DEC"/>
    <w:rsid w:val="29024A6B"/>
    <w:rsid w:val="2961753E"/>
    <w:rsid w:val="296532A7"/>
    <w:rsid w:val="299122C8"/>
    <w:rsid w:val="299D267C"/>
    <w:rsid w:val="29B707D5"/>
    <w:rsid w:val="29C602BF"/>
    <w:rsid w:val="29CE21D5"/>
    <w:rsid w:val="29E9427C"/>
    <w:rsid w:val="29F25D40"/>
    <w:rsid w:val="2A0D4A29"/>
    <w:rsid w:val="2A1076EE"/>
    <w:rsid w:val="2A11432E"/>
    <w:rsid w:val="2A1E42EE"/>
    <w:rsid w:val="2A1F3FB8"/>
    <w:rsid w:val="2A2540A7"/>
    <w:rsid w:val="2A2B6B34"/>
    <w:rsid w:val="2A541364"/>
    <w:rsid w:val="2A550522"/>
    <w:rsid w:val="2A574D65"/>
    <w:rsid w:val="2A85785A"/>
    <w:rsid w:val="2A8E40D1"/>
    <w:rsid w:val="2AED3036"/>
    <w:rsid w:val="2B134BF1"/>
    <w:rsid w:val="2B1A5E20"/>
    <w:rsid w:val="2B6C2D35"/>
    <w:rsid w:val="2BBD6F80"/>
    <w:rsid w:val="2BC26E12"/>
    <w:rsid w:val="2BC41E9E"/>
    <w:rsid w:val="2BD84A44"/>
    <w:rsid w:val="2BEF0DB7"/>
    <w:rsid w:val="2BF25968"/>
    <w:rsid w:val="2C062715"/>
    <w:rsid w:val="2C1A6058"/>
    <w:rsid w:val="2C994D48"/>
    <w:rsid w:val="2C9C575C"/>
    <w:rsid w:val="2CAC7D40"/>
    <w:rsid w:val="2CFE5595"/>
    <w:rsid w:val="2D0B094E"/>
    <w:rsid w:val="2D214861"/>
    <w:rsid w:val="2D3E01C2"/>
    <w:rsid w:val="2DA36718"/>
    <w:rsid w:val="2DEB51C7"/>
    <w:rsid w:val="2DF30594"/>
    <w:rsid w:val="2DF469DD"/>
    <w:rsid w:val="2EC01339"/>
    <w:rsid w:val="2F58294A"/>
    <w:rsid w:val="2F635763"/>
    <w:rsid w:val="2F6649D7"/>
    <w:rsid w:val="2F9809AC"/>
    <w:rsid w:val="2FEB468A"/>
    <w:rsid w:val="30235BCB"/>
    <w:rsid w:val="30300DB8"/>
    <w:rsid w:val="304C31C1"/>
    <w:rsid w:val="305E0D81"/>
    <w:rsid w:val="30841E49"/>
    <w:rsid w:val="30DA30E2"/>
    <w:rsid w:val="310219BD"/>
    <w:rsid w:val="31373BCA"/>
    <w:rsid w:val="31515E1F"/>
    <w:rsid w:val="319652AB"/>
    <w:rsid w:val="31BB0EF4"/>
    <w:rsid w:val="31C31FDA"/>
    <w:rsid w:val="31F22A6A"/>
    <w:rsid w:val="32135997"/>
    <w:rsid w:val="322B6B90"/>
    <w:rsid w:val="32B734DB"/>
    <w:rsid w:val="32D35BE0"/>
    <w:rsid w:val="32DA4C7A"/>
    <w:rsid w:val="32F2570E"/>
    <w:rsid w:val="33316D0F"/>
    <w:rsid w:val="333D2DBA"/>
    <w:rsid w:val="33563E16"/>
    <w:rsid w:val="33B179EA"/>
    <w:rsid w:val="33B6567E"/>
    <w:rsid w:val="33BF47B3"/>
    <w:rsid w:val="34242460"/>
    <w:rsid w:val="34337309"/>
    <w:rsid w:val="343D5F11"/>
    <w:rsid w:val="3449269E"/>
    <w:rsid w:val="348938A8"/>
    <w:rsid w:val="34894638"/>
    <w:rsid w:val="349B72A1"/>
    <w:rsid w:val="34D84A69"/>
    <w:rsid w:val="35207433"/>
    <w:rsid w:val="358E41A2"/>
    <w:rsid w:val="359B3DB1"/>
    <w:rsid w:val="35AD27ED"/>
    <w:rsid w:val="35BB7FE5"/>
    <w:rsid w:val="35CE1396"/>
    <w:rsid w:val="36614CDB"/>
    <w:rsid w:val="3677258B"/>
    <w:rsid w:val="36AA6E46"/>
    <w:rsid w:val="36B83BC4"/>
    <w:rsid w:val="36D764E2"/>
    <w:rsid w:val="37017D63"/>
    <w:rsid w:val="37112367"/>
    <w:rsid w:val="371D178F"/>
    <w:rsid w:val="371E11FA"/>
    <w:rsid w:val="379713C4"/>
    <w:rsid w:val="37DE79B8"/>
    <w:rsid w:val="37F73124"/>
    <w:rsid w:val="38073105"/>
    <w:rsid w:val="382439B7"/>
    <w:rsid w:val="383715B7"/>
    <w:rsid w:val="38466D7A"/>
    <w:rsid w:val="385126EE"/>
    <w:rsid w:val="38584D1E"/>
    <w:rsid w:val="386901E1"/>
    <w:rsid w:val="38BF5019"/>
    <w:rsid w:val="393548CD"/>
    <w:rsid w:val="39736EAD"/>
    <w:rsid w:val="39857824"/>
    <w:rsid w:val="39EA3E68"/>
    <w:rsid w:val="3A76731C"/>
    <w:rsid w:val="3A815AF1"/>
    <w:rsid w:val="3AAA33BC"/>
    <w:rsid w:val="3AB77D3F"/>
    <w:rsid w:val="3ACB0650"/>
    <w:rsid w:val="3B2200BC"/>
    <w:rsid w:val="3B5B660B"/>
    <w:rsid w:val="3B8D7ECC"/>
    <w:rsid w:val="3BAF373F"/>
    <w:rsid w:val="3BE70FF9"/>
    <w:rsid w:val="3BF86D2F"/>
    <w:rsid w:val="3C107D64"/>
    <w:rsid w:val="3C2241FC"/>
    <w:rsid w:val="3C49357F"/>
    <w:rsid w:val="3C674833"/>
    <w:rsid w:val="3C92654C"/>
    <w:rsid w:val="3CA145BD"/>
    <w:rsid w:val="3CE24B11"/>
    <w:rsid w:val="3D1F6317"/>
    <w:rsid w:val="3D314CA3"/>
    <w:rsid w:val="3D4F66C7"/>
    <w:rsid w:val="3D6C1718"/>
    <w:rsid w:val="3DB85DFD"/>
    <w:rsid w:val="3E447262"/>
    <w:rsid w:val="3E5219F5"/>
    <w:rsid w:val="3E753186"/>
    <w:rsid w:val="3E9938E6"/>
    <w:rsid w:val="3EA91D69"/>
    <w:rsid w:val="3EEA3255"/>
    <w:rsid w:val="3F5C3D7B"/>
    <w:rsid w:val="3F63035B"/>
    <w:rsid w:val="3FA36A12"/>
    <w:rsid w:val="3FAA2393"/>
    <w:rsid w:val="3FF15AC2"/>
    <w:rsid w:val="4021512E"/>
    <w:rsid w:val="40516593"/>
    <w:rsid w:val="405A368E"/>
    <w:rsid w:val="4067031D"/>
    <w:rsid w:val="40805A8C"/>
    <w:rsid w:val="40A14F5C"/>
    <w:rsid w:val="40E973FE"/>
    <w:rsid w:val="40EB47D3"/>
    <w:rsid w:val="40F66C22"/>
    <w:rsid w:val="41004930"/>
    <w:rsid w:val="41080BFF"/>
    <w:rsid w:val="41113A7A"/>
    <w:rsid w:val="412E7EAD"/>
    <w:rsid w:val="414F63F1"/>
    <w:rsid w:val="41567203"/>
    <w:rsid w:val="416431F9"/>
    <w:rsid w:val="416E5895"/>
    <w:rsid w:val="41980F60"/>
    <w:rsid w:val="41E849E2"/>
    <w:rsid w:val="426B5A3A"/>
    <w:rsid w:val="42DC4041"/>
    <w:rsid w:val="42EB3295"/>
    <w:rsid w:val="433F3017"/>
    <w:rsid w:val="435F6151"/>
    <w:rsid w:val="437A5E8E"/>
    <w:rsid w:val="43830753"/>
    <w:rsid w:val="43AD7A84"/>
    <w:rsid w:val="43C96EDE"/>
    <w:rsid w:val="43E20BD8"/>
    <w:rsid w:val="43E449F0"/>
    <w:rsid w:val="43E51A08"/>
    <w:rsid w:val="440B5F9A"/>
    <w:rsid w:val="44276739"/>
    <w:rsid w:val="4489017F"/>
    <w:rsid w:val="448A570D"/>
    <w:rsid w:val="44931B2B"/>
    <w:rsid w:val="44980645"/>
    <w:rsid w:val="44BC3464"/>
    <w:rsid w:val="44D35237"/>
    <w:rsid w:val="453216A7"/>
    <w:rsid w:val="45497FEE"/>
    <w:rsid w:val="45551212"/>
    <w:rsid w:val="455B128C"/>
    <w:rsid w:val="45920224"/>
    <w:rsid w:val="459465A0"/>
    <w:rsid w:val="462D7B12"/>
    <w:rsid w:val="4646346C"/>
    <w:rsid w:val="46640C9A"/>
    <w:rsid w:val="466A0FA6"/>
    <w:rsid w:val="46771846"/>
    <w:rsid w:val="46A51FED"/>
    <w:rsid w:val="46C77F74"/>
    <w:rsid w:val="46CD626F"/>
    <w:rsid w:val="46D13BB3"/>
    <w:rsid w:val="474A2214"/>
    <w:rsid w:val="4763218A"/>
    <w:rsid w:val="47B21820"/>
    <w:rsid w:val="47B44856"/>
    <w:rsid w:val="47FC20EF"/>
    <w:rsid w:val="483D1F24"/>
    <w:rsid w:val="483F1F5F"/>
    <w:rsid w:val="484769D2"/>
    <w:rsid w:val="4862312B"/>
    <w:rsid w:val="48B80E79"/>
    <w:rsid w:val="48BC225D"/>
    <w:rsid w:val="48CF146C"/>
    <w:rsid w:val="48EF37F3"/>
    <w:rsid w:val="49317949"/>
    <w:rsid w:val="49323271"/>
    <w:rsid w:val="493E4FBB"/>
    <w:rsid w:val="49431D76"/>
    <w:rsid w:val="49514132"/>
    <w:rsid w:val="4A407927"/>
    <w:rsid w:val="4A4106B6"/>
    <w:rsid w:val="4A8B30EC"/>
    <w:rsid w:val="4AA02954"/>
    <w:rsid w:val="4AD149B8"/>
    <w:rsid w:val="4ADF2005"/>
    <w:rsid w:val="4AFB1C7E"/>
    <w:rsid w:val="4B03268E"/>
    <w:rsid w:val="4B1E08CD"/>
    <w:rsid w:val="4B2424A2"/>
    <w:rsid w:val="4B2A1244"/>
    <w:rsid w:val="4B89783F"/>
    <w:rsid w:val="4B8A635F"/>
    <w:rsid w:val="4B8C0972"/>
    <w:rsid w:val="4BF2253C"/>
    <w:rsid w:val="4C2D6501"/>
    <w:rsid w:val="4C7F1C66"/>
    <w:rsid w:val="4D0600C4"/>
    <w:rsid w:val="4D0F0F3A"/>
    <w:rsid w:val="4D143C26"/>
    <w:rsid w:val="4D4D5FE1"/>
    <w:rsid w:val="4D730539"/>
    <w:rsid w:val="4D765C30"/>
    <w:rsid w:val="4DB23FE0"/>
    <w:rsid w:val="4DBA7F58"/>
    <w:rsid w:val="4E1125A4"/>
    <w:rsid w:val="4E415268"/>
    <w:rsid w:val="4E62033D"/>
    <w:rsid w:val="4E6840F0"/>
    <w:rsid w:val="4E86753E"/>
    <w:rsid w:val="4EA576C6"/>
    <w:rsid w:val="4EB54C30"/>
    <w:rsid w:val="4EC86117"/>
    <w:rsid w:val="4EF17159"/>
    <w:rsid w:val="4F0F7161"/>
    <w:rsid w:val="4F307EC6"/>
    <w:rsid w:val="4F3D7E8D"/>
    <w:rsid w:val="4F4632D7"/>
    <w:rsid w:val="4F812C1F"/>
    <w:rsid w:val="4FA00F2C"/>
    <w:rsid w:val="4FB00E8B"/>
    <w:rsid w:val="4FD52676"/>
    <w:rsid w:val="501A2FF5"/>
    <w:rsid w:val="503802C1"/>
    <w:rsid w:val="506E6129"/>
    <w:rsid w:val="507D6F73"/>
    <w:rsid w:val="507F594E"/>
    <w:rsid w:val="50835EE0"/>
    <w:rsid w:val="50D64B8B"/>
    <w:rsid w:val="50F0469A"/>
    <w:rsid w:val="51696999"/>
    <w:rsid w:val="517969BB"/>
    <w:rsid w:val="519C033D"/>
    <w:rsid w:val="51AB2205"/>
    <w:rsid w:val="51CD6109"/>
    <w:rsid w:val="522C1B00"/>
    <w:rsid w:val="522F6CD8"/>
    <w:rsid w:val="52770232"/>
    <w:rsid w:val="528E611F"/>
    <w:rsid w:val="52B92610"/>
    <w:rsid w:val="52BD3F8B"/>
    <w:rsid w:val="532E4693"/>
    <w:rsid w:val="53411F7B"/>
    <w:rsid w:val="5344780E"/>
    <w:rsid w:val="53625ADC"/>
    <w:rsid w:val="5375067C"/>
    <w:rsid w:val="537C32E1"/>
    <w:rsid w:val="53A818C3"/>
    <w:rsid w:val="53FF40D8"/>
    <w:rsid w:val="54454D98"/>
    <w:rsid w:val="54A00484"/>
    <w:rsid w:val="54D075F9"/>
    <w:rsid w:val="55487A11"/>
    <w:rsid w:val="556830D7"/>
    <w:rsid w:val="55AA70E8"/>
    <w:rsid w:val="55D86BF6"/>
    <w:rsid w:val="56036F3C"/>
    <w:rsid w:val="56096146"/>
    <w:rsid w:val="56350464"/>
    <w:rsid w:val="565B4B95"/>
    <w:rsid w:val="566476A3"/>
    <w:rsid w:val="56882A6B"/>
    <w:rsid w:val="56A940B5"/>
    <w:rsid w:val="56CA54FF"/>
    <w:rsid w:val="56D617F8"/>
    <w:rsid w:val="56D6632A"/>
    <w:rsid w:val="56E32F96"/>
    <w:rsid w:val="5704180E"/>
    <w:rsid w:val="57333406"/>
    <w:rsid w:val="57435F46"/>
    <w:rsid w:val="57715189"/>
    <w:rsid w:val="57E67B49"/>
    <w:rsid w:val="583A577C"/>
    <w:rsid w:val="587E64C0"/>
    <w:rsid w:val="588627B1"/>
    <w:rsid w:val="58CE31CC"/>
    <w:rsid w:val="59317656"/>
    <w:rsid w:val="593B64C5"/>
    <w:rsid w:val="595642BE"/>
    <w:rsid w:val="597F4C86"/>
    <w:rsid w:val="59951017"/>
    <w:rsid w:val="599827ED"/>
    <w:rsid w:val="59DD14D2"/>
    <w:rsid w:val="59EB5B99"/>
    <w:rsid w:val="59F32CEE"/>
    <w:rsid w:val="5A2551DF"/>
    <w:rsid w:val="5A347EFC"/>
    <w:rsid w:val="5A820C9E"/>
    <w:rsid w:val="5A9A027F"/>
    <w:rsid w:val="5ACA5DFF"/>
    <w:rsid w:val="5ADB0940"/>
    <w:rsid w:val="5B450265"/>
    <w:rsid w:val="5B971ADB"/>
    <w:rsid w:val="5BAC49F9"/>
    <w:rsid w:val="5BAE6B73"/>
    <w:rsid w:val="5BC2413F"/>
    <w:rsid w:val="5C0B2F69"/>
    <w:rsid w:val="5C135454"/>
    <w:rsid w:val="5C1434F0"/>
    <w:rsid w:val="5C333CFB"/>
    <w:rsid w:val="5CDA5E1D"/>
    <w:rsid w:val="5CE0668C"/>
    <w:rsid w:val="5D1D7D4C"/>
    <w:rsid w:val="5D4F60D7"/>
    <w:rsid w:val="5D623409"/>
    <w:rsid w:val="5DA6541C"/>
    <w:rsid w:val="5DC86F87"/>
    <w:rsid w:val="5DE62219"/>
    <w:rsid w:val="5E091BDC"/>
    <w:rsid w:val="5E3750B8"/>
    <w:rsid w:val="5E4D2A6B"/>
    <w:rsid w:val="5E577355"/>
    <w:rsid w:val="5E6F0D87"/>
    <w:rsid w:val="5E8958C4"/>
    <w:rsid w:val="5F062A9D"/>
    <w:rsid w:val="5F571980"/>
    <w:rsid w:val="5F9E5B76"/>
    <w:rsid w:val="5FB00B27"/>
    <w:rsid w:val="5FC45334"/>
    <w:rsid w:val="5FD27FF0"/>
    <w:rsid w:val="5FF01D2A"/>
    <w:rsid w:val="5FFC290C"/>
    <w:rsid w:val="604E32CC"/>
    <w:rsid w:val="60572829"/>
    <w:rsid w:val="60C225E4"/>
    <w:rsid w:val="60DD64CB"/>
    <w:rsid w:val="60F83C65"/>
    <w:rsid w:val="60FF423D"/>
    <w:rsid w:val="61192BB1"/>
    <w:rsid w:val="617F5E0F"/>
    <w:rsid w:val="619A5D99"/>
    <w:rsid w:val="619F78E4"/>
    <w:rsid w:val="622718D0"/>
    <w:rsid w:val="622D41C5"/>
    <w:rsid w:val="62B56D1D"/>
    <w:rsid w:val="630E6CC2"/>
    <w:rsid w:val="633B708C"/>
    <w:rsid w:val="63402999"/>
    <w:rsid w:val="63584D26"/>
    <w:rsid w:val="635F3E32"/>
    <w:rsid w:val="63996835"/>
    <w:rsid w:val="63D9375B"/>
    <w:rsid w:val="63F003A8"/>
    <w:rsid w:val="63F0607A"/>
    <w:rsid w:val="640A0ADA"/>
    <w:rsid w:val="6412705B"/>
    <w:rsid w:val="64532993"/>
    <w:rsid w:val="64B65532"/>
    <w:rsid w:val="6558349C"/>
    <w:rsid w:val="65A11123"/>
    <w:rsid w:val="65CC003B"/>
    <w:rsid w:val="65E909AE"/>
    <w:rsid w:val="66270F00"/>
    <w:rsid w:val="663A7B2A"/>
    <w:rsid w:val="6669389A"/>
    <w:rsid w:val="666F7D5E"/>
    <w:rsid w:val="66F023A3"/>
    <w:rsid w:val="66FE4835"/>
    <w:rsid w:val="670966C9"/>
    <w:rsid w:val="671A0DB6"/>
    <w:rsid w:val="67354BA7"/>
    <w:rsid w:val="673F2C43"/>
    <w:rsid w:val="67417630"/>
    <w:rsid w:val="677F68AE"/>
    <w:rsid w:val="67CC0C15"/>
    <w:rsid w:val="67DE4C52"/>
    <w:rsid w:val="67E91E27"/>
    <w:rsid w:val="67F25896"/>
    <w:rsid w:val="681A545E"/>
    <w:rsid w:val="68485F30"/>
    <w:rsid w:val="68986D4E"/>
    <w:rsid w:val="68D51D77"/>
    <w:rsid w:val="68DB0F80"/>
    <w:rsid w:val="68F8744C"/>
    <w:rsid w:val="692703BC"/>
    <w:rsid w:val="6959313E"/>
    <w:rsid w:val="6A2B05A7"/>
    <w:rsid w:val="6A3D3285"/>
    <w:rsid w:val="6A6E1002"/>
    <w:rsid w:val="6AE6574D"/>
    <w:rsid w:val="6B027751"/>
    <w:rsid w:val="6B0502C3"/>
    <w:rsid w:val="6B27244E"/>
    <w:rsid w:val="6BC2184B"/>
    <w:rsid w:val="6BD73B50"/>
    <w:rsid w:val="6BF32227"/>
    <w:rsid w:val="6BFB445A"/>
    <w:rsid w:val="6C1D0ECB"/>
    <w:rsid w:val="6C29786F"/>
    <w:rsid w:val="6C364E62"/>
    <w:rsid w:val="6C606B72"/>
    <w:rsid w:val="6C67555C"/>
    <w:rsid w:val="6D120E1C"/>
    <w:rsid w:val="6D157D50"/>
    <w:rsid w:val="6D295100"/>
    <w:rsid w:val="6D317774"/>
    <w:rsid w:val="6D437B0B"/>
    <w:rsid w:val="6D6460EE"/>
    <w:rsid w:val="6D6C1330"/>
    <w:rsid w:val="6DAE2370"/>
    <w:rsid w:val="6E051F2A"/>
    <w:rsid w:val="6E4F68F9"/>
    <w:rsid w:val="6E520A0E"/>
    <w:rsid w:val="6E73777B"/>
    <w:rsid w:val="6EAF252E"/>
    <w:rsid w:val="6FB03890"/>
    <w:rsid w:val="6FC51262"/>
    <w:rsid w:val="6FDC6CE1"/>
    <w:rsid w:val="703C1F7B"/>
    <w:rsid w:val="7049530A"/>
    <w:rsid w:val="70C04408"/>
    <w:rsid w:val="70C07FA3"/>
    <w:rsid w:val="70E36DE2"/>
    <w:rsid w:val="71381C0B"/>
    <w:rsid w:val="713A7F80"/>
    <w:rsid w:val="713F2169"/>
    <w:rsid w:val="71495EC3"/>
    <w:rsid w:val="716365E5"/>
    <w:rsid w:val="71646205"/>
    <w:rsid w:val="71903A29"/>
    <w:rsid w:val="71E21522"/>
    <w:rsid w:val="722F1C99"/>
    <w:rsid w:val="72387E8A"/>
    <w:rsid w:val="72616446"/>
    <w:rsid w:val="72647475"/>
    <w:rsid w:val="726A7954"/>
    <w:rsid w:val="726B65F4"/>
    <w:rsid w:val="72CE115C"/>
    <w:rsid w:val="72DB5872"/>
    <w:rsid w:val="72DC390D"/>
    <w:rsid w:val="72FD662E"/>
    <w:rsid w:val="73235E9F"/>
    <w:rsid w:val="73457378"/>
    <w:rsid w:val="73846231"/>
    <w:rsid w:val="73887BCF"/>
    <w:rsid w:val="73D018C5"/>
    <w:rsid w:val="74274C3B"/>
    <w:rsid w:val="742B0916"/>
    <w:rsid w:val="748C369E"/>
    <w:rsid w:val="748E730E"/>
    <w:rsid w:val="749B5275"/>
    <w:rsid w:val="750D2DB1"/>
    <w:rsid w:val="75251C95"/>
    <w:rsid w:val="752A5A2B"/>
    <w:rsid w:val="756D5C3A"/>
    <w:rsid w:val="75722749"/>
    <w:rsid w:val="75C77160"/>
    <w:rsid w:val="75E30863"/>
    <w:rsid w:val="760F2A10"/>
    <w:rsid w:val="761C7F85"/>
    <w:rsid w:val="766728C8"/>
    <w:rsid w:val="77514081"/>
    <w:rsid w:val="775A530E"/>
    <w:rsid w:val="7764460A"/>
    <w:rsid w:val="778F0F13"/>
    <w:rsid w:val="77AC0E96"/>
    <w:rsid w:val="77C6451D"/>
    <w:rsid w:val="77E712A8"/>
    <w:rsid w:val="780C50ED"/>
    <w:rsid w:val="7820665C"/>
    <w:rsid w:val="785C63F5"/>
    <w:rsid w:val="789C2FCB"/>
    <w:rsid w:val="78A107AB"/>
    <w:rsid w:val="78AE3FAE"/>
    <w:rsid w:val="78D56973"/>
    <w:rsid w:val="79317022"/>
    <w:rsid w:val="794B28CE"/>
    <w:rsid w:val="795F132D"/>
    <w:rsid w:val="798376D8"/>
    <w:rsid w:val="79852532"/>
    <w:rsid w:val="79AE45A0"/>
    <w:rsid w:val="7A3263EE"/>
    <w:rsid w:val="7A3D24F4"/>
    <w:rsid w:val="7A3D31A1"/>
    <w:rsid w:val="7AF02137"/>
    <w:rsid w:val="7B1D3471"/>
    <w:rsid w:val="7B4457F6"/>
    <w:rsid w:val="7B641653"/>
    <w:rsid w:val="7B6C59D9"/>
    <w:rsid w:val="7B9233F4"/>
    <w:rsid w:val="7BC211A3"/>
    <w:rsid w:val="7BC26CED"/>
    <w:rsid w:val="7BD60305"/>
    <w:rsid w:val="7C226C6E"/>
    <w:rsid w:val="7C2A6175"/>
    <w:rsid w:val="7C321E06"/>
    <w:rsid w:val="7C3F20CF"/>
    <w:rsid w:val="7C4E7853"/>
    <w:rsid w:val="7C6E697C"/>
    <w:rsid w:val="7C9901BD"/>
    <w:rsid w:val="7CA44C87"/>
    <w:rsid w:val="7CB62482"/>
    <w:rsid w:val="7D037287"/>
    <w:rsid w:val="7D120079"/>
    <w:rsid w:val="7D2057C9"/>
    <w:rsid w:val="7D407311"/>
    <w:rsid w:val="7D4755A5"/>
    <w:rsid w:val="7D652035"/>
    <w:rsid w:val="7D9022F2"/>
    <w:rsid w:val="7DAF3BAE"/>
    <w:rsid w:val="7DC84959"/>
    <w:rsid w:val="7E130801"/>
    <w:rsid w:val="7E5732F3"/>
    <w:rsid w:val="7E695965"/>
    <w:rsid w:val="7E7A5C6E"/>
    <w:rsid w:val="7E917ED9"/>
    <w:rsid w:val="7E946B15"/>
    <w:rsid w:val="7EAA4C5B"/>
    <w:rsid w:val="7ED44D2D"/>
    <w:rsid w:val="7EEC3962"/>
    <w:rsid w:val="7F03298A"/>
    <w:rsid w:val="7FA84136"/>
    <w:rsid w:val="7FBA238F"/>
    <w:rsid w:val="BE3E79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qFormat="1"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adjustRightInd w:val="0"/>
    </w:pPr>
    <w:rPr>
      <w:rFonts w:ascii="Calibri" w:hAnsi="Calibri" w:eastAsia="宋体" w:cs="Times New Roman"/>
      <w:sz w:val="24"/>
      <w:szCs w:val="24"/>
      <w:lang w:val="en-US" w:eastAsia="zh-CN" w:bidi="ar-SA"/>
    </w:rPr>
  </w:style>
  <w:style w:type="paragraph" w:styleId="3">
    <w:name w:val="heading 1"/>
    <w:basedOn w:val="1"/>
    <w:next w:val="1"/>
    <w:link w:val="50"/>
    <w:qFormat/>
    <w:uiPriority w:val="0"/>
    <w:pPr>
      <w:spacing w:line="360" w:lineRule="auto"/>
      <w:ind w:left="3"/>
      <w:jc w:val="center"/>
      <w:outlineLvl w:val="0"/>
    </w:pPr>
    <w:rPr>
      <w:rFonts w:ascii="Times New Roman" w:hAnsi="Times New Roman" w:eastAsia="黑体"/>
      <w:bCs/>
      <w:kern w:val="44"/>
      <w:sz w:val="44"/>
      <w:szCs w:val="44"/>
    </w:rPr>
  </w:style>
  <w:style w:type="paragraph" w:styleId="4">
    <w:name w:val="heading 2"/>
    <w:basedOn w:val="1"/>
    <w:next w:val="1"/>
    <w:link w:val="51"/>
    <w:qFormat/>
    <w:uiPriority w:val="0"/>
    <w:pPr>
      <w:ind w:left="3"/>
      <w:outlineLvl w:val="1"/>
    </w:pPr>
    <w:rPr>
      <w:rFonts w:ascii="Cambria" w:hAnsi="Cambria"/>
      <w:b/>
      <w:bCs/>
      <w:sz w:val="32"/>
      <w:szCs w:val="32"/>
    </w:rPr>
  </w:style>
  <w:style w:type="paragraph" w:styleId="5">
    <w:name w:val="heading 3"/>
    <w:basedOn w:val="1"/>
    <w:next w:val="1"/>
    <w:link w:val="52"/>
    <w:qFormat/>
    <w:uiPriority w:val="0"/>
    <w:pPr>
      <w:ind w:left="100"/>
      <w:outlineLvl w:val="2"/>
    </w:pPr>
    <w:rPr>
      <w:rFonts w:ascii="Times New Roman" w:hAnsi="Times New Roman"/>
      <w:b/>
      <w:bCs/>
      <w:sz w:val="32"/>
      <w:szCs w:val="32"/>
    </w:rPr>
  </w:style>
  <w:style w:type="paragraph" w:styleId="6">
    <w:name w:val="heading 4"/>
    <w:basedOn w:val="1"/>
    <w:next w:val="1"/>
    <w:link w:val="53"/>
    <w:qFormat/>
    <w:uiPriority w:val="0"/>
    <w:pPr>
      <w:ind w:left="237"/>
      <w:outlineLvl w:val="3"/>
    </w:pPr>
    <w:rPr>
      <w:rFonts w:ascii="Cambria" w:hAnsi="Cambria"/>
      <w:b/>
      <w:bCs/>
      <w:sz w:val="28"/>
      <w:szCs w:val="28"/>
    </w:rPr>
  </w:style>
  <w:style w:type="paragraph" w:styleId="7">
    <w:name w:val="heading 5"/>
    <w:basedOn w:val="1"/>
    <w:next w:val="1"/>
    <w:link w:val="54"/>
    <w:qFormat/>
    <w:uiPriority w:val="0"/>
    <w:pPr>
      <w:ind w:left="513"/>
      <w:outlineLvl w:val="4"/>
    </w:pPr>
    <w:rPr>
      <w:rFonts w:ascii="Times New Roman" w:hAnsi="Times New Roman"/>
      <w:b/>
      <w:bCs/>
      <w:sz w:val="28"/>
      <w:szCs w:val="28"/>
    </w:rPr>
  </w:style>
  <w:style w:type="paragraph" w:styleId="8">
    <w:name w:val="heading 6"/>
    <w:basedOn w:val="1"/>
    <w:next w:val="1"/>
    <w:link w:val="55"/>
    <w:qFormat/>
    <w:uiPriority w:val="0"/>
    <w:pPr>
      <w:keepNext/>
      <w:keepLines/>
      <w:autoSpaceDE/>
      <w:autoSpaceDN/>
      <w:adjustRightInd/>
      <w:spacing w:before="240" w:after="64" w:line="317" w:lineRule="auto"/>
      <w:jc w:val="both"/>
      <w:outlineLvl w:val="5"/>
    </w:pPr>
    <w:rPr>
      <w:rFonts w:ascii="Cambria" w:hAnsi="Cambria"/>
      <w:b/>
      <w:bCs/>
      <w:kern w:val="2"/>
    </w:rPr>
  </w:style>
  <w:style w:type="paragraph" w:styleId="9">
    <w:name w:val="heading 7"/>
    <w:basedOn w:val="1"/>
    <w:next w:val="1"/>
    <w:link w:val="56"/>
    <w:qFormat/>
    <w:uiPriority w:val="0"/>
    <w:pPr>
      <w:keepNext/>
      <w:keepLines/>
      <w:autoSpaceDE/>
      <w:autoSpaceDN/>
      <w:adjustRightInd/>
      <w:spacing w:before="240" w:after="64" w:line="317" w:lineRule="auto"/>
      <w:jc w:val="both"/>
      <w:outlineLvl w:val="6"/>
    </w:pPr>
    <w:rPr>
      <w:b/>
      <w:bCs/>
      <w:kern w:val="2"/>
    </w:rPr>
  </w:style>
  <w:style w:type="paragraph" w:styleId="10">
    <w:name w:val="heading 8"/>
    <w:basedOn w:val="1"/>
    <w:next w:val="1"/>
    <w:link w:val="57"/>
    <w:qFormat/>
    <w:uiPriority w:val="0"/>
    <w:pPr>
      <w:keepNext/>
      <w:keepLines/>
      <w:autoSpaceDE/>
      <w:autoSpaceDN/>
      <w:adjustRightInd/>
      <w:spacing w:before="240" w:after="64" w:line="317" w:lineRule="auto"/>
      <w:jc w:val="both"/>
      <w:outlineLvl w:val="7"/>
    </w:pPr>
    <w:rPr>
      <w:rFonts w:ascii="Cambria" w:hAnsi="Cambria"/>
      <w:kern w:val="2"/>
    </w:rPr>
  </w:style>
  <w:style w:type="paragraph" w:styleId="11">
    <w:name w:val="heading 9"/>
    <w:basedOn w:val="1"/>
    <w:next w:val="1"/>
    <w:link w:val="58"/>
    <w:qFormat/>
    <w:uiPriority w:val="0"/>
    <w:pPr>
      <w:keepNext/>
      <w:keepLines/>
      <w:spacing w:before="240" w:after="64" w:line="320" w:lineRule="auto"/>
      <w:outlineLvl w:val="8"/>
    </w:pPr>
    <w:rPr>
      <w:rFonts w:ascii="Cambria" w:hAnsi="Cambria"/>
      <w:sz w:val="20"/>
      <w:szCs w:val="20"/>
    </w:rPr>
  </w:style>
  <w:style w:type="character" w:default="1" w:styleId="42">
    <w:name w:val="Default Paragraph Font"/>
    <w:unhideWhenUsed/>
    <w:qFormat/>
    <w:uiPriority w:val="1"/>
  </w:style>
  <w:style w:type="table" w:default="1" w:styleId="40">
    <w:name w:val="Normal Table"/>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pPr>
      <w:widowControl/>
      <w:autoSpaceDE/>
      <w:autoSpaceDN/>
      <w:adjustRightInd/>
      <w:spacing w:after="100" w:line="259" w:lineRule="auto"/>
    </w:pPr>
    <w:rPr>
      <w:rFonts w:ascii="等线" w:hAnsi="等线" w:eastAsia="等线"/>
      <w:sz w:val="22"/>
      <w:szCs w:val="22"/>
    </w:rPr>
  </w:style>
  <w:style w:type="paragraph" w:styleId="12">
    <w:name w:val="toc 7"/>
    <w:basedOn w:val="1"/>
    <w:next w:val="1"/>
    <w:qFormat/>
    <w:uiPriority w:val="0"/>
    <w:pPr>
      <w:autoSpaceDE/>
      <w:autoSpaceDN/>
      <w:adjustRightInd/>
      <w:ind w:left="2520" w:leftChars="1200"/>
      <w:jc w:val="both"/>
    </w:pPr>
    <w:rPr>
      <w:kern w:val="2"/>
      <w:sz w:val="21"/>
      <w:szCs w:val="22"/>
    </w:rPr>
  </w:style>
  <w:style w:type="paragraph" w:styleId="13">
    <w:name w:val="Normal Indent"/>
    <w:basedOn w:val="1"/>
    <w:qFormat/>
    <w:uiPriority w:val="0"/>
    <w:pPr>
      <w:ind w:firstLine="420" w:firstLineChars="200"/>
    </w:pPr>
    <w:rPr>
      <w:rFonts w:ascii="Times New Roman" w:hAnsi="Times New Roman"/>
    </w:rPr>
  </w:style>
  <w:style w:type="paragraph" w:styleId="14">
    <w:name w:val="caption"/>
    <w:basedOn w:val="1"/>
    <w:next w:val="1"/>
    <w:qFormat/>
    <w:uiPriority w:val="0"/>
    <w:pPr>
      <w:autoSpaceDE/>
      <w:autoSpaceDN/>
      <w:adjustRightInd/>
      <w:jc w:val="both"/>
    </w:pPr>
    <w:rPr>
      <w:rFonts w:ascii="Cambria" w:hAnsi="Cambria" w:eastAsia="黑体"/>
      <w:kern w:val="2"/>
      <w:sz w:val="20"/>
      <w:szCs w:val="20"/>
    </w:rPr>
  </w:style>
  <w:style w:type="paragraph" w:styleId="15">
    <w:name w:val="Document Map"/>
    <w:basedOn w:val="1"/>
    <w:link w:val="59"/>
    <w:qFormat/>
    <w:uiPriority w:val="0"/>
    <w:pPr>
      <w:shd w:val="clear" w:color="auto" w:fill="000080"/>
      <w:autoSpaceDE/>
      <w:autoSpaceDN/>
      <w:adjustRightInd/>
      <w:jc w:val="both"/>
    </w:pPr>
    <w:rPr>
      <w:sz w:val="20"/>
      <w:shd w:val="clear" w:color="auto" w:fill="000080"/>
    </w:rPr>
  </w:style>
  <w:style w:type="paragraph" w:styleId="16">
    <w:name w:val="annotation text"/>
    <w:basedOn w:val="1"/>
    <w:link w:val="60"/>
    <w:qFormat/>
    <w:uiPriority w:val="0"/>
  </w:style>
  <w:style w:type="paragraph" w:styleId="17">
    <w:name w:val="Body Text 3"/>
    <w:basedOn w:val="1"/>
    <w:link w:val="61"/>
    <w:qFormat/>
    <w:uiPriority w:val="99"/>
    <w:pPr>
      <w:spacing w:after="120"/>
    </w:pPr>
    <w:rPr>
      <w:rFonts w:ascii="Times New Roman" w:hAnsi="Times New Roman"/>
      <w:sz w:val="16"/>
      <w:szCs w:val="16"/>
    </w:rPr>
  </w:style>
  <w:style w:type="paragraph" w:styleId="18">
    <w:name w:val="Body Text"/>
    <w:basedOn w:val="1"/>
    <w:next w:val="19"/>
    <w:link w:val="62"/>
    <w:qFormat/>
    <w:uiPriority w:val="0"/>
    <w:pPr>
      <w:ind w:left="520"/>
    </w:pPr>
    <w:rPr>
      <w:rFonts w:ascii="Times New Roman" w:hAnsi="Times New Roman"/>
    </w:rPr>
  </w:style>
  <w:style w:type="paragraph" w:styleId="19">
    <w:name w:val="Body Text First Indent"/>
    <w:basedOn w:val="18"/>
    <w:next w:val="20"/>
    <w:qFormat/>
    <w:uiPriority w:val="0"/>
    <w:pPr>
      <w:tabs>
        <w:tab w:val="left" w:pos="9360"/>
      </w:tabs>
      <w:adjustRightInd/>
      <w:ind w:firstLine="420" w:firstLineChars="100"/>
    </w:pPr>
    <w:rPr>
      <w:sz w:val="21"/>
    </w:rPr>
  </w:style>
  <w:style w:type="paragraph" w:styleId="20">
    <w:name w:val="toc 6"/>
    <w:basedOn w:val="1"/>
    <w:next w:val="1"/>
    <w:qFormat/>
    <w:uiPriority w:val="0"/>
    <w:pPr>
      <w:autoSpaceDE/>
      <w:autoSpaceDN/>
      <w:adjustRightInd/>
      <w:ind w:left="2100" w:leftChars="1000"/>
      <w:jc w:val="both"/>
    </w:pPr>
    <w:rPr>
      <w:kern w:val="2"/>
      <w:sz w:val="21"/>
      <w:szCs w:val="22"/>
    </w:rPr>
  </w:style>
  <w:style w:type="paragraph" w:styleId="21">
    <w:name w:val="Body Text Indent"/>
    <w:basedOn w:val="1"/>
    <w:link w:val="63"/>
    <w:qFormat/>
    <w:uiPriority w:val="0"/>
    <w:pPr>
      <w:autoSpaceDE/>
      <w:autoSpaceDN/>
      <w:adjustRightInd/>
      <w:ind w:firstLine="560" w:firstLineChars="200"/>
      <w:jc w:val="both"/>
    </w:pPr>
    <w:rPr>
      <w:rFonts w:ascii="宋体" w:hAnsi="宋体"/>
      <w:sz w:val="28"/>
      <w:szCs w:val="28"/>
    </w:rPr>
  </w:style>
  <w:style w:type="paragraph" w:styleId="22">
    <w:name w:val="index 4"/>
    <w:basedOn w:val="1"/>
    <w:next w:val="1"/>
    <w:qFormat/>
    <w:uiPriority w:val="0"/>
    <w:pPr>
      <w:autoSpaceDE/>
      <w:autoSpaceDN/>
      <w:adjustRightInd/>
      <w:ind w:left="600" w:leftChars="600"/>
      <w:jc w:val="both"/>
    </w:pPr>
    <w:rPr>
      <w:kern w:val="2"/>
      <w:sz w:val="21"/>
    </w:rPr>
  </w:style>
  <w:style w:type="paragraph" w:styleId="23">
    <w:name w:val="toc 5"/>
    <w:basedOn w:val="1"/>
    <w:next w:val="1"/>
    <w:qFormat/>
    <w:uiPriority w:val="0"/>
    <w:pPr>
      <w:tabs>
        <w:tab w:val="right" w:leader="dot" w:pos="8296"/>
      </w:tabs>
      <w:autoSpaceDE/>
      <w:autoSpaceDN/>
      <w:adjustRightInd/>
      <w:ind w:left="1050" w:leftChars="500"/>
      <w:jc w:val="both"/>
    </w:pPr>
    <w:rPr>
      <w:rFonts w:ascii="宋体"/>
      <w:kern w:val="2"/>
      <w:sz w:val="28"/>
      <w:szCs w:val="20"/>
    </w:rPr>
  </w:style>
  <w:style w:type="paragraph" w:styleId="24">
    <w:name w:val="toc 3"/>
    <w:basedOn w:val="1"/>
    <w:next w:val="1"/>
    <w:unhideWhenUsed/>
    <w:qFormat/>
    <w:uiPriority w:val="39"/>
    <w:pPr>
      <w:widowControl/>
      <w:autoSpaceDE/>
      <w:autoSpaceDN/>
      <w:adjustRightInd/>
      <w:spacing w:after="100" w:line="259" w:lineRule="auto"/>
      <w:ind w:left="440"/>
    </w:pPr>
    <w:rPr>
      <w:rFonts w:ascii="等线" w:hAnsi="等线" w:eastAsia="等线"/>
      <w:sz w:val="22"/>
      <w:szCs w:val="22"/>
    </w:rPr>
  </w:style>
  <w:style w:type="paragraph" w:styleId="25">
    <w:name w:val="Plain Text"/>
    <w:basedOn w:val="1"/>
    <w:link w:val="64"/>
    <w:qFormat/>
    <w:uiPriority w:val="0"/>
    <w:pPr>
      <w:autoSpaceDE/>
      <w:autoSpaceDN/>
      <w:adjustRightInd/>
      <w:jc w:val="both"/>
    </w:pPr>
    <w:rPr>
      <w:rFonts w:ascii="宋体" w:hAnsi="Courier New"/>
      <w:sz w:val="20"/>
      <w:szCs w:val="20"/>
    </w:rPr>
  </w:style>
  <w:style w:type="paragraph" w:styleId="26">
    <w:name w:val="toc 8"/>
    <w:basedOn w:val="1"/>
    <w:next w:val="1"/>
    <w:qFormat/>
    <w:uiPriority w:val="0"/>
    <w:pPr>
      <w:autoSpaceDE/>
      <w:autoSpaceDN/>
      <w:adjustRightInd/>
      <w:ind w:left="2940" w:leftChars="1400"/>
      <w:jc w:val="both"/>
    </w:pPr>
    <w:rPr>
      <w:kern w:val="2"/>
      <w:sz w:val="21"/>
      <w:szCs w:val="22"/>
    </w:rPr>
  </w:style>
  <w:style w:type="paragraph" w:styleId="27">
    <w:name w:val="Date"/>
    <w:basedOn w:val="1"/>
    <w:next w:val="1"/>
    <w:link w:val="65"/>
    <w:qFormat/>
    <w:uiPriority w:val="0"/>
    <w:pPr>
      <w:autoSpaceDE/>
      <w:autoSpaceDN/>
      <w:adjustRightInd/>
      <w:ind w:left="100" w:leftChars="2500"/>
      <w:jc w:val="both"/>
    </w:pPr>
    <w:rPr>
      <w:sz w:val="20"/>
    </w:rPr>
  </w:style>
  <w:style w:type="paragraph" w:styleId="28">
    <w:name w:val="Body Text Indent 2"/>
    <w:basedOn w:val="1"/>
    <w:link w:val="66"/>
    <w:qFormat/>
    <w:uiPriority w:val="0"/>
    <w:pPr>
      <w:autoSpaceDE/>
      <w:autoSpaceDN/>
      <w:adjustRightInd/>
      <w:spacing w:line="600" w:lineRule="exact"/>
      <w:ind w:firstLine="480" w:firstLineChars="200"/>
      <w:jc w:val="both"/>
    </w:pPr>
    <w:rPr>
      <w:rFonts w:ascii="宋体" w:hAnsi="宋体"/>
      <w:szCs w:val="28"/>
    </w:rPr>
  </w:style>
  <w:style w:type="paragraph" w:styleId="29">
    <w:name w:val="Balloon Text"/>
    <w:basedOn w:val="1"/>
    <w:link w:val="67"/>
    <w:unhideWhenUsed/>
    <w:qFormat/>
    <w:uiPriority w:val="0"/>
    <w:rPr>
      <w:rFonts w:ascii="Times New Roman" w:hAnsi="Times New Roman"/>
      <w:sz w:val="18"/>
      <w:szCs w:val="18"/>
    </w:rPr>
  </w:style>
  <w:style w:type="paragraph" w:styleId="30">
    <w:name w:val="footer"/>
    <w:basedOn w:val="1"/>
    <w:link w:val="68"/>
    <w:unhideWhenUsed/>
    <w:qFormat/>
    <w:uiPriority w:val="99"/>
    <w:pPr>
      <w:tabs>
        <w:tab w:val="center" w:pos="4153"/>
        <w:tab w:val="right" w:pos="8306"/>
      </w:tabs>
      <w:snapToGrid w:val="0"/>
    </w:pPr>
    <w:rPr>
      <w:rFonts w:ascii="Times New Roman" w:hAnsi="Times New Roman"/>
      <w:sz w:val="18"/>
      <w:szCs w:val="18"/>
    </w:rPr>
  </w:style>
  <w:style w:type="paragraph" w:styleId="31">
    <w:name w:val="header"/>
    <w:basedOn w:val="1"/>
    <w:link w:val="69"/>
    <w:unhideWhenUsed/>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32">
    <w:name w:val="toc 4"/>
    <w:basedOn w:val="1"/>
    <w:next w:val="1"/>
    <w:qFormat/>
    <w:uiPriority w:val="0"/>
    <w:pPr>
      <w:tabs>
        <w:tab w:val="left" w:pos="1890"/>
        <w:tab w:val="right" w:leader="dot" w:pos="8296"/>
      </w:tabs>
      <w:autoSpaceDE/>
      <w:autoSpaceDN/>
      <w:adjustRightInd/>
      <w:ind w:left="630" w:leftChars="300"/>
      <w:jc w:val="both"/>
    </w:pPr>
    <w:rPr>
      <w:rFonts w:ascii="宋体"/>
      <w:kern w:val="2"/>
      <w:sz w:val="28"/>
      <w:szCs w:val="20"/>
    </w:rPr>
  </w:style>
  <w:style w:type="paragraph" w:styleId="33">
    <w:name w:val="Subtitle"/>
    <w:basedOn w:val="1"/>
    <w:next w:val="1"/>
    <w:link w:val="70"/>
    <w:qFormat/>
    <w:uiPriority w:val="11"/>
    <w:pPr>
      <w:autoSpaceDE/>
      <w:autoSpaceDN/>
      <w:adjustRightInd/>
      <w:spacing w:before="240" w:after="60" w:line="312" w:lineRule="auto"/>
      <w:jc w:val="center"/>
      <w:outlineLvl w:val="1"/>
    </w:pPr>
    <w:rPr>
      <w:rFonts w:ascii="Cambria" w:hAnsi="Cambria"/>
      <w:b/>
      <w:bCs/>
      <w:kern w:val="28"/>
      <w:sz w:val="32"/>
      <w:szCs w:val="32"/>
    </w:rPr>
  </w:style>
  <w:style w:type="paragraph" w:styleId="34">
    <w:name w:val="Body Text Indent 3"/>
    <w:basedOn w:val="1"/>
    <w:link w:val="71"/>
    <w:qFormat/>
    <w:uiPriority w:val="0"/>
    <w:pPr>
      <w:autoSpaceDE/>
      <w:autoSpaceDN/>
      <w:adjustRightInd/>
      <w:spacing w:after="120"/>
      <w:ind w:left="420" w:leftChars="200"/>
      <w:jc w:val="both"/>
    </w:pPr>
    <w:rPr>
      <w:rFonts w:ascii="宋体"/>
      <w:sz w:val="16"/>
      <w:szCs w:val="16"/>
    </w:rPr>
  </w:style>
  <w:style w:type="paragraph" w:styleId="35">
    <w:name w:val="toc 2"/>
    <w:basedOn w:val="1"/>
    <w:next w:val="1"/>
    <w:unhideWhenUsed/>
    <w:qFormat/>
    <w:uiPriority w:val="39"/>
    <w:pPr>
      <w:widowControl/>
      <w:autoSpaceDE/>
      <w:autoSpaceDN/>
      <w:adjustRightInd/>
      <w:spacing w:after="100" w:line="259" w:lineRule="auto"/>
      <w:ind w:left="220"/>
    </w:pPr>
    <w:rPr>
      <w:rFonts w:ascii="等线" w:hAnsi="等线" w:eastAsia="等线"/>
      <w:sz w:val="22"/>
      <w:szCs w:val="22"/>
    </w:rPr>
  </w:style>
  <w:style w:type="paragraph" w:styleId="36">
    <w:name w:val="toc 9"/>
    <w:basedOn w:val="1"/>
    <w:next w:val="1"/>
    <w:qFormat/>
    <w:uiPriority w:val="0"/>
    <w:pPr>
      <w:autoSpaceDE/>
      <w:autoSpaceDN/>
      <w:adjustRightInd/>
      <w:ind w:left="3360" w:leftChars="1600"/>
      <w:jc w:val="both"/>
    </w:pPr>
    <w:rPr>
      <w:kern w:val="2"/>
      <w:sz w:val="21"/>
      <w:szCs w:val="22"/>
    </w:rPr>
  </w:style>
  <w:style w:type="paragraph" w:styleId="37">
    <w:name w:val="Normal (Web)"/>
    <w:basedOn w:val="1"/>
    <w:qFormat/>
    <w:uiPriority w:val="99"/>
    <w:pPr>
      <w:widowControl/>
      <w:autoSpaceDE/>
      <w:autoSpaceDN/>
      <w:adjustRightInd/>
      <w:spacing w:before="100" w:beforeAutospacing="1" w:after="100" w:afterAutospacing="1"/>
    </w:pPr>
    <w:rPr>
      <w:rFonts w:hint="eastAsia" w:ascii="宋体" w:hAnsi="宋体"/>
    </w:rPr>
  </w:style>
  <w:style w:type="paragraph" w:styleId="38">
    <w:name w:val="Title"/>
    <w:basedOn w:val="1"/>
    <w:next w:val="1"/>
    <w:link w:val="72"/>
    <w:qFormat/>
    <w:uiPriority w:val="10"/>
    <w:pPr>
      <w:autoSpaceDE/>
      <w:autoSpaceDN/>
      <w:adjustRightInd/>
      <w:spacing w:before="240" w:after="60"/>
      <w:jc w:val="center"/>
      <w:outlineLvl w:val="0"/>
    </w:pPr>
    <w:rPr>
      <w:rFonts w:ascii="Cambria" w:hAnsi="Cambria"/>
      <w:b/>
      <w:bCs/>
      <w:sz w:val="32"/>
      <w:szCs w:val="32"/>
    </w:rPr>
  </w:style>
  <w:style w:type="paragraph" w:styleId="39">
    <w:name w:val="annotation subject"/>
    <w:basedOn w:val="16"/>
    <w:next w:val="16"/>
    <w:link w:val="73"/>
    <w:qFormat/>
    <w:uiPriority w:val="0"/>
    <w:rPr>
      <w:b/>
      <w:bCs/>
    </w:r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rPr>
  </w:style>
  <w:style w:type="character" w:styleId="44">
    <w:name w:val="page number"/>
    <w:qFormat/>
    <w:uiPriority w:val="0"/>
  </w:style>
  <w:style w:type="character" w:styleId="45">
    <w:name w:val="FollowedHyperlink"/>
    <w:qFormat/>
    <w:uiPriority w:val="99"/>
    <w:rPr>
      <w:color w:val="954F72"/>
      <w:u w:val="single"/>
    </w:rPr>
  </w:style>
  <w:style w:type="character" w:styleId="46">
    <w:name w:val="Emphasis"/>
    <w:qFormat/>
    <w:uiPriority w:val="0"/>
    <w:rPr>
      <w:i/>
      <w:iCs/>
    </w:rPr>
  </w:style>
  <w:style w:type="character" w:styleId="47">
    <w:name w:val="Hyperlink"/>
    <w:qFormat/>
    <w:uiPriority w:val="99"/>
    <w:rPr>
      <w:color w:val="0000FF"/>
      <w:u w:val="single"/>
    </w:rPr>
  </w:style>
  <w:style w:type="character" w:styleId="48">
    <w:name w:val="annotation reference"/>
    <w:qFormat/>
    <w:uiPriority w:val="0"/>
    <w:rPr>
      <w:sz w:val="21"/>
      <w:szCs w:val="21"/>
    </w:rPr>
  </w:style>
  <w:style w:type="character" w:styleId="49">
    <w:name w:val="HTML Cite"/>
    <w:basedOn w:val="42"/>
    <w:unhideWhenUsed/>
    <w:qFormat/>
    <w:uiPriority w:val="99"/>
    <w:rPr>
      <w:color w:val="008000"/>
    </w:rPr>
  </w:style>
  <w:style w:type="character" w:customStyle="1" w:styleId="50">
    <w:name w:val="标题 1 Char"/>
    <w:link w:val="3"/>
    <w:qFormat/>
    <w:locked/>
    <w:uiPriority w:val="0"/>
    <w:rPr>
      <w:rFonts w:ascii="Times New Roman" w:hAnsi="Times New Roman" w:eastAsia="黑体"/>
      <w:bCs/>
      <w:kern w:val="44"/>
      <w:sz w:val="44"/>
      <w:szCs w:val="44"/>
    </w:rPr>
  </w:style>
  <w:style w:type="character" w:customStyle="1" w:styleId="51">
    <w:name w:val="标题 2 Char"/>
    <w:link w:val="4"/>
    <w:qFormat/>
    <w:locked/>
    <w:uiPriority w:val="0"/>
    <w:rPr>
      <w:rFonts w:ascii="Cambria" w:hAnsi="Cambria" w:eastAsia="宋体" w:cs="Times New Roman"/>
      <w:b/>
      <w:bCs/>
      <w:kern w:val="0"/>
      <w:sz w:val="32"/>
      <w:szCs w:val="32"/>
    </w:rPr>
  </w:style>
  <w:style w:type="character" w:customStyle="1" w:styleId="52">
    <w:name w:val="标题 3 Char"/>
    <w:link w:val="5"/>
    <w:qFormat/>
    <w:locked/>
    <w:uiPriority w:val="0"/>
    <w:rPr>
      <w:rFonts w:ascii="Times New Roman" w:hAnsi="Times New Roman" w:cs="Times New Roman"/>
      <w:b/>
      <w:bCs/>
      <w:kern w:val="0"/>
      <w:sz w:val="32"/>
      <w:szCs w:val="32"/>
    </w:rPr>
  </w:style>
  <w:style w:type="character" w:customStyle="1" w:styleId="53">
    <w:name w:val="标题 4 Char"/>
    <w:link w:val="6"/>
    <w:qFormat/>
    <w:locked/>
    <w:uiPriority w:val="0"/>
    <w:rPr>
      <w:rFonts w:ascii="Cambria" w:hAnsi="Cambria" w:eastAsia="宋体" w:cs="Times New Roman"/>
      <w:b/>
      <w:bCs/>
      <w:kern w:val="0"/>
      <w:sz w:val="28"/>
      <w:szCs w:val="28"/>
    </w:rPr>
  </w:style>
  <w:style w:type="character" w:customStyle="1" w:styleId="54">
    <w:name w:val="标题 5 Char"/>
    <w:link w:val="7"/>
    <w:qFormat/>
    <w:locked/>
    <w:uiPriority w:val="0"/>
    <w:rPr>
      <w:rFonts w:ascii="Times New Roman" w:hAnsi="Times New Roman" w:cs="Times New Roman"/>
      <w:b/>
      <w:bCs/>
      <w:kern w:val="0"/>
      <w:sz w:val="28"/>
      <w:szCs w:val="28"/>
    </w:rPr>
  </w:style>
  <w:style w:type="character" w:customStyle="1" w:styleId="55">
    <w:name w:val="标题 6 Char"/>
    <w:link w:val="8"/>
    <w:qFormat/>
    <w:uiPriority w:val="0"/>
    <w:rPr>
      <w:rFonts w:ascii="Cambria" w:hAnsi="Cambria"/>
      <w:b/>
      <w:bCs/>
      <w:kern w:val="2"/>
      <w:sz w:val="24"/>
      <w:szCs w:val="24"/>
    </w:rPr>
  </w:style>
  <w:style w:type="character" w:customStyle="1" w:styleId="56">
    <w:name w:val="标题 7 Char"/>
    <w:link w:val="9"/>
    <w:qFormat/>
    <w:uiPriority w:val="0"/>
    <w:rPr>
      <w:rFonts w:ascii="Calibri" w:hAnsi="Calibri"/>
      <w:b/>
      <w:bCs/>
      <w:kern w:val="2"/>
      <w:sz w:val="24"/>
      <w:szCs w:val="24"/>
    </w:rPr>
  </w:style>
  <w:style w:type="character" w:customStyle="1" w:styleId="57">
    <w:name w:val="标题 8 Char"/>
    <w:link w:val="10"/>
    <w:qFormat/>
    <w:uiPriority w:val="0"/>
    <w:rPr>
      <w:rFonts w:ascii="Cambria" w:hAnsi="Cambria"/>
      <w:kern w:val="2"/>
      <w:sz w:val="24"/>
      <w:szCs w:val="24"/>
    </w:rPr>
  </w:style>
  <w:style w:type="character" w:customStyle="1" w:styleId="58">
    <w:name w:val="标题 9 Char1"/>
    <w:link w:val="11"/>
    <w:qFormat/>
    <w:locked/>
    <w:uiPriority w:val="0"/>
    <w:rPr>
      <w:rFonts w:ascii="Cambria" w:hAnsi="Cambria" w:eastAsia="宋体" w:cs="Times New Roman"/>
      <w:kern w:val="0"/>
    </w:rPr>
  </w:style>
  <w:style w:type="character" w:customStyle="1" w:styleId="59">
    <w:name w:val="文档结构图 Char"/>
    <w:link w:val="15"/>
    <w:qFormat/>
    <w:uiPriority w:val="0"/>
    <w:rPr>
      <w:szCs w:val="24"/>
      <w:shd w:val="clear" w:color="auto" w:fill="000080"/>
    </w:rPr>
  </w:style>
  <w:style w:type="character" w:customStyle="1" w:styleId="60">
    <w:name w:val="批注文字 Char1"/>
    <w:link w:val="16"/>
    <w:qFormat/>
    <w:uiPriority w:val="0"/>
    <w:rPr>
      <w:sz w:val="24"/>
      <w:szCs w:val="24"/>
    </w:rPr>
  </w:style>
  <w:style w:type="character" w:customStyle="1" w:styleId="61">
    <w:name w:val="正文文本 3 Char"/>
    <w:link w:val="17"/>
    <w:qFormat/>
    <w:locked/>
    <w:uiPriority w:val="99"/>
    <w:rPr>
      <w:rFonts w:ascii="Times New Roman" w:hAnsi="Times New Roman" w:cs="Times New Roman"/>
      <w:kern w:val="0"/>
      <w:sz w:val="16"/>
      <w:szCs w:val="16"/>
    </w:rPr>
  </w:style>
  <w:style w:type="character" w:customStyle="1" w:styleId="62">
    <w:name w:val="正文文本 Char"/>
    <w:link w:val="18"/>
    <w:qFormat/>
    <w:locked/>
    <w:uiPriority w:val="0"/>
    <w:rPr>
      <w:rFonts w:ascii="Times New Roman" w:hAnsi="Times New Roman" w:cs="Times New Roman"/>
      <w:kern w:val="0"/>
      <w:sz w:val="24"/>
      <w:szCs w:val="24"/>
    </w:rPr>
  </w:style>
  <w:style w:type="character" w:customStyle="1" w:styleId="63">
    <w:name w:val="正文文本缩进 Char"/>
    <w:link w:val="21"/>
    <w:qFormat/>
    <w:uiPriority w:val="0"/>
    <w:rPr>
      <w:rFonts w:ascii="宋体" w:hAnsi="宋体"/>
      <w:sz w:val="28"/>
      <w:szCs w:val="28"/>
    </w:rPr>
  </w:style>
  <w:style w:type="character" w:customStyle="1" w:styleId="64">
    <w:name w:val="纯文本 Char"/>
    <w:link w:val="25"/>
    <w:qFormat/>
    <w:locked/>
    <w:uiPriority w:val="0"/>
    <w:rPr>
      <w:rFonts w:ascii="宋体" w:hAnsi="Courier New" w:eastAsia="宋体"/>
    </w:rPr>
  </w:style>
  <w:style w:type="character" w:customStyle="1" w:styleId="65">
    <w:name w:val="日期 Char"/>
    <w:link w:val="27"/>
    <w:qFormat/>
    <w:uiPriority w:val="0"/>
    <w:rPr>
      <w:szCs w:val="24"/>
    </w:rPr>
  </w:style>
  <w:style w:type="character" w:customStyle="1" w:styleId="66">
    <w:name w:val="正文文本缩进 2 Char"/>
    <w:link w:val="28"/>
    <w:qFormat/>
    <w:uiPriority w:val="0"/>
    <w:rPr>
      <w:rFonts w:ascii="宋体" w:hAnsi="宋体"/>
      <w:sz w:val="24"/>
      <w:szCs w:val="28"/>
    </w:rPr>
  </w:style>
  <w:style w:type="character" w:customStyle="1" w:styleId="67">
    <w:name w:val="批注框文本 Char"/>
    <w:link w:val="29"/>
    <w:qFormat/>
    <w:locked/>
    <w:uiPriority w:val="0"/>
    <w:rPr>
      <w:rFonts w:ascii="Times New Roman" w:hAnsi="Times New Roman" w:cs="Times New Roman"/>
      <w:kern w:val="0"/>
      <w:sz w:val="18"/>
      <w:szCs w:val="18"/>
    </w:rPr>
  </w:style>
  <w:style w:type="character" w:customStyle="1" w:styleId="68">
    <w:name w:val="页脚 Char"/>
    <w:link w:val="30"/>
    <w:qFormat/>
    <w:locked/>
    <w:uiPriority w:val="99"/>
    <w:rPr>
      <w:rFonts w:ascii="Times New Roman" w:hAnsi="Times New Roman" w:cs="Times New Roman"/>
      <w:kern w:val="0"/>
      <w:sz w:val="18"/>
      <w:szCs w:val="18"/>
    </w:rPr>
  </w:style>
  <w:style w:type="character" w:customStyle="1" w:styleId="69">
    <w:name w:val="页眉 Char"/>
    <w:link w:val="31"/>
    <w:qFormat/>
    <w:locked/>
    <w:uiPriority w:val="0"/>
    <w:rPr>
      <w:rFonts w:ascii="Times New Roman" w:hAnsi="Times New Roman" w:cs="Times New Roman"/>
      <w:kern w:val="0"/>
      <w:sz w:val="18"/>
      <w:szCs w:val="18"/>
    </w:rPr>
  </w:style>
  <w:style w:type="character" w:customStyle="1" w:styleId="70">
    <w:name w:val="副标题 Char1"/>
    <w:link w:val="33"/>
    <w:qFormat/>
    <w:uiPriority w:val="11"/>
    <w:rPr>
      <w:rFonts w:ascii="Cambria" w:hAnsi="Cambria"/>
      <w:b/>
      <w:bCs/>
      <w:kern w:val="28"/>
      <w:sz w:val="32"/>
      <w:szCs w:val="32"/>
    </w:rPr>
  </w:style>
  <w:style w:type="character" w:customStyle="1" w:styleId="71">
    <w:name w:val="正文文本缩进 3 Char"/>
    <w:link w:val="34"/>
    <w:qFormat/>
    <w:uiPriority w:val="0"/>
    <w:rPr>
      <w:rFonts w:ascii="宋体"/>
      <w:sz w:val="16"/>
      <w:szCs w:val="16"/>
    </w:rPr>
  </w:style>
  <w:style w:type="character" w:customStyle="1" w:styleId="72">
    <w:name w:val="标题 Char1"/>
    <w:link w:val="38"/>
    <w:qFormat/>
    <w:uiPriority w:val="10"/>
    <w:rPr>
      <w:rFonts w:ascii="Cambria" w:hAnsi="Cambria"/>
      <w:b/>
      <w:bCs/>
      <w:sz w:val="32"/>
      <w:szCs w:val="32"/>
    </w:rPr>
  </w:style>
  <w:style w:type="character" w:customStyle="1" w:styleId="73">
    <w:name w:val="批注主题 Char"/>
    <w:link w:val="39"/>
    <w:qFormat/>
    <w:uiPriority w:val="0"/>
    <w:rPr>
      <w:b/>
      <w:bCs/>
      <w:sz w:val="24"/>
      <w:szCs w:val="24"/>
    </w:rPr>
  </w:style>
  <w:style w:type="character" w:customStyle="1" w:styleId="74">
    <w:name w:val="引用 字符1"/>
    <w:qFormat/>
    <w:uiPriority w:val="29"/>
    <w:rPr>
      <w:i/>
      <w:iCs/>
      <w:color w:val="404040"/>
      <w:sz w:val="24"/>
      <w:szCs w:val="24"/>
    </w:rPr>
  </w:style>
  <w:style w:type="character" w:customStyle="1" w:styleId="75">
    <w:name w:val="引用 Char"/>
    <w:link w:val="76"/>
    <w:qFormat/>
    <w:uiPriority w:val="0"/>
    <w:rPr>
      <w:i/>
      <w:iCs/>
      <w:color w:val="000000"/>
    </w:rPr>
  </w:style>
  <w:style w:type="paragraph" w:styleId="76">
    <w:name w:val="Quote"/>
    <w:basedOn w:val="1"/>
    <w:next w:val="1"/>
    <w:link w:val="75"/>
    <w:qFormat/>
    <w:uiPriority w:val="0"/>
    <w:pPr>
      <w:autoSpaceDE/>
      <w:autoSpaceDN/>
      <w:adjustRightInd/>
      <w:jc w:val="both"/>
    </w:pPr>
    <w:rPr>
      <w:i/>
      <w:iCs/>
      <w:color w:val="000000"/>
      <w:sz w:val="20"/>
      <w:szCs w:val="20"/>
    </w:rPr>
  </w:style>
  <w:style w:type="character" w:customStyle="1" w:styleId="77">
    <w:name w:val="明显引用 Char"/>
    <w:link w:val="78"/>
    <w:qFormat/>
    <w:uiPriority w:val="0"/>
    <w:rPr>
      <w:b/>
      <w:bCs/>
      <w:i/>
      <w:iCs/>
      <w:color w:val="4F81BD"/>
    </w:rPr>
  </w:style>
  <w:style w:type="paragraph" w:styleId="78">
    <w:name w:val="Intense Quote"/>
    <w:basedOn w:val="1"/>
    <w:next w:val="1"/>
    <w:link w:val="77"/>
    <w:qFormat/>
    <w:uiPriority w:val="0"/>
    <w:pPr>
      <w:pBdr>
        <w:bottom w:val="single" w:color="4F81BD" w:sz="4" w:space="4"/>
      </w:pBdr>
      <w:autoSpaceDE/>
      <w:autoSpaceDN/>
      <w:adjustRightInd/>
      <w:spacing w:before="200" w:after="280"/>
      <w:ind w:left="936" w:right="936"/>
      <w:jc w:val="both"/>
    </w:pPr>
    <w:rPr>
      <w:b/>
      <w:bCs/>
      <w:i/>
      <w:iCs/>
      <w:color w:val="4F81BD"/>
      <w:sz w:val="20"/>
      <w:szCs w:val="20"/>
    </w:rPr>
  </w:style>
  <w:style w:type="character" w:customStyle="1" w:styleId="79">
    <w:name w:val="副标题 字符1"/>
    <w:qFormat/>
    <w:uiPriority w:val="11"/>
    <w:rPr>
      <w:rFonts w:ascii="等线 Light" w:hAnsi="等线 Light" w:cs="Times New Roman"/>
      <w:b/>
      <w:bCs/>
      <w:kern w:val="28"/>
      <w:sz w:val="32"/>
      <w:szCs w:val="32"/>
    </w:rPr>
  </w:style>
  <w:style w:type="character" w:customStyle="1" w:styleId="80">
    <w:name w:val="正文文本缩进 3 字符1"/>
    <w:qFormat/>
    <w:uiPriority w:val="99"/>
    <w:rPr>
      <w:sz w:val="16"/>
      <w:szCs w:val="16"/>
    </w:rPr>
  </w:style>
  <w:style w:type="character" w:customStyle="1" w:styleId="81">
    <w:name w:val="文档结构图 Char1"/>
    <w:qFormat/>
    <w:uiPriority w:val="0"/>
    <w:rPr>
      <w:rFonts w:ascii="宋体"/>
      <w:kern w:val="2"/>
      <w:sz w:val="18"/>
      <w:szCs w:val="18"/>
    </w:rPr>
  </w:style>
  <w:style w:type="character" w:customStyle="1" w:styleId="82">
    <w:name w:val="标题4 Char Char"/>
    <w:link w:val="83"/>
    <w:qFormat/>
    <w:uiPriority w:val="0"/>
    <w:rPr>
      <w:rFonts w:ascii="Arial" w:hAnsi="Arial"/>
      <w:b/>
      <w:bCs/>
      <w:sz w:val="24"/>
      <w:szCs w:val="32"/>
    </w:rPr>
  </w:style>
  <w:style w:type="paragraph" w:customStyle="1" w:styleId="83">
    <w:name w:val="标题4"/>
    <w:basedOn w:val="4"/>
    <w:next w:val="22"/>
    <w:link w:val="82"/>
    <w:qFormat/>
    <w:uiPriority w:val="0"/>
    <w:pPr>
      <w:keepNext/>
      <w:keepLines/>
      <w:autoSpaceDE/>
      <w:autoSpaceDN/>
      <w:adjustRightInd/>
      <w:spacing w:before="260" w:after="260" w:line="413" w:lineRule="auto"/>
      <w:ind w:left="0"/>
      <w:jc w:val="both"/>
    </w:pPr>
    <w:rPr>
      <w:rFonts w:ascii="Arial" w:hAnsi="Arial"/>
      <w:sz w:val="24"/>
    </w:rPr>
  </w:style>
  <w:style w:type="character" w:customStyle="1" w:styleId="84">
    <w:name w:val="标题 Char"/>
    <w:qFormat/>
    <w:uiPriority w:val="0"/>
    <w:rPr>
      <w:rFonts w:ascii="Cambria" w:hAnsi="Cambria"/>
      <w:b/>
      <w:bCs/>
      <w:kern w:val="2"/>
      <w:sz w:val="32"/>
      <w:szCs w:val="32"/>
    </w:rPr>
  </w:style>
  <w:style w:type="character" w:customStyle="1" w:styleId="85">
    <w:name w:val="样式 正文文本 Char"/>
    <w:link w:val="86"/>
    <w:qFormat/>
    <w:uiPriority w:val="0"/>
    <w:rPr>
      <w:rFonts w:ascii="Arial" w:hAnsi="Arial"/>
      <w:color w:val="000000"/>
      <w:kern w:val="2"/>
      <w:sz w:val="21"/>
    </w:rPr>
  </w:style>
  <w:style w:type="paragraph" w:customStyle="1" w:styleId="86">
    <w:name w:val="样式 正文文本"/>
    <w:basedOn w:val="1"/>
    <w:link w:val="85"/>
    <w:qFormat/>
    <w:uiPriority w:val="0"/>
    <w:pPr>
      <w:autoSpaceDE/>
      <w:autoSpaceDN/>
      <w:snapToGrid w:val="0"/>
      <w:spacing w:line="400" w:lineRule="exact"/>
      <w:jc w:val="both"/>
    </w:pPr>
    <w:rPr>
      <w:rFonts w:ascii="Arial" w:hAnsi="Arial"/>
      <w:color w:val="000000"/>
      <w:kern w:val="2"/>
      <w:sz w:val="21"/>
      <w:szCs w:val="20"/>
    </w:rPr>
  </w:style>
  <w:style w:type="character" w:customStyle="1" w:styleId="87">
    <w:name w:val="纯文本 字符1"/>
    <w:qFormat/>
    <w:uiPriority w:val="99"/>
    <w:rPr>
      <w:rFonts w:ascii="宋体" w:hAnsi="Courier New" w:eastAsia="宋体" w:cs="Courier New"/>
      <w:kern w:val="0"/>
    </w:rPr>
  </w:style>
  <w:style w:type="character" w:customStyle="1" w:styleId="88">
    <w:name w:val="明显引用 Char1"/>
    <w:qFormat/>
    <w:uiPriority w:val="30"/>
    <w:rPr>
      <w:rFonts w:ascii="宋体"/>
      <w:b/>
      <w:bCs/>
      <w:i/>
      <w:iCs/>
      <w:color w:val="4F81BD"/>
      <w:kern w:val="2"/>
      <w:sz w:val="28"/>
    </w:rPr>
  </w:style>
  <w:style w:type="character" w:customStyle="1" w:styleId="89">
    <w:name w:val="Char2 Char"/>
    <w:qFormat/>
    <w:uiPriority w:val="0"/>
    <w:rPr>
      <w:rFonts w:ascii="宋体" w:hAnsi="Courier New" w:eastAsia="宋体" w:cs="Courier New"/>
      <w:kern w:val="2"/>
      <w:sz w:val="21"/>
      <w:szCs w:val="21"/>
      <w:lang w:val="en-US" w:eastAsia="zh-CN" w:bidi="ar-SA"/>
    </w:rPr>
  </w:style>
  <w:style w:type="character" w:customStyle="1" w:styleId="90">
    <w:name w:val="s3"/>
    <w:qFormat/>
    <w:uiPriority w:val="0"/>
  </w:style>
  <w:style w:type="character" w:customStyle="1" w:styleId="91">
    <w:name w:val="明显引用 字符1"/>
    <w:qFormat/>
    <w:uiPriority w:val="30"/>
    <w:rPr>
      <w:i/>
      <w:iCs/>
      <w:color w:val="4472C4"/>
      <w:sz w:val="24"/>
      <w:szCs w:val="24"/>
    </w:rPr>
  </w:style>
  <w:style w:type="character" w:customStyle="1" w:styleId="92">
    <w:name w:val="htd01"/>
    <w:qFormat/>
    <w:uiPriority w:val="0"/>
  </w:style>
  <w:style w:type="character" w:customStyle="1" w:styleId="93">
    <w:name w:val="文档结构图 字符1"/>
    <w:qFormat/>
    <w:uiPriority w:val="99"/>
    <w:rPr>
      <w:rFonts w:ascii="Microsoft YaHei UI" w:eastAsia="Microsoft YaHei UI"/>
      <w:sz w:val="18"/>
      <w:szCs w:val="18"/>
    </w:rPr>
  </w:style>
  <w:style w:type="character" w:customStyle="1" w:styleId="94">
    <w:name w:val="标题 9 Char"/>
    <w:qFormat/>
    <w:uiPriority w:val="0"/>
    <w:rPr>
      <w:rFonts w:ascii="Cambria" w:hAnsi="Cambria" w:eastAsia="宋体"/>
      <w:kern w:val="2"/>
      <w:sz w:val="21"/>
      <w:lang w:val="en-US" w:eastAsia="zh-CN"/>
    </w:rPr>
  </w:style>
  <w:style w:type="character" w:customStyle="1" w:styleId="95">
    <w:name w:val="个人撰写风格"/>
    <w:qFormat/>
    <w:uiPriority w:val="0"/>
    <w:rPr>
      <w:rFonts w:ascii="Arial" w:hAnsi="Arial" w:eastAsia="宋体" w:cs="Arial"/>
      <w:color w:val="auto"/>
      <w:sz w:val="20"/>
    </w:rPr>
  </w:style>
  <w:style w:type="character" w:customStyle="1" w:styleId="96">
    <w:name w:val="未处理的提及1"/>
    <w:unhideWhenUsed/>
    <w:qFormat/>
    <w:uiPriority w:val="99"/>
    <w:rPr>
      <w:color w:val="605E5C"/>
      <w:shd w:val="clear" w:color="auto" w:fill="E1DFDD"/>
    </w:rPr>
  </w:style>
  <w:style w:type="character" w:customStyle="1" w:styleId="97">
    <w:name w:val="引用 Char1"/>
    <w:qFormat/>
    <w:uiPriority w:val="29"/>
    <w:rPr>
      <w:rFonts w:ascii="宋体"/>
      <w:i/>
      <w:iCs/>
      <w:color w:val="000000"/>
      <w:kern w:val="2"/>
      <w:sz w:val="28"/>
    </w:rPr>
  </w:style>
  <w:style w:type="character" w:customStyle="1" w:styleId="98">
    <w:name w:val="副标题 Char"/>
    <w:qFormat/>
    <w:uiPriority w:val="0"/>
    <w:rPr>
      <w:rFonts w:ascii="Cambria" w:hAnsi="Cambria"/>
      <w:b/>
      <w:bCs/>
      <w:kern w:val="28"/>
      <w:sz w:val="32"/>
      <w:szCs w:val="32"/>
    </w:rPr>
  </w:style>
  <w:style w:type="character" w:customStyle="1" w:styleId="99">
    <w:name w:val="正文文本缩进 2 字符1"/>
    <w:qFormat/>
    <w:uiPriority w:val="99"/>
    <w:rPr>
      <w:sz w:val="24"/>
      <w:szCs w:val="24"/>
    </w:rPr>
  </w:style>
  <w:style w:type="character" w:customStyle="1" w:styleId="100">
    <w:name w:val="明显参考1"/>
    <w:qFormat/>
    <w:uiPriority w:val="0"/>
    <w:rPr>
      <w:b/>
      <w:bCs/>
      <w:smallCaps/>
      <w:color w:val="C0504D"/>
      <w:spacing w:val="5"/>
      <w:u w:val="single"/>
    </w:rPr>
  </w:style>
  <w:style w:type="character" w:customStyle="1" w:styleId="101">
    <w:name w:val="书籍标题1"/>
    <w:qFormat/>
    <w:uiPriority w:val="0"/>
    <w:rPr>
      <w:b/>
      <w:bCs/>
      <w:smallCaps/>
      <w:spacing w:val="5"/>
    </w:rPr>
  </w:style>
  <w:style w:type="character" w:customStyle="1" w:styleId="102">
    <w:name w:val="批注文字 字符1"/>
    <w:semiHidden/>
    <w:qFormat/>
    <w:uiPriority w:val="99"/>
    <w:rPr>
      <w:rFonts w:ascii="宋体" w:hAnsi="Times New Roman" w:eastAsia="宋体" w:cs="Times New Roman"/>
      <w:sz w:val="28"/>
      <w:szCs w:val="20"/>
    </w:rPr>
  </w:style>
  <w:style w:type="character" w:customStyle="1" w:styleId="103">
    <w:name w:val="批注框文本 Char1"/>
    <w:qFormat/>
    <w:uiPriority w:val="0"/>
    <w:rPr>
      <w:kern w:val="2"/>
      <w:sz w:val="18"/>
      <w:szCs w:val="18"/>
    </w:rPr>
  </w:style>
  <w:style w:type="character" w:customStyle="1" w:styleId="104">
    <w:name w:val="正文文本 Char1"/>
    <w:qFormat/>
    <w:uiPriority w:val="0"/>
    <w:rPr>
      <w:kern w:val="2"/>
      <w:sz w:val="21"/>
      <w:szCs w:val="22"/>
    </w:rPr>
  </w:style>
  <w:style w:type="character" w:customStyle="1" w:styleId="105">
    <w:name w:val="textcontents"/>
    <w:qFormat/>
    <w:uiPriority w:val="0"/>
    <w:rPr>
      <w:rFonts w:cs="Times New Roman"/>
    </w:rPr>
  </w:style>
  <w:style w:type="character" w:customStyle="1" w:styleId="106">
    <w:name w:val="正文文本缩进 字符1"/>
    <w:qFormat/>
    <w:uiPriority w:val="99"/>
    <w:rPr>
      <w:sz w:val="24"/>
      <w:szCs w:val="24"/>
    </w:rPr>
  </w:style>
  <w:style w:type="character" w:customStyle="1" w:styleId="107">
    <w:name w:val="ca-111"/>
    <w:qFormat/>
    <w:uiPriority w:val="0"/>
    <w:rPr>
      <w:rFonts w:hint="default" w:ascii="Times New Roman" w:hAnsi="Times New Roman" w:cs="Times New Roman"/>
      <w:color w:val="000000"/>
      <w:sz w:val="30"/>
      <w:szCs w:val="30"/>
    </w:rPr>
  </w:style>
  <w:style w:type="character" w:customStyle="1" w:styleId="108">
    <w:name w:val="ca-341"/>
    <w:qFormat/>
    <w:uiPriority w:val="0"/>
    <w:rPr>
      <w:rFonts w:hint="eastAsia" w:ascii="宋体" w:hAnsi="宋体" w:eastAsia="宋体"/>
      <w:color w:val="000000"/>
      <w:sz w:val="20"/>
      <w:szCs w:val="20"/>
    </w:rPr>
  </w:style>
  <w:style w:type="character" w:customStyle="1" w:styleId="109">
    <w:name w:val="个人答复风格"/>
    <w:qFormat/>
    <w:uiPriority w:val="0"/>
    <w:rPr>
      <w:rFonts w:ascii="Arial" w:hAnsi="Arial" w:eastAsia="宋体" w:cs="Arial"/>
      <w:color w:val="auto"/>
      <w:sz w:val="20"/>
    </w:rPr>
  </w:style>
  <w:style w:type="character" w:customStyle="1" w:styleId="110">
    <w:name w:val="批注文字 Char Char"/>
    <w:qFormat/>
    <w:uiPriority w:val="0"/>
    <w:rPr>
      <w:rFonts w:ascii="宋体" w:hAnsi="Times New Roman" w:eastAsia="宋体" w:cs="Times New Roman"/>
      <w:sz w:val="28"/>
      <w:szCs w:val="20"/>
    </w:rPr>
  </w:style>
  <w:style w:type="character" w:customStyle="1" w:styleId="111">
    <w:name w:val="不明显强调1"/>
    <w:qFormat/>
    <w:uiPriority w:val="0"/>
    <w:rPr>
      <w:i/>
      <w:iCs/>
      <w:color w:val="808080"/>
    </w:rPr>
  </w:style>
  <w:style w:type="character" w:customStyle="1" w:styleId="112">
    <w:name w:val="批注文字 Char"/>
    <w:qFormat/>
    <w:uiPriority w:val="99"/>
    <w:rPr>
      <w:sz w:val="24"/>
      <w:szCs w:val="24"/>
    </w:rPr>
  </w:style>
  <w:style w:type="character" w:customStyle="1" w:styleId="113">
    <w:name w:val="纯文本 字符"/>
    <w:qFormat/>
    <w:uiPriority w:val="0"/>
    <w:rPr>
      <w:rFonts w:ascii="宋体" w:hAnsi="Courier New" w:eastAsia="宋体" w:cs="Courier New"/>
      <w:kern w:val="0"/>
    </w:rPr>
  </w:style>
  <w:style w:type="character" w:customStyle="1" w:styleId="114">
    <w:name w:val="日期 Char1"/>
    <w:qFormat/>
    <w:uiPriority w:val="0"/>
    <w:rPr>
      <w:kern w:val="2"/>
      <w:sz w:val="21"/>
      <w:szCs w:val="22"/>
    </w:rPr>
  </w:style>
  <w:style w:type="character" w:customStyle="1" w:styleId="115">
    <w:name w:val="文档结构图 Char2"/>
    <w:qFormat/>
    <w:uiPriority w:val="99"/>
    <w:rPr>
      <w:rFonts w:ascii="宋体"/>
      <w:kern w:val="2"/>
      <w:sz w:val="18"/>
      <w:szCs w:val="18"/>
    </w:rPr>
  </w:style>
  <w:style w:type="character" w:customStyle="1" w:styleId="116">
    <w:name w:val="明显强调1"/>
    <w:qFormat/>
    <w:uiPriority w:val="0"/>
    <w:rPr>
      <w:b/>
      <w:bCs/>
      <w:i/>
      <w:iCs/>
      <w:color w:val="4F81BD"/>
    </w:rPr>
  </w:style>
  <w:style w:type="character" w:customStyle="1" w:styleId="117">
    <w:name w:val="标题 字符1"/>
    <w:qFormat/>
    <w:uiPriority w:val="10"/>
    <w:rPr>
      <w:rFonts w:ascii="等线 Light" w:hAnsi="等线 Light" w:cs="Times New Roman"/>
      <w:b/>
      <w:bCs/>
      <w:sz w:val="32"/>
      <w:szCs w:val="32"/>
    </w:rPr>
  </w:style>
  <w:style w:type="character" w:customStyle="1" w:styleId="118">
    <w:name w:val="不明显参考1"/>
    <w:qFormat/>
    <w:uiPriority w:val="0"/>
    <w:rPr>
      <w:smallCaps/>
      <w:color w:val="C0504D"/>
      <w:u w:val="single"/>
    </w:rPr>
  </w:style>
  <w:style w:type="character" w:customStyle="1" w:styleId="119">
    <w:name w:val="日期 字符1"/>
    <w:qFormat/>
    <w:uiPriority w:val="99"/>
    <w:rPr>
      <w:sz w:val="24"/>
      <w:szCs w:val="24"/>
    </w:rPr>
  </w:style>
  <w:style w:type="character" w:customStyle="1" w:styleId="120">
    <w:name w:val="ca-521"/>
    <w:qFormat/>
    <w:uiPriority w:val="0"/>
    <w:rPr>
      <w:rFonts w:ascii="宋体" w:hAnsi="宋体" w:eastAsia="宋体"/>
      <w:b/>
      <w:spacing w:val="-20"/>
      <w:sz w:val="36"/>
    </w:rPr>
  </w:style>
  <w:style w:type="character" w:customStyle="1" w:styleId="121">
    <w:name w:val="纯文本 Char1"/>
    <w:semiHidden/>
    <w:qFormat/>
    <w:locked/>
    <w:uiPriority w:val="0"/>
    <w:rPr>
      <w:rFonts w:ascii="宋体" w:hAnsi="Courier New" w:cs="Courier New"/>
      <w:kern w:val="2"/>
      <w:sz w:val="21"/>
      <w:szCs w:val="21"/>
    </w:rPr>
  </w:style>
  <w:style w:type="character" w:customStyle="1" w:styleId="122">
    <w:name w:val="批注主题 Char1"/>
    <w:qFormat/>
    <w:uiPriority w:val="0"/>
    <w:rPr>
      <w:b/>
      <w:bCs/>
      <w:kern w:val="2"/>
      <w:sz w:val="21"/>
      <w:szCs w:val="22"/>
    </w:rPr>
  </w:style>
  <w:style w:type="character" w:customStyle="1" w:styleId="123">
    <w:name w:val="标题5 Char Char"/>
    <w:link w:val="124"/>
    <w:qFormat/>
    <w:uiPriority w:val="0"/>
    <w:rPr>
      <w:rFonts w:ascii="Arial" w:hAnsi="Arial"/>
      <w:b/>
      <w:bCs/>
      <w:sz w:val="24"/>
      <w:szCs w:val="32"/>
    </w:rPr>
  </w:style>
  <w:style w:type="paragraph" w:customStyle="1" w:styleId="124">
    <w:name w:val="标题5"/>
    <w:basedOn w:val="5"/>
    <w:link w:val="123"/>
    <w:qFormat/>
    <w:uiPriority w:val="0"/>
    <w:pPr>
      <w:keepNext/>
      <w:keepLines/>
      <w:autoSpaceDE/>
      <w:autoSpaceDN/>
      <w:adjustRightInd/>
      <w:spacing w:before="260" w:after="260" w:line="413" w:lineRule="auto"/>
      <w:ind w:left="0"/>
      <w:jc w:val="both"/>
    </w:pPr>
    <w:rPr>
      <w:rFonts w:ascii="Arial" w:hAnsi="Arial"/>
      <w:sz w:val="24"/>
    </w:rPr>
  </w:style>
  <w:style w:type="paragraph" w:customStyle="1" w:styleId="12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26">
    <w:name w:val="Blockquote"/>
    <w:basedOn w:val="1"/>
    <w:qFormat/>
    <w:uiPriority w:val="0"/>
    <w:pPr>
      <w:spacing w:before="100" w:after="100"/>
      <w:ind w:left="360" w:right="360"/>
    </w:pPr>
    <w:rPr>
      <w:rFonts w:eastAsia="仿宋_GB2312"/>
      <w:szCs w:val="20"/>
    </w:rPr>
  </w:style>
  <w:style w:type="paragraph" w:customStyle="1" w:styleId="127">
    <w:name w:val="空半行"/>
    <w:basedOn w:val="1"/>
    <w:qFormat/>
    <w:uiPriority w:val="0"/>
    <w:pPr>
      <w:autoSpaceDE/>
      <w:autoSpaceDN/>
      <w:spacing w:line="120" w:lineRule="exact"/>
      <w:jc w:val="both"/>
      <w:textAlignment w:val="baseline"/>
    </w:pPr>
    <w:rPr>
      <w:rFonts w:eastAsia="仿宋_GB2312"/>
      <w:color w:val="FFFFFF"/>
      <w:sz w:val="30"/>
      <w:szCs w:val="20"/>
    </w:rPr>
  </w:style>
  <w:style w:type="paragraph" w:customStyle="1" w:styleId="128">
    <w:name w:val="1"/>
    <w:basedOn w:val="1"/>
    <w:qFormat/>
    <w:uiPriority w:val="0"/>
    <w:pPr>
      <w:autoSpaceDE/>
      <w:autoSpaceDN/>
      <w:adjustRightInd/>
      <w:spacing w:line="480" w:lineRule="exact"/>
      <w:ind w:firstLine="480"/>
      <w:jc w:val="both"/>
    </w:pPr>
    <w:rPr>
      <w:rFonts w:ascii="宋体"/>
      <w:kern w:val="2"/>
      <w:szCs w:val="20"/>
    </w:rPr>
  </w:style>
  <w:style w:type="paragraph" w:styleId="129">
    <w:name w:val="List Paragraph"/>
    <w:basedOn w:val="1"/>
    <w:qFormat/>
    <w:uiPriority w:val="0"/>
  </w:style>
  <w:style w:type="paragraph" w:customStyle="1" w:styleId="130">
    <w:name w:val="样式 标题 2 + Times New Roman 四号 非加粗 段前: 5 磅 段后: 0 磅 行距: 固定值 20..."/>
    <w:basedOn w:val="4"/>
    <w:qFormat/>
    <w:uiPriority w:val="0"/>
    <w:pPr>
      <w:keepNext/>
      <w:keepLines/>
      <w:autoSpaceDE/>
      <w:autoSpaceDN/>
      <w:adjustRightInd/>
      <w:spacing w:before="100" w:line="400" w:lineRule="exact"/>
      <w:ind w:left="0"/>
      <w:jc w:val="both"/>
    </w:pPr>
    <w:rPr>
      <w:rFonts w:ascii="Times New Roman" w:eastAsia="黑体"/>
      <w:sz w:val="28"/>
      <w:szCs w:val="20"/>
    </w:rPr>
  </w:style>
  <w:style w:type="paragraph" w:customStyle="1" w:styleId="131">
    <w:name w:val="p15"/>
    <w:basedOn w:val="1"/>
    <w:qFormat/>
    <w:uiPriority w:val="0"/>
    <w:pPr>
      <w:widowControl/>
      <w:autoSpaceDE/>
      <w:autoSpaceDN/>
      <w:adjustRightInd/>
      <w:ind w:firstLine="420"/>
      <w:jc w:val="both"/>
    </w:pPr>
    <w:rPr>
      <w:rFonts w:cs="宋体"/>
      <w:sz w:val="28"/>
      <w:szCs w:val="21"/>
    </w:rPr>
  </w:style>
  <w:style w:type="paragraph" w:customStyle="1" w:styleId="132">
    <w:name w:val="Char Char Char Char Char Char Char Char Char Char Char Char Char Char Char Char Char Char Char Char Char Char Char Char Char Char Char Char Char Char Char Char Char"/>
    <w:basedOn w:val="1"/>
    <w:qFormat/>
    <w:uiPriority w:val="0"/>
    <w:pPr>
      <w:widowControl/>
      <w:autoSpaceDE/>
      <w:autoSpaceDN/>
      <w:adjustRightInd/>
      <w:spacing w:after="160" w:line="240" w:lineRule="exact"/>
    </w:pPr>
    <w:rPr>
      <w:rFonts w:ascii="Verdana" w:hAnsi="Verdana" w:eastAsia="仿宋_GB2312"/>
      <w:szCs w:val="20"/>
      <w:lang w:eastAsia="en-US"/>
    </w:rPr>
  </w:style>
  <w:style w:type="paragraph" w:customStyle="1" w:styleId="133">
    <w:name w:val="CM44"/>
    <w:basedOn w:val="125"/>
    <w:next w:val="125"/>
    <w:qFormat/>
    <w:uiPriority w:val="0"/>
    <w:pPr>
      <w:spacing w:line="440" w:lineRule="atLeast"/>
    </w:pPr>
    <w:rPr>
      <w:color w:val="auto"/>
    </w:rPr>
  </w:style>
  <w:style w:type="paragraph" w:customStyle="1" w:styleId="134">
    <w:name w:val="正文2"/>
    <w:basedOn w:val="1"/>
    <w:qFormat/>
    <w:uiPriority w:val="0"/>
    <w:pPr>
      <w:spacing w:before="156" w:line="360" w:lineRule="auto"/>
      <w:ind w:firstLine="510" w:firstLineChars="200"/>
    </w:pPr>
    <w:rPr>
      <w:rFonts w:ascii="仿宋_GB2312"/>
      <w:b/>
    </w:rPr>
  </w:style>
  <w:style w:type="paragraph" w:customStyle="1" w:styleId="135">
    <w:name w:val="xl25"/>
    <w:basedOn w:val="1"/>
    <w:qFormat/>
    <w:uiPriority w:val="0"/>
    <w:pPr>
      <w:widowControl/>
      <w:autoSpaceDE/>
      <w:autoSpaceDN/>
      <w:adjustRightInd/>
      <w:spacing w:before="100" w:beforeAutospacing="1" w:after="100" w:afterAutospacing="1"/>
      <w:jc w:val="center"/>
      <w:textAlignment w:val="center"/>
    </w:pPr>
    <w:rPr>
      <w:rFonts w:ascii="宋体" w:hAnsi="宋体"/>
    </w:rPr>
  </w:style>
  <w:style w:type="paragraph" w:customStyle="1" w:styleId="136">
    <w:name w:val="Table Paragraph"/>
    <w:basedOn w:val="1"/>
    <w:qFormat/>
    <w:uiPriority w:val="1"/>
  </w:style>
  <w:style w:type="paragraph" w:customStyle="1" w:styleId="137">
    <w:name w:val="CM24"/>
    <w:basedOn w:val="125"/>
    <w:next w:val="125"/>
    <w:qFormat/>
    <w:uiPriority w:val="0"/>
    <w:pPr>
      <w:spacing w:line="440" w:lineRule="atLeast"/>
    </w:pPr>
    <w:rPr>
      <w:color w:val="auto"/>
    </w:rPr>
  </w:style>
  <w:style w:type="paragraph" w:customStyle="1" w:styleId="138">
    <w:name w:val="样式 标题 3 + 段前: 7.8 磅"/>
    <w:basedOn w:val="5"/>
    <w:qFormat/>
    <w:uiPriority w:val="0"/>
    <w:pPr>
      <w:tabs>
        <w:tab w:val="left" w:pos="1280"/>
      </w:tabs>
      <w:autoSpaceDE/>
      <w:autoSpaceDN/>
      <w:adjustRightInd/>
      <w:spacing w:before="156" w:line="360" w:lineRule="auto"/>
      <w:ind w:left="1280" w:hanging="720"/>
      <w:jc w:val="both"/>
    </w:pPr>
    <w:rPr>
      <w:rFonts w:cs="宋体"/>
      <w:b w:val="0"/>
      <w:bCs w:val="0"/>
      <w:kern w:val="2"/>
      <w:sz w:val="24"/>
      <w:szCs w:val="20"/>
    </w:rPr>
  </w:style>
  <w:style w:type="paragraph" w:customStyle="1" w:styleId="139">
    <w:name w:val="CM99"/>
    <w:basedOn w:val="125"/>
    <w:next w:val="125"/>
    <w:qFormat/>
    <w:uiPriority w:val="0"/>
    <w:rPr>
      <w:color w:val="auto"/>
    </w:rPr>
  </w:style>
  <w:style w:type="paragraph" w:customStyle="1" w:styleId="140">
    <w:name w:val="flNote"/>
    <w:basedOn w:val="1"/>
    <w:qFormat/>
    <w:uiPriority w:val="0"/>
    <w:pPr>
      <w:autoSpaceDE/>
      <w:autoSpaceDN/>
      <w:spacing w:before="320" w:after="160" w:line="360" w:lineRule="atLeast"/>
      <w:jc w:val="center"/>
      <w:textAlignment w:val="baseline"/>
    </w:pPr>
    <w:rPr>
      <w:rFonts w:ascii="Arial" w:eastAsia="黑体"/>
      <w:sz w:val="30"/>
      <w:szCs w:val="20"/>
    </w:rPr>
  </w:style>
  <w:style w:type="paragraph" w:customStyle="1" w:styleId="141">
    <w:name w:val="p0"/>
    <w:basedOn w:val="1"/>
    <w:qFormat/>
    <w:uiPriority w:val="0"/>
    <w:pPr>
      <w:widowControl/>
      <w:autoSpaceDE/>
      <w:autoSpaceDN/>
      <w:adjustRightInd/>
      <w:jc w:val="both"/>
    </w:pPr>
    <w:rPr>
      <w:sz w:val="32"/>
      <w:szCs w:val="32"/>
    </w:rPr>
  </w:style>
  <w:style w:type="paragraph" w:customStyle="1" w:styleId="142">
    <w:name w:val="Char Char Char Char"/>
    <w:basedOn w:val="1"/>
    <w:qFormat/>
    <w:uiPriority w:val="0"/>
    <w:pPr>
      <w:widowControl/>
      <w:autoSpaceDE/>
      <w:autoSpaceDN/>
      <w:adjustRightInd/>
      <w:spacing w:after="160" w:line="240" w:lineRule="exact"/>
    </w:pPr>
    <w:rPr>
      <w:rFonts w:ascii="Arial" w:hAnsi="Arial" w:eastAsia="Times New Roman" w:cs="Verdana"/>
      <w:b/>
      <w:szCs w:val="20"/>
      <w:lang w:eastAsia="en-US"/>
    </w:rPr>
  </w:style>
  <w:style w:type="paragraph" w:customStyle="1" w:styleId="143">
    <w:name w:val="修订1"/>
    <w:unhideWhenUsed/>
    <w:qFormat/>
    <w:uiPriority w:val="0"/>
    <w:rPr>
      <w:rFonts w:ascii="Calibri" w:hAnsi="Calibri" w:eastAsia="宋体" w:cs="Times New Roman"/>
      <w:sz w:val="24"/>
      <w:szCs w:val="24"/>
      <w:lang w:val="en-US" w:eastAsia="zh-CN" w:bidi="ar-SA"/>
    </w:rPr>
  </w:style>
  <w:style w:type="paragraph" w:customStyle="1" w:styleId="144">
    <w:name w:val="样式 标题 3 + (中文) 黑体 小四 非加粗 段前: 7.8 磅 段后: 0 磅 行距: 固定值 20 磅"/>
    <w:basedOn w:val="5"/>
    <w:qFormat/>
    <w:uiPriority w:val="0"/>
    <w:pPr>
      <w:keepNext/>
      <w:keepLines/>
      <w:autoSpaceDE/>
      <w:autoSpaceDN/>
      <w:adjustRightInd/>
      <w:spacing w:line="400" w:lineRule="exact"/>
      <w:ind w:left="0"/>
      <w:jc w:val="both"/>
    </w:pPr>
    <w:rPr>
      <w:rFonts w:eastAsia="黑体" w:cs="宋体"/>
      <w:b w:val="0"/>
      <w:bCs w:val="0"/>
      <w:kern w:val="2"/>
      <w:sz w:val="24"/>
      <w:szCs w:val="20"/>
    </w:rPr>
  </w:style>
  <w:style w:type="paragraph" w:customStyle="1" w:styleId="145">
    <w:name w:val="CM25"/>
    <w:basedOn w:val="125"/>
    <w:next w:val="125"/>
    <w:qFormat/>
    <w:uiPriority w:val="0"/>
    <w:pPr>
      <w:spacing w:line="440" w:lineRule="atLeast"/>
    </w:pPr>
    <w:rPr>
      <w:color w:val="auto"/>
    </w:rPr>
  </w:style>
  <w:style w:type="paragraph" w:customStyle="1" w:styleId="146">
    <w:name w:val="默认段落字体 Para Char"/>
    <w:basedOn w:val="1"/>
    <w:qFormat/>
    <w:uiPriority w:val="0"/>
    <w:pPr>
      <w:tabs>
        <w:tab w:val="left" w:pos="1080"/>
      </w:tabs>
      <w:autoSpaceDE/>
      <w:autoSpaceDN/>
      <w:adjustRightInd/>
      <w:ind w:left="1080" w:hanging="360"/>
      <w:jc w:val="both"/>
    </w:pPr>
    <w:rPr>
      <w:kern w:val="2"/>
      <w:sz w:val="21"/>
    </w:rPr>
  </w:style>
  <w:style w:type="paragraph" w:styleId="147">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8">
    <w:name w:val="Char"/>
    <w:basedOn w:val="1"/>
    <w:qFormat/>
    <w:uiPriority w:val="0"/>
    <w:pPr>
      <w:autoSpaceDE/>
      <w:autoSpaceDN/>
      <w:adjustRightInd/>
      <w:jc w:val="both"/>
    </w:pPr>
    <w:rPr>
      <w:rFonts w:ascii="宋体"/>
      <w:kern w:val="2"/>
      <w:sz w:val="28"/>
      <w:szCs w:val="20"/>
    </w:rPr>
  </w:style>
  <w:style w:type="paragraph" w:customStyle="1" w:styleId="149">
    <w:name w:val="TOC 标题1"/>
    <w:basedOn w:val="3"/>
    <w:next w:val="1"/>
    <w:qFormat/>
    <w:uiPriority w:val="0"/>
    <w:pPr>
      <w:keepNext/>
      <w:keepLines/>
      <w:widowControl/>
      <w:autoSpaceDE/>
      <w:autoSpaceDN/>
      <w:adjustRightInd/>
      <w:spacing w:before="240" w:line="259" w:lineRule="auto"/>
      <w:ind w:left="0"/>
      <w:outlineLvl w:val="9"/>
    </w:pPr>
    <w:rPr>
      <w:rFonts w:ascii="等线 Light" w:hAnsi="等线 Light" w:eastAsia="等线 Light"/>
      <w:b/>
      <w:bCs w:val="0"/>
      <w:color w:val="2F5496"/>
      <w:sz w:val="32"/>
      <w:szCs w:val="32"/>
    </w:rPr>
  </w:style>
  <w:style w:type="paragraph" w:customStyle="1" w:styleId="150">
    <w:name w:val="[Normal]"/>
    <w:qFormat/>
    <w:uiPriority w:val="0"/>
    <w:rPr>
      <w:rFonts w:ascii="宋体" w:hAnsi="宋体" w:eastAsia="宋体" w:cs="Times New Roman"/>
      <w:sz w:val="24"/>
      <w:szCs w:val="22"/>
      <w:lang w:val="zh-CN" w:eastAsia="zh-CN" w:bidi="ar-SA"/>
    </w:rPr>
  </w:style>
  <w:style w:type="paragraph" w:customStyle="1" w:styleId="151">
    <w:name w:val="列出段落1"/>
    <w:basedOn w:val="1"/>
    <w:qFormat/>
    <w:uiPriority w:val="0"/>
    <w:pPr>
      <w:autoSpaceDE/>
      <w:autoSpaceDN/>
      <w:adjustRightInd/>
      <w:ind w:firstLine="420" w:firstLineChars="200"/>
      <w:jc w:val="both"/>
    </w:pPr>
    <w:rPr>
      <w:kern w:val="2"/>
      <w:sz w:val="21"/>
      <w:szCs w:val="22"/>
    </w:rPr>
  </w:style>
  <w:style w:type="character" w:customStyle="1" w:styleId="152">
    <w:name w:val="标题 3 字符1"/>
    <w:qFormat/>
    <w:locked/>
    <w:uiPriority w:val="0"/>
    <w:rPr>
      <w:rFonts w:ascii="Times New Roman" w:hAnsi="Times New Roman" w:cs="Times New Roman"/>
      <w:b/>
      <w:bCs/>
      <w:kern w:val="0"/>
      <w:sz w:val="32"/>
      <w:szCs w:val="32"/>
    </w:rPr>
  </w:style>
  <w:style w:type="paragraph" w:customStyle="1" w:styleId="153">
    <w:name w:val="招标公告"/>
    <w:basedOn w:val="5"/>
    <w:link w:val="154"/>
    <w:qFormat/>
    <w:uiPriority w:val="1"/>
    <w:pPr>
      <w:numPr>
        <w:ilvl w:val="3"/>
        <w:numId w:val="1"/>
      </w:numPr>
      <w:kinsoku w:val="0"/>
      <w:spacing w:line="360" w:lineRule="auto"/>
    </w:pPr>
    <w:rPr>
      <w:rFonts w:ascii="宋体" w:hAnsi="宋体" w:eastAsia="宋体"/>
    </w:rPr>
  </w:style>
  <w:style w:type="character" w:customStyle="1" w:styleId="154">
    <w:name w:val="招标公告 字符"/>
    <w:basedOn w:val="52"/>
    <w:link w:val="153"/>
    <w:qFormat/>
    <w:uiPriority w:val="1"/>
    <w:rPr>
      <w:rFonts w:ascii="宋体" w:hAnsi="宋体" w:eastAsia="宋体" w:cs="Times New Roman"/>
      <w:kern w:val="0"/>
      <w:sz w:val="32"/>
      <w:szCs w:val="32"/>
    </w:rPr>
  </w:style>
  <w:style w:type="paragraph" w:customStyle="1" w:styleId="155">
    <w:name w:val="226_Chinese Text"/>
    <w:qFormat/>
    <w:uiPriority w:val="0"/>
    <w:pPr>
      <w:spacing w:after="120" w:line="336" w:lineRule="auto"/>
      <w:jc w:val="both"/>
    </w:pPr>
    <w:rPr>
      <w:rFonts w:ascii="华文中宋" w:hAnsi="华文中宋" w:eastAsia="华文中宋" w:cs="Times New Roman"/>
      <w:lang w:val="en-GB" w:eastAsia="zh-CN" w:bidi="ar-SA"/>
    </w:rPr>
  </w:style>
  <w:style w:type="paragraph" w:customStyle="1" w:styleId="156">
    <w:name w:val="内文正文"/>
    <w:qFormat/>
    <w:uiPriority w:val="0"/>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57">
    <w:name w:val="pa-4"/>
    <w:basedOn w:val="1"/>
    <w:qFormat/>
    <w:uiPriority w:val="0"/>
    <w:pPr>
      <w:widowControl/>
      <w:autoSpaceDE/>
      <w:autoSpaceDN/>
      <w:adjustRightInd/>
      <w:spacing w:line="360" w:lineRule="atLeast"/>
      <w:jc w:val="center"/>
    </w:pPr>
    <w:rPr>
      <w:rFonts w:ascii="宋体" w:hAnsi="宋体" w:cs="宋体"/>
    </w:rPr>
  </w:style>
  <w:style w:type="paragraph" w:customStyle="1" w:styleId="158">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159">
    <w:name w:val="hover26"/>
    <w:basedOn w:val="42"/>
    <w:qFormat/>
    <w:uiPriority w:val="0"/>
  </w:style>
  <w:style w:type="character" w:customStyle="1" w:styleId="160">
    <w:name w:val="hover27"/>
    <w:basedOn w:val="42"/>
    <w:qFormat/>
    <w:uiPriority w:val="0"/>
    <w:rPr>
      <w:color w:val="315EFB"/>
    </w:rPr>
  </w:style>
  <w:style w:type="character" w:customStyle="1" w:styleId="161">
    <w:name w:val="c-icon"/>
    <w:basedOn w:val="42"/>
    <w:qFormat/>
    <w:uiPriority w:val="0"/>
  </w:style>
  <w:style w:type="character" w:customStyle="1" w:styleId="162">
    <w:name w:val="znkcfl3"/>
    <w:basedOn w:val="42"/>
    <w:qFormat/>
    <w:uiPriority w:val="0"/>
  </w:style>
  <w:style w:type="character" w:customStyle="1" w:styleId="163">
    <w:name w:val="jsaker"/>
    <w:basedOn w:val="42"/>
    <w:qFormat/>
    <w:uiPriority w:val="0"/>
  </w:style>
  <w:style w:type="paragraph" w:customStyle="1" w:styleId="164">
    <w:name w:val="Char Char Char"/>
    <w:basedOn w:val="1"/>
    <w:qFormat/>
    <w:uiPriority w:val="0"/>
    <w:rPr>
      <w:rFonts w:ascii="Tahoma" w:hAnsi="Tahoma"/>
      <w:szCs w:val="20"/>
    </w:rPr>
  </w:style>
  <w:style w:type="paragraph" w:customStyle="1" w:styleId="165">
    <w:name w:val="正文，首行缩进:"/>
    <w:basedOn w:val="1"/>
    <w:qFormat/>
    <w:uiPriority w:val="0"/>
    <w:pPr>
      <w:tabs>
        <w:tab w:val="left" w:pos="3376"/>
      </w:tabs>
      <w:spacing w:line="460" w:lineRule="exact"/>
      <w:ind w:firstLine="480" w:firstLineChars="200"/>
    </w:pPr>
    <w:rPr>
      <w:rFonts w:ascii="宋体" w:hAnsi="宋体" w:cs="宋体"/>
      <w:szCs w:val="20"/>
    </w:rPr>
  </w:style>
  <w:style w:type="character" w:customStyle="1" w:styleId="166">
    <w:name w:val="font01"/>
    <w:basedOn w:val="42"/>
    <w:qFormat/>
    <w:uiPriority w:val="0"/>
    <w:rPr>
      <w:rFonts w:hint="eastAsia" w:ascii="宋体" w:hAnsi="宋体" w:eastAsia="宋体" w:cs="宋体"/>
      <w:color w:val="000000"/>
      <w:sz w:val="22"/>
      <w:szCs w:val="22"/>
      <w:u w:val="none"/>
    </w:rPr>
  </w:style>
  <w:style w:type="character" w:customStyle="1" w:styleId="167">
    <w:name w:val="font21"/>
    <w:basedOn w:val="42"/>
    <w:qFormat/>
    <w:uiPriority w:val="0"/>
    <w:rPr>
      <w:rFonts w:hint="eastAsia" w:ascii="宋体" w:hAnsi="宋体" w:eastAsia="宋体" w:cs="宋体"/>
      <w:color w:val="FF0000"/>
      <w:sz w:val="22"/>
      <w:szCs w:val="22"/>
      <w:u w:val="none"/>
    </w:rPr>
  </w:style>
  <w:style w:type="character" w:customStyle="1" w:styleId="168">
    <w:name w:val="font11"/>
    <w:basedOn w:val="42"/>
    <w:qFormat/>
    <w:uiPriority w:val="0"/>
    <w:rPr>
      <w:rFonts w:hint="eastAsia" w:ascii="宋体" w:hAnsi="宋体" w:eastAsia="宋体" w:cs="宋体"/>
      <w:color w:val="000000"/>
      <w:sz w:val="22"/>
      <w:szCs w:val="22"/>
      <w:u w:val="none"/>
    </w:rPr>
  </w:style>
  <w:style w:type="paragraph" w:customStyle="1" w:styleId="169">
    <w:name w:val="TOC 标题2"/>
    <w:basedOn w:val="3"/>
    <w:next w:val="1"/>
    <w:unhideWhenUsed/>
    <w:qFormat/>
    <w:uiPriority w:val="39"/>
    <w:pPr>
      <w:keepNext/>
      <w:keepLines/>
      <w:widowControl/>
      <w:autoSpaceDE/>
      <w:autoSpaceDN/>
      <w:adjustRightInd/>
      <w:spacing w:before="480" w:line="276" w:lineRule="auto"/>
      <w:ind w:left="0"/>
      <w:jc w:val="left"/>
      <w:outlineLvl w:val="9"/>
    </w:pPr>
    <w:rPr>
      <w:rFonts w:ascii="Cambria" w:hAnsi="Cambria" w:eastAsia="宋体" w:cs="Times New Roman"/>
      <w:b/>
      <w:color w:val="3660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121</Pages>
  <Words>42835</Words>
  <Characters>44387</Characters>
  <Lines>374</Lines>
  <Paragraphs>105</Paragraphs>
  <TotalTime>22</TotalTime>
  <ScaleCrop>false</ScaleCrop>
  <LinksUpToDate>false</LinksUpToDate>
  <CharactersWithSpaces>51470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2021-03-26T15:27:00Z</dcterms:created>
  <dc:creator>袁静</dc:creator>
  <cp:lastModifiedBy>政务服务办公室公文收发</cp:lastModifiedBy>
  <cp:lastPrinted>2022-06-22T04:35:18Z</cp:lastPrinted>
  <dcterms:modified xsi:type="dcterms:W3CDTF">2022-06-22T04:37:10Z</dcterms:modified>
  <dc:title>中华人民共和国</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KSOProductBuildVer">
    <vt:lpwstr>2052-11.8.2.10154</vt:lpwstr>
  </property>
  <property fmtid="{D5CDD505-2E9C-101B-9397-08002B2CF9AE}" pid="4" name="ICV">
    <vt:lpwstr>65A4D8BE86BC4D0EAC1F7B3044FD6D6C</vt:lpwstr>
  </property>
</Properties>
</file>