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sz w:val="36"/>
          <w:szCs w:val="36"/>
        </w:rPr>
      </w:pPr>
      <w:r>
        <w:rPr>
          <w:rFonts w:hint="eastAsia" w:ascii="黑体" w:hAnsi="黑体" w:eastAsia="黑体" w:cs="黑体"/>
          <w:sz w:val="36"/>
          <w:szCs w:val="36"/>
        </w:rPr>
        <w:t>《非遗研学游基地认定标准》</w:t>
      </w:r>
    </w:p>
    <w:p>
      <w:pPr>
        <w:jc w:val="center"/>
        <w:outlineLvl w:val="0"/>
        <w:rPr>
          <w:rFonts w:ascii="黑体" w:hAnsi="黑体" w:eastAsia="黑体" w:cs="黑体"/>
          <w:sz w:val="36"/>
          <w:szCs w:val="36"/>
        </w:rPr>
      </w:pPr>
      <w:r>
        <w:rPr>
          <w:rFonts w:hint="eastAsia" w:ascii="黑体" w:hAnsi="黑体" w:eastAsia="黑体" w:cs="黑体"/>
          <w:sz w:val="36"/>
          <w:szCs w:val="36"/>
        </w:rPr>
        <w:t>编制说明</w:t>
      </w:r>
    </w:p>
    <w:p>
      <w:pPr>
        <w:jc w:val="center"/>
      </w:pP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工作简况</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0"/>
        <w:rPr>
          <w:rFonts w:ascii="楷体" w:hAnsi="楷体" w:eastAsia="楷体" w:cs="楷体"/>
          <w:sz w:val="32"/>
          <w:szCs w:val="32"/>
        </w:rPr>
      </w:pPr>
      <w:r>
        <w:rPr>
          <w:rFonts w:hint="eastAsia" w:ascii="楷体" w:hAnsi="楷体" w:eastAsia="楷体" w:cs="楷体"/>
          <w:sz w:val="32"/>
          <w:szCs w:val="32"/>
        </w:rPr>
        <w:t>（一）任务来源</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pPr>
      <w:r>
        <w:rPr>
          <w:rFonts w:hint="eastAsia" w:ascii="仿宋" w:hAnsi="仿宋" w:eastAsia="仿宋" w:cs="仿宋"/>
          <w:sz w:val="32"/>
          <w:szCs w:val="32"/>
        </w:rPr>
        <w:t>由绍兴市文化广电旅游局申请地方标准的立项，根据</w:t>
      </w:r>
      <w:r>
        <w:rPr>
          <w:rFonts w:hint="eastAsia" w:ascii="仿宋" w:hAnsi="仿宋" w:eastAsia="仿宋" w:cs="仿宋"/>
          <w:sz w:val="32"/>
          <w:szCs w:val="32"/>
          <w:lang w:eastAsia="zh-CN"/>
        </w:rPr>
        <w:t>绍兴</w:t>
      </w:r>
      <w:r>
        <w:rPr>
          <w:rFonts w:hint="eastAsia" w:ascii="仿宋" w:hAnsi="仿宋" w:eastAsia="仿宋" w:cs="仿宋"/>
          <w:sz w:val="32"/>
          <w:szCs w:val="32"/>
        </w:rPr>
        <w:t>市场监督管理局下达的2020年度浙江省</w:t>
      </w:r>
      <w:r>
        <w:rPr>
          <w:rFonts w:hint="eastAsia" w:ascii="仿宋" w:hAnsi="仿宋" w:eastAsia="仿宋" w:cs="仿宋"/>
          <w:color w:val="FF0000"/>
          <w:sz w:val="32"/>
          <w:szCs w:val="32"/>
          <w:lang w:eastAsia="zh-CN"/>
        </w:rPr>
        <w:t>绍兴市</w:t>
      </w:r>
      <w:r>
        <w:rPr>
          <w:rFonts w:hint="eastAsia" w:ascii="仿宋" w:hAnsi="仿宋" w:eastAsia="仿宋" w:cs="仿宋"/>
          <w:sz w:val="32"/>
          <w:szCs w:val="32"/>
        </w:rPr>
        <w:t>地方标准制修订项目计划，批准《非遗研学游基地认定标准》的制定。</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rPr>
        <w:t>（二）起草单位</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pPr>
      <w:r>
        <w:rPr>
          <w:rFonts w:hint="eastAsia" w:ascii="仿宋" w:hAnsi="仿宋" w:eastAsia="仿宋" w:cs="仿宋"/>
          <w:sz w:val="32"/>
          <w:szCs w:val="32"/>
        </w:rPr>
        <w:t>起草单位：绍兴市文化广电旅游局、中国传媒大学</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rPr>
        <w:t>（三）主要起草人</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杨红、刘畅、赖再博、梁智渊、徐红</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0"/>
      </w:pPr>
      <w:r>
        <w:rPr>
          <w:rFonts w:hint="eastAsia" w:ascii="黑体" w:hAnsi="黑体" w:eastAsia="黑体" w:cs="黑体"/>
          <w:sz w:val="32"/>
          <w:szCs w:val="32"/>
        </w:rPr>
        <w:t>二、制定标准的必要性和意义</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仿宋" w:hAnsi="仿宋" w:eastAsia="仿宋" w:cs="仿宋"/>
          <w:color w:val="000000"/>
          <w:sz w:val="32"/>
          <w:szCs w:val="32"/>
        </w:rPr>
      </w:pPr>
      <w:r>
        <w:rPr>
          <w:rFonts w:hint="eastAsia" w:ascii="楷体" w:hAnsi="楷体" w:eastAsia="楷体" w:cs="楷体"/>
          <w:sz w:val="32"/>
          <w:szCs w:val="32"/>
        </w:rPr>
        <w:t>（一）必要性</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国家和我省对发展研学游提出明确要求。2013年初，国务院办公厅颁布《国民旅游休闲纲要（2013-2020年）》，首次提出“研学旅行”。2016年12月19日，教育部、原国家旅游局等11部门联合印发《关于推进中小学生研学旅行的意见》，要求各地将研学旅行摆在更加重要的位置，推动研学旅行健康快速发展。为贯彻落实教育部、原国家旅游局等11部门《关于推进中小学生研学旅行的意见》精神，大力推动省内研学游的发展，浙江省教育厅、原浙江省旅游局等10部门于2018年7月发布《关于推进中小学生研学旅行的实施意见》（以下简称“《意见》”），《意见》从研学工作目标和基本原则、研学活动的基础建设等方面明确了省内开展研学旅行、建设研学游基地的基本要求。同年，省教育厅、原省旅游局组织开展了第一批浙江省中小学生研学实践教育基地和营地申报认定工作。</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非遗研学游基地规范有序发展的迫切需求。基于非遗门类繁多、内容形式多样的特点，非遗研学游基地的类型、活动内容等也较为复杂。全国各地都处于开展非遗研学游工作的初期，因缺乏场所建设及服务标准，存在诸多发展瓶颈，急需通过制定相关标准推动非遗研学游基地的规范有序发展。</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宋体" w:hAnsi="宋体" w:eastAsia="宋体" w:cs="宋体"/>
          <w:color w:val="000000"/>
          <w:szCs w:val="32"/>
          <w:shd w:val="clear" w:color="auto" w:fill="FFFFFF"/>
        </w:rPr>
      </w:pPr>
      <w:r>
        <w:rPr>
          <w:rFonts w:hint="eastAsia" w:ascii="仿宋" w:hAnsi="仿宋" w:eastAsia="仿宋" w:cs="仿宋"/>
          <w:sz w:val="32"/>
          <w:szCs w:val="32"/>
        </w:rPr>
        <w:t>基于以上政策要求与非遗研学游基地发展的现实需求，制定非遗研学游基地认定专门性的地方标准工作十分必要。同时，绍兴市具有研学游基地标准化建设基础，且是全国最早开展非遗研学游基地建设的地区，相关实践经验丰富，有能力就非遗研学游基地开展专项标准化制订，引导和提升地区甚至全国的相关工作水平，</w:t>
      </w:r>
      <w:r>
        <w:rPr>
          <w:rFonts w:hint="eastAsia" w:ascii="仿宋" w:hAnsi="仿宋" w:eastAsia="仿宋" w:cs="仿宋"/>
          <w:color w:val="FF0000"/>
          <w:sz w:val="32"/>
          <w:szCs w:val="32"/>
          <w:lang w:eastAsia="zh-CN"/>
        </w:rPr>
        <w:t>对</w:t>
      </w:r>
      <w:r>
        <w:rPr>
          <w:rFonts w:hint="eastAsia" w:ascii="仿宋" w:hAnsi="仿宋" w:eastAsia="仿宋" w:cs="仿宋"/>
          <w:sz w:val="32"/>
          <w:szCs w:val="32"/>
        </w:rPr>
        <w:t>扩大绍兴经验的影响具有重要意义。</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宋体" w:hAnsi="宋体" w:eastAsia="宋体" w:cs="宋体"/>
          <w:color w:val="000000"/>
          <w:szCs w:val="32"/>
          <w:shd w:val="clear" w:color="auto" w:fill="FFFFFF"/>
        </w:rPr>
      </w:pPr>
      <w:r>
        <w:rPr>
          <w:rFonts w:hint="eastAsia" w:ascii="楷体" w:hAnsi="楷体" w:eastAsia="楷体" w:cs="楷体"/>
          <w:sz w:val="32"/>
          <w:szCs w:val="32"/>
        </w:rPr>
        <w:t>（二）意义</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非遗研学游目的</w:t>
      </w:r>
      <w:r>
        <w:rPr>
          <w:rFonts w:hint="eastAsia" w:ascii="仿宋" w:hAnsi="仿宋" w:eastAsia="仿宋" w:cs="仿宋"/>
          <w:color w:val="FF0000"/>
          <w:sz w:val="32"/>
          <w:szCs w:val="32"/>
          <w:lang w:eastAsia="zh-CN"/>
        </w:rPr>
        <w:t>主要</w:t>
      </w:r>
      <w:r>
        <w:rPr>
          <w:rFonts w:hint="eastAsia" w:ascii="仿宋" w:hAnsi="仿宋" w:eastAsia="仿宋" w:cs="仿宋"/>
          <w:sz w:val="32"/>
          <w:szCs w:val="32"/>
        </w:rPr>
        <w:t>是使学生走出校门</w:t>
      </w:r>
      <w:r>
        <w:rPr>
          <w:rFonts w:hint="eastAsia" w:ascii="仿宋" w:hAnsi="仿宋" w:eastAsia="仿宋" w:cs="仿宋"/>
          <w:sz w:val="32"/>
          <w:szCs w:val="32"/>
          <w:lang w:eastAsia="zh-CN"/>
        </w:rPr>
        <w:t>，</w:t>
      </w:r>
      <w:r>
        <w:rPr>
          <w:rFonts w:hint="eastAsia" w:ascii="仿宋" w:hAnsi="仿宋" w:eastAsia="仿宋" w:cs="仿宋"/>
          <w:color w:val="FF0000"/>
          <w:sz w:val="32"/>
          <w:szCs w:val="32"/>
          <w:lang w:eastAsia="zh-CN"/>
        </w:rPr>
        <w:t>使旅行者</w:t>
      </w:r>
      <w:r>
        <w:rPr>
          <w:rFonts w:hint="eastAsia" w:ascii="仿宋" w:hAnsi="仿宋" w:eastAsia="仿宋" w:cs="仿宋"/>
          <w:sz w:val="32"/>
          <w:szCs w:val="32"/>
        </w:rPr>
        <w:t>走进非遗生存的原生环境，真实感受、体验、学习非遗，从而对非遗有更深刻、全面、系统的认识。非遗研学游的健康有序开展将促使优秀传统文化深入人心，带动非遗的保护和发展，同时也借助非遗资源为旅游业拓展消费群体、增添发展活力。然而，当前国内涌现的非遗研学游项目设置大多以游玩为主，学研次之，短时间内的简单动手实践，很难向游客传递非遗的创造性价值，导致传承、传播非遗的效果并不十分理想，对旅游的消费促进作用也并不明显。制定非遗研学游基地的认定标准，拟从非遗研学游基地的总则、基地类型、基本要求、活动及安排、运行管理、配套设施要求、安全与应急管理、公开和反馈机制、评定与复核等方面出发，对非遗研学游基地进行统一规定和要求。意义在于：</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1.避免行业内基地建设水平的良莠不齐，最大程度保证非遗研学游基地能够充分发挥非遗保护、传承和传播的功能；</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2.有利于规范非遗研学游基地的开发、建设与管理，进一步为旅游业发展增强动能，推动文旅融合深入发展；</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3.此次标准的制定具有开创性意义，不仅为绍兴市非遗保护实践提供指导，也为国内其他地区非遗研学游基地的认定提供参考。</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0"/>
        <w:rPr>
          <w:rFonts w:ascii="仿宋" w:hAnsi="仿宋" w:eastAsia="仿宋" w:cs="仿宋"/>
          <w:sz w:val="32"/>
          <w:szCs w:val="32"/>
        </w:rPr>
      </w:pPr>
      <w:r>
        <w:rPr>
          <w:rFonts w:hint="eastAsia" w:ascii="黑体" w:hAnsi="黑体" w:eastAsia="黑体" w:cs="黑体"/>
          <w:sz w:val="32"/>
          <w:szCs w:val="32"/>
        </w:rPr>
        <w:t>三、主要起草过程</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根据此次标准制定的内容和要求进行资料收集，主要包括与研学游相关的国标、行标及地标，部分绍兴市非遗研学游基地的基本资料等，并在此基础上进行初稿拟定。编制团队于八月中旬前往绍兴展开调研，对绍兴市部分非遗研学游基地的建设情况、基础设施、主要类型等方面进行考察，并与有关部门领导、业内人员进行商讨，征求修改意见，编制团队于后期进一步深化、细化、完善标准的制定。</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0"/>
        <w:rPr>
          <w:rFonts w:ascii="黑体" w:hAnsi="黑体" w:eastAsia="黑体" w:cs="黑体"/>
          <w:sz w:val="32"/>
          <w:szCs w:val="32"/>
        </w:rPr>
      </w:pPr>
      <w:r>
        <w:rPr>
          <w:rFonts w:hint="eastAsia" w:ascii="黑体" w:hAnsi="黑体" w:eastAsia="黑体" w:cs="黑体"/>
          <w:sz w:val="32"/>
          <w:szCs w:val="32"/>
        </w:rPr>
        <w:t>四、制定标准的原则和依据，与现行法律、法规、标准的关系</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楷体" w:hAnsi="楷体" w:eastAsia="楷体" w:cs="楷体"/>
          <w:color w:val="000000"/>
          <w:sz w:val="32"/>
          <w:szCs w:val="32"/>
        </w:rPr>
      </w:pPr>
      <w:r>
        <w:rPr>
          <w:rFonts w:hint="eastAsia" w:ascii="楷体" w:hAnsi="楷体" w:eastAsia="楷体" w:cs="楷体"/>
          <w:color w:val="000000"/>
          <w:sz w:val="32"/>
          <w:szCs w:val="32"/>
        </w:rPr>
        <w:t>（一）原则</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标准编制遵循“科学性、统一性、协调性、适用性、一致性、规范性”的原则，注重标准的可操作性。</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楷体" w:hAnsi="楷体" w:eastAsia="楷体" w:cs="楷体"/>
          <w:color w:val="000000"/>
          <w:sz w:val="32"/>
          <w:szCs w:val="32"/>
        </w:rPr>
      </w:pPr>
      <w:r>
        <w:rPr>
          <w:rFonts w:hint="eastAsia" w:ascii="楷体" w:hAnsi="楷体" w:eastAsia="楷体" w:cs="楷体"/>
          <w:color w:val="000000"/>
          <w:sz w:val="32"/>
          <w:szCs w:val="32"/>
          <w:lang w:eastAsia="zh-CN"/>
        </w:rPr>
        <w:t>（二）</w:t>
      </w:r>
      <w:r>
        <w:rPr>
          <w:rFonts w:hint="eastAsia" w:ascii="楷体" w:hAnsi="楷体" w:eastAsia="楷体" w:cs="楷体"/>
          <w:color w:val="000000"/>
          <w:sz w:val="32"/>
          <w:szCs w:val="32"/>
        </w:rPr>
        <w:t>依据</w:t>
      </w:r>
    </w:p>
    <w:p>
      <w:pPr>
        <w:pStyle w:val="3"/>
        <w:keepNext w:val="0"/>
        <w:keepLines w:val="0"/>
        <w:pageBreakBefore w:val="0"/>
        <w:kinsoku/>
        <w:wordWrap/>
        <w:overflowPunct/>
        <w:topLinePunct/>
        <w:autoSpaceDE w:val="0"/>
        <w:autoSpaceDN w:val="0"/>
        <w:bidi w:val="0"/>
        <w:adjustRightInd/>
        <w:snapToGrid/>
        <w:spacing w:beforeAutospacing="0" w:line="50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标准制定以《中华人民共和国非物质文化遗产法》、《浙江省非物质文化遗产保护条例》、《</w:t>
      </w:r>
      <w:r>
        <w:rPr>
          <w:rFonts w:hint="eastAsia" w:ascii="仿宋" w:hAnsi="仿宋" w:eastAsia="仿宋" w:cs="仿宋"/>
          <w:color w:val="000000" w:themeColor="text1"/>
          <w:sz w:val="32"/>
          <w:szCs w:val="32"/>
          <w14:textFill>
            <w14:solidFill>
              <w14:schemeClr w14:val="tx1"/>
            </w14:solidFill>
          </w14:textFill>
        </w:rPr>
        <w:t>研学旅行基地和营地建设与管理规范》</w:t>
      </w:r>
      <w:r>
        <w:rPr>
          <w:rFonts w:hint="eastAsia" w:ascii="仿宋" w:hAnsi="仿宋" w:eastAsia="仿宋" w:cs="仿宋"/>
          <w:sz w:val="32"/>
          <w:szCs w:val="32"/>
        </w:rPr>
        <w:t>为依据。</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楷体" w:hAnsi="楷体" w:eastAsia="楷体" w:cs="楷体"/>
          <w:color w:val="000000"/>
          <w:sz w:val="32"/>
          <w:szCs w:val="32"/>
        </w:rPr>
      </w:pP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与现行法律、法规、标准的关系</w:t>
      </w:r>
    </w:p>
    <w:p>
      <w:pPr>
        <w:pStyle w:val="3"/>
        <w:keepNext w:val="0"/>
        <w:keepLines w:val="0"/>
        <w:pageBreakBefore w:val="0"/>
        <w:kinsoku/>
        <w:wordWrap/>
        <w:overflowPunct/>
        <w:topLinePunct/>
        <w:autoSpaceDE w:val="0"/>
        <w:autoSpaceDN w:val="0"/>
        <w:bidi w:val="0"/>
        <w:adjustRightInd/>
        <w:snapToGrid/>
        <w:spacing w:beforeAutospacing="0" w:line="50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非遗研学游其旅游属性与公共文化属性决定了非遗研学游基地认定标准制定需遵循和参考相关旅游标准和公共文化、文化服务标准要求。因此目前直接与非遗研学游基地有关的法律、法规、标准有：《中华人民共和国非物质文化遗产法》、《浙江省非物质文化遗产保护条例》、</w:t>
      </w:r>
      <w:r>
        <w:rPr>
          <w:rFonts w:hint="eastAsia" w:ascii="仿宋" w:hAnsi="仿宋" w:eastAsia="仿宋" w:cs="仿宋"/>
          <w:sz w:val="32"/>
          <w:szCs w:val="32"/>
          <w:lang w:val="en-US" w:bidi="ar-SA"/>
        </w:rPr>
        <w:t>GB 3095 《环境空气质量标准》</w:t>
      </w:r>
      <w:r>
        <w:rPr>
          <w:rFonts w:hint="eastAsia" w:ascii="仿宋" w:hAnsi="仿宋" w:eastAsia="仿宋" w:cs="仿宋"/>
          <w:sz w:val="32"/>
          <w:szCs w:val="32"/>
        </w:rPr>
        <w:t>、</w:t>
      </w:r>
      <w:r>
        <w:rPr>
          <w:rFonts w:hint="eastAsia" w:ascii="仿宋" w:hAnsi="仿宋" w:eastAsia="仿宋" w:cs="仿宋"/>
          <w:sz w:val="32"/>
          <w:szCs w:val="32"/>
          <w:lang w:val="en-US" w:bidi="ar-SA"/>
        </w:rPr>
        <w:t>GB 37487 《公共场所卫生管理规范》</w:t>
      </w:r>
      <w:r>
        <w:rPr>
          <w:rFonts w:hint="eastAsia" w:ascii="仿宋" w:hAnsi="仿宋" w:eastAsia="仿宋" w:cs="仿宋"/>
          <w:sz w:val="32"/>
          <w:szCs w:val="32"/>
        </w:rPr>
        <w:t>、</w:t>
      </w:r>
      <w:r>
        <w:rPr>
          <w:rFonts w:hint="eastAsia" w:ascii="仿宋" w:hAnsi="仿宋" w:eastAsia="仿宋" w:cs="仿宋"/>
          <w:sz w:val="32"/>
          <w:szCs w:val="32"/>
          <w:lang w:val="en-US" w:bidi="ar-SA"/>
        </w:rPr>
        <w:t>GB/T 10001.2 《标志用公共信息图形符号第2部分：旅游休闲符号</w:t>
      </w:r>
      <w:r>
        <w:rPr>
          <w:rFonts w:hint="eastAsia" w:cs="Times New Roman"/>
          <w:szCs w:val="24"/>
          <w:lang w:val="en-US" w:bidi="ar-SA"/>
        </w:rPr>
        <w:t>》</w:t>
      </w:r>
      <w:r>
        <w:rPr>
          <w:rFonts w:hint="eastAsia" w:ascii="仿宋" w:hAnsi="仿宋" w:eastAsia="仿宋" w:cs="仿宋"/>
          <w:sz w:val="32"/>
          <w:szCs w:val="32"/>
        </w:rPr>
        <w:t>、LB/T 022-2013《城市旅游公共服务基本要求》、LB/T 054-2016 《</w:t>
      </w:r>
      <w:r>
        <w:fldChar w:fldCharType="begin"/>
      </w:r>
      <w:r>
        <w:instrText xml:space="preserve"> HYPERLINK "https://baike.baidu.com/item/%E7%A0%94%E5%AD%A6%E6%97%85%E8%A1%8C" </w:instrText>
      </w:r>
      <w:r>
        <w:fldChar w:fldCharType="separate"/>
      </w:r>
      <w:r>
        <w:rPr>
          <w:rFonts w:hint="eastAsia" w:ascii="仿宋" w:hAnsi="仿宋" w:eastAsia="仿宋" w:cs="仿宋"/>
          <w:sz w:val="32"/>
          <w:szCs w:val="32"/>
        </w:rPr>
        <w:t>研学旅行</w:t>
      </w:r>
      <w:r>
        <w:rPr>
          <w:rFonts w:hint="eastAsia" w:ascii="仿宋" w:hAnsi="仿宋" w:eastAsia="仿宋" w:cs="仿宋"/>
          <w:sz w:val="32"/>
          <w:szCs w:val="32"/>
        </w:rPr>
        <w:fldChar w:fldCharType="end"/>
      </w:r>
      <w:r>
        <w:rPr>
          <w:rFonts w:hint="eastAsia" w:ascii="仿宋" w:hAnsi="仿宋" w:eastAsia="仿宋" w:cs="仿宋"/>
          <w:sz w:val="32"/>
          <w:szCs w:val="32"/>
        </w:rPr>
        <w:t>服务规范》、</w:t>
      </w:r>
      <w:r>
        <w:rPr>
          <w:rFonts w:hint="eastAsia" w:ascii="仿宋" w:hAnsi="仿宋" w:eastAsia="仿宋" w:cs="仿宋"/>
          <w:color w:val="000000" w:themeColor="text1"/>
          <w:sz w:val="32"/>
          <w:szCs w:val="32"/>
          <w:lang w:val="en-US" w:bidi="ar-SA"/>
          <w14:textFill>
            <w14:solidFill>
              <w14:schemeClr w14:val="tx1"/>
            </w14:solidFill>
          </w14:textFill>
        </w:rPr>
        <w:t>DB 3306/T</w:t>
      </w:r>
      <w:r>
        <w:rPr>
          <w:rFonts w:hint="eastAsia" w:ascii="仿宋" w:hAnsi="仿宋" w:eastAsia="仿宋" w:cs="仿宋"/>
          <w:color w:val="FF0000"/>
          <w:sz w:val="32"/>
          <w:szCs w:val="32"/>
          <w:lang w:val="en-US" w:bidi="ar-SA"/>
        </w:rPr>
        <w:t xml:space="preserve"> 025—2020</w:t>
      </w:r>
      <w:r>
        <w:rPr>
          <w:rFonts w:hint="eastAsia" w:ascii="仿宋" w:hAnsi="仿宋" w:eastAsia="仿宋" w:cs="仿宋"/>
          <w:color w:val="000000" w:themeColor="text1"/>
          <w:sz w:val="32"/>
          <w:szCs w:val="32"/>
          <w:lang w:val="en-US" w:bidi="ar-SA"/>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研学旅行基地和营地建设与管理规范》</w:t>
      </w:r>
      <w:r>
        <w:rPr>
          <w:rFonts w:hint="eastAsia" w:ascii="仿宋" w:hAnsi="仿宋" w:eastAsia="仿宋" w:cs="仿宋"/>
          <w:sz w:val="32"/>
          <w:szCs w:val="32"/>
        </w:rPr>
        <w:t>等。</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0"/>
        <w:rPr>
          <w:rFonts w:ascii="宋体" w:hAnsi="宋体" w:eastAsia="宋体" w:cs="宋体"/>
          <w:szCs w:val="21"/>
        </w:rPr>
      </w:pPr>
      <w:r>
        <w:rPr>
          <w:rFonts w:hint="eastAsia" w:ascii="黑体" w:hAnsi="黑体" w:eastAsia="黑体" w:cs="黑体"/>
          <w:sz w:val="32"/>
          <w:szCs w:val="32"/>
        </w:rPr>
        <w:t>五、主要条款说明</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rPr>
        <w:t>（一）标准名称</w:t>
      </w:r>
    </w:p>
    <w:p>
      <w:pPr>
        <w:keepNext w:val="0"/>
        <w:keepLines w:val="0"/>
        <w:pageBreakBefore w:val="0"/>
        <w:kinsoku/>
        <w:wordWrap/>
        <w:overflowPunct/>
        <w:bidi w:val="0"/>
        <w:adjustRightInd/>
        <w:snapToGrid/>
        <w:spacing w:beforeAutospacing="0" w:line="50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《非遗研学游基地认定标准》</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标准主要内容说明</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总则</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规定了绍兴市非遗研学游基地应遵从的基本原则和价值规范，主要包括社会价值、探究价值、体悟价值、安全原则以及非遗保护原则。</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基地类型</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针对绍兴市非遗研学游基地的主要类型进行界定，主要有观光工厂型、景区内设型、村镇内设型、博物展馆型、表演场所型、传习作坊型。</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基本要求</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针对绍兴市非遗研学游基地建设提出基本要求，主要包括基本条件、卫生医疗条件、环境条件等要求。</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活动及安排</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针对绍兴市非遗研学游基地主要开展的研学活动与活动安排提出要求，包括行前安排、行中安排、行后安排、研学游线路设计等。</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运行管理</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针对绍兴市非遗研学游基地内部的运营及管理提出要求，包括基础管理与宣传推广。</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配套设施要求</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针对绍兴市非遗研学游基地的基础设施建设提出要求，包括餐饮要求、住宿要求、购物要求、交通要求、导览设施等。</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安全与应急管理</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针对绍兴市非遗研学游基地的安全与应急管理提出要求。</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公开与反馈机制</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针对绍兴市非遗研学游基地的信息公开、游客反馈以及意见采纳机制提出要求。</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重大意见分歧的处理依据和结果</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由于本标准为地方性基本要求，在制定过程中经常与相关各部门进行沟通，标准文本在征求意见过程中，没有重大分歧意见。</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jc w:val="left"/>
        <w:textAlignment w:val="auto"/>
        <w:outlineLvl w:val="0"/>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作为推荐性或强制性标准的建议及理由</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目前在全国范围内并未出台与非遗研学游基地有关的认定标准，而绍兴市非遗保护以及非遗</w:t>
      </w:r>
      <w:r>
        <w:rPr>
          <w:rFonts w:hint="eastAsia" w:ascii="仿宋" w:hAnsi="仿宋" w:eastAsia="仿宋" w:cs="仿宋"/>
          <w:color w:val="FF0000"/>
          <w:sz w:val="32"/>
          <w:szCs w:val="32"/>
          <w:lang w:eastAsia="zh-CN"/>
        </w:rPr>
        <w:t>研学游</w:t>
      </w:r>
      <w:bookmarkStart w:id="0" w:name="_GoBack"/>
      <w:bookmarkEnd w:id="0"/>
      <w:r>
        <w:rPr>
          <w:rFonts w:hint="eastAsia" w:ascii="仿宋" w:hAnsi="仿宋" w:eastAsia="仿宋" w:cs="仿宋"/>
          <w:sz w:val="32"/>
          <w:szCs w:val="32"/>
        </w:rPr>
        <w:t>实践工作走在全国前列，因此此次标准的制定完成具有开创性和探索性意义。通过制定标准能够指导非遗研学游基地的开发、建设与管理，为进一步推动非遗研学游基地规范发展、合理使用、发挥功能价值奠定基础，因此建议将《非遗研学游基地认定标准》作为推荐性地方标准批准发布，用于指导各非遗研学游基地开发、建设与管理。</w:t>
      </w:r>
    </w:p>
    <w:p>
      <w:pPr>
        <w:keepNext w:val="0"/>
        <w:keepLines w:val="0"/>
        <w:pageBreakBefore w:val="0"/>
        <w:numPr>
          <w:ilvl w:val="0"/>
          <w:numId w:val="0"/>
        </w:numPr>
        <w:kinsoku/>
        <w:wordWrap/>
        <w:overflowPunct/>
        <w:bidi w:val="0"/>
        <w:adjustRightInd/>
        <w:snapToGrid/>
        <w:spacing w:beforeAutospacing="0" w:line="500" w:lineRule="exact"/>
        <w:ind w:left="0" w:leftChars="0" w:right="0" w:rightChars="0" w:firstLine="640" w:firstLineChars="200"/>
        <w:textAlignment w:val="auto"/>
        <w:outlineLvl w:val="0"/>
        <w:rPr>
          <w:rFonts w:ascii="黑体" w:hAnsi="黑体" w:eastAsia="黑体" w:cs="黑体"/>
          <w:sz w:val="32"/>
          <w:szCs w:val="32"/>
        </w:rPr>
      </w:pP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八、</w:t>
      </w:r>
      <w:r>
        <w:rPr>
          <w:rFonts w:hint="eastAsia" w:ascii="黑体" w:hAnsi="黑体" w:eastAsia="黑体" w:cs="黑体"/>
          <w:color w:val="000000" w:themeColor="text1"/>
          <w:sz w:val="32"/>
          <w:szCs w:val="32"/>
          <w:shd w:val="clear" w:color="auto" w:fill="FFFFFF"/>
          <w14:textFill>
            <w14:solidFill>
              <w14:schemeClr w14:val="tx1"/>
            </w14:solidFill>
          </w14:textFill>
        </w:rPr>
        <w:t>贯彻标准的措施建议</w:t>
      </w:r>
    </w:p>
    <w:p>
      <w:pPr>
        <w:keepNext w:val="0"/>
        <w:keepLines w:val="0"/>
        <w:pageBreakBefore w:val="0"/>
        <w:kinsoku/>
        <w:wordWrap/>
        <w:overflowPunct/>
        <w:bidi w:val="0"/>
        <w:adjustRightInd/>
        <w:snapToGrid/>
        <w:spacing w:beforeAutospacing="0" w:line="50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鉴于本认定标准是为指导与规范绍兴市非遗研学游基地的开发、建设与管理，进一步推动非遗研学游基地规范发展与合理使用，使非遗研学游基地向着规范化、合理化、资源整合最优化、价值利用最大化方向发展，推动非遗研学游基地成为汇集非遗精粹、保护非遗项目、展示非遗成果、聚集非遗人才的重要平台，进一步提升绍兴市文化形象、打造绍兴市文化品牌、助力绍兴市文旅融合。因此建议本认定标准作为推荐性标准发布，由绍兴市市场监督管理局具体组织本认定标准的贯彻实施工作，开展宣贯、培训和推广工作，指导绍兴市非遗研学游基地全面依照本认定标准进行开发、建设与管理。</w:t>
      </w:r>
    </w:p>
    <w:p>
      <w:pPr>
        <w:pStyle w:val="6"/>
        <w:keepNext w:val="0"/>
        <w:keepLines w:val="0"/>
        <w:pageBreakBefore w:val="0"/>
        <w:widowControl/>
        <w:kinsoku/>
        <w:wordWrap/>
        <w:overflowPunct/>
        <w:bidi w:val="0"/>
        <w:adjustRightInd/>
        <w:snapToGrid/>
        <w:spacing w:beforeAutospacing="0" w:after="0" w:line="500" w:lineRule="exact"/>
        <w:ind w:left="0" w:leftChars="0" w:right="0" w:rightChars="0" w:firstLine="0"/>
        <w:textAlignment w:val="auto"/>
        <w:rPr>
          <w:rFonts w:hint="default" w:ascii="宋体" w:hAnsi="宋体" w:cs="宋体"/>
          <w:color w:val="000000" w:themeColor="text1"/>
          <w:sz w:val="21"/>
          <w:szCs w:val="21"/>
          <w:shd w:val="clear" w:color="auto" w:fill="FFFFFF"/>
          <w14:textFill>
            <w14:solidFill>
              <w14:schemeClr w14:val="tx1"/>
            </w14:solidFill>
          </w14:textFill>
        </w:rPr>
      </w:pPr>
    </w:p>
    <w:p>
      <w:pPr>
        <w:pStyle w:val="6"/>
        <w:keepNext w:val="0"/>
        <w:keepLines w:val="0"/>
        <w:pageBreakBefore w:val="0"/>
        <w:widowControl/>
        <w:kinsoku/>
        <w:wordWrap/>
        <w:overflowPunct/>
        <w:bidi w:val="0"/>
        <w:adjustRightInd/>
        <w:snapToGrid/>
        <w:spacing w:beforeAutospacing="0" w:after="0" w:line="500" w:lineRule="exact"/>
        <w:ind w:left="0" w:leftChars="0" w:right="0" w:rightChars="0" w:firstLine="0"/>
        <w:jc w:val="right"/>
        <w:textAlignment w:val="auto"/>
        <w:rPr>
          <w:rFonts w:hint="default"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 xml:space="preserve">《非遗研学游基地认定标准》标准起草小组 </w:t>
      </w:r>
    </w:p>
    <w:p>
      <w:pPr>
        <w:pStyle w:val="6"/>
        <w:keepNext w:val="0"/>
        <w:keepLines w:val="0"/>
        <w:pageBreakBefore w:val="0"/>
        <w:widowControl/>
        <w:kinsoku/>
        <w:wordWrap/>
        <w:overflowPunct/>
        <w:bidi w:val="0"/>
        <w:adjustRightInd/>
        <w:snapToGrid/>
        <w:spacing w:beforeAutospacing="0" w:after="0" w:line="500" w:lineRule="exact"/>
        <w:ind w:left="0" w:leftChars="0" w:right="0" w:rightChars="0" w:firstLine="0"/>
        <w:jc w:val="right"/>
        <w:textAlignment w:val="auto"/>
        <w:rPr>
          <w:rFonts w:hint="default" w:ascii="仿宋" w:hAnsi="仿宋" w:eastAsia="仿宋" w:cs="仿宋"/>
          <w:color w:val="000000"/>
          <w:sz w:val="32"/>
          <w:szCs w:val="32"/>
        </w:rPr>
      </w:pPr>
      <w:r>
        <w:rPr>
          <w:rFonts w:ascii="仿宋" w:hAnsi="仿宋" w:eastAsia="仿宋" w:cs="仿宋"/>
          <w:color w:val="000000" w:themeColor="text1"/>
          <w:sz w:val="32"/>
          <w:szCs w:val="32"/>
          <w:shd w:val="clear" w:color="auto" w:fill="FFFFFF"/>
          <w14:textFill>
            <w14:solidFill>
              <w14:schemeClr w14:val="tx1"/>
            </w14:solidFill>
          </w14:textFill>
        </w:rPr>
        <w:t>2020年9月8日</w:t>
      </w:r>
    </w:p>
    <w:p>
      <w:pPr>
        <w:keepNext w:val="0"/>
        <w:keepLines w:val="0"/>
        <w:pageBreakBefore w:val="0"/>
        <w:kinsoku/>
        <w:wordWrap/>
        <w:overflowPunct/>
        <w:bidi w:val="0"/>
        <w:adjustRightInd/>
        <w:snapToGrid/>
        <w:spacing w:beforeAutospacing="0" w:line="500" w:lineRule="exact"/>
        <w:ind w:left="0" w:leftChars="0" w:right="0" w:rightChars="0"/>
        <w:jc w:val="left"/>
        <w:textAlignment w:val="auto"/>
        <w:rPr>
          <w:rFonts w:ascii="宋体" w:hAnsi="宋体" w:eastAsia="宋体" w:cs="宋体"/>
          <w:color w:val="000000"/>
          <w:szCs w:val="21"/>
        </w:rPr>
      </w:pPr>
    </w:p>
    <w:p>
      <w:pPr>
        <w:keepNext w:val="0"/>
        <w:keepLines w:val="0"/>
        <w:pageBreakBefore w:val="0"/>
        <w:kinsoku/>
        <w:wordWrap/>
        <w:overflowPunct/>
        <w:bidi w:val="0"/>
        <w:adjustRightInd/>
        <w:snapToGrid/>
        <w:spacing w:beforeAutospacing="0" w:line="500" w:lineRule="exact"/>
        <w:ind w:left="0" w:leftChars="0" w:right="0" w:rightChars="0"/>
        <w:jc w:val="left"/>
        <w:textAlignment w:val="auto"/>
        <w:rPr>
          <w:rFonts w:ascii="宋体" w:hAnsi="宋体" w:eastAsia="宋体" w:cs="宋体"/>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EC7964"/>
    <w:rsid w:val="004F5AB4"/>
    <w:rsid w:val="008D63CD"/>
    <w:rsid w:val="008E7556"/>
    <w:rsid w:val="00A05FA2"/>
    <w:rsid w:val="00D34F87"/>
    <w:rsid w:val="00DE1543"/>
    <w:rsid w:val="00E400A8"/>
    <w:rsid w:val="00F875BD"/>
    <w:rsid w:val="00FB4729"/>
    <w:rsid w:val="0B81317E"/>
    <w:rsid w:val="0C1C35AB"/>
    <w:rsid w:val="137D5CB1"/>
    <w:rsid w:val="1A5C1AD5"/>
    <w:rsid w:val="21B376FF"/>
    <w:rsid w:val="22EC7964"/>
    <w:rsid w:val="27933928"/>
    <w:rsid w:val="2C5430E4"/>
    <w:rsid w:val="2C6A1235"/>
    <w:rsid w:val="2CA34691"/>
    <w:rsid w:val="334E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Cs w:val="21"/>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after="150" w:line="240" w:lineRule="atLeast"/>
      <w:ind w:firstLine="420"/>
      <w:jc w:val="left"/>
    </w:pPr>
    <w:rPr>
      <w:rFonts w:hint="eastAsia" w:ascii="Arial" w:hAnsi="Arial" w:eastAsia="宋体"/>
      <w:color w:val="333333"/>
      <w:kern w:val="0"/>
      <w:sz w:val="14"/>
      <w:szCs w:val="14"/>
    </w:rPr>
  </w:style>
  <w:style w:type="character" w:styleId="8">
    <w:name w:val="FollowedHyperlink"/>
    <w:basedOn w:val="7"/>
    <w:qFormat/>
    <w:uiPriority w:val="0"/>
    <w:rPr>
      <w:color w:val="494949"/>
      <w:u w:val="none"/>
    </w:rPr>
  </w:style>
  <w:style w:type="character" w:styleId="9">
    <w:name w:val="Emphasis"/>
    <w:basedOn w:val="7"/>
    <w:qFormat/>
    <w:uiPriority w:val="0"/>
  </w:style>
  <w:style w:type="character" w:styleId="10">
    <w:name w:val="Hyperlink"/>
    <w:basedOn w:val="7"/>
    <w:qFormat/>
    <w:uiPriority w:val="0"/>
    <w:rPr>
      <w:color w:val="0000FF"/>
      <w:u w:val="single"/>
    </w:rPr>
  </w:style>
  <w:style w:type="character" w:styleId="11">
    <w:name w:val="HTML Code"/>
    <w:basedOn w:val="7"/>
    <w:qFormat/>
    <w:uiPriority w:val="0"/>
    <w:rPr>
      <w:rFonts w:ascii="Courier New" w:hAnsi="Courier New"/>
      <w:color w:val="FF6B07"/>
      <w:sz w:val="20"/>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more"/>
    <w:basedOn w:val="7"/>
    <w:qFormat/>
    <w:uiPriority w:val="0"/>
    <w:rPr>
      <w:rFonts w:hint="eastAsia" w:ascii="宋体" w:hAnsi="宋体" w:eastAsia="宋体" w:cs="宋体"/>
      <w:sz w:val="12"/>
      <w:szCs w:val="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463</Words>
  <Characters>2645</Characters>
  <Lines>22</Lines>
  <Paragraphs>6</Paragraphs>
  <ScaleCrop>false</ScaleCrop>
  <LinksUpToDate>false</LinksUpToDate>
  <CharactersWithSpaces>3102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2020-09-11T02:41:00Z</dcterms:created>
  <dc:creator>ooee</dc:creator>
  <cp:lastModifiedBy>admin</cp:lastModifiedBy>
  <dcterms:modified xsi:type="dcterms:W3CDTF">2020-10-12T07:42:59Z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