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  <w:t>金义新区（金东区）委托招商管理办法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（征求意见）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为进一步强化招商引资工作，创新招商方式，充分调动社会各界力量参与我区招商引资工作，加速形成全民招商的热潮，拓展招商引资渠道，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全面提升招商引资质量和水平，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促进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招商引资工作取得新突破，经济发展再上新台阶，特制订本办法。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委托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</w:rPr>
        <w:t>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为引进符合要求的项目落户我区的引资人，包括：企业法人、经社团登记的商会、协会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社会服务组织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在外设立的两会两站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（不包括政府部门、事业单位）及个人（不含公职人员）。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委托方式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line="600" w:lineRule="exact"/>
        <w:ind w:right="0"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具备条件的法人单位或个人经金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义新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（金东区）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招商委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办公室（投资促进中心）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资格初审，报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招商委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审定后，与其签订委托协议，确立委托招商权利义务关系。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主要职责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val="en-US" w:eastAsia="zh-CN"/>
        </w:rPr>
        <w:t>方案一：特定招商中介主要职责：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每年提供招商信息不少于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条,带领客商赴金义新区考察不少于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次，并积极协助做好所提供信息的招商洽谈、引进等相关工作；确保每年引进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亿元以上项目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个、10亿元以上项目2个；合同签订后由区政府拨付合作费用，若当年未完成约定引进项目数，须返还合同约定金额；若引进项目成功落地，按委托招商奖励政策另行奖励（包含前期支付的合同约定金额）。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方案二：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val="en-US" w:eastAsia="zh-CN"/>
        </w:rPr>
        <w:t>不特定招商中介主要职责：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包括各地商会、行业协会、产业园区等能够定期提供项目信息的机构，每年提供招商信息,带领客商赴金义新区考察，并积极协助做好所提供信息的招商洽谈、引进等相关工作。完成招商任务后按照第三方委托招商政策给予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四、奖励条件、标准及时间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（一）奖励条件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金华市以外引进实际投资总额在一定规模以上的符合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产业发展规划要求的项目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房地产、能源类项目除外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引进项目由外来投资企业和区招商办共同认定，录入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招商引资项目库，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同一项目只认定一个引资者。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工业项目实际固定资产投资额1亿元（含）以上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，可补助期限自取得施工许可证后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个完整年度内，政府配套资金除外；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现代服务业类项目注册后两年内主营业务收入实现5000万元(含)以上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（二）奖励标准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总投资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亿元（含）以上、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亿元以下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工业项目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按照投资方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实际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固定资产投资额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‰奖励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总投资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亿元（含）以上、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亿元以下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工业项目按照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投资方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实际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固定资产投资额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‰奖励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总投资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亿元（含）以上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工业项目按照投资方实际固定资产投资额的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FFFFFF" w:fill="D9D9D9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奖励；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外资项目按照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投资方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实际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固定资产投资额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‰奖励。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总投资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亿元（含）以上、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亿元以下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工业项目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自项目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取得施工许可证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之日起，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个月内正式投产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的，按标准上浮20%奖励；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总投资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亿元（含）以上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工业项目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自项目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取得施工许可证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之日起，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个月内正式投产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的，按标准上浮20%奖励；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外资项目以外资到账日汇率计算，工业项目、外资项目最高奖励不超过1亿元。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现代服务业类项目按照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注册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年内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主营业务收入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首次实现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000万元，给予一次性奖励5万元；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营业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收入首次实现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元，给予一次性奖励10万元；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营业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收入首次实现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亿元，给予一次性奖励20万元；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营业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收入首次实现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亿元，给予一次性奖励30万元。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各档不重复奖励。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奖励时间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lightGray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工业项目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签订正式投资协议书后，公司注册后根据实到注册资本金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‰预付奖励，当年按统计部门公布的固定资产数据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‰拨付奖励，投产验收后以固定资产审计报告中的金额进行结算；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现代服务业项目根据注册后年主营业务收入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达到奖励标准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当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年开始兑现。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备案。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申请奖励中介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人须第一时间将项目情况、有效身份证件或统一社会信用代码复印件报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区招商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工作委员会办公室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并填写《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招商引资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备案登记表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》（附件1），由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区招商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工作委员会办公室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进行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申请。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中介人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符合申报条件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提出书面申请,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填写《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招商引资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中介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奖励申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表》（附件2），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并提供相关证明材料: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.金义新区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招商引资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备案登记表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材料，包括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投资企业营业执照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税务登记证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公司章程有效复印件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立项批复文件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、环境影响评估报告及批复、土地证、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项目施工许可证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等资料；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奖励对象的身份证明(身份证或营业执照复印件)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固定资产投资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详细清单及有效发票凭证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、营业收入、验资报告、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开工实景照片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等相关证明材料；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.材料真实性申明（注明自身不是财政拨款单位的工作人员和项目投资方及相关人员）；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.其它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相关证明材料。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审核。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第三方审计机构对申报材料进行审计，区招商办及区财政局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申报材料和审计结果，提出补助方案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公示。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对拟奖励的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中介人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和奖励金额在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网站上进行公示，公示期为5个工作日。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兑现。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公示无异议后，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zh-CN"/>
        </w:rPr>
        <w:t>区财政局根据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bidi="zh-CN"/>
        </w:rPr>
        <w:t>公示结果报区分管领导及区招商委同意后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zh-CN"/>
        </w:rPr>
        <w:t>下文拨付补助资金。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、项目引荐管理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中介人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自主申报、审核确认的程序办理。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中介人和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所属招商工作组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对引荐项目实行全程跟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踪，做好服务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七、附则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）对申报过程中存在虚报、伪造证明材料行为的，一经查实，除追回奖励外，将追究申请人的法律责任。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 xml:space="preserve">（二）本办法自公布之日起实行，原《金东区第三方代理招商工作奖励办法（试行）》停止执行，引进项目为本办法实行后引进的项目，未尽事宜由区招商委办公室研究确定并负责解释。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附件：1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.金义新区招商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备案登记表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.金义新区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招商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引资中介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奖励申报表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                </w:t>
      </w: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pacing w:val="-20"/>
          <w:kern w:val="0"/>
          <w:sz w:val="44"/>
          <w:szCs w:val="44"/>
          <w:lang w:val="en-US" w:eastAsia="zh-CN"/>
        </w:rPr>
        <w:t>金义新区招商引资项目</w:t>
      </w:r>
      <w:r>
        <w:rPr>
          <w:rFonts w:hint="default" w:ascii="Times New Roman" w:hAnsi="Times New Roman" w:eastAsia="方正小标宋简体" w:cs="Times New Roman"/>
          <w:color w:val="auto"/>
          <w:spacing w:val="-20"/>
          <w:kern w:val="0"/>
          <w:sz w:val="44"/>
          <w:szCs w:val="44"/>
        </w:rPr>
        <w:t>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28"/>
          <w:szCs w:val="28"/>
          <w:lang w:val="en-US" w:eastAsia="zh-CN"/>
        </w:rPr>
        <w:t xml:space="preserve">                                                                     备案号：</w:t>
      </w:r>
    </w:p>
    <w:tbl>
      <w:tblPr>
        <w:tblStyle w:val="6"/>
        <w:tblpPr w:leftFromText="180" w:rightFromText="180" w:vertAnchor="text" w:horzAnchor="page" w:tblpX="1635" w:tblpY="281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028"/>
        <w:gridCol w:w="1326"/>
        <w:gridCol w:w="672"/>
        <w:gridCol w:w="56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中介人名称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统一社会信用代码（身份证号码）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拟投资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投资者名称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总投资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投资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联系人、联系方式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投资企业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（投资个人）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法人签字（盖章）：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项目所在地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年  月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区招商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工作委员会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年  月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区财政局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年  月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分管领导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sz w:val="28"/>
          <w:szCs w:val="28"/>
        </w:rPr>
        <w:t>注：此表一式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8"/>
          <w:szCs w:val="28"/>
        </w:rPr>
        <w:t>份，申请人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8"/>
          <w:szCs w:val="28"/>
          <w:lang w:val="en-US" w:eastAsia="zh-CN"/>
        </w:rPr>
        <w:t>区招商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8"/>
          <w:szCs w:val="28"/>
          <w:lang w:val="en-US" w:eastAsia="zh-CN"/>
        </w:rPr>
        <w:t>工作委员会办公室、财政局各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28"/>
          <w:szCs w:val="28"/>
        </w:rPr>
        <w:t>保留一份，盖章有效</w:t>
      </w:r>
      <w:r>
        <w:rPr>
          <w:rFonts w:hint="eastAsia" w:ascii="Times New Roman" w:hAnsi="Times New Roman" w:eastAsia="仿宋_GB2312" w:cs="Times New Roman"/>
          <w:color w:val="auto"/>
          <w:spacing w:val="-2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金义新区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招商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引资中介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奖励申报表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金额单位：万元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895"/>
        <w:gridCol w:w="1635"/>
        <w:gridCol w:w="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中介机构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经办人姓名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固定资产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当年投资额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固定资产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累计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投资额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项目地址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备案号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动工许可证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获得时间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（税后）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申请人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引进企业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法人签字（盖章）：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项目所在地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60" w:firstLineChars="1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负责人（盖章）：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年  月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区招商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委员会办公室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40" w:firstLineChars="1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负责人（盖章）：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年  月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区财政局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负责人（盖章）：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年  月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分管领导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区招商委</w:t>
            </w:r>
          </w:p>
        </w:tc>
        <w:tc>
          <w:tcPr>
            <w:tcW w:w="6616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firstLine="3080" w:firstLineChars="1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bidi="ar-SA"/>
              </w:rPr>
              <w:t> 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firstLine="2520" w:firstLine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bidi="ar-SA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bidi="ar-SA"/>
              </w:rPr>
              <w:t>： 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  月    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984" w:right="1587" w:bottom="1587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4" w:type="default"/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3F622"/>
    <w:multiLevelType w:val="singleLevel"/>
    <w:tmpl w:val="91B3F6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6A72DE"/>
    <w:multiLevelType w:val="singleLevel"/>
    <w:tmpl w:val="AC6A72D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32FEE"/>
    <w:rsid w:val="010A223C"/>
    <w:rsid w:val="02E53C82"/>
    <w:rsid w:val="04797DDD"/>
    <w:rsid w:val="047A72DD"/>
    <w:rsid w:val="05C96360"/>
    <w:rsid w:val="06437A01"/>
    <w:rsid w:val="07AF7778"/>
    <w:rsid w:val="08530145"/>
    <w:rsid w:val="09077C6D"/>
    <w:rsid w:val="09EF4B09"/>
    <w:rsid w:val="0BD36C2A"/>
    <w:rsid w:val="0D510913"/>
    <w:rsid w:val="0E1367A1"/>
    <w:rsid w:val="116629F9"/>
    <w:rsid w:val="137F6E10"/>
    <w:rsid w:val="150834C5"/>
    <w:rsid w:val="15121C05"/>
    <w:rsid w:val="15AF7316"/>
    <w:rsid w:val="15DF1E8B"/>
    <w:rsid w:val="18594DF5"/>
    <w:rsid w:val="189F5BAF"/>
    <w:rsid w:val="190502F1"/>
    <w:rsid w:val="196356E5"/>
    <w:rsid w:val="19F77EF1"/>
    <w:rsid w:val="1A2B0E3B"/>
    <w:rsid w:val="1C9E2FE3"/>
    <w:rsid w:val="1D231A4B"/>
    <w:rsid w:val="1D3D1AE2"/>
    <w:rsid w:val="1EE943C4"/>
    <w:rsid w:val="1F53157B"/>
    <w:rsid w:val="20966E7A"/>
    <w:rsid w:val="246527BF"/>
    <w:rsid w:val="247B65EF"/>
    <w:rsid w:val="265B5848"/>
    <w:rsid w:val="27AD4D9E"/>
    <w:rsid w:val="27ED48AF"/>
    <w:rsid w:val="28485FE4"/>
    <w:rsid w:val="29B754A9"/>
    <w:rsid w:val="2A36141B"/>
    <w:rsid w:val="2AD03218"/>
    <w:rsid w:val="2CEC76BA"/>
    <w:rsid w:val="31D86823"/>
    <w:rsid w:val="37835392"/>
    <w:rsid w:val="38207ACE"/>
    <w:rsid w:val="39FD419C"/>
    <w:rsid w:val="3C3B02ED"/>
    <w:rsid w:val="3CB9720A"/>
    <w:rsid w:val="3DAC0F88"/>
    <w:rsid w:val="400A6F12"/>
    <w:rsid w:val="4319476C"/>
    <w:rsid w:val="435151D7"/>
    <w:rsid w:val="439C4BB4"/>
    <w:rsid w:val="4588343A"/>
    <w:rsid w:val="45CC4F8B"/>
    <w:rsid w:val="47AF7E48"/>
    <w:rsid w:val="47B569C3"/>
    <w:rsid w:val="491330C0"/>
    <w:rsid w:val="498E54C4"/>
    <w:rsid w:val="49DF17AB"/>
    <w:rsid w:val="4A2C1B94"/>
    <w:rsid w:val="4B094D95"/>
    <w:rsid w:val="4B677B89"/>
    <w:rsid w:val="4C24120F"/>
    <w:rsid w:val="4CBE186E"/>
    <w:rsid w:val="4D223417"/>
    <w:rsid w:val="4D7123B3"/>
    <w:rsid w:val="4F996B1F"/>
    <w:rsid w:val="517054F2"/>
    <w:rsid w:val="51C24CBA"/>
    <w:rsid w:val="51DD56CF"/>
    <w:rsid w:val="522C6FD4"/>
    <w:rsid w:val="524D690E"/>
    <w:rsid w:val="52521701"/>
    <w:rsid w:val="52731E02"/>
    <w:rsid w:val="529E42CB"/>
    <w:rsid w:val="52EE13B7"/>
    <w:rsid w:val="53525CCE"/>
    <w:rsid w:val="5401195F"/>
    <w:rsid w:val="540D240E"/>
    <w:rsid w:val="59C32FEE"/>
    <w:rsid w:val="5AD522ED"/>
    <w:rsid w:val="5DA8399A"/>
    <w:rsid w:val="5FAB469A"/>
    <w:rsid w:val="63344334"/>
    <w:rsid w:val="64121DE3"/>
    <w:rsid w:val="643D577C"/>
    <w:rsid w:val="65D91C4A"/>
    <w:rsid w:val="66607E05"/>
    <w:rsid w:val="67437499"/>
    <w:rsid w:val="68A96638"/>
    <w:rsid w:val="6CF2420D"/>
    <w:rsid w:val="6D57533D"/>
    <w:rsid w:val="6FD30E56"/>
    <w:rsid w:val="71935CCF"/>
    <w:rsid w:val="71D26585"/>
    <w:rsid w:val="7344727E"/>
    <w:rsid w:val="742F1F8C"/>
    <w:rsid w:val="75BC2709"/>
    <w:rsid w:val="76033BE7"/>
    <w:rsid w:val="76244D3D"/>
    <w:rsid w:val="77BB776C"/>
    <w:rsid w:val="7A916275"/>
    <w:rsid w:val="7A9258D2"/>
    <w:rsid w:val="7B730F87"/>
    <w:rsid w:val="7C4146BD"/>
    <w:rsid w:val="7D592FCE"/>
    <w:rsid w:val="7E0205E2"/>
    <w:rsid w:val="7EA97A8F"/>
    <w:rsid w:val="7EAA34FA"/>
    <w:rsid w:val="7FE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  <w:ind w:left="120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2019-10-24T07:37:00Z</dcterms:created>
  <dc:creator>Nimo</dc:creator>
  <cp:lastModifiedBy>好魚游于海底</cp:lastModifiedBy>
  <cp:lastPrinted>2020-10-13T10:19:00Z</cp:lastPrinted>
  <dcterms:modified xsi:type="dcterms:W3CDTF">2020-11-18T05:04:59Z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