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406" w:rsidRDefault="00107406" w:rsidP="007475B5">
      <w:pPr>
        <w:spacing w:line="57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温州市农业农村局等</w:t>
      </w:r>
      <w:r>
        <w:rPr>
          <w:rFonts w:ascii="方正小标宋简体" w:eastAsia="方正小标宋简体" w:hAnsi="Calibri"/>
          <w:sz w:val="44"/>
          <w:szCs w:val="44"/>
        </w:rPr>
        <w:t>6</w:t>
      </w:r>
      <w:r>
        <w:rPr>
          <w:rFonts w:ascii="方正小标宋简体" w:eastAsia="方正小标宋简体" w:hAnsi="Calibri" w:hint="eastAsia"/>
          <w:sz w:val="44"/>
          <w:szCs w:val="44"/>
        </w:rPr>
        <w:t>部门关于加快推进</w:t>
      </w:r>
    </w:p>
    <w:p w:rsidR="00107406" w:rsidRDefault="00107406">
      <w:pPr>
        <w:spacing w:line="66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废旧农膜回收处理工作的意见</w:t>
      </w:r>
    </w:p>
    <w:p w:rsidR="00107406" w:rsidRDefault="00107406">
      <w:pPr>
        <w:tabs>
          <w:tab w:val="left" w:pos="1280"/>
        </w:tabs>
        <w:spacing w:line="660" w:lineRule="exact"/>
        <w:jc w:val="center"/>
        <w:rPr>
          <w:rFonts w:ascii="楷体_GB2312" w:eastAsia="楷体_GB2312" w:hAnsi="楷体_GB2312" w:cs="楷体_GB2312"/>
          <w:kern w:val="0"/>
          <w:szCs w:val="32"/>
        </w:rPr>
      </w:pPr>
      <w:r>
        <w:rPr>
          <w:rFonts w:ascii="楷体_GB2312" w:eastAsia="楷体_GB2312" w:hAnsi="楷体_GB2312" w:cs="楷体_GB2312" w:hint="eastAsia"/>
          <w:szCs w:val="32"/>
        </w:rPr>
        <w:t>（征求意见稿）</w:t>
      </w:r>
    </w:p>
    <w:p w:rsidR="00107406" w:rsidRDefault="00107406" w:rsidP="007475B5">
      <w:pPr>
        <w:spacing w:line="560" w:lineRule="exact"/>
        <w:ind w:firstLineChars="200" w:firstLine="31680"/>
        <w:rPr>
          <w:rFonts w:ascii="仿宋_GB2312" w:eastAsia="仿宋_GB2312" w:hAnsi="仿宋_GB2312" w:cs="仿宋_GB2312"/>
          <w:color w:val="FF0000"/>
        </w:rPr>
      </w:pPr>
    </w:p>
    <w:p w:rsidR="00107406" w:rsidRDefault="00107406" w:rsidP="007475B5">
      <w:pPr>
        <w:spacing w:line="560" w:lineRule="exact"/>
        <w:ind w:firstLineChars="200" w:firstLine="31680"/>
        <w:rPr>
          <w:rFonts w:ascii="仿宋_GB2312" w:eastAsia="仿宋_GB2312" w:hAnsi="仿宋_GB2312" w:cs="仿宋_GB2312"/>
          <w:bCs/>
        </w:rPr>
      </w:pPr>
      <w:r>
        <w:rPr>
          <w:rFonts w:ascii="仿宋_GB2312" w:eastAsia="仿宋_GB2312" w:hAnsi="仿宋_GB2312" w:cs="仿宋_GB2312" w:hint="eastAsia"/>
          <w:color w:val="000000"/>
          <w:szCs w:val="32"/>
        </w:rPr>
        <w:t>为</w:t>
      </w:r>
      <w:r>
        <w:rPr>
          <w:rFonts w:ascii="仿宋_GB2312" w:eastAsia="仿宋_GB2312" w:hAnsi="仿宋_GB2312" w:cs="仿宋_GB2312" w:hint="eastAsia"/>
          <w:bCs/>
        </w:rPr>
        <w:t>深入贯彻习近平生态文明思想，</w:t>
      </w:r>
      <w:r>
        <w:rPr>
          <w:rFonts w:ascii="仿宋_GB2312" w:eastAsia="仿宋_GB2312" w:hAnsi="仿宋_GB2312" w:cs="仿宋_GB2312" w:hint="eastAsia"/>
          <w:color w:val="000000"/>
          <w:szCs w:val="32"/>
        </w:rPr>
        <w:t>进一步加强废旧农膜污染防治，促进农业绿色发展，切实改善农业农村生态环境，推进美丽田园创建和全域“无废城市”建设，根据《关于再创体制机制新优势高水平推进农业绿色的实施意见》（浙委办发</w:t>
      </w:r>
      <w:r>
        <w:rPr>
          <w:rStyle w:val="fontstyle01"/>
          <w:rFonts w:ascii="仿宋_GB2312" w:eastAsia="仿宋_GB2312" w:hAnsi="仿宋_GB2312" w:cs="仿宋_GB2312" w:hint="eastAsia"/>
          <w:szCs w:val="32"/>
        </w:rPr>
        <w:t>〔</w:t>
      </w:r>
      <w:r>
        <w:rPr>
          <w:rFonts w:ascii="仿宋_GB2312" w:eastAsia="仿宋_GB2312" w:hAnsi="仿宋_GB2312" w:cs="仿宋_GB2312"/>
          <w:color w:val="000000"/>
          <w:szCs w:val="32"/>
        </w:rPr>
        <w:t>2018</w:t>
      </w:r>
      <w:r>
        <w:rPr>
          <w:rStyle w:val="fontstyle01"/>
          <w:rFonts w:ascii="仿宋_GB2312" w:eastAsia="仿宋_GB2312" w:hAnsi="仿宋_GB2312" w:cs="仿宋_GB2312" w:hint="eastAsia"/>
          <w:szCs w:val="32"/>
        </w:rPr>
        <w:t>〕</w:t>
      </w:r>
      <w:r>
        <w:rPr>
          <w:rFonts w:ascii="仿宋_GB2312" w:eastAsia="仿宋_GB2312" w:hAnsi="仿宋_GB2312" w:cs="仿宋_GB2312"/>
          <w:color w:val="000000"/>
          <w:szCs w:val="32"/>
        </w:rPr>
        <w:t>64</w:t>
      </w:r>
      <w:r>
        <w:rPr>
          <w:rFonts w:ascii="仿宋_GB2312" w:eastAsia="仿宋_GB2312" w:hAnsi="仿宋_GB2312" w:cs="仿宋_GB2312" w:hint="eastAsia"/>
          <w:color w:val="000000"/>
          <w:szCs w:val="32"/>
        </w:rPr>
        <w:t>号）、《财政部农业部关于印发建立以绿色生态为导向的农业补贴制度改革方案》和《浙江省农业农村厅等</w:t>
      </w:r>
      <w:r>
        <w:rPr>
          <w:rFonts w:ascii="仿宋_GB2312" w:eastAsia="仿宋_GB2312" w:hAnsi="仿宋_GB2312" w:cs="仿宋_GB2312"/>
          <w:color w:val="000000"/>
          <w:szCs w:val="32"/>
        </w:rPr>
        <w:t>4</w:t>
      </w:r>
      <w:r>
        <w:rPr>
          <w:rFonts w:ascii="仿宋_GB2312" w:eastAsia="仿宋_GB2312" w:hAnsi="仿宋_GB2312" w:cs="仿宋_GB2312" w:hint="eastAsia"/>
          <w:color w:val="000000"/>
          <w:szCs w:val="32"/>
        </w:rPr>
        <w:t>部门关于加快推进废旧农膜回收处理工作的意见》（浙农科发</w:t>
      </w:r>
      <w:r>
        <w:rPr>
          <w:rStyle w:val="fontstyle01"/>
          <w:rFonts w:ascii="仿宋_GB2312" w:eastAsia="仿宋_GB2312" w:hAnsi="仿宋_GB2312" w:cs="仿宋_GB2312" w:hint="eastAsia"/>
          <w:szCs w:val="32"/>
        </w:rPr>
        <w:t>〔</w:t>
      </w:r>
      <w:r>
        <w:rPr>
          <w:rFonts w:ascii="仿宋_GB2312" w:eastAsia="仿宋_GB2312" w:hAnsi="仿宋_GB2312" w:cs="仿宋_GB2312"/>
          <w:color w:val="000000"/>
          <w:szCs w:val="32"/>
        </w:rPr>
        <w:t>2019</w:t>
      </w:r>
      <w:r>
        <w:rPr>
          <w:rStyle w:val="fontstyle01"/>
          <w:rFonts w:ascii="仿宋_GB2312" w:eastAsia="仿宋_GB2312" w:hAnsi="仿宋_GB2312" w:cs="仿宋_GB2312" w:hint="eastAsia"/>
          <w:szCs w:val="32"/>
        </w:rPr>
        <w:t>〕</w:t>
      </w:r>
      <w:r>
        <w:rPr>
          <w:rFonts w:ascii="仿宋_GB2312" w:eastAsia="仿宋_GB2312" w:hAnsi="仿宋_GB2312" w:cs="仿宋_GB2312"/>
          <w:color w:val="000000"/>
          <w:szCs w:val="32"/>
        </w:rPr>
        <w:t>19</w:t>
      </w:r>
      <w:r>
        <w:rPr>
          <w:rFonts w:ascii="仿宋_GB2312" w:eastAsia="仿宋_GB2312" w:hAnsi="仿宋_GB2312" w:cs="仿宋_GB2312" w:hint="eastAsia"/>
          <w:color w:val="000000"/>
          <w:szCs w:val="32"/>
        </w:rPr>
        <w:t>号）等有关文件精神</w:t>
      </w:r>
      <w:r>
        <w:rPr>
          <w:rStyle w:val="fontstyle01"/>
          <w:rFonts w:ascii="仿宋_GB2312" w:eastAsia="仿宋_GB2312" w:hAnsi="仿宋_GB2312" w:cs="仿宋_GB2312" w:hint="eastAsia"/>
          <w:szCs w:val="32"/>
        </w:rPr>
        <w:t>，结合我市实际，现就加快推进我市</w:t>
      </w:r>
      <w:r>
        <w:rPr>
          <w:rFonts w:ascii="仿宋_GB2312" w:eastAsia="仿宋_GB2312" w:hAnsi="仿宋_GB2312" w:cs="仿宋_GB2312" w:hint="eastAsia"/>
          <w:color w:val="000000"/>
          <w:szCs w:val="32"/>
        </w:rPr>
        <w:t>废旧农膜回收处理工作提出如下意见：</w:t>
      </w:r>
    </w:p>
    <w:p w:rsidR="00107406" w:rsidRDefault="00107406" w:rsidP="007475B5">
      <w:pPr>
        <w:spacing w:line="560" w:lineRule="exact"/>
        <w:ind w:firstLineChars="200" w:firstLine="31680"/>
        <w:rPr>
          <w:rFonts w:ascii="黑体" w:eastAsia="黑体" w:hAnsi="黑体" w:cs="黑体"/>
          <w:bCs/>
        </w:rPr>
      </w:pPr>
      <w:r>
        <w:rPr>
          <w:rFonts w:ascii="黑体" w:eastAsia="黑体" w:hAnsi="黑体" w:cs="黑体" w:hint="eastAsia"/>
          <w:bCs/>
        </w:rPr>
        <w:t>一、重要意义</w:t>
      </w:r>
    </w:p>
    <w:p w:rsidR="00107406" w:rsidRDefault="00107406" w:rsidP="007475B5">
      <w:pPr>
        <w:spacing w:line="560" w:lineRule="exact"/>
        <w:ind w:firstLineChars="200" w:firstLine="3168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农膜是重要的农业生产资料，为农业增效、农民增收发挥了重要作用。但随着设施农业加快发展，农膜使用量和使用年限不断增加，一旦废旧农膜大量弃留在土壤中或者随意丢弃，虽经多年仍难充分降解，将造成农业白色污染、水资源污染和食用农产品污染。在新形势下，加强废旧农膜有效回收利用，对于打好污染防治攻坚战、促进农业绿色发展、推进美丽田园创建、建设生态宜居的美丽乡村都具有重要意义。</w:t>
      </w:r>
    </w:p>
    <w:p w:rsidR="00107406" w:rsidRDefault="00107406" w:rsidP="007475B5">
      <w:pPr>
        <w:spacing w:line="560" w:lineRule="exact"/>
        <w:ind w:firstLineChars="200" w:firstLine="31680"/>
        <w:rPr>
          <w:rFonts w:ascii="黑体" w:eastAsia="黑体" w:hAnsi="黑体" w:cs="黑体"/>
          <w:bCs/>
        </w:rPr>
      </w:pPr>
      <w:r>
        <w:rPr>
          <w:rFonts w:ascii="黑体" w:eastAsia="黑体" w:hAnsi="黑体" w:cs="黑体" w:hint="eastAsia"/>
          <w:bCs/>
        </w:rPr>
        <w:t>二、总体要求</w:t>
      </w:r>
    </w:p>
    <w:p w:rsidR="00107406" w:rsidRDefault="00107406" w:rsidP="007475B5">
      <w:pPr>
        <w:spacing w:line="560" w:lineRule="exact"/>
        <w:ind w:firstLineChars="200" w:firstLine="31680"/>
        <w:rPr>
          <w:rFonts w:ascii="仿宋_GB2312" w:eastAsia="仿宋_GB2312" w:hAnsi="仿宋_GB2312" w:cs="仿宋_GB2312"/>
          <w:bCs/>
        </w:rPr>
      </w:pPr>
      <w:r>
        <w:rPr>
          <w:rFonts w:ascii="仿宋_GB2312" w:eastAsia="仿宋_GB2312" w:hAnsi="仿宋_GB2312" w:cs="仿宋_GB2312" w:hint="eastAsia"/>
          <w:bCs/>
        </w:rPr>
        <w:t>深入贯彻绿色发展理念，坚持政府引导、市场主导、属地管理原则，按照“减量化、资源化、无害化”要求，以提高废旧农膜回收处理（利用）率为目标，积极构建由政府、农户、企业、社会共同参与的废旧农膜回收利用体系和“使用者归集、分类处理、政府扶持与市场化运作相结合”的长效机制，加快</w:t>
      </w:r>
      <w:r>
        <w:rPr>
          <w:rFonts w:ascii="仿宋_GB2312" w:eastAsia="仿宋_GB2312" w:hAnsi="仿宋_GB2312" w:cs="仿宋_GB2312" w:hint="eastAsia"/>
          <w:color w:val="000000"/>
          <w:szCs w:val="32"/>
        </w:rPr>
        <w:t>推进美丽田园创建和全域“无废城市”建设</w:t>
      </w:r>
      <w:r>
        <w:rPr>
          <w:rFonts w:ascii="仿宋_GB2312" w:eastAsia="仿宋_GB2312" w:hAnsi="仿宋_GB2312" w:cs="仿宋_GB2312" w:hint="eastAsia"/>
          <w:bCs/>
        </w:rPr>
        <w:t>。到</w:t>
      </w:r>
      <w:r>
        <w:rPr>
          <w:rFonts w:ascii="仿宋_GB2312" w:eastAsia="仿宋_GB2312" w:hAnsi="仿宋_GB2312" w:cs="仿宋_GB2312"/>
          <w:bCs/>
        </w:rPr>
        <w:t>2020</w:t>
      </w:r>
      <w:r>
        <w:rPr>
          <w:rFonts w:ascii="仿宋_GB2312" w:eastAsia="仿宋_GB2312" w:hAnsi="仿宋_GB2312" w:cs="仿宋_GB2312" w:hint="eastAsia"/>
          <w:bCs/>
        </w:rPr>
        <w:t>年底，全市废旧农膜回收处理率达到</w:t>
      </w:r>
      <w:r>
        <w:rPr>
          <w:rFonts w:ascii="仿宋_GB2312" w:eastAsia="仿宋_GB2312" w:hAnsi="仿宋_GB2312" w:cs="仿宋_GB2312"/>
          <w:bCs/>
        </w:rPr>
        <w:t>90%</w:t>
      </w:r>
      <w:r>
        <w:rPr>
          <w:rFonts w:ascii="仿宋_GB2312" w:eastAsia="仿宋_GB2312" w:hAnsi="仿宋_GB2312" w:cs="仿宋_GB2312" w:hint="eastAsia"/>
          <w:bCs/>
        </w:rPr>
        <w:t>以上，基本实现废旧农膜回收利用或无害化处理。</w:t>
      </w:r>
    </w:p>
    <w:p w:rsidR="00107406" w:rsidRDefault="00107406" w:rsidP="007475B5">
      <w:pPr>
        <w:spacing w:line="560" w:lineRule="exact"/>
        <w:ind w:firstLineChars="200" w:firstLine="31680"/>
        <w:rPr>
          <w:rFonts w:ascii="仿宋_GB2312" w:eastAsia="仿宋_GB2312" w:hAnsi="仿宋_GB2312" w:cs="仿宋_GB2312"/>
          <w:bCs/>
        </w:rPr>
      </w:pPr>
      <w:r>
        <w:rPr>
          <w:rFonts w:ascii="仿宋_GB2312" w:eastAsia="仿宋_GB2312" w:hAnsi="仿宋_GB2312" w:cs="仿宋_GB2312"/>
          <w:bCs/>
        </w:rPr>
        <w:t>2020</w:t>
      </w:r>
      <w:r>
        <w:rPr>
          <w:rFonts w:ascii="仿宋_GB2312" w:eastAsia="仿宋_GB2312" w:hAnsi="仿宋_GB2312" w:cs="仿宋_GB2312" w:hint="eastAsia"/>
          <w:bCs/>
        </w:rPr>
        <w:t>年进度要求：</w:t>
      </w:r>
      <w:r>
        <w:rPr>
          <w:rFonts w:ascii="仿宋_GB2312" w:eastAsia="仿宋_GB2312" w:hAnsi="仿宋_GB2312" w:cs="仿宋_GB2312"/>
          <w:bCs/>
        </w:rPr>
        <w:t>6</w:t>
      </w:r>
      <w:r>
        <w:rPr>
          <w:rFonts w:ascii="仿宋_GB2312" w:eastAsia="仿宋_GB2312" w:hAnsi="仿宋_GB2312" w:cs="仿宋_GB2312" w:hint="eastAsia"/>
          <w:bCs/>
        </w:rPr>
        <w:t>月底前，强化将废旧农膜纳入农资包装废弃物回收体系、不可回收的部分纳入农村生活垃圾处理体系，落实末端处理，进行无害化处理；</w:t>
      </w:r>
      <w:r>
        <w:rPr>
          <w:rFonts w:ascii="仿宋_GB2312" w:eastAsia="仿宋_GB2312" w:hAnsi="仿宋_GB2312" w:cs="仿宋_GB2312"/>
          <w:bCs/>
        </w:rPr>
        <w:t>9</w:t>
      </w:r>
      <w:r>
        <w:rPr>
          <w:rFonts w:ascii="仿宋_GB2312" w:eastAsia="仿宋_GB2312" w:hAnsi="仿宋_GB2312" w:cs="仿宋_GB2312" w:hint="eastAsia"/>
          <w:bCs/>
        </w:rPr>
        <w:t>月底，力争地膜回收处理机制全覆盖；</w:t>
      </w:r>
      <w:r>
        <w:rPr>
          <w:rFonts w:ascii="仿宋_GB2312" w:eastAsia="仿宋_GB2312" w:hAnsi="仿宋_GB2312" w:cs="仿宋_GB2312"/>
          <w:bCs/>
        </w:rPr>
        <w:t>12</w:t>
      </w:r>
      <w:r>
        <w:rPr>
          <w:rFonts w:ascii="仿宋_GB2312" w:eastAsia="仿宋_GB2312" w:hAnsi="仿宋_GB2312" w:cs="仿宋_GB2312" w:hint="eastAsia"/>
          <w:bCs/>
        </w:rPr>
        <w:t>月底，全市废旧农膜回收处理率达到</w:t>
      </w:r>
      <w:r>
        <w:rPr>
          <w:rFonts w:ascii="仿宋_GB2312" w:eastAsia="仿宋_GB2312" w:hAnsi="仿宋_GB2312" w:cs="仿宋_GB2312"/>
          <w:bCs/>
        </w:rPr>
        <w:t>90%</w:t>
      </w:r>
      <w:r>
        <w:rPr>
          <w:rFonts w:ascii="仿宋_GB2312" w:eastAsia="仿宋_GB2312" w:hAnsi="仿宋_GB2312" w:cs="仿宋_GB2312" w:hint="eastAsia"/>
          <w:bCs/>
        </w:rPr>
        <w:t>以上，基本实现废旧农膜回收利用或无害化处理。</w:t>
      </w:r>
    </w:p>
    <w:p w:rsidR="00107406" w:rsidRDefault="00107406" w:rsidP="007475B5">
      <w:pPr>
        <w:spacing w:line="560" w:lineRule="exact"/>
        <w:ind w:firstLineChars="200" w:firstLine="31680"/>
        <w:rPr>
          <w:rFonts w:ascii="黑体" w:eastAsia="黑体" w:hAnsi="黑体" w:cs="黑体"/>
          <w:bCs/>
        </w:rPr>
      </w:pPr>
      <w:r>
        <w:rPr>
          <w:rFonts w:ascii="黑体" w:eastAsia="黑体" w:hAnsi="黑体" w:cs="黑体" w:hint="eastAsia"/>
          <w:bCs/>
        </w:rPr>
        <w:t>三、主要任务</w:t>
      </w:r>
    </w:p>
    <w:p w:rsidR="00107406" w:rsidRDefault="00107406" w:rsidP="007475B5">
      <w:pPr>
        <w:spacing w:line="560" w:lineRule="exact"/>
        <w:ind w:firstLineChars="200" w:firstLine="31680"/>
        <w:rPr>
          <w:rFonts w:ascii="楷体_GB2312" w:eastAsia="楷体_GB2312" w:hAnsi="楷体_GB2312" w:cs="楷体_GB2312"/>
          <w:spacing w:val="-2"/>
          <w:szCs w:val="32"/>
        </w:rPr>
      </w:pPr>
      <w:r>
        <w:rPr>
          <w:rFonts w:ascii="楷体_GB2312" w:eastAsia="楷体_GB2312" w:hAnsi="楷体_GB2312" w:cs="楷体_GB2312" w:hint="eastAsia"/>
          <w:spacing w:val="-2"/>
          <w:szCs w:val="32"/>
        </w:rPr>
        <w:t>（一）压实主体责任。</w:t>
      </w:r>
      <w:r>
        <w:rPr>
          <w:rFonts w:ascii="仿宋_GB2312" w:eastAsia="仿宋_GB2312" w:hAnsi="仿宋_GB2312" w:cs="仿宋_GB2312" w:hint="eastAsia"/>
          <w:bCs/>
        </w:rPr>
        <w:t>按照《中华人民共和国固体废物污染环境防治法》有关规定，坚持“谁使用、谁回收”的原则，使用者是废旧农膜归集回收的责任主体，应将废弃农膜及时捡拾归集、定点堆放，不得弃留在土壤中或者随意丢弃。对于无利用价值的废旧农膜，纳入农村生活垃圾处理体系，村级组织督促使用者捡拾、归集废旧农膜。根据我市农业生产实际，废旧农膜回收处理范围主要包括用于农业生产的废旧棚膜、地膜、菌棒膜。有条件的县（市、区）可以将营养钵、育苗盘、遮阳网、防虫网等农业投入品废弃物纳入回收处理范围。</w:t>
      </w:r>
      <w:r>
        <w:rPr>
          <w:rFonts w:ascii="楷体_GB2312" w:eastAsia="楷体_GB2312" w:hAnsi="楷体_GB2312" w:cs="楷体_GB2312" w:hint="eastAsia"/>
          <w:spacing w:val="-2"/>
          <w:szCs w:val="32"/>
        </w:rPr>
        <w:t>（市级牵头单位：市农业农村局、市生态环境局）</w:t>
      </w:r>
    </w:p>
    <w:p w:rsidR="00107406" w:rsidRDefault="00107406" w:rsidP="007475B5">
      <w:pPr>
        <w:spacing w:line="560" w:lineRule="exact"/>
        <w:ind w:firstLineChars="200" w:firstLine="31680"/>
        <w:rPr>
          <w:rFonts w:ascii="楷体_GB2312" w:eastAsia="楷体_GB2312" w:hAnsi="楷体_GB2312" w:cs="楷体_GB2312"/>
          <w:spacing w:val="-2"/>
          <w:szCs w:val="32"/>
        </w:rPr>
      </w:pPr>
      <w:r>
        <w:rPr>
          <w:rFonts w:ascii="楷体_GB2312" w:eastAsia="楷体_GB2312" w:hAnsi="楷体_GB2312" w:cs="楷体_GB2312" w:hint="eastAsia"/>
          <w:spacing w:val="-2"/>
          <w:szCs w:val="32"/>
        </w:rPr>
        <w:t>（二）构建回收体系。</w:t>
      </w:r>
      <w:r>
        <w:rPr>
          <w:rFonts w:ascii="仿宋_GB2312" w:eastAsia="仿宋_GB2312" w:hAnsi="仿宋_GB2312" w:cs="仿宋_GB2312" w:hint="eastAsia"/>
          <w:bCs/>
        </w:rPr>
        <w:t>各县（市、区）结合各地实际，建立县级归集、网点回收、使用者捡拾的废旧农膜回收和储运体系，纳入美丽田园创建内容。按照废旧农膜的功能、材质和再利用价值，分别采取适宜的回收利用方式。对于具有二次利用价值的废旧棚膜、菌棒膜等，纳入各县（市、区）再生资源回收系统实行市场化运作。对于无利用价值的废旧地膜等，作为其它垃圾纳入农村生活垃圾处理体系。每个县（市、区）确定</w:t>
      </w:r>
      <w:r>
        <w:rPr>
          <w:rFonts w:ascii="仿宋_GB2312" w:eastAsia="仿宋_GB2312" w:hAnsi="仿宋_GB2312" w:cs="仿宋_GB2312"/>
          <w:bCs/>
        </w:rPr>
        <w:t>1-2</w:t>
      </w:r>
      <w:r>
        <w:rPr>
          <w:rFonts w:ascii="仿宋_GB2312" w:eastAsia="仿宋_GB2312" w:hAnsi="仿宋_GB2312" w:cs="仿宋_GB2312" w:hint="eastAsia"/>
          <w:bCs/>
        </w:rPr>
        <w:t>家废旧农膜的归集单位，负责废旧农膜的回收和暂存。各乡镇（街道）合理布局废旧农膜回收网点，负责回收农户（农业主体）捡拾的废旧农膜。回收网点应当建立完整、准确的废旧农膜回收记录台帐，并确保回收的农膜符合管理要求。归集单位要定期收集、过磅计量和清运回收网点废旧农膜，并设立符合条件的场地对废旧农膜进行暂存。</w:t>
      </w:r>
      <w:r>
        <w:rPr>
          <w:rFonts w:ascii="楷体_GB2312" w:eastAsia="楷体_GB2312" w:hAnsi="楷体_GB2312" w:cs="楷体_GB2312" w:hint="eastAsia"/>
          <w:spacing w:val="-2"/>
          <w:szCs w:val="32"/>
        </w:rPr>
        <w:t>（市级牵头单位：市农业农村局、市综合行政执法局、市供销社）</w:t>
      </w:r>
    </w:p>
    <w:p w:rsidR="00107406" w:rsidRDefault="00107406" w:rsidP="007475B5">
      <w:pPr>
        <w:spacing w:line="560" w:lineRule="exact"/>
        <w:ind w:firstLineChars="200" w:firstLine="31680"/>
        <w:rPr>
          <w:rFonts w:ascii="仿宋_GB2312" w:eastAsia="仿宋_GB2312" w:hAnsi="仿宋_GB2312" w:cs="仿宋_GB2312"/>
          <w:bCs/>
        </w:rPr>
      </w:pPr>
      <w:r>
        <w:rPr>
          <w:rFonts w:ascii="楷体_GB2312" w:eastAsia="楷体_GB2312" w:hAnsi="楷体_GB2312" w:cs="楷体_GB2312" w:hint="eastAsia"/>
          <w:spacing w:val="-2"/>
          <w:szCs w:val="32"/>
        </w:rPr>
        <w:t>（三）落实无害化处理。</w:t>
      </w:r>
      <w:r>
        <w:rPr>
          <w:rFonts w:ascii="仿宋_GB2312" w:eastAsia="仿宋_GB2312" w:hAnsi="仿宋_GB2312" w:cs="仿宋_GB2312" w:hint="eastAsia"/>
          <w:bCs/>
        </w:rPr>
        <w:t>对于纳入农村生活垃圾处理体系的废旧地膜等，要落实末端无害化处理。有多余生活垃圾焚烧能力的，实施焚烧处理；没有多余焚烧能力的，应采取其他无害化处理方式，并落实无害化处理的监管。</w:t>
      </w:r>
      <w:r>
        <w:rPr>
          <w:rFonts w:ascii="楷体_GB2312" w:eastAsia="楷体_GB2312" w:hAnsi="楷体_GB2312" w:cs="楷体_GB2312" w:hint="eastAsia"/>
          <w:spacing w:val="-2"/>
          <w:szCs w:val="32"/>
        </w:rPr>
        <w:t>（市级牵头单位：市综合行政执法局、市生态环境局）</w:t>
      </w:r>
    </w:p>
    <w:p w:rsidR="00107406" w:rsidRDefault="00107406" w:rsidP="007475B5">
      <w:pPr>
        <w:spacing w:line="560" w:lineRule="exact"/>
        <w:ind w:firstLineChars="200" w:firstLine="31680"/>
        <w:rPr>
          <w:rFonts w:ascii="仿宋_GB2312" w:eastAsia="仿宋_GB2312" w:hAnsi="仿宋_GB2312" w:cs="仿宋_GB2312"/>
          <w:bCs/>
        </w:rPr>
      </w:pPr>
      <w:r>
        <w:rPr>
          <w:rFonts w:ascii="楷体_GB2312" w:eastAsia="楷体_GB2312" w:hAnsi="楷体_GB2312" w:cs="楷体_GB2312" w:hint="eastAsia"/>
          <w:spacing w:val="-2"/>
          <w:szCs w:val="32"/>
        </w:rPr>
        <w:t>（四）加强市场监管。</w:t>
      </w:r>
      <w:r>
        <w:rPr>
          <w:rFonts w:ascii="仿宋_GB2312" w:eastAsia="仿宋_GB2312" w:hAnsi="仿宋_GB2312" w:cs="仿宋_GB2312" w:hint="eastAsia"/>
          <w:bCs/>
        </w:rPr>
        <w:t>各地要严格执行国家强制性标准《聚乙烯吹塑农用地面覆盖薄膜》（</w:t>
      </w:r>
      <w:r>
        <w:rPr>
          <w:rFonts w:ascii="仿宋_GB2312" w:eastAsia="仿宋_GB2312" w:hAnsi="仿宋_GB2312" w:cs="仿宋_GB2312"/>
          <w:bCs/>
        </w:rPr>
        <w:t>GB13735-2017</w:t>
      </w:r>
      <w:r>
        <w:rPr>
          <w:rFonts w:ascii="仿宋_GB2312" w:eastAsia="仿宋_GB2312" w:hAnsi="仿宋_GB2312" w:cs="仿宋_GB2312" w:hint="eastAsia"/>
          <w:bCs/>
        </w:rPr>
        <w:t>），严禁生产、销售厚度在</w:t>
      </w:r>
      <w:r>
        <w:rPr>
          <w:rFonts w:ascii="仿宋_GB2312" w:eastAsia="仿宋_GB2312" w:hAnsi="仿宋_GB2312" w:cs="仿宋_GB2312"/>
          <w:bCs/>
        </w:rPr>
        <w:t>0.0lmm</w:t>
      </w:r>
      <w:r>
        <w:rPr>
          <w:rFonts w:ascii="仿宋_GB2312" w:eastAsia="仿宋_GB2312" w:hAnsi="仿宋_GB2312" w:cs="仿宋_GB2312" w:hint="eastAsia"/>
          <w:bCs/>
        </w:rPr>
        <w:t>以下的地膜，从源头上保障地膜的可回收性。要加大对生产流通领域地膜产品贯标执行情况的检查力度，严厉查处生产、销售、使用不达标地膜产品行为。对农膜生产者、销售者进行有效监督引导，确保辖区内废旧农膜回收利用目标任务有效落实。</w:t>
      </w:r>
      <w:r>
        <w:rPr>
          <w:rFonts w:ascii="楷体_GB2312" w:eastAsia="楷体_GB2312" w:hAnsi="楷体_GB2312" w:cs="楷体_GB2312" w:hint="eastAsia"/>
          <w:spacing w:val="-2"/>
          <w:szCs w:val="32"/>
        </w:rPr>
        <w:t>（市级牵头单位：市市场监管局、市生态环境局）</w:t>
      </w:r>
    </w:p>
    <w:p w:rsidR="00107406" w:rsidRDefault="00107406" w:rsidP="007475B5">
      <w:pPr>
        <w:spacing w:line="560" w:lineRule="exact"/>
        <w:ind w:firstLineChars="200" w:firstLine="31680"/>
        <w:rPr>
          <w:rFonts w:ascii="仿宋_GB2312" w:eastAsia="仿宋_GB2312" w:hAnsi="仿宋_GB2312" w:cs="仿宋_GB2312"/>
          <w:bCs/>
        </w:rPr>
      </w:pPr>
      <w:r>
        <w:rPr>
          <w:rFonts w:ascii="楷体_GB2312" w:eastAsia="楷体_GB2312" w:hAnsi="楷体_GB2312" w:cs="楷体_GB2312" w:hint="eastAsia"/>
          <w:spacing w:val="-2"/>
          <w:szCs w:val="32"/>
        </w:rPr>
        <w:t>（五）引导规范使用。</w:t>
      </w:r>
      <w:r>
        <w:rPr>
          <w:rFonts w:ascii="仿宋_GB2312" w:eastAsia="仿宋_GB2312" w:hAnsi="仿宋_GB2312" w:cs="仿宋_GB2312" w:hint="eastAsia"/>
          <w:bCs/>
        </w:rPr>
        <w:t>各地要以蔬菜、瓜果、食用菌、花卉等为重点作物，明确单位、落实专人开展地膜使用的普查和原位监测，及时掌握农膜使用及地膜残留情况，为农膜回收利用工作奠定坚实基础。要加大农膜回收利用新技术、新产品、新装备、新模式的示范力度。农业龙头企业、家庭农场、农民合作社等新型农业经营主体带头应用符合强制性国家标准的地膜产品，鼓励和引导其使用生物可降解产品，多途径提高废旧农膜的可回收性。大力开展农膜覆盖技术指导，推广一膜多用、行间覆盖、</w:t>
      </w:r>
      <w:r>
        <w:rPr>
          <w:rFonts w:ascii="仿宋_GB2312" w:eastAsia="仿宋_GB2312" w:hAnsi="仿宋_GB2312" w:cs="仿宋_GB2312" w:hint="eastAsia"/>
          <w:szCs w:val="32"/>
        </w:rPr>
        <w:t>机械拾膜</w:t>
      </w:r>
      <w:r>
        <w:rPr>
          <w:rFonts w:ascii="仿宋_GB2312" w:eastAsia="仿宋_GB2312" w:hAnsi="仿宋_GB2312" w:cs="仿宋_GB2312" w:hint="eastAsia"/>
          <w:bCs/>
        </w:rPr>
        <w:t>等技术，减少农膜投入与损耗，提高农膜利用率。</w:t>
      </w:r>
      <w:r>
        <w:rPr>
          <w:rFonts w:ascii="仿宋_GB2312" w:eastAsia="仿宋_GB2312" w:hAnsi="仿宋_GB2312" w:cs="仿宋_GB2312" w:hint="eastAsia"/>
          <w:szCs w:val="32"/>
        </w:rPr>
        <w:t>有条件的地区，将地膜回收作为生产全程机械化的必要环节，全面推进机械化回收。</w:t>
      </w:r>
      <w:r>
        <w:rPr>
          <w:rFonts w:ascii="仿宋_GB2312" w:eastAsia="仿宋_GB2312" w:hAnsi="仿宋_GB2312" w:cs="仿宋_GB2312" w:hint="eastAsia"/>
          <w:bCs/>
        </w:rPr>
        <w:t>推广平阳县农资包装废弃物统一回收和集中无害化处理机制，支持农业废弃物回收处理与农业扶持政策、各类先进、荣誉等挂钩制度。</w:t>
      </w:r>
      <w:r>
        <w:rPr>
          <w:rFonts w:ascii="楷体_GB2312" w:eastAsia="楷体_GB2312" w:hAnsi="楷体_GB2312" w:cs="楷体_GB2312" w:hint="eastAsia"/>
          <w:spacing w:val="-2"/>
          <w:szCs w:val="32"/>
        </w:rPr>
        <w:t>（市级牵头单位：市农业农村局、市生态环境局）</w:t>
      </w:r>
    </w:p>
    <w:p w:rsidR="00107406" w:rsidRDefault="00107406" w:rsidP="007475B5">
      <w:pPr>
        <w:spacing w:line="560" w:lineRule="exact"/>
        <w:ind w:firstLineChars="200" w:firstLine="31680"/>
        <w:rPr>
          <w:rFonts w:ascii="仿宋_GB2312" w:eastAsia="仿宋_GB2312" w:hAnsi="仿宋_GB2312" w:cs="仿宋_GB2312"/>
          <w:bCs/>
        </w:rPr>
      </w:pPr>
      <w:r>
        <w:rPr>
          <w:rFonts w:ascii="楷体_GB2312" w:eastAsia="楷体_GB2312" w:hAnsi="楷体_GB2312" w:cs="楷体_GB2312" w:hint="eastAsia"/>
          <w:spacing w:val="-2"/>
          <w:szCs w:val="32"/>
        </w:rPr>
        <w:t>（六）强化污染防治。</w:t>
      </w:r>
      <w:r>
        <w:rPr>
          <w:rFonts w:ascii="仿宋_GB2312" w:eastAsia="仿宋_GB2312" w:hAnsi="仿宋_GB2312" w:cs="仿宋_GB2312" w:hint="eastAsia"/>
          <w:bCs/>
        </w:rPr>
        <w:t>加强对纳入生活垃圾处理体系的无利用价值农膜的处理过程的污染物排放监管，开展抽样监测，检查烟气在线监控系统准确性，加大污染防治措施落实情况检查力度，查处环境违法行为，确保废旧农膜无害化处理落到实处。</w:t>
      </w:r>
      <w:r>
        <w:rPr>
          <w:rFonts w:ascii="楷体_GB2312" w:eastAsia="楷体_GB2312" w:hAnsi="楷体_GB2312" w:cs="楷体_GB2312" w:hint="eastAsia"/>
          <w:spacing w:val="-2"/>
          <w:szCs w:val="32"/>
        </w:rPr>
        <w:t>（市级牵头单位：市生态环境局）</w:t>
      </w:r>
    </w:p>
    <w:p w:rsidR="00107406" w:rsidRDefault="00107406" w:rsidP="007475B5">
      <w:pPr>
        <w:spacing w:line="560" w:lineRule="exact"/>
        <w:ind w:firstLineChars="200" w:firstLine="31680"/>
        <w:rPr>
          <w:rFonts w:ascii="黑体" w:eastAsia="黑体" w:hAnsi="黑体" w:cs="黑体"/>
          <w:bCs/>
        </w:rPr>
      </w:pPr>
    </w:p>
    <w:p w:rsidR="00107406" w:rsidRDefault="00107406" w:rsidP="007475B5">
      <w:pPr>
        <w:spacing w:line="560" w:lineRule="exact"/>
        <w:ind w:firstLineChars="200" w:firstLine="31680"/>
        <w:rPr>
          <w:rFonts w:ascii="黑体" w:eastAsia="黑体" w:hAnsi="黑体" w:cs="黑体"/>
          <w:bCs/>
        </w:rPr>
      </w:pPr>
      <w:r>
        <w:rPr>
          <w:rFonts w:ascii="黑体" w:eastAsia="黑体" w:hAnsi="黑体" w:cs="黑体" w:hint="eastAsia"/>
          <w:bCs/>
        </w:rPr>
        <w:t>四、保障措施</w:t>
      </w:r>
    </w:p>
    <w:p w:rsidR="00107406" w:rsidRDefault="00107406" w:rsidP="007475B5">
      <w:pPr>
        <w:spacing w:line="560" w:lineRule="exact"/>
        <w:ind w:firstLineChars="200" w:firstLine="31680"/>
        <w:rPr>
          <w:rFonts w:ascii="仿宋_GB2312" w:eastAsia="仿宋_GB2312" w:hAnsi="仿宋_GB2312" w:cs="仿宋_GB2312"/>
          <w:bCs/>
        </w:rPr>
      </w:pPr>
      <w:r>
        <w:rPr>
          <w:rFonts w:ascii="楷体_GB2312" w:eastAsia="楷体_GB2312" w:hAnsi="楷体_GB2312" w:cs="楷体_GB2312" w:hint="eastAsia"/>
          <w:spacing w:val="-2"/>
          <w:szCs w:val="32"/>
        </w:rPr>
        <w:t>（一）加强组织领导。</w:t>
      </w:r>
      <w:r>
        <w:rPr>
          <w:rFonts w:ascii="仿宋_GB2312" w:eastAsia="仿宋_GB2312" w:hAnsi="仿宋_GB2312" w:cs="仿宋_GB2312" w:hint="eastAsia"/>
          <w:bCs/>
        </w:rPr>
        <w:t>废旧农膜回收处理工作是美丽田园创建和全域“无废城市”建设的重要内容，各地要加强领导、统筹谋划，结合实际制定工作方案，细化政策措施，确保取得实效。各级农业农村、财政、生态环境、市场监管、综合执法、供销等部门要密切配合，加强督促指导，形成工作合力。农业农村部门负责引导农户规范使用农膜，减少农膜的产生，组织废旧农膜的回收和归集、指导服务。财政部门负责废旧农膜回收和归集资金的落实和使用监管。生态环境部门负责废旧农膜回收处理工作的监督管理。市场监管部门负责不合规农膜市场监管和执法检查。综合执法部门负责废旧农膜末端的焚烧处理等无害化处理。供销部门负责系统内废旧农膜的回收、归集和运输。</w:t>
      </w:r>
    </w:p>
    <w:p w:rsidR="00107406" w:rsidRDefault="00107406" w:rsidP="007475B5">
      <w:pPr>
        <w:spacing w:line="560" w:lineRule="exact"/>
        <w:ind w:firstLineChars="200" w:firstLine="31680"/>
        <w:rPr>
          <w:rFonts w:ascii="仿宋_GB2312" w:eastAsia="仿宋_GB2312" w:hAnsi="仿宋_GB2312" w:cs="仿宋_GB2312"/>
          <w:bCs/>
        </w:rPr>
      </w:pPr>
      <w:r>
        <w:rPr>
          <w:rFonts w:ascii="楷体_GB2312" w:eastAsia="楷体_GB2312" w:hAnsi="楷体_GB2312" w:cs="楷体_GB2312" w:hint="eastAsia"/>
          <w:spacing w:val="-2"/>
          <w:szCs w:val="32"/>
        </w:rPr>
        <w:t>（二）加强政策扶持。</w:t>
      </w:r>
      <w:r>
        <w:rPr>
          <w:rFonts w:ascii="仿宋_GB2312" w:eastAsia="仿宋_GB2312" w:hAnsi="仿宋_GB2312" w:cs="仿宋_GB2312" w:hint="eastAsia"/>
          <w:bCs/>
        </w:rPr>
        <w:t>各地要加大对废旧农膜回收处理的支持力度。重点支持废旧农膜回收网点、田间收集设施建设、专业化回收处理以及加厚地膜、可降解地膜的试验示范推广等。积极探索建立地膜以旧换新补贴制度，市级建立废弃地膜回收处理补贴制度，对市区范围内的废弃地膜回收，按每公斤</w:t>
      </w:r>
      <w:r>
        <w:rPr>
          <w:rFonts w:ascii="仿宋_GB2312" w:eastAsia="仿宋_GB2312" w:hAnsi="仿宋_GB2312" w:cs="仿宋_GB2312"/>
          <w:bCs/>
        </w:rPr>
        <w:t>2</w:t>
      </w:r>
      <w:r>
        <w:rPr>
          <w:rFonts w:ascii="仿宋_GB2312" w:eastAsia="仿宋_GB2312" w:hAnsi="仿宋_GB2312" w:cs="仿宋_GB2312" w:hint="eastAsia"/>
          <w:bCs/>
        </w:rPr>
        <w:t>元给予被收购方补贴，由回收网点先行垫付；对承担废弃地膜收购的网点、负责清运和暂存的归集单位，再各按每公斤</w:t>
      </w:r>
      <w:r>
        <w:rPr>
          <w:rFonts w:ascii="仿宋_GB2312" w:eastAsia="仿宋_GB2312" w:hAnsi="仿宋_GB2312" w:cs="仿宋_GB2312"/>
          <w:bCs/>
        </w:rPr>
        <w:t>0.6</w:t>
      </w:r>
      <w:r>
        <w:rPr>
          <w:rFonts w:ascii="仿宋_GB2312" w:eastAsia="仿宋_GB2312" w:hAnsi="仿宋_GB2312" w:cs="仿宋_GB2312" w:hint="eastAsia"/>
          <w:bCs/>
        </w:rPr>
        <w:t>元给予补助。上述补贴自</w:t>
      </w:r>
      <w:r>
        <w:rPr>
          <w:rFonts w:ascii="仿宋_GB2312" w:eastAsia="仿宋_GB2312" w:hAnsi="仿宋_GB2312" w:cs="仿宋_GB2312"/>
          <w:bCs/>
        </w:rPr>
        <w:t>2020</w:t>
      </w:r>
      <w:r>
        <w:rPr>
          <w:rFonts w:ascii="仿宋_GB2312" w:eastAsia="仿宋_GB2312" w:hAnsi="仿宋_GB2312" w:cs="仿宋_GB2312" w:hint="eastAsia"/>
          <w:bCs/>
        </w:rPr>
        <w:t>年起，连续补助三年，由区财政直接兑现，市、区财政各承担</w:t>
      </w:r>
      <w:r>
        <w:rPr>
          <w:rFonts w:ascii="仿宋_GB2312" w:eastAsia="仿宋_GB2312" w:hAnsi="仿宋_GB2312" w:cs="仿宋_GB2312"/>
          <w:bCs/>
        </w:rPr>
        <w:t>50%</w:t>
      </w:r>
      <w:r>
        <w:rPr>
          <w:rFonts w:ascii="仿宋_GB2312" w:eastAsia="仿宋_GB2312" w:hAnsi="仿宋_GB2312" w:cs="仿宋_GB2312" w:hint="eastAsia"/>
          <w:bCs/>
        </w:rPr>
        <w:t>，市财政承担部分在下年度予以清算。各县（市）可参照市级标准出台具体的补贴政策，鼓励有条件的地区进一步探索建立地膜以旧换新补贴制度、可降解地膜使用补贴政策等。</w:t>
      </w:r>
    </w:p>
    <w:p w:rsidR="00107406" w:rsidRDefault="00107406" w:rsidP="007475B5">
      <w:pPr>
        <w:spacing w:line="560" w:lineRule="exact"/>
        <w:ind w:firstLineChars="200" w:firstLine="31680"/>
        <w:rPr>
          <w:rFonts w:ascii="仿宋_GB2312" w:eastAsia="仿宋_GB2312" w:hAnsi="仿宋_GB2312" w:cs="仿宋_GB2312"/>
          <w:bCs/>
        </w:rPr>
      </w:pPr>
      <w:r>
        <w:rPr>
          <w:rFonts w:ascii="楷体_GB2312" w:eastAsia="楷体_GB2312" w:hAnsi="楷体_GB2312" w:cs="楷体_GB2312" w:hint="eastAsia"/>
          <w:spacing w:val="-2"/>
          <w:szCs w:val="32"/>
        </w:rPr>
        <w:t>（三）加强监督考核。</w:t>
      </w:r>
      <w:r>
        <w:rPr>
          <w:rFonts w:ascii="仿宋_GB2312" w:eastAsia="仿宋_GB2312" w:hAnsi="仿宋_GB2312" w:cs="仿宋_GB2312" w:hint="eastAsia"/>
          <w:bCs/>
        </w:rPr>
        <w:t>废旧农膜回收处理工作已纳入省、市对县（市、区）乡村振兴战略实绩、美丽温州建设、生活垃圾分类处理等目标责任制考核指标，各地要结合实际制定详细的考核办法，开展实地检查指导。各级农业农村、生态环境、综合执法、财政、市场监管等部门要加强监管，对农膜生产、销售和使用者未按规定遵守相关管理制度的，视情节轻重列入监管黑名单，直至取消财政补贴、项目申报等资格。</w:t>
      </w:r>
    </w:p>
    <w:p w:rsidR="00107406" w:rsidRDefault="00107406" w:rsidP="007475B5">
      <w:pPr>
        <w:spacing w:line="560" w:lineRule="exact"/>
        <w:ind w:firstLineChars="200" w:firstLine="31680"/>
        <w:rPr>
          <w:rFonts w:ascii="仿宋_GB2312" w:eastAsia="仿宋_GB2312" w:hAnsi="仿宋_GB2312" w:cs="仿宋_GB2312"/>
          <w:bCs/>
        </w:rPr>
      </w:pPr>
      <w:r>
        <w:rPr>
          <w:rFonts w:ascii="楷体_GB2312" w:eastAsia="楷体_GB2312" w:hAnsi="楷体_GB2312" w:cs="楷体_GB2312" w:hint="eastAsia"/>
          <w:spacing w:val="-2"/>
          <w:szCs w:val="32"/>
        </w:rPr>
        <w:t>（四）加强宣传引导。</w:t>
      </w:r>
      <w:r>
        <w:rPr>
          <w:rFonts w:ascii="仿宋_GB2312" w:eastAsia="仿宋_GB2312" w:hAnsi="仿宋_GB2312" w:cs="仿宋_GB2312" w:hint="eastAsia"/>
          <w:bCs/>
        </w:rPr>
        <w:t>充分利用“两万”“两千”行动、“三联三送三落实”等平台，结合科技入户等形式，树立废旧农膜回收处理工作典型，加强融媒体宣传，增强回收废旧农膜的自觉性和主动性，切实推动废旧农膜回收与资源化利用，促进农业生态环境持续改善。</w:t>
      </w:r>
    </w:p>
    <w:p w:rsidR="00107406" w:rsidRDefault="00107406" w:rsidP="007475B5">
      <w:pPr>
        <w:spacing w:line="560" w:lineRule="exact"/>
        <w:ind w:firstLineChars="200" w:firstLine="31680"/>
        <w:rPr>
          <w:rFonts w:ascii="仿宋_GB2312" w:eastAsia="仿宋_GB2312" w:hAnsi="仿宋_GB2312" w:cs="仿宋_GB2312"/>
          <w:spacing w:val="-2"/>
        </w:rPr>
      </w:pPr>
      <w:r>
        <w:rPr>
          <w:rFonts w:ascii="仿宋_GB2312" w:eastAsia="仿宋_GB2312" w:hAnsi="仿宋_GB2312" w:cs="仿宋_GB2312" w:hint="eastAsia"/>
          <w:bCs/>
        </w:rPr>
        <w:t>本意见自发布之日起一个月后实施，各县市结合实际参照执行</w:t>
      </w:r>
      <w:r>
        <w:rPr>
          <w:rFonts w:ascii="仿宋_GB2312" w:eastAsia="仿宋_GB2312" w:hAnsi="仿宋_GB2312" w:cs="仿宋_GB2312" w:hint="eastAsia"/>
          <w:spacing w:val="-2"/>
        </w:rPr>
        <w:t>。</w:t>
      </w:r>
    </w:p>
    <w:p w:rsidR="00107406" w:rsidRDefault="00107406" w:rsidP="007475B5">
      <w:pPr>
        <w:spacing w:line="560" w:lineRule="exact"/>
        <w:ind w:firstLineChars="200" w:firstLine="31680"/>
        <w:rPr>
          <w:rFonts w:ascii="仿宋_GB2312" w:eastAsia="仿宋_GB2312" w:hAnsi="仿宋_GB2312" w:cs="仿宋_GB2312"/>
          <w:spacing w:val="-2"/>
        </w:rPr>
      </w:pPr>
    </w:p>
    <w:p w:rsidR="00107406" w:rsidRDefault="00107406" w:rsidP="007475B5">
      <w:pPr>
        <w:spacing w:line="560" w:lineRule="exact"/>
        <w:ind w:firstLineChars="1800" w:firstLine="31680"/>
        <w:rPr>
          <w:rFonts w:ascii="仿宋_GB2312" w:eastAsia="仿宋_GB2312" w:hAnsi="仿宋_GB2312" w:cs="仿宋_GB2312"/>
          <w:bCs/>
        </w:rPr>
        <w:sectPr w:rsidR="00107406">
          <w:footerReference w:type="even" r:id="rId6"/>
          <w:footerReference w:type="default" r:id="rId7"/>
          <w:pgSz w:w="11906" w:h="16838"/>
          <w:pgMar w:top="2041" w:right="1588" w:bottom="1701" w:left="1588" w:header="851" w:footer="1361" w:gutter="0"/>
          <w:pgNumType w:fmt="numberInDash"/>
          <w:cols w:space="0"/>
          <w:docGrid w:type="lines" w:linePitch="312"/>
        </w:sectPr>
      </w:pPr>
    </w:p>
    <w:p w:rsidR="00107406" w:rsidRDefault="00107406">
      <w:pPr>
        <w:spacing w:line="570" w:lineRule="exact"/>
        <w:rPr>
          <w:rFonts w:eastAsia="黑体"/>
          <w:bCs/>
        </w:rPr>
      </w:pPr>
      <w:r>
        <w:rPr>
          <w:rFonts w:eastAsia="黑体" w:hint="eastAsia"/>
          <w:bCs/>
        </w:rPr>
        <w:t>附表</w:t>
      </w:r>
    </w:p>
    <w:p w:rsidR="00107406" w:rsidRDefault="00107406">
      <w:pPr>
        <w:spacing w:line="57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温州市废旧农膜回收处理工作统计表</w:t>
      </w:r>
    </w:p>
    <w:p w:rsidR="00107406" w:rsidRDefault="00107406">
      <w:pPr>
        <w:spacing w:line="480" w:lineRule="exact"/>
        <w:jc w:val="left"/>
        <w:rPr>
          <w:rFonts w:ascii="宋体"/>
          <w:color w:val="000000"/>
          <w:sz w:val="28"/>
          <w:szCs w:val="28"/>
        </w:rPr>
      </w:pPr>
    </w:p>
    <w:p w:rsidR="00107406" w:rsidRDefault="00107406">
      <w:pPr>
        <w:spacing w:line="480" w:lineRule="exact"/>
        <w:jc w:val="left"/>
        <w:rPr>
          <w:rFonts w:ascii="宋体"/>
          <w:color w:val="000000"/>
          <w:sz w:val="28"/>
          <w:szCs w:val="28"/>
        </w:rPr>
      </w:pPr>
      <w:r>
        <w:rPr>
          <w:rFonts w:ascii="宋体" w:hint="eastAsia"/>
          <w:color w:val="000000"/>
          <w:sz w:val="28"/>
          <w:szCs w:val="28"/>
        </w:rPr>
        <w:t>填报单位：</w:t>
      </w:r>
      <w:r>
        <w:rPr>
          <w:rFonts w:ascii="宋体"/>
          <w:color w:val="000000"/>
          <w:sz w:val="28"/>
          <w:szCs w:val="28"/>
          <w:u w:val="single"/>
        </w:rPr>
        <w:t xml:space="preserve">           </w:t>
      </w:r>
      <w:r>
        <w:rPr>
          <w:rFonts w:ascii="宋体" w:hint="eastAsia"/>
          <w:color w:val="000000"/>
          <w:sz w:val="28"/>
          <w:szCs w:val="28"/>
        </w:rPr>
        <w:t>（盖章）</w:t>
      </w:r>
    </w:p>
    <w:tbl>
      <w:tblPr>
        <w:tblpPr w:leftFromText="180" w:rightFromText="180" w:vertAnchor="text" w:tblpXSpec="center" w:tblpY="1"/>
        <w:tblOverlap w:val="never"/>
        <w:tblW w:w="1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0"/>
        <w:gridCol w:w="1736"/>
        <w:gridCol w:w="1710"/>
        <w:gridCol w:w="1710"/>
        <w:gridCol w:w="1570"/>
        <w:gridCol w:w="2359"/>
        <w:gridCol w:w="2793"/>
      </w:tblGrid>
      <w:tr w:rsidR="00107406">
        <w:trPr>
          <w:trHeight w:val="912"/>
        </w:trPr>
        <w:tc>
          <w:tcPr>
            <w:tcW w:w="1760" w:type="dxa"/>
            <w:vAlign w:val="center"/>
          </w:tcPr>
          <w:p w:rsidR="00107406" w:rsidRDefault="00107406">
            <w:pPr>
              <w:spacing w:line="320" w:lineRule="exact"/>
              <w:jc w:val="center"/>
              <w:rPr>
                <w:rFonts w:ascii="宋体" w:cs="宋体"/>
                <w:b/>
                <w:color w:val="000000"/>
                <w:kern w:val="0"/>
                <w:sz w:val="28"/>
                <w:szCs w:val="28"/>
              </w:rPr>
            </w:pPr>
            <w:r>
              <w:rPr>
                <w:rFonts w:ascii="宋体" w:cs="宋体" w:hint="eastAsia"/>
                <w:b/>
                <w:color w:val="000000"/>
                <w:kern w:val="0"/>
                <w:sz w:val="28"/>
                <w:szCs w:val="28"/>
              </w:rPr>
              <w:t>农膜种类</w:t>
            </w:r>
          </w:p>
        </w:tc>
        <w:tc>
          <w:tcPr>
            <w:tcW w:w="1736" w:type="dxa"/>
            <w:vAlign w:val="center"/>
          </w:tcPr>
          <w:p w:rsidR="00107406" w:rsidRDefault="00107406">
            <w:pPr>
              <w:spacing w:line="320" w:lineRule="exact"/>
              <w:jc w:val="center"/>
              <w:rPr>
                <w:rFonts w:ascii="宋体" w:cs="宋体"/>
                <w:b/>
                <w:color w:val="000000"/>
                <w:kern w:val="0"/>
                <w:sz w:val="28"/>
                <w:szCs w:val="28"/>
              </w:rPr>
            </w:pPr>
            <w:r>
              <w:rPr>
                <w:rFonts w:ascii="宋体" w:cs="宋体" w:hint="eastAsia"/>
                <w:b/>
                <w:color w:val="000000"/>
                <w:kern w:val="0"/>
                <w:sz w:val="28"/>
                <w:szCs w:val="28"/>
              </w:rPr>
              <w:t>应用面积</w:t>
            </w:r>
          </w:p>
          <w:p w:rsidR="00107406" w:rsidRDefault="00107406">
            <w:pPr>
              <w:spacing w:line="320" w:lineRule="exact"/>
              <w:jc w:val="center"/>
              <w:rPr>
                <w:rFonts w:ascii="宋体" w:cs="宋体"/>
                <w:b/>
                <w:color w:val="000000"/>
                <w:kern w:val="0"/>
                <w:sz w:val="28"/>
                <w:szCs w:val="28"/>
              </w:rPr>
            </w:pPr>
            <w:r>
              <w:rPr>
                <w:rFonts w:ascii="宋体" w:cs="宋体" w:hint="eastAsia"/>
                <w:b/>
                <w:color w:val="000000"/>
                <w:kern w:val="0"/>
                <w:sz w:val="28"/>
                <w:szCs w:val="28"/>
              </w:rPr>
              <w:t>（亩）</w:t>
            </w:r>
          </w:p>
        </w:tc>
        <w:tc>
          <w:tcPr>
            <w:tcW w:w="1710" w:type="dxa"/>
            <w:vAlign w:val="center"/>
          </w:tcPr>
          <w:p w:rsidR="00107406" w:rsidRDefault="00107406">
            <w:pPr>
              <w:spacing w:line="320" w:lineRule="exact"/>
              <w:jc w:val="center"/>
              <w:rPr>
                <w:rFonts w:ascii="宋体" w:cs="宋体"/>
                <w:b/>
                <w:color w:val="000000"/>
                <w:kern w:val="0"/>
                <w:sz w:val="28"/>
                <w:szCs w:val="28"/>
              </w:rPr>
            </w:pPr>
            <w:r>
              <w:rPr>
                <w:rFonts w:ascii="宋体" w:cs="宋体" w:hint="eastAsia"/>
                <w:b/>
                <w:color w:val="000000"/>
                <w:kern w:val="0"/>
                <w:sz w:val="28"/>
                <w:szCs w:val="28"/>
              </w:rPr>
              <w:t>使用量</w:t>
            </w:r>
          </w:p>
          <w:p w:rsidR="00107406" w:rsidRDefault="00107406">
            <w:pPr>
              <w:spacing w:line="320" w:lineRule="exact"/>
              <w:jc w:val="center"/>
              <w:rPr>
                <w:rFonts w:ascii="宋体" w:cs="宋体"/>
                <w:b/>
                <w:color w:val="000000"/>
                <w:kern w:val="0"/>
                <w:sz w:val="28"/>
                <w:szCs w:val="28"/>
              </w:rPr>
            </w:pPr>
            <w:r>
              <w:rPr>
                <w:rFonts w:ascii="宋体" w:cs="宋体" w:hint="eastAsia"/>
                <w:b/>
                <w:color w:val="000000"/>
                <w:kern w:val="0"/>
                <w:sz w:val="28"/>
                <w:szCs w:val="28"/>
              </w:rPr>
              <w:t>（吨）</w:t>
            </w:r>
          </w:p>
        </w:tc>
        <w:tc>
          <w:tcPr>
            <w:tcW w:w="1710" w:type="dxa"/>
            <w:vAlign w:val="center"/>
          </w:tcPr>
          <w:p w:rsidR="00107406" w:rsidRDefault="00107406">
            <w:pPr>
              <w:spacing w:line="320" w:lineRule="exact"/>
              <w:jc w:val="center"/>
              <w:rPr>
                <w:rFonts w:ascii="宋体" w:cs="宋体"/>
                <w:b/>
                <w:color w:val="000000"/>
                <w:kern w:val="0"/>
                <w:sz w:val="28"/>
                <w:szCs w:val="28"/>
              </w:rPr>
            </w:pPr>
            <w:r>
              <w:rPr>
                <w:rFonts w:ascii="宋体" w:cs="宋体" w:hint="eastAsia"/>
                <w:b/>
                <w:color w:val="000000"/>
                <w:kern w:val="0"/>
                <w:sz w:val="28"/>
                <w:szCs w:val="28"/>
              </w:rPr>
              <w:t>回收量</w:t>
            </w:r>
          </w:p>
          <w:p w:rsidR="00107406" w:rsidRDefault="00107406">
            <w:pPr>
              <w:spacing w:line="320" w:lineRule="exact"/>
              <w:jc w:val="center"/>
              <w:rPr>
                <w:rFonts w:ascii="宋体" w:cs="宋体"/>
                <w:b/>
                <w:color w:val="000000"/>
                <w:kern w:val="0"/>
                <w:sz w:val="28"/>
                <w:szCs w:val="28"/>
              </w:rPr>
            </w:pPr>
            <w:r>
              <w:rPr>
                <w:rFonts w:ascii="宋体" w:cs="宋体" w:hint="eastAsia"/>
                <w:b/>
                <w:color w:val="000000"/>
                <w:kern w:val="0"/>
                <w:sz w:val="28"/>
                <w:szCs w:val="28"/>
              </w:rPr>
              <w:t>（吨）</w:t>
            </w:r>
          </w:p>
        </w:tc>
        <w:tc>
          <w:tcPr>
            <w:tcW w:w="1570" w:type="dxa"/>
            <w:vAlign w:val="center"/>
          </w:tcPr>
          <w:p w:rsidR="00107406" w:rsidRDefault="00107406">
            <w:pPr>
              <w:spacing w:line="320" w:lineRule="exact"/>
              <w:jc w:val="center"/>
              <w:rPr>
                <w:rFonts w:ascii="宋体" w:cs="宋体"/>
                <w:b/>
                <w:color w:val="000000"/>
                <w:kern w:val="0"/>
                <w:sz w:val="28"/>
                <w:szCs w:val="28"/>
              </w:rPr>
            </w:pPr>
            <w:r>
              <w:rPr>
                <w:rFonts w:ascii="宋体" w:cs="宋体" w:hint="eastAsia"/>
                <w:b/>
                <w:color w:val="000000"/>
                <w:kern w:val="0"/>
                <w:sz w:val="28"/>
                <w:szCs w:val="28"/>
              </w:rPr>
              <w:t>处理率</w:t>
            </w:r>
          </w:p>
          <w:p w:rsidR="00107406" w:rsidRDefault="00107406">
            <w:pPr>
              <w:spacing w:line="320" w:lineRule="exact"/>
              <w:jc w:val="center"/>
              <w:rPr>
                <w:rFonts w:ascii="宋体" w:cs="宋体"/>
                <w:b/>
                <w:color w:val="000000"/>
                <w:kern w:val="0"/>
                <w:sz w:val="28"/>
                <w:szCs w:val="28"/>
              </w:rPr>
            </w:pPr>
            <w:r>
              <w:rPr>
                <w:rFonts w:ascii="宋体" w:cs="宋体" w:hint="eastAsia"/>
                <w:b/>
                <w:color w:val="000000"/>
                <w:kern w:val="0"/>
                <w:sz w:val="28"/>
                <w:szCs w:val="28"/>
              </w:rPr>
              <w:t>（</w:t>
            </w:r>
            <w:r>
              <w:rPr>
                <w:rFonts w:ascii="宋体" w:cs="宋体"/>
                <w:b/>
                <w:color w:val="000000"/>
                <w:kern w:val="0"/>
                <w:sz w:val="28"/>
                <w:szCs w:val="28"/>
              </w:rPr>
              <w:t>%</w:t>
            </w:r>
            <w:r>
              <w:rPr>
                <w:rFonts w:ascii="宋体" w:cs="宋体" w:hint="eastAsia"/>
                <w:b/>
                <w:color w:val="000000"/>
                <w:kern w:val="0"/>
                <w:sz w:val="28"/>
                <w:szCs w:val="28"/>
              </w:rPr>
              <w:t>）</w:t>
            </w:r>
          </w:p>
        </w:tc>
        <w:tc>
          <w:tcPr>
            <w:tcW w:w="2359" w:type="dxa"/>
            <w:vAlign w:val="center"/>
          </w:tcPr>
          <w:p w:rsidR="00107406" w:rsidRDefault="00107406">
            <w:pPr>
              <w:spacing w:line="320" w:lineRule="exact"/>
              <w:jc w:val="center"/>
              <w:rPr>
                <w:rFonts w:ascii="宋体" w:cs="宋体"/>
                <w:b/>
                <w:color w:val="000000"/>
                <w:kern w:val="0"/>
                <w:sz w:val="28"/>
                <w:szCs w:val="28"/>
              </w:rPr>
            </w:pPr>
            <w:r>
              <w:rPr>
                <w:rFonts w:ascii="宋体" w:cs="宋体" w:hint="eastAsia"/>
                <w:b/>
                <w:color w:val="000000"/>
                <w:kern w:val="0"/>
                <w:sz w:val="28"/>
                <w:szCs w:val="28"/>
              </w:rPr>
              <w:t>建立回收网点（个）</w:t>
            </w:r>
          </w:p>
        </w:tc>
        <w:tc>
          <w:tcPr>
            <w:tcW w:w="2793" w:type="dxa"/>
            <w:vAlign w:val="center"/>
          </w:tcPr>
          <w:p w:rsidR="00107406" w:rsidRDefault="00107406">
            <w:pPr>
              <w:spacing w:line="320" w:lineRule="exact"/>
              <w:jc w:val="center"/>
              <w:rPr>
                <w:rFonts w:ascii="宋体" w:cs="宋体"/>
                <w:b/>
                <w:color w:val="000000"/>
                <w:kern w:val="0"/>
                <w:sz w:val="28"/>
                <w:szCs w:val="28"/>
              </w:rPr>
            </w:pPr>
            <w:r>
              <w:rPr>
                <w:rFonts w:ascii="宋体" w:hAnsi="??_GB2312" w:cs="宋体" w:hint="eastAsia"/>
                <w:b/>
                <w:color w:val="000000"/>
                <w:kern w:val="0"/>
                <w:sz w:val="28"/>
                <w:szCs w:val="28"/>
              </w:rPr>
              <w:t>扶持回收处理企业（个）</w:t>
            </w:r>
          </w:p>
        </w:tc>
      </w:tr>
      <w:tr w:rsidR="00107406">
        <w:trPr>
          <w:trHeight w:val="737"/>
        </w:trPr>
        <w:tc>
          <w:tcPr>
            <w:tcW w:w="1760" w:type="dxa"/>
            <w:vAlign w:val="center"/>
          </w:tcPr>
          <w:p w:rsidR="00107406" w:rsidRDefault="00107406">
            <w:pPr>
              <w:spacing w:line="480" w:lineRule="exact"/>
              <w:jc w:val="center"/>
              <w:rPr>
                <w:rFonts w:ascii="宋体"/>
                <w:color w:val="000000"/>
                <w:sz w:val="28"/>
                <w:szCs w:val="28"/>
              </w:rPr>
            </w:pPr>
            <w:r>
              <w:rPr>
                <w:rFonts w:ascii="宋体" w:hint="eastAsia"/>
                <w:color w:val="000000"/>
                <w:sz w:val="28"/>
                <w:szCs w:val="28"/>
              </w:rPr>
              <w:t>棚膜</w:t>
            </w:r>
          </w:p>
        </w:tc>
        <w:tc>
          <w:tcPr>
            <w:tcW w:w="1736" w:type="dxa"/>
            <w:vAlign w:val="center"/>
          </w:tcPr>
          <w:p w:rsidR="00107406" w:rsidRDefault="00107406">
            <w:pPr>
              <w:spacing w:line="480" w:lineRule="exact"/>
              <w:jc w:val="center"/>
              <w:rPr>
                <w:rFonts w:ascii="宋体"/>
                <w:color w:val="000000"/>
                <w:sz w:val="21"/>
              </w:rPr>
            </w:pPr>
          </w:p>
        </w:tc>
        <w:tc>
          <w:tcPr>
            <w:tcW w:w="1710" w:type="dxa"/>
            <w:vAlign w:val="center"/>
          </w:tcPr>
          <w:p w:rsidR="00107406" w:rsidRDefault="00107406">
            <w:pPr>
              <w:spacing w:line="480" w:lineRule="exact"/>
              <w:jc w:val="center"/>
              <w:rPr>
                <w:rFonts w:ascii="宋体"/>
                <w:color w:val="000000"/>
                <w:sz w:val="21"/>
              </w:rPr>
            </w:pPr>
          </w:p>
        </w:tc>
        <w:tc>
          <w:tcPr>
            <w:tcW w:w="1710" w:type="dxa"/>
            <w:vAlign w:val="center"/>
          </w:tcPr>
          <w:p w:rsidR="00107406" w:rsidRDefault="00107406">
            <w:pPr>
              <w:spacing w:line="480" w:lineRule="exact"/>
              <w:jc w:val="center"/>
              <w:rPr>
                <w:rFonts w:ascii="宋体"/>
                <w:color w:val="000000"/>
                <w:sz w:val="21"/>
              </w:rPr>
            </w:pPr>
          </w:p>
        </w:tc>
        <w:tc>
          <w:tcPr>
            <w:tcW w:w="1570" w:type="dxa"/>
          </w:tcPr>
          <w:p w:rsidR="00107406" w:rsidRDefault="00107406">
            <w:pPr>
              <w:spacing w:line="480" w:lineRule="exact"/>
              <w:jc w:val="center"/>
              <w:rPr>
                <w:rFonts w:ascii="宋体" w:cs="宋体"/>
                <w:color w:val="000000"/>
                <w:kern w:val="0"/>
                <w:sz w:val="21"/>
              </w:rPr>
            </w:pPr>
          </w:p>
        </w:tc>
        <w:tc>
          <w:tcPr>
            <w:tcW w:w="2359" w:type="dxa"/>
          </w:tcPr>
          <w:p w:rsidR="00107406" w:rsidRDefault="00107406">
            <w:pPr>
              <w:spacing w:line="480" w:lineRule="exact"/>
              <w:jc w:val="center"/>
              <w:rPr>
                <w:rFonts w:ascii="宋体" w:cs="宋体"/>
                <w:color w:val="000000"/>
                <w:kern w:val="0"/>
                <w:sz w:val="21"/>
              </w:rPr>
            </w:pPr>
          </w:p>
        </w:tc>
        <w:tc>
          <w:tcPr>
            <w:tcW w:w="2793" w:type="dxa"/>
          </w:tcPr>
          <w:p w:rsidR="00107406" w:rsidRDefault="00107406">
            <w:pPr>
              <w:spacing w:line="480" w:lineRule="exact"/>
              <w:jc w:val="center"/>
              <w:rPr>
                <w:rFonts w:ascii="宋体" w:cs="宋体"/>
                <w:color w:val="000000"/>
                <w:kern w:val="0"/>
                <w:sz w:val="21"/>
              </w:rPr>
            </w:pPr>
          </w:p>
        </w:tc>
      </w:tr>
      <w:tr w:rsidR="00107406">
        <w:trPr>
          <w:trHeight w:val="737"/>
        </w:trPr>
        <w:tc>
          <w:tcPr>
            <w:tcW w:w="1760" w:type="dxa"/>
            <w:vAlign w:val="center"/>
          </w:tcPr>
          <w:p w:rsidR="00107406" w:rsidRDefault="00107406">
            <w:pPr>
              <w:spacing w:line="480" w:lineRule="exact"/>
              <w:jc w:val="center"/>
              <w:rPr>
                <w:rFonts w:ascii="宋体"/>
                <w:color w:val="000000"/>
                <w:sz w:val="28"/>
                <w:szCs w:val="28"/>
              </w:rPr>
            </w:pPr>
            <w:r>
              <w:rPr>
                <w:rFonts w:ascii="宋体" w:hint="eastAsia"/>
                <w:color w:val="000000"/>
                <w:sz w:val="28"/>
                <w:szCs w:val="28"/>
              </w:rPr>
              <w:t>地膜</w:t>
            </w:r>
          </w:p>
        </w:tc>
        <w:tc>
          <w:tcPr>
            <w:tcW w:w="1736" w:type="dxa"/>
            <w:vAlign w:val="center"/>
          </w:tcPr>
          <w:p w:rsidR="00107406" w:rsidRDefault="00107406">
            <w:pPr>
              <w:spacing w:line="480" w:lineRule="exact"/>
              <w:jc w:val="center"/>
              <w:rPr>
                <w:rFonts w:ascii="宋体"/>
                <w:color w:val="000000"/>
                <w:sz w:val="21"/>
              </w:rPr>
            </w:pPr>
          </w:p>
        </w:tc>
        <w:tc>
          <w:tcPr>
            <w:tcW w:w="1710" w:type="dxa"/>
            <w:vAlign w:val="center"/>
          </w:tcPr>
          <w:p w:rsidR="00107406" w:rsidRDefault="00107406">
            <w:pPr>
              <w:spacing w:line="480" w:lineRule="exact"/>
              <w:jc w:val="center"/>
              <w:rPr>
                <w:rFonts w:ascii="宋体"/>
                <w:color w:val="000000"/>
                <w:sz w:val="21"/>
              </w:rPr>
            </w:pPr>
          </w:p>
        </w:tc>
        <w:tc>
          <w:tcPr>
            <w:tcW w:w="1710" w:type="dxa"/>
            <w:vAlign w:val="center"/>
          </w:tcPr>
          <w:p w:rsidR="00107406" w:rsidRDefault="00107406">
            <w:pPr>
              <w:spacing w:line="480" w:lineRule="exact"/>
              <w:jc w:val="center"/>
              <w:rPr>
                <w:rFonts w:ascii="宋体"/>
                <w:color w:val="000000"/>
                <w:sz w:val="21"/>
              </w:rPr>
            </w:pPr>
          </w:p>
        </w:tc>
        <w:tc>
          <w:tcPr>
            <w:tcW w:w="1570" w:type="dxa"/>
          </w:tcPr>
          <w:p w:rsidR="00107406" w:rsidRDefault="00107406">
            <w:pPr>
              <w:spacing w:line="480" w:lineRule="exact"/>
              <w:jc w:val="center"/>
              <w:rPr>
                <w:rFonts w:ascii="宋体" w:cs="宋体"/>
                <w:color w:val="000000"/>
                <w:kern w:val="0"/>
                <w:sz w:val="21"/>
              </w:rPr>
            </w:pPr>
          </w:p>
        </w:tc>
        <w:tc>
          <w:tcPr>
            <w:tcW w:w="2359" w:type="dxa"/>
          </w:tcPr>
          <w:p w:rsidR="00107406" w:rsidRDefault="00107406">
            <w:pPr>
              <w:spacing w:line="480" w:lineRule="exact"/>
              <w:jc w:val="center"/>
              <w:rPr>
                <w:rFonts w:ascii="宋体" w:cs="宋体"/>
                <w:color w:val="000000"/>
                <w:kern w:val="0"/>
                <w:sz w:val="21"/>
              </w:rPr>
            </w:pPr>
          </w:p>
        </w:tc>
        <w:tc>
          <w:tcPr>
            <w:tcW w:w="2793" w:type="dxa"/>
          </w:tcPr>
          <w:p w:rsidR="00107406" w:rsidRDefault="00107406">
            <w:pPr>
              <w:spacing w:line="480" w:lineRule="exact"/>
              <w:jc w:val="center"/>
              <w:rPr>
                <w:rFonts w:ascii="宋体" w:cs="宋体"/>
                <w:color w:val="000000"/>
                <w:kern w:val="0"/>
                <w:sz w:val="21"/>
              </w:rPr>
            </w:pPr>
          </w:p>
        </w:tc>
      </w:tr>
      <w:tr w:rsidR="00107406">
        <w:trPr>
          <w:trHeight w:val="737"/>
        </w:trPr>
        <w:tc>
          <w:tcPr>
            <w:tcW w:w="1760" w:type="dxa"/>
            <w:vAlign w:val="center"/>
          </w:tcPr>
          <w:p w:rsidR="00107406" w:rsidRDefault="00107406">
            <w:pPr>
              <w:spacing w:line="480" w:lineRule="exact"/>
              <w:jc w:val="center"/>
              <w:rPr>
                <w:rFonts w:ascii="宋体"/>
                <w:color w:val="000000"/>
                <w:sz w:val="28"/>
                <w:szCs w:val="28"/>
              </w:rPr>
            </w:pPr>
            <w:r>
              <w:rPr>
                <w:rFonts w:ascii="宋体" w:hint="eastAsia"/>
                <w:color w:val="000000"/>
                <w:sz w:val="28"/>
                <w:szCs w:val="28"/>
              </w:rPr>
              <w:t>菌棒膜</w:t>
            </w:r>
          </w:p>
        </w:tc>
        <w:tc>
          <w:tcPr>
            <w:tcW w:w="1736" w:type="dxa"/>
            <w:vAlign w:val="center"/>
          </w:tcPr>
          <w:p w:rsidR="00107406" w:rsidRDefault="00107406">
            <w:pPr>
              <w:spacing w:line="480" w:lineRule="exact"/>
              <w:jc w:val="center"/>
              <w:rPr>
                <w:rFonts w:ascii="宋体"/>
                <w:color w:val="000000"/>
                <w:sz w:val="21"/>
              </w:rPr>
            </w:pPr>
          </w:p>
        </w:tc>
        <w:tc>
          <w:tcPr>
            <w:tcW w:w="1710" w:type="dxa"/>
            <w:vAlign w:val="center"/>
          </w:tcPr>
          <w:p w:rsidR="00107406" w:rsidRDefault="00107406">
            <w:pPr>
              <w:spacing w:line="480" w:lineRule="exact"/>
              <w:jc w:val="center"/>
              <w:rPr>
                <w:rFonts w:ascii="宋体"/>
                <w:color w:val="000000"/>
                <w:sz w:val="21"/>
              </w:rPr>
            </w:pPr>
          </w:p>
        </w:tc>
        <w:tc>
          <w:tcPr>
            <w:tcW w:w="1710" w:type="dxa"/>
            <w:vAlign w:val="center"/>
          </w:tcPr>
          <w:p w:rsidR="00107406" w:rsidRDefault="00107406">
            <w:pPr>
              <w:spacing w:line="480" w:lineRule="exact"/>
              <w:jc w:val="center"/>
              <w:rPr>
                <w:rFonts w:ascii="宋体"/>
                <w:color w:val="000000"/>
                <w:sz w:val="21"/>
              </w:rPr>
            </w:pPr>
          </w:p>
        </w:tc>
        <w:tc>
          <w:tcPr>
            <w:tcW w:w="1570" w:type="dxa"/>
          </w:tcPr>
          <w:p w:rsidR="00107406" w:rsidRDefault="00107406">
            <w:pPr>
              <w:spacing w:line="480" w:lineRule="exact"/>
              <w:jc w:val="center"/>
              <w:rPr>
                <w:rFonts w:ascii="宋体" w:cs="宋体"/>
                <w:color w:val="000000"/>
                <w:kern w:val="0"/>
                <w:sz w:val="21"/>
              </w:rPr>
            </w:pPr>
          </w:p>
        </w:tc>
        <w:tc>
          <w:tcPr>
            <w:tcW w:w="2359" w:type="dxa"/>
          </w:tcPr>
          <w:p w:rsidR="00107406" w:rsidRDefault="00107406">
            <w:pPr>
              <w:spacing w:line="480" w:lineRule="exact"/>
              <w:jc w:val="center"/>
              <w:rPr>
                <w:rFonts w:ascii="宋体" w:cs="宋体"/>
                <w:color w:val="000000"/>
                <w:kern w:val="0"/>
                <w:sz w:val="21"/>
              </w:rPr>
            </w:pPr>
          </w:p>
        </w:tc>
        <w:tc>
          <w:tcPr>
            <w:tcW w:w="2793" w:type="dxa"/>
          </w:tcPr>
          <w:p w:rsidR="00107406" w:rsidRDefault="00107406">
            <w:pPr>
              <w:spacing w:line="480" w:lineRule="exact"/>
              <w:jc w:val="center"/>
              <w:rPr>
                <w:rFonts w:ascii="宋体" w:cs="宋体"/>
                <w:color w:val="000000"/>
                <w:kern w:val="0"/>
                <w:sz w:val="21"/>
              </w:rPr>
            </w:pPr>
          </w:p>
        </w:tc>
      </w:tr>
      <w:tr w:rsidR="00107406">
        <w:trPr>
          <w:trHeight w:val="737"/>
        </w:trPr>
        <w:tc>
          <w:tcPr>
            <w:tcW w:w="1760" w:type="dxa"/>
            <w:vAlign w:val="center"/>
          </w:tcPr>
          <w:p w:rsidR="00107406" w:rsidRDefault="00107406">
            <w:pPr>
              <w:spacing w:line="480" w:lineRule="exact"/>
              <w:jc w:val="center"/>
              <w:rPr>
                <w:rFonts w:ascii="宋体"/>
                <w:color w:val="000000"/>
                <w:sz w:val="28"/>
                <w:szCs w:val="28"/>
              </w:rPr>
            </w:pPr>
            <w:r>
              <w:rPr>
                <w:rFonts w:ascii="宋体" w:hint="eastAsia"/>
                <w:color w:val="000000"/>
                <w:sz w:val="28"/>
                <w:szCs w:val="28"/>
              </w:rPr>
              <w:t>合计或平均</w:t>
            </w:r>
          </w:p>
        </w:tc>
        <w:tc>
          <w:tcPr>
            <w:tcW w:w="1736" w:type="dxa"/>
            <w:vAlign w:val="center"/>
          </w:tcPr>
          <w:p w:rsidR="00107406" w:rsidRDefault="00107406">
            <w:pPr>
              <w:spacing w:line="480" w:lineRule="exact"/>
              <w:jc w:val="center"/>
              <w:rPr>
                <w:rFonts w:ascii="宋体"/>
                <w:color w:val="000000"/>
                <w:sz w:val="21"/>
              </w:rPr>
            </w:pPr>
          </w:p>
        </w:tc>
        <w:tc>
          <w:tcPr>
            <w:tcW w:w="1710" w:type="dxa"/>
            <w:vAlign w:val="center"/>
          </w:tcPr>
          <w:p w:rsidR="00107406" w:rsidRDefault="00107406">
            <w:pPr>
              <w:spacing w:line="480" w:lineRule="exact"/>
              <w:jc w:val="center"/>
              <w:rPr>
                <w:rFonts w:ascii="宋体"/>
                <w:color w:val="000000"/>
                <w:sz w:val="21"/>
              </w:rPr>
            </w:pPr>
          </w:p>
        </w:tc>
        <w:tc>
          <w:tcPr>
            <w:tcW w:w="1710" w:type="dxa"/>
            <w:vAlign w:val="center"/>
          </w:tcPr>
          <w:p w:rsidR="00107406" w:rsidRDefault="00107406">
            <w:pPr>
              <w:spacing w:line="480" w:lineRule="exact"/>
              <w:jc w:val="center"/>
              <w:rPr>
                <w:rFonts w:ascii="宋体"/>
                <w:color w:val="000000"/>
                <w:sz w:val="21"/>
              </w:rPr>
            </w:pPr>
          </w:p>
        </w:tc>
        <w:tc>
          <w:tcPr>
            <w:tcW w:w="1570" w:type="dxa"/>
          </w:tcPr>
          <w:p w:rsidR="00107406" w:rsidRDefault="00107406">
            <w:pPr>
              <w:spacing w:line="480" w:lineRule="exact"/>
              <w:jc w:val="center"/>
              <w:rPr>
                <w:rFonts w:ascii="宋体" w:cs="宋体"/>
                <w:color w:val="000000"/>
                <w:kern w:val="0"/>
                <w:sz w:val="21"/>
              </w:rPr>
            </w:pPr>
          </w:p>
        </w:tc>
        <w:tc>
          <w:tcPr>
            <w:tcW w:w="2359" w:type="dxa"/>
          </w:tcPr>
          <w:p w:rsidR="00107406" w:rsidRDefault="00107406">
            <w:pPr>
              <w:spacing w:line="480" w:lineRule="exact"/>
              <w:jc w:val="center"/>
              <w:rPr>
                <w:rFonts w:ascii="宋体" w:cs="宋体"/>
                <w:color w:val="000000"/>
                <w:kern w:val="0"/>
                <w:sz w:val="21"/>
              </w:rPr>
            </w:pPr>
          </w:p>
        </w:tc>
        <w:tc>
          <w:tcPr>
            <w:tcW w:w="2793" w:type="dxa"/>
          </w:tcPr>
          <w:p w:rsidR="00107406" w:rsidRDefault="00107406">
            <w:pPr>
              <w:spacing w:line="480" w:lineRule="exact"/>
              <w:jc w:val="center"/>
              <w:rPr>
                <w:rFonts w:ascii="宋体" w:cs="宋体"/>
                <w:color w:val="000000"/>
                <w:kern w:val="0"/>
                <w:sz w:val="21"/>
              </w:rPr>
            </w:pPr>
          </w:p>
        </w:tc>
      </w:tr>
    </w:tbl>
    <w:p w:rsidR="00107406" w:rsidRDefault="00107406">
      <w:pPr>
        <w:spacing w:line="480" w:lineRule="exact"/>
        <w:jc w:val="left"/>
        <w:rPr>
          <w:rFonts w:ascii="宋体"/>
          <w:color w:val="000000"/>
          <w:sz w:val="28"/>
          <w:szCs w:val="28"/>
        </w:rPr>
      </w:pPr>
    </w:p>
    <w:p w:rsidR="00107406" w:rsidRDefault="00107406">
      <w:pPr>
        <w:spacing w:line="480" w:lineRule="exact"/>
        <w:jc w:val="left"/>
        <w:rPr>
          <w:rFonts w:ascii="宋体"/>
          <w:color w:val="000000"/>
          <w:sz w:val="28"/>
          <w:szCs w:val="28"/>
        </w:rPr>
      </w:pPr>
      <w:r>
        <w:rPr>
          <w:rFonts w:ascii="宋体" w:hint="eastAsia"/>
          <w:color w:val="000000"/>
          <w:sz w:val="28"/>
          <w:szCs w:val="28"/>
        </w:rPr>
        <w:t>填报人：</w:t>
      </w:r>
      <w:r>
        <w:rPr>
          <w:rFonts w:ascii="宋体"/>
          <w:color w:val="000000"/>
          <w:sz w:val="28"/>
          <w:szCs w:val="28"/>
        </w:rPr>
        <w:t xml:space="preserve">                                  </w:t>
      </w:r>
      <w:r>
        <w:rPr>
          <w:rFonts w:ascii="宋体" w:hint="eastAsia"/>
          <w:color w:val="000000"/>
          <w:sz w:val="28"/>
          <w:szCs w:val="28"/>
        </w:rPr>
        <w:t>电话：</w:t>
      </w:r>
    </w:p>
    <w:p w:rsidR="00107406" w:rsidRDefault="00107406">
      <w:pPr>
        <w:spacing w:line="570" w:lineRule="exact"/>
        <w:rPr>
          <w:rFonts w:eastAsia="黑体"/>
          <w:bCs/>
        </w:rPr>
      </w:pPr>
    </w:p>
    <w:sectPr w:rsidR="00107406" w:rsidSect="00203A45">
      <w:pgSz w:w="16838" w:h="11906" w:orient="landscape"/>
      <w:pgMar w:top="1588" w:right="1814" w:bottom="1588" w:left="1814" w:header="851" w:footer="1361" w:gutter="0"/>
      <w:pgNumType w:fmt="numberInDash"/>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406" w:rsidRDefault="00107406" w:rsidP="00203A45">
      <w:r>
        <w:separator/>
      </w:r>
    </w:p>
  </w:endnote>
  <w:endnote w:type="continuationSeparator" w:id="0">
    <w:p w:rsidR="00107406" w:rsidRDefault="00107406" w:rsidP="00203A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_GB2312">
    <w:altName w:val="Segoe Prin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406" w:rsidRDefault="001074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7406" w:rsidRDefault="001074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406" w:rsidRDefault="00107406">
    <w:pPr>
      <w:pStyle w:val="Footer"/>
      <w:framePr w:wrap="around" w:vAnchor="text" w:hAnchor="margin" w:xAlign="center" w:y="1"/>
      <w:rPr>
        <w:rStyle w:val="PageNumber"/>
        <w:rFonts w:ascii="宋体"/>
        <w:sz w:val="24"/>
        <w:szCs w:val="24"/>
      </w:rPr>
    </w:pPr>
    <w:r>
      <w:rPr>
        <w:rStyle w:val="PageNumber"/>
        <w:rFonts w:ascii="宋体" w:hAnsi="宋体"/>
        <w:sz w:val="24"/>
        <w:szCs w:val="24"/>
      </w:rPr>
      <w:fldChar w:fldCharType="begin"/>
    </w:r>
    <w:r>
      <w:rPr>
        <w:rStyle w:val="PageNumber"/>
        <w:rFonts w:ascii="宋体" w:hAnsi="宋体"/>
        <w:sz w:val="24"/>
        <w:szCs w:val="24"/>
      </w:rPr>
      <w:instrText xml:space="preserve">PAGE  </w:instrText>
    </w:r>
    <w:r>
      <w:rPr>
        <w:rStyle w:val="PageNumber"/>
        <w:rFonts w:ascii="宋体" w:hAnsi="宋体"/>
        <w:sz w:val="24"/>
        <w:szCs w:val="24"/>
      </w:rPr>
      <w:fldChar w:fldCharType="separate"/>
    </w:r>
    <w:r>
      <w:rPr>
        <w:rStyle w:val="PageNumber"/>
        <w:rFonts w:ascii="宋体" w:hAnsi="宋体"/>
        <w:noProof/>
        <w:sz w:val="24"/>
        <w:szCs w:val="24"/>
      </w:rPr>
      <w:t>- 7 -</w:t>
    </w:r>
    <w:r>
      <w:rPr>
        <w:rStyle w:val="PageNumber"/>
        <w:rFonts w:ascii="宋体" w:hAnsi="宋体"/>
        <w:sz w:val="24"/>
        <w:szCs w:val="24"/>
      </w:rPr>
      <w:fldChar w:fldCharType="end"/>
    </w:r>
  </w:p>
  <w:p w:rsidR="00107406" w:rsidRDefault="001074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406" w:rsidRDefault="00107406" w:rsidP="00203A45">
      <w:r>
        <w:separator/>
      </w:r>
    </w:p>
  </w:footnote>
  <w:footnote w:type="continuationSeparator" w:id="0">
    <w:p w:rsidR="00107406" w:rsidRDefault="00107406" w:rsidP="00203A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60"/>
  <w:drawingGridVerticalSpacing w:val="435"/>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40E0"/>
    <w:rsid w:val="00000BAE"/>
    <w:rsid w:val="00001D09"/>
    <w:rsid w:val="00006210"/>
    <w:rsid w:val="000261B8"/>
    <w:rsid w:val="000417CC"/>
    <w:rsid w:val="00050619"/>
    <w:rsid w:val="00051306"/>
    <w:rsid w:val="00057A50"/>
    <w:rsid w:val="00063E52"/>
    <w:rsid w:val="00076869"/>
    <w:rsid w:val="000A7664"/>
    <w:rsid w:val="000B4F07"/>
    <w:rsid w:val="000C6AC8"/>
    <w:rsid w:val="000D0DB5"/>
    <w:rsid w:val="000D0E73"/>
    <w:rsid w:val="000E1667"/>
    <w:rsid w:val="000E2599"/>
    <w:rsid w:val="000F6E97"/>
    <w:rsid w:val="00101B8C"/>
    <w:rsid w:val="0010442C"/>
    <w:rsid w:val="00105FF0"/>
    <w:rsid w:val="00107406"/>
    <w:rsid w:val="00111032"/>
    <w:rsid w:val="00113B8B"/>
    <w:rsid w:val="00134CFC"/>
    <w:rsid w:val="001363AD"/>
    <w:rsid w:val="00145FEA"/>
    <w:rsid w:val="0015491C"/>
    <w:rsid w:val="001604E1"/>
    <w:rsid w:val="00162D3A"/>
    <w:rsid w:val="00165C23"/>
    <w:rsid w:val="00172018"/>
    <w:rsid w:val="00176CDD"/>
    <w:rsid w:val="001819F0"/>
    <w:rsid w:val="00186878"/>
    <w:rsid w:val="00186CA6"/>
    <w:rsid w:val="001A5034"/>
    <w:rsid w:val="001B4843"/>
    <w:rsid w:val="001C64FF"/>
    <w:rsid w:val="001E26C5"/>
    <w:rsid w:val="001E79D0"/>
    <w:rsid w:val="001F286C"/>
    <w:rsid w:val="001F767A"/>
    <w:rsid w:val="0020235C"/>
    <w:rsid w:val="00203A45"/>
    <w:rsid w:val="00217EC2"/>
    <w:rsid w:val="00223725"/>
    <w:rsid w:val="0023531B"/>
    <w:rsid w:val="00242A0C"/>
    <w:rsid w:val="002456E2"/>
    <w:rsid w:val="002470DE"/>
    <w:rsid w:val="00251A1D"/>
    <w:rsid w:val="00264890"/>
    <w:rsid w:val="00272B6E"/>
    <w:rsid w:val="00282EEC"/>
    <w:rsid w:val="00296B3D"/>
    <w:rsid w:val="0029795A"/>
    <w:rsid w:val="002B68CC"/>
    <w:rsid w:val="002E4FC1"/>
    <w:rsid w:val="0032084C"/>
    <w:rsid w:val="003257ED"/>
    <w:rsid w:val="0032739F"/>
    <w:rsid w:val="00333B73"/>
    <w:rsid w:val="003340A6"/>
    <w:rsid w:val="00360623"/>
    <w:rsid w:val="00380B25"/>
    <w:rsid w:val="003B1D90"/>
    <w:rsid w:val="003B40E0"/>
    <w:rsid w:val="003C2EDD"/>
    <w:rsid w:val="003D160B"/>
    <w:rsid w:val="003D3F0A"/>
    <w:rsid w:val="003F0C84"/>
    <w:rsid w:val="00401141"/>
    <w:rsid w:val="00402F44"/>
    <w:rsid w:val="0040457D"/>
    <w:rsid w:val="0041131F"/>
    <w:rsid w:val="004230FD"/>
    <w:rsid w:val="0042434F"/>
    <w:rsid w:val="004337AD"/>
    <w:rsid w:val="0046034D"/>
    <w:rsid w:val="004715F5"/>
    <w:rsid w:val="004720AF"/>
    <w:rsid w:val="0047264E"/>
    <w:rsid w:val="00472D4A"/>
    <w:rsid w:val="004A7DD9"/>
    <w:rsid w:val="004B108B"/>
    <w:rsid w:val="004D46D7"/>
    <w:rsid w:val="004F5057"/>
    <w:rsid w:val="00503958"/>
    <w:rsid w:val="00504916"/>
    <w:rsid w:val="0051637A"/>
    <w:rsid w:val="005166DD"/>
    <w:rsid w:val="0054311B"/>
    <w:rsid w:val="00543AE4"/>
    <w:rsid w:val="00556C74"/>
    <w:rsid w:val="005620F4"/>
    <w:rsid w:val="00572043"/>
    <w:rsid w:val="00572886"/>
    <w:rsid w:val="00576082"/>
    <w:rsid w:val="00577523"/>
    <w:rsid w:val="0058073D"/>
    <w:rsid w:val="00594DEB"/>
    <w:rsid w:val="00597D22"/>
    <w:rsid w:val="005B7169"/>
    <w:rsid w:val="005E50FB"/>
    <w:rsid w:val="005E7768"/>
    <w:rsid w:val="00603186"/>
    <w:rsid w:val="0060449D"/>
    <w:rsid w:val="00617A63"/>
    <w:rsid w:val="00624960"/>
    <w:rsid w:val="00633BCB"/>
    <w:rsid w:val="00635F0C"/>
    <w:rsid w:val="00637657"/>
    <w:rsid w:val="00642D19"/>
    <w:rsid w:val="0065459D"/>
    <w:rsid w:val="00683146"/>
    <w:rsid w:val="00686DCC"/>
    <w:rsid w:val="006963D8"/>
    <w:rsid w:val="006A0637"/>
    <w:rsid w:val="006A0846"/>
    <w:rsid w:val="006A2D99"/>
    <w:rsid w:val="006A3673"/>
    <w:rsid w:val="006A3AD3"/>
    <w:rsid w:val="006A3EAA"/>
    <w:rsid w:val="006A79C9"/>
    <w:rsid w:val="006B6322"/>
    <w:rsid w:val="006B6C9A"/>
    <w:rsid w:val="006D0386"/>
    <w:rsid w:val="006D4389"/>
    <w:rsid w:val="006D628E"/>
    <w:rsid w:val="006E789D"/>
    <w:rsid w:val="00702900"/>
    <w:rsid w:val="00704542"/>
    <w:rsid w:val="00704BE0"/>
    <w:rsid w:val="00731690"/>
    <w:rsid w:val="0074230C"/>
    <w:rsid w:val="00743C90"/>
    <w:rsid w:val="007475B5"/>
    <w:rsid w:val="007477AD"/>
    <w:rsid w:val="00753631"/>
    <w:rsid w:val="00753C85"/>
    <w:rsid w:val="00766184"/>
    <w:rsid w:val="00777368"/>
    <w:rsid w:val="0078154E"/>
    <w:rsid w:val="00781D0A"/>
    <w:rsid w:val="0079082A"/>
    <w:rsid w:val="007B19E2"/>
    <w:rsid w:val="007C5DDA"/>
    <w:rsid w:val="007D2D26"/>
    <w:rsid w:val="007D583F"/>
    <w:rsid w:val="007E117E"/>
    <w:rsid w:val="007E3E01"/>
    <w:rsid w:val="0082269A"/>
    <w:rsid w:val="0083181E"/>
    <w:rsid w:val="00845736"/>
    <w:rsid w:val="00853510"/>
    <w:rsid w:val="008748FC"/>
    <w:rsid w:val="00882118"/>
    <w:rsid w:val="008846C1"/>
    <w:rsid w:val="00885476"/>
    <w:rsid w:val="00892BD3"/>
    <w:rsid w:val="008B4DB3"/>
    <w:rsid w:val="008B7EEC"/>
    <w:rsid w:val="008C2E6A"/>
    <w:rsid w:val="008C683A"/>
    <w:rsid w:val="008C7DCF"/>
    <w:rsid w:val="008D2D7A"/>
    <w:rsid w:val="008F0949"/>
    <w:rsid w:val="008F352B"/>
    <w:rsid w:val="00904F04"/>
    <w:rsid w:val="00917158"/>
    <w:rsid w:val="0093243C"/>
    <w:rsid w:val="00944270"/>
    <w:rsid w:val="00963574"/>
    <w:rsid w:val="009720F6"/>
    <w:rsid w:val="009765ED"/>
    <w:rsid w:val="009771C2"/>
    <w:rsid w:val="0098020C"/>
    <w:rsid w:val="00985693"/>
    <w:rsid w:val="0099316E"/>
    <w:rsid w:val="009A7284"/>
    <w:rsid w:val="009C6D3C"/>
    <w:rsid w:val="009D56D1"/>
    <w:rsid w:val="009E7D85"/>
    <w:rsid w:val="00A02B33"/>
    <w:rsid w:val="00A05249"/>
    <w:rsid w:val="00A102EC"/>
    <w:rsid w:val="00A24E4E"/>
    <w:rsid w:val="00A26DCD"/>
    <w:rsid w:val="00A31715"/>
    <w:rsid w:val="00A3632D"/>
    <w:rsid w:val="00A37F06"/>
    <w:rsid w:val="00A411E0"/>
    <w:rsid w:val="00A41EC5"/>
    <w:rsid w:val="00A54A0E"/>
    <w:rsid w:val="00A57450"/>
    <w:rsid w:val="00A729F7"/>
    <w:rsid w:val="00A820B2"/>
    <w:rsid w:val="00A842F6"/>
    <w:rsid w:val="00A87340"/>
    <w:rsid w:val="00A97252"/>
    <w:rsid w:val="00AA53EA"/>
    <w:rsid w:val="00AA5892"/>
    <w:rsid w:val="00AB2A33"/>
    <w:rsid w:val="00AC4246"/>
    <w:rsid w:val="00AD06A4"/>
    <w:rsid w:val="00AD6994"/>
    <w:rsid w:val="00B071AE"/>
    <w:rsid w:val="00B11306"/>
    <w:rsid w:val="00B160F3"/>
    <w:rsid w:val="00B22E3E"/>
    <w:rsid w:val="00B27193"/>
    <w:rsid w:val="00B33834"/>
    <w:rsid w:val="00B529CD"/>
    <w:rsid w:val="00B551BE"/>
    <w:rsid w:val="00B5583D"/>
    <w:rsid w:val="00B55AFB"/>
    <w:rsid w:val="00B80112"/>
    <w:rsid w:val="00B83446"/>
    <w:rsid w:val="00B92EBF"/>
    <w:rsid w:val="00BA2247"/>
    <w:rsid w:val="00BA430A"/>
    <w:rsid w:val="00BC7066"/>
    <w:rsid w:val="00BC75E4"/>
    <w:rsid w:val="00BC7C13"/>
    <w:rsid w:val="00BE194C"/>
    <w:rsid w:val="00BF15B3"/>
    <w:rsid w:val="00BF1D71"/>
    <w:rsid w:val="00C22074"/>
    <w:rsid w:val="00C37266"/>
    <w:rsid w:val="00C445A7"/>
    <w:rsid w:val="00C563D3"/>
    <w:rsid w:val="00C62820"/>
    <w:rsid w:val="00C87436"/>
    <w:rsid w:val="00C93A12"/>
    <w:rsid w:val="00CA06B7"/>
    <w:rsid w:val="00CC1AFE"/>
    <w:rsid w:val="00CC28CA"/>
    <w:rsid w:val="00CD3647"/>
    <w:rsid w:val="00CE6856"/>
    <w:rsid w:val="00D07E3C"/>
    <w:rsid w:val="00D173A4"/>
    <w:rsid w:val="00D326D9"/>
    <w:rsid w:val="00D517C2"/>
    <w:rsid w:val="00D52E0B"/>
    <w:rsid w:val="00D558D0"/>
    <w:rsid w:val="00D632A9"/>
    <w:rsid w:val="00D64B7E"/>
    <w:rsid w:val="00D67C9B"/>
    <w:rsid w:val="00D7742E"/>
    <w:rsid w:val="00D96EE7"/>
    <w:rsid w:val="00DA1381"/>
    <w:rsid w:val="00DA4B39"/>
    <w:rsid w:val="00DB26C4"/>
    <w:rsid w:val="00DB7BF5"/>
    <w:rsid w:val="00DC4BB1"/>
    <w:rsid w:val="00DC5B33"/>
    <w:rsid w:val="00DD2F1D"/>
    <w:rsid w:val="00DE4E79"/>
    <w:rsid w:val="00DE7373"/>
    <w:rsid w:val="00E02D18"/>
    <w:rsid w:val="00E0628D"/>
    <w:rsid w:val="00E063BA"/>
    <w:rsid w:val="00E07F93"/>
    <w:rsid w:val="00E200CA"/>
    <w:rsid w:val="00E20CA3"/>
    <w:rsid w:val="00E32696"/>
    <w:rsid w:val="00E40FCE"/>
    <w:rsid w:val="00E42CE8"/>
    <w:rsid w:val="00E4720D"/>
    <w:rsid w:val="00E477E4"/>
    <w:rsid w:val="00E5055C"/>
    <w:rsid w:val="00E56ED4"/>
    <w:rsid w:val="00E627F6"/>
    <w:rsid w:val="00E6307D"/>
    <w:rsid w:val="00E753D2"/>
    <w:rsid w:val="00E7674D"/>
    <w:rsid w:val="00E9150A"/>
    <w:rsid w:val="00EA1A6E"/>
    <w:rsid w:val="00EA5F63"/>
    <w:rsid w:val="00EF58AA"/>
    <w:rsid w:val="00F02569"/>
    <w:rsid w:val="00F03441"/>
    <w:rsid w:val="00F302F6"/>
    <w:rsid w:val="00F30403"/>
    <w:rsid w:val="00F31A42"/>
    <w:rsid w:val="00F43FD9"/>
    <w:rsid w:val="00F65E4C"/>
    <w:rsid w:val="00F74215"/>
    <w:rsid w:val="00F77902"/>
    <w:rsid w:val="00F84210"/>
    <w:rsid w:val="00F87CED"/>
    <w:rsid w:val="00FA35C4"/>
    <w:rsid w:val="00FB0AC8"/>
    <w:rsid w:val="00FB1F20"/>
    <w:rsid w:val="00FB5637"/>
    <w:rsid w:val="00FC6D2D"/>
    <w:rsid w:val="00FE4A8F"/>
    <w:rsid w:val="00FE5440"/>
    <w:rsid w:val="00FE666F"/>
    <w:rsid w:val="00FE759A"/>
    <w:rsid w:val="00FF01CD"/>
    <w:rsid w:val="00FF4335"/>
    <w:rsid w:val="0A7264C5"/>
    <w:rsid w:val="13B224CF"/>
    <w:rsid w:val="1A240166"/>
    <w:rsid w:val="5B6D483E"/>
    <w:rsid w:val="68E97853"/>
    <w:rsid w:val="6AA6124F"/>
    <w:rsid w:val="73B375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45"/>
    <w:pPr>
      <w:widowControl w:val="0"/>
      <w:jc w:val="both"/>
    </w:pPr>
    <w:rPr>
      <w:rFonts w:ascii="Times New Roman" w:hAnsi="Times New Roman"/>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3A45"/>
    <w:pPr>
      <w:tabs>
        <w:tab w:val="center" w:pos="4153"/>
        <w:tab w:val="right" w:pos="8306"/>
      </w:tabs>
      <w:snapToGrid w:val="0"/>
      <w:jc w:val="left"/>
    </w:pPr>
    <w:rPr>
      <w:sz w:val="18"/>
      <w:szCs w:val="20"/>
    </w:rPr>
  </w:style>
  <w:style w:type="character" w:customStyle="1" w:styleId="FooterChar">
    <w:name w:val="Footer Char"/>
    <w:basedOn w:val="DefaultParagraphFont"/>
    <w:link w:val="Footer"/>
    <w:uiPriority w:val="99"/>
    <w:semiHidden/>
    <w:locked/>
    <w:rsid w:val="00203A45"/>
    <w:rPr>
      <w:rFonts w:eastAsia="Times New Roman" w:cs="Times New Roman"/>
      <w:kern w:val="2"/>
      <w:sz w:val="18"/>
    </w:rPr>
  </w:style>
  <w:style w:type="paragraph" w:styleId="Header">
    <w:name w:val="header"/>
    <w:basedOn w:val="Normal"/>
    <w:link w:val="HeaderChar"/>
    <w:uiPriority w:val="99"/>
    <w:rsid w:val="00203A45"/>
    <w:pPr>
      <w:pBdr>
        <w:bottom w:val="single" w:sz="6" w:space="1" w:color="auto"/>
      </w:pBdr>
      <w:tabs>
        <w:tab w:val="center" w:pos="4153"/>
        <w:tab w:val="right" w:pos="8306"/>
      </w:tabs>
      <w:snapToGrid w:val="0"/>
      <w:jc w:val="center"/>
    </w:pPr>
    <w:rPr>
      <w:sz w:val="18"/>
      <w:szCs w:val="20"/>
    </w:rPr>
  </w:style>
  <w:style w:type="character" w:customStyle="1" w:styleId="HeaderChar">
    <w:name w:val="Header Char"/>
    <w:basedOn w:val="DefaultParagraphFont"/>
    <w:link w:val="Header"/>
    <w:uiPriority w:val="99"/>
    <w:semiHidden/>
    <w:locked/>
    <w:rsid w:val="00203A45"/>
    <w:rPr>
      <w:rFonts w:eastAsia="Times New Roman" w:cs="Times New Roman"/>
      <w:kern w:val="2"/>
      <w:sz w:val="18"/>
    </w:rPr>
  </w:style>
  <w:style w:type="character" w:styleId="PageNumber">
    <w:name w:val="page number"/>
    <w:basedOn w:val="DefaultParagraphFont"/>
    <w:uiPriority w:val="99"/>
    <w:rsid w:val="00203A45"/>
    <w:rPr>
      <w:rFonts w:cs="Times New Roman"/>
    </w:rPr>
  </w:style>
  <w:style w:type="character" w:styleId="Hyperlink">
    <w:name w:val="Hyperlink"/>
    <w:basedOn w:val="DefaultParagraphFont"/>
    <w:uiPriority w:val="99"/>
    <w:rsid w:val="00203A45"/>
    <w:rPr>
      <w:rFonts w:cs="Times New Roman"/>
      <w:color w:val="0000FF"/>
      <w:u w:val="single"/>
    </w:rPr>
  </w:style>
  <w:style w:type="character" w:customStyle="1" w:styleId="Char">
    <w:name w:val="日期 Char"/>
    <w:link w:val="1"/>
    <w:uiPriority w:val="99"/>
    <w:semiHidden/>
    <w:locked/>
    <w:rsid w:val="00203A45"/>
    <w:rPr>
      <w:rFonts w:eastAsia="Times New Roman"/>
      <w:kern w:val="2"/>
      <w:sz w:val="24"/>
    </w:rPr>
  </w:style>
  <w:style w:type="paragraph" w:customStyle="1" w:styleId="1">
    <w:name w:val="日期1"/>
    <w:basedOn w:val="Normal"/>
    <w:next w:val="Normal"/>
    <w:link w:val="Char"/>
    <w:uiPriority w:val="99"/>
    <w:rsid w:val="00203A45"/>
    <w:pPr>
      <w:ind w:leftChars="2500" w:left="100"/>
    </w:pPr>
    <w:rPr>
      <w:rFonts w:ascii="Calibri" w:hAnsi="Calibri"/>
      <w:sz w:val="24"/>
      <w:szCs w:val="20"/>
    </w:rPr>
  </w:style>
  <w:style w:type="paragraph" w:customStyle="1" w:styleId="10">
    <w:name w:val="列出段落1"/>
    <w:basedOn w:val="Normal"/>
    <w:uiPriority w:val="99"/>
    <w:rsid w:val="00203A45"/>
    <w:pPr>
      <w:ind w:firstLineChars="200" w:firstLine="420"/>
    </w:pPr>
  </w:style>
  <w:style w:type="character" w:customStyle="1" w:styleId="11">
    <w:name w:val="页码1"/>
    <w:uiPriority w:val="99"/>
    <w:rsid w:val="00203A45"/>
  </w:style>
  <w:style w:type="character" w:customStyle="1" w:styleId="fontstyle01">
    <w:name w:val="fontstyle01"/>
    <w:uiPriority w:val="99"/>
    <w:rsid w:val="00203A45"/>
    <w:rPr>
      <w:rFonts w:ascii="??_GB2312" w:eastAsia="Times New Roman"/>
      <w:color w:val="000000"/>
      <w:sz w:val="32"/>
    </w:rPr>
  </w:style>
  <w:style w:type="character" w:customStyle="1" w:styleId="fontstyle11">
    <w:name w:val="fontstyle11"/>
    <w:uiPriority w:val="99"/>
    <w:rsid w:val="00203A45"/>
    <w:rPr>
      <w:rFonts w:ascii="TimesNewRomanPSMT" w:hAnsi="TimesNewRomanPSMT"/>
      <w:color w:val="000000"/>
      <w:sz w:val="32"/>
    </w:rPr>
  </w:style>
  <w:style w:type="character" w:customStyle="1" w:styleId="fontstyle21">
    <w:name w:val="fontstyle21"/>
    <w:uiPriority w:val="99"/>
    <w:rsid w:val="00203A45"/>
    <w:rPr>
      <w:rFonts w:ascii="TimesNewRomanPSMT" w:hAnsi="TimesNewRomanPSMT"/>
      <w:color w:val="000000"/>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508</Words>
  <Characters>2901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C33</dc:title>
  <dc:subject/>
  <dc:creator>C33</dc:creator>
  <cp:keywords/>
  <dc:description/>
  <cp:lastModifiedBy>微软用户</cp:lastModifiedBy>
  <cp:revision>110</cp:revision>
  <cp:lastPrinted>2020-03-13T08:58:00Z</cp:lastPrinted>
  <dcterms:created xsi:type="dcterms:W3CDTF">2019-10-08T17:43:00Z</dcterms:created>
  <dcterms:modified xsi:type="dcterms:W3CDTF">2020-03-13T09:12:00Z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