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580" w:lineRule="exact"/>
        <w:jc w:val="center"/>
        <w:rPr>
          <w:rFonts w:eastAsia="方正小标宋简体"/>
          <w:b w:val="0"/>
          <w:sz w:val="44"/>
          <w:szCs w:val="44"/>
        </w:rPr>
      </w:pPr>
      <w:bookmarkStart w:id="0" w:name="_GoBack"/>
      <w:bookmarkEnd w:id="0"/>
    </w:p>
    <w:p>
      <w:pPr>
        <w:pStyle w:val="3"/>
        <w:spacing w:before="0" w:after="0" w:line="580" w:lineRule="exact"/>
        <w:jc w:val="center"/>
        <w:rPr>
          <w:rFonts w:eastAsia="方正小标宋简体"/>
          <w:b w:val="0"/>
          <w:sz w:val="44"/>
          <w:szCs w:val="44"/>
          <w:lang w:val="en"/>
        </w:rPr>
      </w:pPr>
      <w:r>
        <w:rPr>
          <w:rFonts w:eastAsia="方正小标宋简体"/>
          <w:b w:val="0"/>
          <w:sz w:val="44"/>
          <w:szCs w:val="44"/>
        </w:rPr>
        <w:t>关于《</w:t>
      </w:r>
      <w:r>
        <w:rPr>
          <w:rFonts w:hint="eastAsia" w:eastAsia="方正小标宋简体"/>
          <w:b w:val="0"/>
          <w:sz w:val="44"/>
          <w:szCs w:val="44"/>
        </w:rPr>
        <w:t>温州市生态环境保护“十四五”规划</w:t>
      </w:r>
      <w:r>
        <w:rPr>
          <w:rFonts w:eastAsia="方正小标宋简体"/>
          <w:b w:val="0"/>
          <w:sz w:val="44"/>
          <w:szCs w:val="44"/>
        </w:rPr>
        <w:t>》等</w:t>
      </w:r>
      <w:r>
        <w:rPr>
          <w:rFonts w:hint="eastAsia" w:eastAsia="方正小标宋简体"/>
          <w:b w:val="0"/>
          <w:sz w:val="44"/>
          <w:szCs w:val="44"/>
        </w:rPr>
        <w:t>3</w:t>
      </w:r>
      <w:r>
        <w:rPr>
          <w:rFonts w:eastAsia="方正小标宋简体"/>
          <w:b w:val="0"/>
          <w:sz w:val="44"/>
          <w:szCs w:val="44"/>
        </w:rPr>
        <w:t>个重点专项规划</w:t>
      </w:r>
      <w:r>
        <w:rPr>
          <w:rFonts w:hint="eastAsia" w:eastAsia="方正小标宋简体"/>
          <w:b w:val="0"/>
          <w:sz w:val="44"/>
          <w:szCs w:val="44"/>
        </w:rPr>
        <w:t>编制</w:t>
      </w:r>
      <w:r>
        <w:rPr>
          <w:rFonts w:eastAsia="方正小标宋简体"/>
          <w:b w:val="0"/>
          <w:sz w:val="44"/>
          <w:szCs w:val="44"/>
        </w:rPr>
        <w:t>说明</w:t>
      </w:r>
    </w:p>
    <w:p>
      <w:pPr>
        <w:pStyle w:val="6"/>
        <w:spacing w:line="580" w:lineRule="exact"/>
      </w:pPr>
    </w:p>
    <w:p>
      <w:pPr>
        <w:pStyle w:val="3"/>
        <w:spacing w:before="0" w:after="0" w:line="580" w:lineRule="exact"/>
        <w:ind w:firstLine="640" w:firstLineChars="200"/>
        <w:rPr>
          <w:rFonts w:eastAsia="黑体"/>
          <w:b w:val="0"/>
          <w:bCs/>
        </w:rPr>
      </w:pPr>
      <w:r>
        <w:rPr>
          <w:rFonts w:eastAsia="黑体"/>
          <w:b w:val="0"/>
          <w:bCs/>
        </w:rPr>
        <w:t>一、起草背景及编制过程</w:t>
      </w:r>
    </w:p>
    <w:p>
      <w:pPr>
        <w:spacing w:line="580" w:lineRule="exact"/>
        <w:ind w:firstLine="640"/>
        <w:rPr>
          <w:rFonts w:hint="eastAsia" w:ascii="仿宋_GB2312" w:hAnsi="仿宋_GB2312" w:cs="仿宋_GB2312"/>
        </w:rPr>
      </w:pPr>
      <w:r>
        <w:rPr>
          <w:rFonts w:hint="eastAsia"/>
        </w:rPr>
        <w:t>“十四五”是在全面建成小康社会基础上开启社会主义现代化强国建设新征程的第一个五年规划期，也是我市打造高质量发展建设共同富裕示范区市域样板的关键期、窗口期和攻坚期，因此做好“十四五”规划的编制意义十分重大。我们农经口的重点专项规划主要有三个，分别是市生态环境局牵头编制的《温州市生态环境保护“十四五”规划》、市农业农村局牵头编制的《温州市农业农村现代化“十四五”规划》和市水利局牵头编制的《温州市水安全保障“十四五”规划》。娄绍光副市长对重点专项规划的编制工作高度重视，多次听取编制情况汇报、并提出指导意见。市生态环境局、市农业农村局和市水利局早谋划、早部署，分别在2019年下半年和2020年初成立</w:t>
      </w:r>
      <w:r>
        <w:rPr>
          <w:rFonts w:hint="eastAsia" w:ascii="仿宋_GB2312"/>
        </w:rPr>
        <w:t>规划编制专班、</w:t>
      </w:r>
      <w:r>
        <w:rPr>
          <w:rFonts w:hint="eastAsia"/>
        </w:rPr>
        <w:t>启动规划编制工作。规划编制过程中，按照“开门编规划”的要求，通过</w:t>
      </w:r>
      <w:r>
        <w:rPr>
          <w:rFonts w:hint="eastAsia" w:ascii="仿宋_GB2312"/>
        </w:rPr>
        <w:t>网络建言、专题沙龙、走访调研、定向咨询、公开征求意见等方式，多渠道征询社会各界意见建议，坚持开门问策，</w:t>
      </w:r>
      <w:r>
        <w:rPr>
          <w:rFonts w:hint="eastAsia" w:ascii="仿宋_GB2312" w:hAnsi="仿宋_GB2312" w:cs="仿宋_GB2312"/>
        </w:rPr>
        <w:t>集思广益，切实把社会期盼、群众智慧、专家意见、基层经验吸收到《规划》中来。目前三个《规划》都已完成专家评审、市级部门论证、重大行政决策网上公开意见征求、市规划办审核、合法性审查等流程，并经多轮</w:t>
      </w:r>
      <w:r>
        <w:rPr>
          <w:rFonts w:hint="eastAsia" w:ascii="仿宋_GB2312" w:hAnsi="仿宋_GB2312" w:cs="仿宋_GB2312"/>
          <w:color w:val="000000"/>
        </w:rPr>
        <w:t>修改完善，</w:t>
      </w:r>
      <w:r>
        <w:rPr>
          <w:rFonts w:hint="eastAsia" w:ascii="仿宋_GB2312" w:hAnsi="仿宋_GB2312" w:cs="仿宋_GB2312"/>
        </w:rPr>
        <w:t>形成今天的送审稿。</w:t>
      </w:r>
    </w:p>
    <w:p>
      <w:pPr>
        <w:spacing w:line="580" w:lineRule="exact"/>
        <w:ind w:firstLine="640"/>
        <w:rPr>
          <w:rFonts w:eastAsia="黑体"/>
          <w:bCs/>
        </w:rPr>
      </w:pPr>
      <w:r>
        <w:rPr>
          <w:rFonts w:eastAsia="黑体"/>
          <w:bCs/>
        </w:rPr>
        <w:t>二、主要内容</w:t>
      </w:r>
    </w:p>
    <w:p>
      <w:pPr>
        <w:pStyle w:val="11"/>
        <w:spacing w:line="580" w:lineRule="exact"/>
        <w:ind w:firstLine="640"/>
        <w:rPr>
          <w:rFonts w:hint="eastAsia" w:ascii="楷体_GB2312" w:hAnsi="楷体_GB2312" w:eastAsia="楷体_GB2312" w:cs="楷体_GB2312"/>
          <w:bCs/>
        </w:rPr>
      </w:pPr>
      <w:r>
        <w:rPr>
          <w:rFonts w:hint="eastAsia" w:ascii="楷体_GB2312" w:hAnsi="楷体_GB2312" w:eastAsia="楷体_GB2312" w:cs="楷体_GB2312"/>
          <w:bCs/>
        </w:rPr>
        <w:t>（一）《温州市生态环境保护“十四五”规划》</w:t>
      </w:r>
    </w:p>
    <w:p>
      <w:pPr>
        <w:pStyle w:val="11"/>
        <w:spacing w:line="580" w:lineRule="exact"/>
        <w:ind w:firstLine="640"/>
        <w:rPr>
          <w:rFonts w:hint="eastAsia" w:ascii="仿宋_GB2312" w:hAnsi="仿宋_GB2312" w:cs="仿宋_GB2312"/>
          <w:bCs/>
        </w:rPr>
      </w:pPr>
      <w:r>
        <w:rPr>
          <w:rFonts w:hint="eastAsia" w:ascii="楷体_GB2312" w:hAnsi="楷体_GB2312" w:eastAsia="楷体_GB2312" w:cs="楷体_GB2312"/>
          <w:bCs/>
        </w:rPr>
        <w:t>1.主要目标。</w:t>
      </w:r>
      <w:r>
        <w:rPr>
          <w:rFonts w:hint="eastAsia" w:ascii="仿宋_GB2312" w:hAnsi="仿宋_GB2312" w:cs="仿宋_GB2312"/>
          <w:bCs/>
        </w:rPr>
        <w:t>规划目标分设总体目标、具体目标和2035年远景目标，并围绕环境质量、污染减排、风险防控、生态保护和低碳发展5大领域，共设置20项指标，其中约束性指标7项，预期性指标13项。</w:t>
      </w:r>
    </w:p>
    <w:p>
      <w:pPr>
        <w:pStyle w:val="11"/>
        <w:spacing w:line="580" w:lineRule="exact"/>
        <w:ind w:firstLine="640"/>
        <w:rPr>
          <w:rFonts w:hint="eastAsia" w:ascii="仿宋_GB2312" w:hAnsi="仿宋_GB2312" w:cs="仿宋_GB2312"/>
          <w:bCs/>
        </w:rPr>
      </w:pPr>
      <w:r>
        <w:rPr>
          <w:rFonts w:hint="eastAsia" w:ascii="楷体_GB2312" w:hAnsi="楷体_GB2312" w:eastAsia="楷体_GB2312" w:cs="楷体_GB2312"/>
          <w:bCs/>
        </w:rPr>
        <w:t>2.主要任务。</w:t>
      </w:r>
      <w:r>
        <w:rPr>
          <w:rFonts w:hint="eastAsia" w:ascii="仿宋_GB2312" w:hAnsi="仿宋_GB2312" w:cs="仿宋_GB2312"/>
          <w:bCs/>
        </w:rPr>
        <w:t>规划明确了生态环境主要领域的重点任务，包括绿色发展、生态保护修复、温室气体排放管理、大气环境治理、水环境治理、海洋环境保护、土壤和地下水保护、无废城市建设、噪声监管、环境风险防控、改革创新、数字赋能共12个主要领域的重点任务。</w:t>
      </w:r>
    </w:p>
    <w:p>
      <w:pPr>
        <w:pStyle w:val="11"/>
        <w:spacing w:line="580" w:lineRule="exact"/>
        <w:ind w:firstLine="640"/>
        <w:rPr>
          <w:rFonts w:hint="eastAsia" w:ascii="仿宋_GB2312" w:hAnsi="仿宋_GB2312" w:cs="仿宋_GB2312"/>
          <w:bCs/>
        </w:rPr>
      </w:pPr>
      <w:r>
        <w:rPr>
          <w:rFonts w:hint="eastAsia" w:ascii="楷体_GB2312" w:hAnsi="楷体_GB2312" w:eastAsia="楷体_GB2312" w:cs="楷体_GB2312"/>
          <w:bCs/>
        </w:rPr>
        <w:t>3.主要特色。</w:t>
      </w:r>
      <w:r>
        <w:rPr>
          <w:rFonts w:hint="eastAsia" w:ascii="仿宋_GB2312" w:hAnsi="仿宋_GB2312" w:cs="仿宋_GB2312"/>
          <w:b/>
          <w:bCs/>
        </w:rPr>
        <w:t>一是优化目标设置。</w:t>
      </w:r>
      <w:r>
        <w:rPr>
          <w:rFonts w:hint="eastAsia" w:ascii="仿宋_GB2312" w:hAnsi="仿宋_GB2312" w:cs="仿宋_GB2312"/>
        </w:rPr>
        <w:t>《</w:t>
      </w:r>
      <w:r>
        <w:rPr>
          <w:rFonts w:hint="eastAsia" w:ascii="仿宋_GB2312" w:hAnsi="仿宋_GB2312" w:cs="仿宋_GB2312"/>
          <w:bCs/>
        </w:rPr>
        <w:t>规划》全面覆盖12个生态环境保护工作领域，目标值已与上位规划充分衔接，其中部分指标待上级分解下达；“地表水省控以上断面V类水比例”指标调整为“地表水市控以上断面V类水比例”，提高了要求。</w:t>
      </w:r>
      <w:r>
        <w:rPr>
          <w:rFonts w:hint="eastAsia" w:ascii="仿宋_GB2312" w:hAnsi="仿宋_GB2312" w:cs="仿宋_GB2312"/>
          <w:b/>
          <w:bCs/>
        </w:rPr>
        <w:t>二是突出数字化引领。</w:t>
      </w:r>
      <w:r>
        <w:rPr>
          <w:rFonts w:hint="eastAsia" w:ascii="仿宋_GB2312" w:hAnsi="仿宋_GB2312" w:cs="仿宋_GB2312"/>
          <w:bCs/>
        </w:rPr>
        <w:t>《规划》围绕治理体系和治理能力现代化要求，以数字化改革为牵引，以迭代升级美丽温州“云管家”平台为抓手，通过整合时空、区域、流域、行业等不同维度环境信息数据，融合大气环境、水环境、固废、噪声等生态环境管理核心业务，全面提升生态环境治理科学化、智能化水平。</w:t>
      </w:r>
      <w:r>
        <w:rPr>
          <w:rFonts w:hint="eastAsia" w:ascii="仿宋_GB2312" w:hAnsi="仿宋_GB2312" w:cs="仿宋_GB2312"/>
          <w:b/>
          <w:bCs/>
        </w:rPr>
        <w:t>三是实施清单化管理。</w:t>
      </w:r>
      <w:r>
        <w:rPr>
          <w:rFonts w:hint="eastAsia" w:ascii="仿宋_GB2312" w:hAnsi="仿宋_GB2312" w:cs="仿宋_GB2312"/>
          <w:bCs/>
        </w:rPr>
        <w:t>《规划》突破以往仅以工程项目为单一支撑的做法，参照市委市政府“六重清单”的做法，结合生态环境保护工作特点，谋划建立了试点建设、制度建设、项目建设、能力保障</w:t>
      </w:r>
      <w:r>
        <w:rPr>
          <w:rFonts w:ascii="仿宋_GB2312" w:hAnsi="仿宋_GB2312" w:cs="仿宋_GB2312"/>
          <w:bCs/>
        </w:rPr>
        <w:t>4</w:t>
      </w:r>
      <w:r>
        <w:rPr>
          <w:rFonts w:hint="eastAsia" w:ascii="仿宋_GB2312" w:hAnsi="仿宋_GB2312" w:cs="仿宋_GB2312"/>
          <w:bCs/>
        </w:rPr>
        <w:t>张清单，兼顾制度性“软件”建设和设施性“硬件”保障，通过实施清单化管理，确保规划可实施、能落地、见真效。</w:t>
      </w:r>
    </w:p>
    <w:p>
      <w:pPr>
        <w:pStyle w:val="11"/>
        <w:spacing w:line="580" w:lineRule="exact"/>
        <w:ind w:firstLine="640"/>
        <w:rPr>
          <w:rFonts w:hint="eastAsia" w:ascii="楷体_GB2312" w:hAnsi="楷体_GB2312" w:eastAsia="楷体_GB2312" w:cs="楷体_GB2312"/>
          <w:bCs/>
        </w:rPr>
      </w:pPr>
      <w:r>
        <w:rPr>
          <w:rFonts w:hint="eastAsia" w:ascii="楷体_GB2312" w:hAnsi="楷体_GB2312" w:eastAsia="楷体_GB2312" w:cs="楷体_GB2312"/>
          <w:bCs/>
        </w:rPr>
        <w:t>（二）《温州市农业农村现代化“十四五”规划》</w:t>
      </w:r>
    </w:p>
    <w:p>
      <w:pPr>
        <w:pStyle w:val="11"/>
        <w:spacing w:line="580" w:lineRule="exact"/>
        <w:ind w:firstLine="640"/>
        <w:rPr>
          <w:rFonts w:hint="eastAsia" w:cs="仿宋_GB2312"/>
        </w:rPr>
      </w:pPr>
      <w:r>
        <w:rPr>
          <w:rFonts w:hint="eastAsia" w:ascii="楷体_GB2312" w:hAnsi="楷体_GB2312" w:eastAsia="楷体_GB2312" w:cs="楷体_GB2312"/>
          <w:bCs/>
        </w:rPr>
        <w:t>1.主要目标。</w:t>
      </w:r>
      <w:r>
        <w:rPr>
          <w:rFonts w:hint="eastAsia" w:ascii="仿宋_GB2312" w:cs="仿宋_GB2312"/>
          <w:kern w:val="0"/>
        </w:rPr>
        <w:t>《规划》提出要围绕“打造</w:t>
      </w:r>
      <w:r>
        <w:rPr>
          <w:rFonts w:ascii="仿宋_GB2312" w:cs="仿宋_GB2312"/>
          <w:kern w:val="0"/>
        </w:rPr>
        <w:t>高质量发展建设共同富裕示范区市域样板</w:t>
      </w:r>
      <w:r>
        <w:rPr>
          <w:rFonts w:hint="eastAsia" w:ascii="仿宋_GB2312" w:cs="仿宋_GB2312"/>
          <w:kern w:val="0"/>
        </w:rPr>
        <w:t>，争创农业农村现代化先行市”的目标，</w:t>
      </w:r>
      <w:r>
        <w:rPr>
          <w:rFonts w:hint="eastAsia" w:ascii="仿宋_GB2312" w:hAnsi="仿宋_GB2312" w:cs="仿宋_GB2312"/>
        </w:rPr>
        <w:t>到</w:t>
      </w:r>
      <w:r>
        <w:rPr>
          <w:rFonts w:hint="eastAsia" w:cs="仿宋_GB2312"/>
        </w:rPr>
        <w:t>2025</w:t>
      </w:r>
      <w:r>
        <w:rPr>
          <w:rFonts w:hint="eastAsia" w:ascii="仿宋_GB2312" w:hAnsi="仿宋_GB2312" w:cs="仿宋_GB2312"/>
        </w:rPr>
        <w:t>年，全市培育</w:t>
      </w:r>
      <w:r>
        <w:rPr>
          <w:rFonts w:hint="eastAsia" w:cs="仿宋_GB2312"/>
        </w:rPr>
        <w:t>1000</w:t>
      </w:r>
      <w:r>
        <w:rPr>
          <w:rFonts w:hint="eastAsia" w:ascii="仿宋_GB2312" w:hAnsi="仿宋_GB2312" w:cs="仿宋_GB2312"/>
        </w:rPr>
        <w:t>个“瓯越鲜风”标准化生产基地，建设</w:t>
      </w:r>
      <w:r>
        <w:rPr>
          <w:rFonts w:hint="eastAsia" w:cs="仿宋_GB2312"/>
        </w:rPr>
        <w:t>50</w:t>
      </w:r>
      <w:r>
        <w:rPr>
          <w:rFonts w:hint="eastAsia" w:ascii="仿宋_GB2312" w:hAnsi="仿宋_GB2312" w:cs="仿宋_GB2312"/>
        </w:rPr>
        <w:t>个市级特色农业强镇和</w:t>
      </w:r>
      <w:r>
        <w:rPr>
          <w:rFonts w:hint="eastAsia" w:cs="仿宋_GB2312"/>
        </w:rPr>
        <w:t>50</w:t>
      </w:r>
      <w:r>
        <w:rPr>
          <w:rFonts w:hint="eastAsia" w:ascii="仿宋_GB2312" w:hAnsi="仿宋_GB2312" w:cs="仿宋_GB2312"/>
        </w:rPr>
        <w:t>个市级特色农业产业园；新时代美丽乡村达标创建率达到</w:t>
      </w:r>
      <w:r>
        <w:rPr>
          <w:rFonts w:hint="eastAsia" w:cs="仿宋_GB2312"/>
        </w:rPr>
        <w:t>100%</w:t>
      </w:r>
      <w:r>
        <w:rPr>
          <w:rFonts w:hint="eastAsia" w:ascii="仿宋_GB2312" w:hAnsi="仿宋_GB2312" w:cs="仿宋_GB2312"/>
        </w:rPr>
        <w:t>，建成</w:t>
      </w:r>
      <w:r>
        <w:rPr>
          <w:rFonts w:hint="eastAsia" w:cs="仿宋_GB2312"/>
        </w:rPr>
        <w:t>109</w:t>
      </w:r>
      <w:r>
        <w:rPr>
          <w:rFonts w:hint="eastAsia" w:ascii="仿宋_GB2312" w:hAnsi="仿宋_GB2312" w:cs="仿宋_GB2312"/>
        </w:rPr>
        <w:t>条乡村振兴示范带；实现农民收入新增</w:t>
      </w:r>
      <w:r>
        <w:rPr>
          <w:rFonts w:hint="eastAsia" w:cs="仿宋_GB2312"/>
        </w:rPr>
        <w:t>15000</w:t>
      </w:r>
      <w:r>
        <w:rPr>
          <w:rFonts w:hint="eastAsia" w:ascii="仿宋_GB2312" w:hAnsi="仿宋_GB2312" w:cs="仿宋_GB2312"/>
        </w:rPr>
        <w:t>元左右，城乡居民收入比达到</w:t>
      </w:r>
      <w:r>
        <w:rPr>
          <w:rFonts w:hint="eastAsia" w:cs="仿宋_GB2312"/>
        </w:rPr>
        <w:t>1</w:t>
      </w:r>
      <w:r>
        <w:rPr>
          <w:rFonts w:hint="eastAsia" w:ascii="仿宋_GB2312" w:hAnsi="仿宋_GB2312" w:cs="仿宋_GB2312"/>
        </w:rPr>
        <w:t>.</w:t>
      </w:r>
      <w:r>
        <w:rPr>
          <w:rFonts w:hint="eastAsia" w:cs="仿宋_GB2312"/>
        </w:rPr>
        <w:t>9</w:t>
      </w:r>
      <w:r>
        <w:rPr>
          <w:rFonts w:hint="eastAsia" w:ascii="仿宋_GB2312" w:hAnsi="仿宋_GB2312" w:cs="仿宋_GB2312"/>
        </w:rPr>
        <w:t>:</w:t>
      </w:r>
      <w:r>
        <w:rPr>
          <w:rFonts w:hint="eastAsia" w:cs="仿宋_GB2312"/>
        </w:rPr>
        <w:t>1。</w:t>
      </w:r>
    </w:p>
    <w:p>
      <w:pPr>
        <w:pStyle w:val="11"/>
        <w:spacing w:line="580" w:lineRule="exact"/>
        <w:ind w:firstLine="640"/>
        <w:rPr>
          <w:rFonts w:hint="eastAsia" w:ascii="仿宋_GB2312" w:hAnsi="仿宋" w:cs="仿宋"/>
          <w:kern w:val="0"/>
        </w:rPr>
      </w:pPr>
      <w:r>
        <w:rPr>
          <w:rFonts w:hint="eastAsia" w:ascii="楷体_GB2312" w:hAnsi="楷体_GB2312" w:eastAsia="楷体_GB2312" w:cs="楷体_GB2312"/>
          <w:bCs/>
        </w:rPr>
        <w:t>2.主要任务。</w:t>
      </w:r>
      <w:r>
        <w:rPr>
          <w:rFonts w:hint="eastAsia" w:ascii="仿宋_GB2312" w:cs="仿宋_GB2312"/>
          <w:kern w:val="0"/>
        </w:rPr>
        <w:t>《规划》提出“五聚焦五先行”（也就是聚焦高质高效，打造产业融合发展的先行示范；聚焦宜居宜业，打造未来乡村建设的先行示范；聚焦富裕富足，打造推动共同富裕的先行示范；聚焦机制体制，打造激发创新动力的先行示范；聚焦智治善治，打造农村基层治理的先行示范的要求），谋划了</w:t>
      </w:r>
      <w:r>
        <w:rPr>
          <w:rFonts w:hint="eastAsia" w:ascii="仿宋_GB2312" w:hAnsi="仿宋" w:cs="仿宋"/>
          <w:kern w:val="0"/>
        </w:rPr>
        <w:t>“优化乡村发展布局”“推进乡村产业振兴”“建设宜居宜业乡村”“加快数字乡村建设”“推动城乡融合发展”“深化农村集成改革”“构建共同富裕机制”“提升乡村治理能力”等八个方面的重点任务。</w:t>
      </w:r>
    </w:p>
    <w:p>
      <w:pPr>
        <w:pStyle w:val="11"/>
        <w:spacing w:line="580" w:lineRule="exact"/>
        <w:ind w:firstLine="640"/>
        <w:rPr>
          <w:rFonts w:hint="eastAsia" w:ascii="仿宋_GB2312" w:hAnsi="Microsoft Yahei"/>
        </w:rPr>
      </w:pPr>
      <w:r>
        <w:rPr>
          <w:rFonts w:hint="eastAsia" w:ascii="楷体_GB2312" w:hAnsi="楷体_GB2312" w:eastAsia="楷体_GB2312" w:cs="楷体_GB2312"/>
          <w:bCs/>
        </w:rPr>
        <w:t>3.主要特色。</w:t>
      </w:r>
      <w:r>
        <w:rPr>
          <w:rFonts w:hint="eastAsia" w:ascii="仿宋_GB2312" w:hAnsi="仿宋_GB2312" w:cs="仿宋_GB2312"/>
          <w:b/>
          <w:bCs/>
        </w:rPr>
        <w:t>一是注重强化引领示范。</w:t>
      </w:r>
      <w:r>
        <w:rPr>
          <w:rFonts w:hint="eastAsia" w:ascii="仿宋_GB2312" w:cs="仿宋_GB2312"/>
          <w:kern w:val="0"/>
        </w:rPr>
        <w:t>《规划》立足于温州实际，围绕未来乡村建设、“三位一体”合作改革及“农业双强”等重点工作，全力打造具有温州辨识度的示范样板。在</w:t>
      </w:r>
      <w:r>
        <w:rPr>
          <w:rFonts w:hint="eastAsia" w:ascii="仿宋_GB2312" w:hAnsi="仿宋_GB2312" w:cs="仿宋_GB2312"/>
        </w:rPr>
        <w:t>未来乡村建设方面，把牢未来属性和发展规律，按照“五化十场景”的要求，积极探索政府主导、社会参与的有效路径，打造有归属感、舒适感、未来感的美好家园，</w:t>
      </w:r>
      <w:r>
        <w:rPr>
          <w:rFonts w:hint="eastAsia" w:ascii="仿宋_GB2312" w:hAnsi="仿宋_GB2312" w:cs="仿宋_GB2312"/>
          <w:bCs/>
        </w:rPr>
        <w:t>到</w:t>
      </w:r>
      <w:r>
        <w:rPr>
          <w:rFonts w:hint="eastAsia" w:cs="仿宋_GB2312"/>
          <w:bCs/>
        </w:rPr>
        <w:t>2025</w:t>
      </w:r>
      <w:r>
        <w:rPr>
          <w:rFonts w:hint="eastAsia" w:ascii="仿宋_GB2312" w:hAnsi="仿宋_GB2312" w:cs="仿宋_GB2312"/>
          <w:bCs/>
        </w:rPr>
        <w:t>年</w:t>
      </w:r>
      <w:r>
        <w:rPr>
          <w:rFonts w:hint="eastAsia" w:ascii="仿宋_GB2312" w:hAnsi="仿宋_GB2312" w:cs="仿宋_GB2312"/>
        </w:rPr>
        <w:t>全市打造以“十个一”标志、“十大”应用场景为主要特征的新时代未来乡村</w:t>
      </w:r>
      <w:r>
        <w:rPr>
          <w:rFonts w:hint="eastAsia" w:cs="仿宋_GB2312"/>
        </w:rPr>
        <w:t>168</w:t>
      </w:r>
      <w:r>
        <w:rPr>
          <w:rFonts w:hint="eastAsia" w:ascii="仿宋_GB2312" w:hAnsi="仿宋_GB2312" w:cs="仿宋_GB2312"/>
        </w:rPr>
        <w:t>个。</w:t>
      </w:r>
      <w:r>
        <w:rPr>
          <w:rFonts w:hint="eastAsia" w:ascii="仿宋_GB2312" w:cs="仿宋_GB2312"/>
          <w:kern w:val="0"/>
        </w:rPr>
        <w:t>在农村“三位一体”综合合作改革方面，</w:t>
      </w:r>
      <w:r>
        <w:rPr>
          <w:rFonts w:hint="eastAsia" w:ascii="仿宋_GB2312" w:hAnsi="仿宋_GB2312" w:cs="仿宋_GB2312"/>
          <w:bCs/>
        </w:rPr>
        <w:t>以共同富裕为目标，聚焦聚力组织化、现代化、一体化、数字化的提升建设，全面深化“三位一体”综合合作改革，“十四五”时期，市县乡三级农合联体系全面建成且规范运行，小农户融入现代农业组织化程度达</w:t>
      </w:r>
      <w:r>
        <w:rPr>
          <w:rFonts w:hint="eastAsia" w:cs="仿宋_GB2312"/>
          <w:bCs/>
        </w:rPr>
        <w:t>90%</w:t>
      </w:r>
      <w:r>
        <w:rPr>
          <w:rFonts w:hint="eastAsia" w:ascii="仿宋_GB2312" w:hAnsi="仿宋_GB2312" w:cs="仿宋_GB2312"/>
          <w:bCs/>
        </w:rPr>
        <w:t>以上，打造一批具有温州辨识度的实践样板和制度成果，争当农村经营制度创新的全国标杆。在“农业双强”方面，</w:t>
      </w:r>
      <w:r>
        <w:rPr>
          <w:rFonts w:hint="eastAsia" w:ascii="仿宋_GB2312" w:hAnsi="仿宋_GB2312" w:cs="仿宋_GB2312"/>
          <w:color w:val="000000"/>
        </w:rPr>
        <w:t>支持温州国家农业科技园区优化布局，建成省级奶牛种业重点实验室</w:t>
      </w:r>
      <w:r>
        <w:rPr>
          <w:rFonts w:ascii="仿宋_GB2312" w:hAnsi="仿宋_GB2312" w:cs="仿宋_GB2312"/>
          <w:color w:val="000000"/>
          <w:lang w:val="en"/>
        </w:rPr>
        <w:t>,</w:t>
      </w:r>
      <w:r>
        <w:rPr>
          <w:rFonts w:hint="eastAsia" w:ascii="仿宋_GB2312" w:hAnsi="仿宋_GB2312" w:cs="仿宋_GB2312"/>
          <w:color w:val="000000"/>
          <w:lang w:val="zh-CN"/>
        </w:rPr>
        <w:t>组建农业领域联合实验室和实验室联盟，</w:t>
      </w:r>
      <w:r>
        <w:rPr>
          <w:rFonts w:hint="eastAsia" w:ascii="仿宋_GB2312" w:hAnsi="仿宋_GB2312" w:cs="仿宋_GB2312"/>
          <w:color w:val="000000"/>
        </w:rPr>
        <w:t>到2025年</w:t>
      </w:r>
      <w:r>
        <w:rPr>
          <w:rFonts w:hint="eastAsia" w:ascii="仿宋_GB2312" w:hAnsi="仿宋_GB2312" w:cs="仿宋_GB2312"/>
          <w:color w:val="000000"/>
          <w:lang w:val="zh-CN"/>
        </w:rPr>
        <w:t>新增农业领域省级以上科研项目</w:t>
      </w:r>
      <w:r>
        <w:rPr>
          <w:rFonts w:hint="eastAsia" w:ascii="仿宋_GB2312" w:hAnsi="仿宋_GB2312" w:cs="仿宋_GB2312"/>
          <w:color w:val="000000"/>
        </w:rPr>
        <w:t>30</w:t>
      </w:r>
      <w:r>
        <w:rPr>
          <w:rFonts w:hint="eastAsia" w:ascii="仿宋_GB2312" w:hAnsi="仿宋_GB2312" w:cs="仿宋_GB2312"/>
          <w:color w:val="000000"/>
          <w:lang w:val="zh-CN"/>
        </w:rPr>
        <w:t>项以上、省科学技术奖及以上奖项5项以上；</w:t>
      </w:r>
      <w:r>
        <w:rPr>
          <w:rFonts w:hint="eastAsia" w:ascii="仿宋_GB2312" w:hAnsi="仿宋_GB2312" w:cs="仿宋_GB2312"/>
          <w:color w:val="000000"/>
        </w:rPr>
        <w:t>鼓励温州企业研发适用性新型农机装备，加大水稻机插、水果采摘、设施种植业、畜牧水产养殖业等薄弱环节农机具的推广力度，建</w:t>
      </w:r>
      <w:r>
        <w:rPr>
          <w:rFonts w:ascii="仿宋_GB2312" w:hAnsi="仿宋_GB2312" w:cs="仿宋_GB2312"/>
          <w:color w:val="000000"/>
        </w:rPr>
        <w:t>立健全多元化</w:t>
      </w:r>
      <w:r>
        <w:rPr>
          <w:rFonts w:hint="eastAsia" w:ascii="仿宋_GB2312" w:hAnsi="仿宋_GB2312" w:cs="仿宋_GB2312"/>
          <w:color w:val="000000"/>
        </w:rPr>
        <w:t>的农业机械</w:t>
      </w:r>
      <w:r>
        <w:rPr>
          <w:rFonts w:ascii="仿宋_GB2312" w:hAnsi="仿宋_GB2312" w:cs="仿宋_GB2312"/>
          <w:color w:val="000000"/>
        </w:rPr>
        <w:t>推广体系</w:t>
      </w:r>
      <w:r>
        <w:rPr>
          <w:rFonts w:hint="eastAsia" w:ascii="仿宋_GB2312" w:hAnsi="仿宋_GB2312" w:cs="仿宋_GB2312"/>
          <w:color w:val="000000"/>
        </w:rPr>
        <w:t>，到2025年新增先进适用农业机械3万台（套）以上，布局建设区域农机综合服务中心32个，创成省级农机创新研究试验基地10个、高水平农艺农机融合示范基地60个</w:t>
      </w:r>
      <w:r>
        <w:rPr>
          <w:rFonts w:ascii="仿宋_GB2312" w:hAnsi="仿宋_GB2312" w:cs="仿宋_GB2312"/>
          <w:color w:val="000000"/>
        </w:rPr>
        <w:t>。</w:t>
      </w:r>
      <w:r>
        <w:rPr>
          <w:rFonts w:hint="eastAsia" w:ascii="仿宋_GB2312" w:hAnsi="仿宋_GB2312" w:cs="仿宋_GB2312"/>
          <w:b/>
          <w:bCs/>
        </w:rPr>
        <w:t>二是注重补齐短板弱项。</w:t>
      </w:r>
      <w:r>
        <w:rPr>
          <w:rFonts w:hint="eastAsia" w:ascii="仿宋_GB2312" w:cs="仿宋_GB2312"/>
          <w:kern w:val="0"/>
        </w:rPr>
        <w:t>《规划》立足于我市当前农业资源相对不足、农村基础设施和公共服务差距较大、城乡收入“高山低谷”现象明显等现实，对标“全省第三极”的工作要求，提出了加快赶超发展的奋斗目标。比如2025年，全省口粮、猪肉自给率目标分别要达到50%、70%，目前我市仅37.9%、30%左右；全省农业劳动生产率要达到5.5万元/人，目前我市仅1.9万元/人；全省低收入农户人均可支配收入要达到23000元，目前我市仅12509元。</w:t>
      </w:r>
      <w:r>
        <w:rPr>
          <w:rFonts w:hint="eastAsia" w:ascii="仿宋_GB2312" w:hAnsi="仿宋_GB2312" w:cs="仿宋_GB2312"/>
          <w:b/>
          <w:bCs/>
        </w:rPr>
        <w:t>三是注重强化要素保障。“</w:t>
      </w:r>
      <w:r>
        <w:rPr>
          <w:rFonts w:hint="eastAsia" w:ascii="仿宋_GB2312"/>
        </w:rPr>
        <w:t>十四五”期间，全市谋划了农业农村重大项目286个、总投资1495亿元。为推动这些项目落地，《规划》提出要统筹应用财政、金融、就业、产业、投资等政策手段，建立完善规划实施机制，确保各项任务有效实施。特别是提出要进一步落实支持乡村产产融合发展用地政策，推行农业“标准地”制度，在土地规模流转的基础上，鼓励每个县（市、区）每年推出农业“标准地”项目用于招商，</w:t>
      </w:r>
      <w:r>
        <w:rPr>
          <w:rFonts w:hint="eastAsia" w:ascii="仿宋_GB2312" w:hAnsi="Microsoft Yahei"/>
        </w:rPr>
        <w:t>进一步提升农业现代化、产业化、集聚化和组织化水平。</w:t>
      </w:r>
    </w:p>
    <w:p>
      <w:pPr>
        <w:pStyle w:val="11"/>
        <w:spacing w:line="580" w:lineRule="exact"/>
        <w:ind w:firstLine="640"/>
        <w:rPr>
          <w:rFonts w:hint="eastAsia" w:ascii="楷体_GB2312" w:hAnsi="楷体_GB2312" w:eastAsia="楷体_GB2312" w:cs="楷体_GB2312"/>
          <w:bCs/>
        </w:rPr>
      </w:pPr>
      <w:r>
        <w:rPr>
          <w:rFonts w:hint="eastAsia" w:ascii="楷体_GB2312" w:hAnsi="楷体_GB2312" w:eastAsia="楷体_GB2312" w:cs="楷体_GB2312"/>
          <w:bCs/>
        </w:rPr>
        <w:t>（三）《温州市水安全保障“十四五”规划》</w:t>
      </w:r>
    </w:p>
    <w:p>
      <w:pPr>
        <w:pStyle w:val="11"/>
        <w:spacing w:line="580" w:lineRule="exact"/>
        <w:ind w:firstLine="640"/>
        <w:rPr>
          <w:rFonts w:hint="eastAsia" w:cs="仿宋_GB2312"/>
        </w:rPr>
      </w:pPr>
      <w:r>
        <w:rPr>
          <w:rFonts w:hint="eastAsia" w:ascii="楷体_GB2312" w:hAnsi="楷体_GB2312" w:eastAsia="楷体_GB2312" w:cs="楷体_GB2312"/>
          <w:bCs/>
        </w:rPr>
        <w:t>1.主要目标。</w:t>
      </w:r>
      <w:r>
        <w:rPr>
          <w:rFonts w:hint="eastAsia" w:ascii="仿宋_GB2312" w:cs="仿宋_GB2312"/>
          <w:kern w:val="0"/>
        </w:rPr>
        <w:t>《规划》提出“十四五”要围绕“全力构建温州水网，争创水利现代化先行市”的目标，</w:t>
      </w:r>
      <w:r>
        <w:rPr>
          <w:rFonts w:hint="eastAsia" w:ascii="仿宋_GB2312" w:hAnsi="仿宋_GB2312" w:cs="仿宋_GB2312"/>
        </w:rPr>
        <w:t>计划投资530亿元，提标加固海塘2</w:t>
      </w:r>
      <w:r>
        <w:rPr>
          <w:rFonts w:ascii="仿宋_GB2312" w:hAnsi="仿宋_GB2312" w:cs="仿宋_GB2312"/>
        </w:rPr>
        <w:t>00公里</w:t>
      </w:r>
      <w:r>
        <w:rPr>
          <w:rFonts w:hint="eastAsia" w:ascii="仿宋_GB2312" w:hAnsi="仿宋_GB2312" w:cs="仿宋_GB2312"/>
        </w:rPr>
        <w:t>，加固干堤50公里，新增水利工程供水能力8亿立方米，三大江干流防洪能力和重要城镇防洪能力基本达到设防标准，加快推进四大平原重点排涝工程建设，沿海主要平原排涝能力基本达到20年一遇。</w:t>
      </w:r>
    </w:p>
    <w:p>
      <w:pPr>
        <w:pStyle w:val="11"/>
        <w:spacing w:line="580" w:lineRule="exact"/>
        <w:ind w:firstLine="640"/>
        <w:rPr>
          <w:rFonts w:hint="eastAsia" w:ascii="仿宋_GB2312" w:hAnsi="仿宋" w:cs="仿宋"/>
          <w:kern w:val="0"/>
        </w:rPr>
      </w:pPr>
      <w:r>
        <w:rPr>
          <w:rFonts w:hint="eastAsia" w:ascii="楷体_GB2312" w:hAnsi="楷体_GB2312" w:eastAsia="楷体_GB2312" w:cs="楷体_GB2312"/>
          <w:bCs/>
        </w:rPr>
        <w:t>2.主要任务。</w:t>
      </w:r>
      <w:r>
        <w:rPr>
          <w:rFonts w:hint="eastAsia" w:ascii="仿宋_GB2312" w:cs="仿宋_GB2312"/>
          <w:kern w:val="0"/>
        </w:rPr>
        <w:t>《规划》提出要实施海塘安澜、水库增能保安、江河防洪、平原排涝、水资源保障、幸福河湖、乡村水利、水文强基础、数字水利和水文化等十大工程；提升依法治水、水资源刚性管理、水旱灾害综合防御、河湖空间多维管控、水利建设全要素监管、水利工程“三化”运管、水土保持全流程监管、人才队伍多层次保障</w:t>
      </w:r>
      <w:r>
        <w:rPr>
          <w:rFonts w:hint="eastAsia" w:ascii="仿宋_GB2312" w:hAnsi="仿宋" w:cs="仿宋"/>
          <w:kern w:val="0"/>
        </w:rPr>
        <w:t>等八大能力；推进“一屏统揽”数字化、“多评合一”审批、水文高质量发展先行区建设、水资源提能增效、水利工程全过程咨询、水利工程全生命周期管理、“开渠引水”投融资、水利科技创新赋能等八大改革。</w:t>
      </w:r>
    </w:p>
    <w:p>
      <w:pPr>
        <w:spacing w:line="600" w:lineRule="exact"/>
        <w:ind w:firstLine="640" w:firstLineChars="200"/>
      </w:pPr>
      <w:r>
        <w:rPr>
          <w:rFonts w:hint="eastAsia" w:ascii="楷体_GB2312" w:hAnsi="楷体_GB2312" w:eastAsia="楷体_GB2312" w:cs="楷体_GB2312"/>
          <w:bCs/>
          <w:color w:val="FF0000"/>
        </w:rPr>
        <w:t>3.主要特色。</w:t>
      </w:r>
      <w:r>
        <w:rPr>
          <w:rFonts w:hint="eastAsia"/>
          <w:b/>
        </w:rPr>
        <w:t>一是突出安全至上。《规划》</w:t>
      </w:r>
      <w:r>
        <w:rPr>
          <w:rFonts w:hint="eastAsia"/>
        </w:rPr>
        <w:t>聚焦防洪排涝饮水薄弱环节，</w:t>
      </w:r>
      <w:r>
        <w:t>守底线</w:t>
      </w:r>
      <w:r>
        <w:rPr>
          <w:rFonts w:hint="eastAsia"/>
        </w:rPr>
        <w:t>，</w:t>
      </w:r>
      <w:r>
        <w:t>保安全</w:t>
      </w:r>
      <w:r>
        <w:rPr>
          <w:rFonts w:hint="eastAsia"/>
        </w:rPr>
        <w:t>，</w:t>
      </w:r>
      <w:r>
        <w:t>防风险</w:t>
      </w:r>
      <w:r>
        <w:rPr>
          <w:rFonts w:hint="eastAsia"/>
        </w:rPr>
        <w:t>，</w:t>
      </w:r>
      <w:r>
        <w:t>补短板</w:t>
      </w:r>
      <w:r>
        <w:rPr>
          <w:rFonts w:hint="eastAsia"/>
        </w:rPr>
        <w:t>，以“江河安澜、饮水安全、河湖美丽、水利智管”为目标，推进瓯江引水等水资源保障工程建设，</w:t>
      </w:r>
      <w:r>
        <w:rPr>
          <w:rFonts w:hint="eastAsia"/>
          <w:kern w:val="0"/>
        </w:rPr>
        <w:t>全力打造跨区域多源互济的水资源体系，保障全域供水安全；推进戍浦江河道整治等防洪排涝工程建设，全力构建布局合理的防洪排涝格局，保障城市防洪排涝安全</w:t>
      </w:r>
      <w:r>
        <w:rPr>
          <w:rFonts w:hint="eastAsia"/>
        </w:rPr>
        <w:t>；加速推进数字水利工程建设，进一步迭代升级数字水利网，提升水安全智慧监测感知能力。</w:t>
      </w:r>
      <w:r>
        <w:rPr>
          <w:rFonts w:hint="eastAsia"/>
          <w:b/>
        </w:rPr>
        <w:t>二是突出项目为王。</w:t>
      </w:r>
      <w:r>
        <w:rPr>
          <w:rFonts w:hint="eastAsia"/>
        </w:rPr>
        <w:t>以项目建设为核心，实施1</w:t>
      </w:r>
      <w:r>
        <w:t>06个</w:t>
      </w:r>
      <w:r>
        <w:rPr>
          <w:rFonts w:hint="eastAsia"/>
        </w:rPr>
        <w:t>、</w:t>
      </w:r>
      <w:r>
        <w:t>十大类重大项目建设</w:t>
      </w:r>
      <w:r>
        <w:rPr>
          <w:rFonts w:hint="eastAsia"/>
        </w:rPr>
        <w:t>，</w:t>
      </w:r>
      <w:r>
        <w:t>总投资约</w:t>
      </w:r>
      <w:r>
        <w:rPr>
          <w:rFonts w:hint="eastAsia"/>
        </w:rPr>
        <w:t>7</w:t>
      </w:r>
      <w:r>
        <w:t>54亿元</w:t>
      </w:r>
      <w:r>
        <w:rPr>
          <w:rFonts w:hint="eastAsia"/>
        </w:rPr>
        <w:t>，打造一批具有温州特色的标志性工程。</w:t>
      </w:r>
      <w:r>
        <w:rPr>
          <w:rFonts w:hint="eastAsia"/>
          <w:b/>
        </w:rPr>
        <w:t>三是突出争先创优。</w:t>
      </w:r>
      <w:r>
        <w:rPr>
          <w:rFonts w:hint="eastAsia"/>
        </w:rPr>
        <w:t>注重项目谋划，强化要素保障、突出功能融合，破解瓶颈制约，全面分析和梳理水利发展现状及形势，在补齐短板的同时，对标全国、全省一流，打造一批“海塘安澜+”、水文高质量发展、水利审批、水利设施灾害保险、水利物业化改革等一批领先、示范项目。</w:t>
      </w:r>
    </w:p>
    <w:p>
      <w:pPr>
        <w:pStyle w:val="11"/>
        <w:spacing w:line="580" w:lineRule="exact"/>
        <w:ind w:firstLine="640"/>
        <w:rPr>
          <w:rFonts w:hint="eastAsia" w:ascii="仿宋_GB2312" w:hAnsi="Microsoft Yahei"/>
          <w:color w:val="FF0000"/>
        </w:rPr>
      </w:pPr>
    </w:p>
    <w:p>
      <w:pPr>
        <w:pStyle w:val="11"/>
        <w:spacing w:line="580" w:lineRule="exact"/>
        <w:ind w:firstLine="640"/>
        <w:rPr>
          <w:rFonts w:hint="eastAsia" w:ascii="楷体_GB2312" w:hAnsi="楷体_GB2312" w:eastAsia="楷体_GB2312" w:cs="楷体_GB2312"/>
          <w:bCs/>
        </w:rPr>
      </w:pPr>
    </w:p>
    <w:p>
      <w:pPr>
        <w:pStyle w:val="11"/>
        <w:spacing w:line="580" w:lineRule="exact"/>
        <w:ind w:firstLine="640"/>
        <w:rPr>
          <w:rFonts w:ascii="方正小标宋简体" w:eastAsia="方正小标宋简体"/>
          <w:bCs/>
          <w:sz w:val="44"/>
          <w:szCs w:val="44"/>
        </w:rPr>
      </w:pPr>
    </w:p>
    <w:p>
      <w:pPr>
        <w:pStyle w:val="11"/>
        <w:spacing w:line="580" w:lineRule="exact"/>
        <w:rPr>
          <w:rFonts w:ascii="仿宋_GB2312" w:hAnsi="仿宋_GB2312" w:cs="仿宋_GB2312"/>
          <w:bCs/>
        </w:rPr>
      </w:pPr>
    </w:p>
    <w:sectPr>
      <w:footerReference r:id="rId3" w:type="default"/>
      <w:pgSz w:w="11906" w:h="16838"/>
      <w:pgMar w:top="1701"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文星简小标宋">
    <w:altName w:val="方正小标宋_GBK"/>
    <w:panose1 w:val="02010609000101010101"/>
    <w:charset w:val="00"/>
    <w:family w:val="modern"/>
    <w:pitch w:val="default"/>
    <w:sig w:usb0="00000000" w:usb1="0000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00"/>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icrosoft Yahei">
    <w:altName w:val="汉仪新人文宋简"/>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rPr>
                              <w:lang/>
                            </w:rPr>
                            <w:t>6</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rPr>
                        <w:lang/>
                      </w:rP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DB874A"/>
    <w:rsid w:val="000D2C85"/>
    <w:rsid w:val="00137E80"/>
    <w:rsid w:val="0018401D"/>
    <w:rsid w:val="001B1F98"/>
    <w:rsid w:val="002366B7"/>
    <w:rsid w:val="003127FE"/>
    <w:rsid w:val="00423099"/>
    <w:rsid w:val="004A03FF"/>
    <w:rsid w:val="004E4E50"/>
    <w:rsid w:val="00501792"/>
    <w:rsid w:val="00521103"/>
    <w:rsid w:val="0055640F"/>
    <w:rsid w:val="005A13CA"/>
    <w:rsid w:val="006825D7"/>
    <w:rsid w:val="006C21FD"/>
    <w:rsid w:val="0071052C"/>
    <w:rsid w:val="007373AD"/>
    <w:rsid w:val="00744484"/>
    <w:rsid w:val="009427BA"/>
    <w:rsid w:val="00A37E3A"/>
    <w:rsid w:val="00A64095"/>
    <w:rsid w:val="00A73C82"/>
    <w:rsid w:val="00BF16B8"/>
    <w:rsid w:val="00C764A2"/>
    <w:rsid w:val="00CB7E9F"/>
    <w:rsid w:val="00D302F6"/>
    <w:rsid w:val="00D952E7"/>
    <w:rsid w:val="26FFDE0C"/>
    <w:rsid w:val="2EFA3B8D"/>
    <w:rsid w:val="2EFCD37B"/>
    <w:rsid w:val="2F59E1DF"/>
    <w:rsid w:val="32BBCFB4"/>
    <w:rsid w:val="43E750C2"/>
    <w:rsid w:val="52FED941"/>
    <w:rsid w:val="5BFFAE80"/>
    <w:rsid w:val="5E75BF0A"/>
    <w:rsid w:val="67895D39"/>
    <w:rsid w:val="6BEF6377"/>
    <w:rsid w:val="77B31BA1"/>
    <w:rsid w:val="77B730BD"/>
    <w:rsid w:val="77BE29BF"/>
    <w:rsid w:val="77EF84A7"/>
    <w:rsid w:val="797F2E70"/>
    <w:rsid w:val="7C7D7AFA"/>
    <w:rsid w:val="7F695B0D"/>
    <w:rsid w:val="7F8087BA"/>
    <w:rsid w:val="7FBA3C08"/>
    <w:rsid w:val="A7FBC5DD"/>
    <w:rsid w:val="B7DE6BE9"/>
    <w:rsid w:val="B7FF720A"/>
    <w:rsid w:val="BEBCCA66"/>
    <w:rsid w:val="D96F9C72"/>
    <w:rsid w:val="DBBFE976"/>
    <w:rsid w:val="DBEE7EAD"/>
    <w:rsid w:val="DBFABCC5"/>
    <w:rsid w:val="DFAE832F"/>
    <w:rsid w:val="DFDF333F"/>
    <w:rsid w:val="E7DFE514"/>
    <w:rsid w:val="EB7F240D"/>
    <w:rsid w:val="EF9ED89F"/>
    <w:rsid w:val="F3FF39D5"/>
    <w:rsid w:val="F7E6D5FA"/>
    <w:rsid w:val="FFB9AF13"/>
    <w:rsid w:val="FFDB874A"/>
    <w:rsid w:val="FFF2DD6E"/>
    <w:rsid w:val="FFF71C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99"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kern w:val="2"/>
      <w:sz w:val="32"/>
      <w:szCs w:val="32"/>
      <w:lang w:val="en-US" w:eastAsia="zh-CN" w:bidi="ar-SA"/>
    </w:rPr>
  </w:style>
  <w:style w:type="paragraph" w:styleId="3">
    <w:name w:val="heading 1"/>
    <w:basedOn w:val="1"/>
    <w:next w:val="1"/>
    <w:qFormat/>
    <w:uiPriority w:val="0"/>
    <w:pPr>
      <w:keepNext/>
      <w:keepLines/>
      <w:spacing w:before="100" w:beforeLines="0" w:beforeAutospacing="0" w:after="90" w:afterLines="0" w:afterAutospacing="0" w:line="576" w:lineRule="auto"/>
      <w:outlineLvl w:val="0"/>
    </w:pPr>
    <w:rPr>
      <w:rFonts w:eastAsia="仿宋_GB2312"/>
      <w:b/>
      <w:kern w:val="44"/>
      <w:sz w:val="32"/>
    </w:rPr>
  </w:style>
  <w:style w:type="character" w:default="1" w:styleId="14">
    <w:name w:val="Default Paragraph Font"/>
    <w:semiHidden/>
    <w:qFormat/>
    <w:uiPriority w:val="0"/>
  </w:style>
  <w:style w:type="table" w:default="1" w:styleId="13">
    <w:name w:val="Normal Table"/>
    <w:semiHidden/>
    <w:qFormat/>
    <w:uiPriority w:val="0"/>
    <w:tblPr>
      <w:tblStyle w:val="13"/>
      <w:tblCellMar>
        <w:top w:w="0" w:type="dxa"/>
        <w:left w:w="108" w:type="dxa"/>
        <w:bottom w:w="0" w:type="dxa"/>
        <w:right w:w="108" w:type="dxa"/>
      </w:tblCellMar>
    </w:tblPr>
  </w:style>
  <w:style w:type="paragraph" w:styleId="2">
    <w:name w:val="Block Text"/>
    <w:unhideWhenUsed/>
    <w:qFormat/>
    <w:uiPriority w:val="99"/>
    <w:pPr>
      <w:widowControl w:val="0"/>
      <w:spacing w:after="120"/>
      <w:ind w:left="1440" w:leftChars="700" w:right="1440" w:rightChars="700"/>
      <w:jc w:val="both"/>
    </w:pPr>
    <w:rPr>
      <w:rFonts w:ascii="Times New Roman" w:hAnsi="Times New Roman" w:eastAsia="仿宋_GB2312"/>
      <w:kern w:val="2"/>
      <w:sz w:val="32"/>
      <w:szCs w:val="24"/>
      <w:lang w:val="en-US" w:eastAsia="zh-CN" w:bidi="ar-SA"/>
    </w:rPr>
  </w:style>
  <w:style w:type="paragraph" w:styleId="4">
    <w:name w:val="Normal Indent"/>
    <w:basedOn w:val="1"/>
    <w:qFormat/>
    <w:uiPriority w:val="0"/>
    <w:pPr>
      <w:widowControl w:val="0"/>
      <w:spacing w:line="240" w:lineRule="atLeast"/>
      <w:ind w:firstLine="420" w:firstLineChars="200"/>
      <w:jc w:val="both"/>
    </w:pPr>
    <w:rPr>
      <w:rFonts w:ascii="Calibri" w:hAnsi="Calibri" w:eastAsia="宋体" w:cs="Times New Roman"/>
      <w:spacing w:val="-6"/>
      <w:kern w:val="2"/>
      <w:sz w:val="21"/>
      <w:szCs w:val="24"/>
      <w:lang w:val="en-US" w:eastAsia="zh-CN" w:bidi="ar-SA"/>
    </w:rPr>
  </w:style>
  <w:style w:type="paragraph" w:styleId="5">
    <w:name w:val="Body Text"/>
    <w:basedOn w:val="1"/>
    <w:next w:val="6"/>
    <w:qFormat/>
    <w:uiPriority w:val="99"/>
    <w:pPr>
      <w:jc w:val="center"/>
    </w:pPr>
    <w:rPr>
      <w:rFonts w:eastAsia="文星简小标宋"/>
      <w:sz w:val="44"/>
      <w:szCs w:val="44"/>
    </w:rPr>
  </w:style>
  <w:style w:type="paragraph" w:styleId="6">
    <w:name w:val="Body Text First Indent"/>
    <w:basedOn w:val="5"/>
    <w:next w:val="1"/>
    <w:qFormat/>
    <w:uiPriority w:val="99"/>
    <w:pPr>
      <w:spacing w:line="500" w:lineRule="exact"/>
      <w:ind w:firstLine="420"/>
    </w:pPr>
    <w:rPr>
      <w:rFonts w:eastAsia="宋体"/>
      <w:sz w:val="28"/>
      <w:szCs w:val="28"/>
    </w:rPr>
  </w:style>
  <w:style w:type="paragraph" w:styleId="7">
    <w:name w:val="Body Text Indent"/>
    <w:basedOn w:val="1"/>
    <w:next w:val="4"/>
    <w:qFormat/>
    <w:uiPriority w:val="99"/>
    <w:pPr>
      <w:spacing w:after="120"/>
      <w:ind w:left="420" w:leftChars="200"/>
    </w:pPr>
  </w:style>
  <w:style w:type="paragraph" w:styleId="8">
    <w:name w:val="Balloon Text"/>
    <w:basedOn w:val="1"/>
    <w:link w:val="15"/>
    <w:uiPriority w:val="0"/>
    <w:rPr>
      <w:sz w:val="18"/>
      <w:szCs w:val="18"/>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Body Text 2"/>
    <w:basedOn w:val="1"/>
    <w:semiHidden/>
    <w:qFormat/>
    <w:uiPriority w:val="99"/>
    <w:pPr>
      <w:spacing w:line="480" w:lineRule="auto"/>
    </w:pPr>
  </w:style>
  <w:style w:type="paragraph" w:styleId="12">
    <w:name w:val="Body Text First Indent 2"/>
    <w:basedOn w:val="7"/>
    <w:next w:val="11"/>
    <w:qFormat/>
    <w:uiPriority w:val="99"/>
    <w:pPr>
      <w:tabs>
        <w:tab w:val="left" w:pos="0"/>
        <w:tab w:val="left" w:pos="360"/>
        <w:tab w:val="left" w:pos="1080"/>
        <w:tab w:val="left" w:pos="1800"/>
        <w:tab w:val="left" w:pos="2520"/>
        <w:tab w:val="left" w:pos="3240"/>
        <w:tab w:val="left" w:pos="3960"/>
        <w:tab w:val="left" w:pos="4680"/>
      </w:tabs>
      <w:autoSpaceDE w:val="0"/>
      <w:autoSpaceDN w:val="0"/>
      <w:adjustRightInd w:val="0"/>
      <w:ind w:right="-53" w:firstLine="420"/>
    </w:pPr>
    <w:rPr>
      <w:rFonts w:ascii="仿宋_GB2312" w:cs="仿宋_GB2312"/>
      <w:b/>
      <w:bCs/>
      <w:color w:val="000000"/>
    </w:rPr>
  </w:style>
  <w:style w:type="character" w:customStyle="1" w:styleId="15">
    <w:name w:val="批注框文本 Char"/>
    <w:link w:val="8"/>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516</Words>
  <Characters>2946</Characters>
  <Lines>24</Lines>
  <Paragraphs>6</Paragraphs>
  <TotalTime>0</TotalTime>
  <ScaleCrop>false</ScaleCrop>
  <LinksUpToDate>false</LinksUpToDate>
  <CharactersWithSpaces>3456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2021-09-30T16:47:00Z</dcterms:created>
  <dc:creator>greatwall</dc:creator>
  <cp:lastModifiedBy>chen</cp:lastModifiedBy>
  <cp:lastPrinted>2021-10-12T19:01:00Z</cp:lastPrinted>
  <dcterms:modified xsi:type="dcterms:W3CDTF">2021-12-24T09:03:16Z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