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8E" w:rsidRDefault="005D478E" w:rsidP="005D478E">
      <w:pPr>
        <w:jc w:val="center"/>
        <w:rPr>
          <w:rFonts w:ascii="黑体" w:eastAsia="黑体" w:hAnsi="黑体"/>
          <w:color w:val="000000" w:themeColor="text1"/>
          <w:sz w:val="44"/>
          <w:szCs w:val="44"/>
        </w:rPr>
      </w:pPr>
      <w:r>
        <w:rPr>
          <w:rFonts w:ascii="黑体" w:eastAsia="黑体" w:hAnsi="黑体" w:hint="eastAsia"/>
          <w:color w:val="000000" w:themeColor="text1"/>
          <w:sz w:val="44"/>
          <w:szCs w:val="44"/>
        </w:rPr>
        <w:t>《温州龙湾国际机场净空和电磁环境保护管理办法》(征求意见稿)</w:t>
      </w:r>
    </w:p>
    <w:p w:rsidR="005D478E" w:rsidRDefault="005D478E" w:rsidP="005D478E">
      <w:pPr>
        <w:jc w:val="center"/>
        <w:rPr>
          <w:rFonts w:ascii="宋体" w:eastAsia="宋体" w:hAnsi="宋体"/>
          <w:color w:val="000000" w:themeColor="text1"/>
          <w:sz w:val="28"/>
          <w:szCs w:val="28"/>
        </w:rPr>
      </w:pP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为加强温州龙湾国际机场净空和电磁环境保护与管理，保障民用航空器的运行安全,促进民用航空事业发展，根据《中华人民共和国民用航空法》《民用机场管理条例》《浙江省民用机场管理办法》等有关规定，结合我市实际，制定本办法。</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一、本办法适用于温州龙湾国际机场（以下简称温州机场）的净空审核区、净空保护区以及电磁环境保护区的保护与管理。</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二、本办法所称净空审核区，是指以温州机场基准点为圆心55公里半径范围（温州市管辖范围）。</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本办法所称净空保护区，是指温州机场跑道中心线两侧各10公里、跑道端外20公里的区域</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本办法按照国家有关规定划定净空保护区，并向社会公布（见附件1）。</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本办法所称电磁环境保护区</w:t>
      </w:r>
      <w:r>
        <w:rPr>
          <w:rFonts w:ascii="仿宋_GB2312" w:eastAsia="仿宋_GB2312" w:hAnsi="宋体"/>
          <w:color w:val="000000" w:themeColor="text1"/>
          <w:sz w:val="32"/>
          <w:szCs w:val="32"/>
        </w:rPr>
        <w:t>,是由温州市无线电管理局会同民航温州监管局按照国家无线电管理的有关规定和标准</w:t>
      </w:r>
      <w:r>
        <w:rPr>
          <w:rFonts w:ascii="仿宋_GB2312" w:eastAsia="仿宋_GB2312" w:hAnsi="宋体" w:hint="eastAsia"/>
          <w:color w:val="000000" w:themeColor="text1"/>
          <w:sz w:val="32"/>
          <w:szCs w:val="32"/>
        </w:rPr>
        <w:t>划定的区域，包括设置在温州机场总体规划区域内的民用航空无线电台（站）电磁环境保护区域和机场飞行区电磁环境保护区域。</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三、市政府成立温州机场净空和电磁环境保护管理工作协调小组，负责领导和协调处理净空和电磁环境保护相关问题，并建立净空和电磁环境保护管理联席会议机制。联席会</w:t>
      </w:r>
      <w:r>
        <w:rPr>
          <w:rFonts w:ascii="仿宋_GB2312" w:eastAsia="仿宋_GB2312" w:hAnsi="宋体" w:hint="eastAsia"/>
          <w:color w:val="000000" w:themeColor="text1"/>
          <w:sz w:val="32"/>
          <w:szCs w:val="32"/>
        </w:rPr>
        <w:lastRenderedPageBreak/>
        <w:t>议成员单位包括但不限于市公安局、市自然资源和规划局、市住房和城乡建设局、市交通运输局、市应急管理局、市综合行政执法局、市气象局、市无线电管理局、民航温州监管局、温州电力局、温州机场集团、各属地政府以及管委会（以下简称属地政府）等部门和单位。协调小组每年至少两次召开联席会议，协调解决有关问题。</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各成员单位职责分工如下：</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（一）市交通运输局负责牵头召开联席会议，依照市人民政府规定的职责负责温州机场管理工作，并承担本办法实施的统筹协调和督促落实。</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（二）市公安局负责温州机场净空保护区内无人机、滑翔机、动力伞、飞艇、热气球等升空物体和焰火的查处，及时制止孔明灯、激光笔、强光灯照射等各类影响机场净空保护的行为。</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市自然资源和规划局负责净空审核区内建设项目规划审批，在出具规划条件时，明确建筑总限制高程（以1985国家高程为准，下同），即所有建筑物（含相关附属设施如屋顶避雷针、水塔、电梯间等，下同）、构筑物（包括烟囱、桥梁等，下同）总高度不得超出净空限制高度。</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（四）市住房和城乡建设局负责在施工组织设计阶段严格控制施工塔吊、物料提升机等施工机械最终高度，施工机械最终作业高程应满足机场净空限制高度。</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（五）市综合行政执法局负责广告和各类通信基站的限高审批，并对未取得建设工程规划许可证或者未按照建设工</w:t>
      </w:r>
      <w:r>
        <w:rPr>
          <w:rFonts w:ascii="仿宋_GB2312" w:eastAsia="仿宋_GB2312" w:hAnsi="宋体" w:hint="eastAsia"/>
          <w:color w:val="000000" w:themeColor="text1"/>
          <w:sz w:val="32"/>
          <w:szCs w:val="32"/>
        </w:rPr>
        <w:lastRenderedPageBreak/>
        <w:t>程规划许可证规定进行建设的户外广告设施和各类通信基站进行处置；负责城市范围内的绿化树木管理、移植和限高控制。</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（六）市应急管理局负责督促相关职能部门和属地政府履行温州机场净空和电磁环境保护有关安全生产工作职责。</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（七）市气象局负责升放无人驾驶自由气球或者系留气球活动的审批和管理。</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（八）温州电力局负责监管架空高压线塔、输电线等电力设施，及时处置影响温州机场净空和电磁环境保护的电力设施。</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（九）市无线电管理局负责温州机场保护区内电磁环境的保护及各类影响机场电磁环境保护行为的应急处置。</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（十）民航温州监管局负责监督管理温州机场净空保护工作，负责对温州机场净空审核区的各类审批项目出具净空审核意见。民航温州监管局应按照行业要求，在规定时限内出具净空审核意见。</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温州机场集团负责协助各级规划主管部门确定温州机场飞行程序保护区域范围及参考高度；及时将最新的机场障碍物限制图报当地政府有关部门备案；配合市交通运输局定期召开联席会议，协调处理温州机场净空保护管理中出现的问题；建立机场净空和电磁环境保护日常巡查制度，并开展日常巡查；发现影响机场净空和电磁环境保护情形的，应当告知行为人相关的法律后果，并要求其停止违法行为并消除影响；不能当场消除影响的，应当报告属地政府或者相</w:t>
      </w:r>
      <w:r>
        <w:rPr>
          <w:rFonts w:ascii="仿宋_GB2312" w:eastAsia="仿宋_GB2312" w:hAnsi="宋体" w:hint="eastAsia"/>
          <w:color w:val="000000" w:themeColor="text1"/>
          <w:sz w:val="32"/>
          <w:szCs w:val="32"/>
        </w:rPr>
        <w:lastRenderedPageBreak/>
        <w:t>关部门。</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十二）属地政府负责协同市相关部门并督促下属相关部门做好各自辖区内机场净空与电磁环境保护工作；负责城市范围外的绿化树木管理、移植和限高控制。接到温州机场集团上报的有关破坏净空及电磁环境保护管理的报告，应当立即采取措施，及时消除影响；应当配合有关部门和单位，对违反温州机场净空和电磁环境保护规定的行为依法予以行政处罚。</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（十三）市（县、区）自然资源和规划部门在组织编制国土空间规划和相关控制性详细规划时，应将温州机场净空保护区限高要求与电磁环境保护要求纳入其中，并与温州机场集团做好沟通对接。</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四、净空审核区内新建、改建、扩建的建筑物、构筑物或其他工程，应当符合机场净空保护要求的相关规定。自然资源和规划、住建等部门在审批其建设高度时，应按照机场净空要求进行控制，严格依法依规管理建设项目，并做好相关规划项目审批工作。相关城市项目审批应当遵循《运输机场净空区域内建设项目净空审核管理办法》（民航规〔</w:t>
      </w:r>
      <w:r>
        <w:rPr>
          <w:rFonts w:ascii="仿宋_GB2312" w:eastAsia="仿宋_GB2312" w:hAnsi="宋体"/>
          <w:color w:val="000000" w:themeColor="text1"/>
          <w:sz w:val="32"/>
          <w:szCs w:val="32"/>
        </w:rPr>
        <w:t>2021〕3号</w:t>
      </w:r>
      <w:r>
        <w:rPr>
          <w:rFonts w:ascii="仿宋_GB2312" w:eastAsia="仿宋_GB2312" w:hAnsi="宋体" w:hint="eastAsia"/>
          <w:color w:val="000000" w:themeColor="text1"/>
          <w:sz w:val="32"/>
          <w:szCs w:val="32"/>
        </w:rPr>
        <w:t>），取得民航温州监管局的净空审核意见。</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五、温州机场净空保护区内的建设项目应当按照民航温州监管局出具的净空审查意见，编制建设工程设计方案，落实施工组织，确保建筑物、构筑物以及施工机具最高点高程符合净空要求。鼓励建设单位通过平吊等方式优化施工组织方案，提高土地使用效率。</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六、超过限制高度要求以及违反民航相关技术规范规定的其他影响飞行安全情形的建筑物或设施，修建或者设置该建筑物或设施的单位或个人，应当按照国家有关标准设置障碍灯或者标志，并使其保持正常状态。</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超出障碍物限制高度的自然障碍物，由自然障碍物属地政府组织相关部门清除；不能清除的，应当组织相关部门按照国家有关标准设置障碍灯或者标志。</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任何单位或者个人不得阻止安装障碍灯或者标志，不得影响障碍灯或者标志的正常使用。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七、禁止在温州机场净空保护区内从事下列活动：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（一）排放大量烟雾、粉尘、火焰、废气等影响飞行安全的物质；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（二）修建靶场、强烈爆炸物仓库等影响飞行安全的建筑物（构筑物）或者其他设施；</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（三）设置影响机场目视助航设施使用或者飞行员视线的灯光、标志，或者超过净空限制高度的广告牌、铁塔（柱）、施工塔吊、避雷设施等物体；</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（四）升放无人驾驶的自由气球、系留气球、风筝、孔明灯或者其他升空物体；</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（五）未经批准进行无人机、航空模型等飞行活动；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（六）燃放升空的爆竹、烟花、焰火；</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（七）焚烧产生大量烟雾的农作物秸秆、垃圾等物质；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（八）种植影响飞行安全或者影响机场助航设施使用的植物；</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（九）放飞影响飞行安全的鸟类，设置垃圾场、晾晒场、养殖场等易吸引鸟类的场所；</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（十）在机场围界外5米区域内，搭建建筑物（构筑物）或者挖掘、堆积物体等影响机场运营安全的活动；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（十一）法律、法规和规章规定的其他影响机场净空保护的行为。</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八、禁止在温州机场电磁环境保护区内从事下列活动： </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（一）修建架空高压输电线、架空金属线、铁路、公路、电力排灌站；</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（二）存放金属堆积物；</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（三）种植影响机场电磁环境的植物；</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（四）从事掘土、采砂、采石等改变地形地貌的活动；</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（五）法律、法规和规章规定的其他电磁环境的行为。</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任何单位和个人使用的无线电台（站）及其他仪器、装置，不得对民用航空无线电专用频率及机场通信、导航、监视台（站）的正常使用产生干扰。</w:t>
      </w:r>
    </w:p>
    <w:p w:rsidR="005D478E" w:rsidRDefault="005D478E" w:rsidP="005D478E">
      <w:pPr>
        <w:spacing w:line="560" w:lineRule="exact"/>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九、机场进近灯光场地保护区</w:t>
      </w:r>
      <w:r>
        <w:rPr>
          <w:rFonts w:ascii="仿宋_GB2312" w:eastAsia="仿宋_GB2312" w:hAnsi="宋体"/>
          <w:color w:val="000000" w:themeColor="text1"/>
          <w:sz w:val="32"/>
          <w:szCs w:val="32"/>
        </w:rPr>
        <w:t>(距跑道入口960米及两侧距跑道中线延长线各60米)范围内，除导航所必需的设施外，不应当有突出于进近灯光芯高度以上的物体，不应当存在遮挡驾驶员观察进近灯光视线的物体；机场内及其周围地区可能妨碍或混淆飞行员对地面航空灯识别的非航空地面</w:t>
      </w:r>
      <w:r>
        <w:rPr>
          <w:rFonts w:ascii="仿宋_GB2312" w:eastAsia="仿宋_GB2312" w:hAnsi="宋体" w:hint="eastAsia"/>
          <w:color w:val="000000" w:themeColor="text1"/>
          <w:sz w:val="32"/>
          <w:szCs w:val="32"/>
        </w:rPr>
        <w:t>灯和其他设施（如路灯、广告屏等），应当熄灭、遮蔽或改装。机场内及其周围地区设置激光发射器、探照灯时，不得影响飞机的正常起降。</w:t>
      </w: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十、本办法自2021年x月x日起施行，有限期10年。《温州龙湾国际机场净空保护区建设项目管理办法》(温政发〔2013〕71号)同时废止。</w:t>
      </w:r>
    </w:p>
    <w:p w:rsidR="005D478E" w:rsidRDefault="005D478E" w:rsidP="005D478E">
      <w:pPr>
        <w:spacing w:line="560" w:lineRule="exact"/>
        <w:ind w:firstLineChars="200" w:firstLine="640"/>
        <w:rPr>
          <w:rFonts w:ascii="仿宋_GB2312" w:eastAsia="仿宋_GB2312"/>
          <w:color w:val="000000" w:themeColor="text1"/>
          <w:sz w:val="32"/>
          <w:szCs w:val="32"/>
        </w:rPr>
      </w:pPr>
    </w:p>
    <w:p w:rsidR="005D478E" w:rsidRDefault="005D478E" w:rsidP="005D478E">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附件：温州龙湾国际机场净空保护区范围</w:t>
      </w:r>
    </w:p>
    <w:p w:rsidR="003B4D4B" w:rsidRDefault="003B4D4B" w:rsidP="00BA2D59">
      <w:pPr>
        <w:spacing w:line="560" w:lineRule="exact"/>
        <w:ind w:firstLineChars="161" w:firstLine="515"/>
        <w:rPr>
          <w:rFonts w:ascii="仿宋_GB2312" w:eastAsia="仿宋_GB2312"/>
          <w:color w:val="000000" w:themeColor="text1"/>
          <w:sz w:val="32"/>
          <w:szCs w:val="32"/>
        </w:rPr>
      </w:pPr>
    </w:p>
    <w:p w:rsidR="003B4D4B" w:rsidRDefault="003B4D4B" w:rsidP="00BA2D59">
      <w:pPr>
        <w:spacing w:line="560" w:lineRule="exact"/>
        <w:ind w:firstLineChars="161" w:firstLine="515"/>
        <w:rPr>
          <w:rFonts w:ascii="仿宋_GB2312" w:eastAsia="仿宋_GB2312"/>
          <w:color w:val="000000" w:themeColor="text1"/>
          <w:sz w:val="32"/>
          <w:szCs w:val="32"/>
        </w:rPr>
      </w:pPr>
    </w:p>
    <w:p w:rsidR="003B4D4B" w:rsidRDefault="003B4D4B" w:rsidP="00BA2D59">
      <w:pPr>
        <w:spacing w:line="560" w:lineRule="exact"/>
        <w:ind w:firstLineChars="161" w:firstLine="515"/>
        <w:rPr>
          <w:rFonts w:ascii="仿宋_GB2312" w:eastAsia="仿宋_GB2312"/>
          <w:color w:val="000000" w:themeColor="text1"/>
          <w:sz w:val="32"/>
          <w:szCs w:val="32"/>
        </w:rPr>
      </w:pPr>
    </w:p>
    <w:p w:rsidR="003B4D4B" w:rsidRDefault="003B4D4B" w:rsidP="00BA2D59">
      <w:pPr>
        <w:spacing w:line="560" w:lineRule="exact"/>
        <w:ind w:firstLineChars="161" w:firstLine="515"/>
        <w:rPr>
          <w:rFonts w:ascii="仿宋_GB2312" w:eastAsia="仿宋_GB2312"/>
          <w:color w:val="000000" w:themeColor="text1"/>
          <w:sz w:val="32"/>
          <w:szCs w:val="32"/>
        </w:rPr>
      </w:pPr>
    </w:p>
    <w:p w:rsidR="00E31D79" w:rsidRPr="00E31D79" w:rsidRDefault="00553614" w:rsidP="00BA2D59">
      <w:pPr>
        <w:spacing w:line="560" w:lineRule="exact"/>
        <w:ind w:firstLineChars="161" w:firstLine="515"/>
        <w:rPr>
          <w:rFonts w:ascii="仿宋_GB2312" w:eastAsia="仿宋_GB2312" w:hAnsi="宋体"/>
          <w:color w:val="FF0000"/>
          <w:sz w:val="32"/>
          <w:szCs w:val="32"/>
        </w:rPr>
        <w:sectPr w:rsidR="00E31D79" w:rsidRPr="00E31D79" w:rsidSect="00C13F66">
          <w:footerReference w:type="default" r:id="rId8"/>
          <w:pgSz w:w="11906" w:h="16838"/>
          <w:pgMar w:top="1440" w:right="1800" w:bottom="1440" w:left="1800" w:header="851" w:footer="992" w:gutter="0"/>
          <w:cols w:space="425"/>
          <w:docGrid w:type="lines" w:linePitch="312"/>
        </w:sectPr>
      </w:pPr>
      <w:r>
        <w:rPr>
          <w:rFonts w:ascii="仿宋_GB2312" w:eastAsia="仿宋_GB2312" w:hAnsi="宋体" w:hint="eastAsia"/>
          <w:color w:val="000000" w:themeColor="text1"/>
          <w:sz w:val="32"/>
          <w:szCs w:val="32"/>
        </w:rPr>
        <w:t xml:space="preserve">           </w:t>
      </w:r>
    </w:p>
    <w:p w:rsidR="00705A1C" w:rsidRDefault="00A3535D">
      <w:pPr>
        <w:ind w:leftChars="-405" w:left="-850" w:rightChars="-342" w:right="-718" w:firstLineChars="50" w:firstLine="140"/>
        <w:jc w:val="center"/>
        <w:rPr>
          <w:rFonts w:ascii="宋体" w:eastAsia="宋体" w:hAnsi="宋体"/>
          <w:color w:val="000000" w:themeColor="text1"/>
          <w:sz w:val="28"/>
          <w:szCs w:val="28"/>
        </w:rPr>
      </w:pPr>
      <w:r>
        <w:rPr>
          <w:rFonts w:ascii="宋体" w:eastAsia="宋体" w:hAnsi="宋体"/>
          <w:color w:val="000000" w:themeColor="text1"/>
          <w:sz w:val="28"/>
          <w:szCs w:val="28"/>
        </w:rPr>
        <w:lastRenderedPageBreak/>
        <w:pict>
          <v:shapetype id="_x0000_t202" coordsize="21600,21600" o:spt="202" path="m,l,21600r21600,l21600,xe">
            <v:stroke joinstyle="miter"/>
            <v:path gradientshapeok="t" o:connecttype="rect"/>
          </v:shapetype>
          <v:shape id="_x0000_s1049" type="#_x0000_t202" style="position:absolute;left:0;text-align:left;margin-left:27pt;margin-top:159pt;width:46.4pt;height:20.25pt;z-index:251666432" fillcolor="#00b0f0" strokecolor="white">
            <v:textbox>
              <w:txbxContent>
                <w:p w:rsidR="00705A1C" w:rsidRDefault="00093829">
                  <w:pPr>
                    <w:jc w:val="right"/>
                    <w:rPr>
                      <w:sz w:val="20"/>
                      <w:szCs w:val="20"/>
                    </w:rPr>
                  </w:pPr>
                  <w:r>
                    <w:rPr>
                      <w:rFonts w:hint="eastAsia"/>
                      <w:sz w:val="20"/>
                      <w:szCs w:val="20"/>
                    </w:rPr>
                    <w:t>盐盆村</w:t>
                  </w:r>
                </w:p>
              </w:txbxContent>
            </v:textbox>
          </v:shape>
        </w:pict>
      </w:r>
      <w:r>
        <w:rPr>
          <w:rFonts w:ascii="宋体" w:eastAsia="宋体" w:hAnsi="宋体"/>
          <w:color w:val="000000" w:themeColor="text1"/>
          <w:sz w:val="28"/>
          <w:szCs w:val="28"/>
        </w:rPr>
        <w:pict>
          <v:shape id="_x0000_s1052" type="#_x0000_t202" style="position:absolute;left:0;text-align:left;margin-left:291.65pt;margin-top:486pt;width:51.85pt;height:22.5pt;z-index:251669504" fillcolor="#00b0f0" strokecolor="white" strokeweight=".25pt">
            <v:stroke endcap="round"/>
            <v:shadow on="t" type="perspective" color="#243f60" opacity=".5" offset="1pt" offset2="-1pt,-2pt"/>
            <v:textbox>
              <w:txbxContent>
                <w:p w:rsidR="00705A1C" w:rsidRDefault="00093829">
                  <w:pPr>
                    <w:jc w:val="left"/>
                    <w:rPr>
                      <w:sz w:val="20"/>
                      <w:szCs w:val="20"/>
                    </w:rPr>
                  </w:pPr>
                  <w:r>
                    <w:rPr>
                      <w:rFonts w:hint="eastAsia"/>
                      <w:sz w:val="20"/>
                      <w:szCs w:val="20"/>
                    </w:rPr>
                    <w:t>七都岛</w:t>
                  </w:r>
                </w:p>
              </w:txbxContent>
            </v:textbox>
          </v:shape>
        </w:pict>
      </w:r>
      <w:r>
        <w:rPr>
          <w:rFonts w:ascii="宋体" w:eastAsia="宋体" w:hAnsi="宋体"/>
          <w:color w:val="000000" w:themeColor="text1"/>
          <w:sz w:val="28"/>
          <w:szCs w:val="28"/>
        </w:rPr>
        <w:pict>
          <v:shape id="_x0000_s1051" type="#_x0000_t202" style="position:absolute;left:0;text-align:left;margin-left:27pt;margin-top:244.5pt;width:46.4pt;height:20.25pt;z-index:251668480" fillcolor="#00b0f0" strokecolor="white">
            <v:textbox>
              <w:txbxContent>
                <w:p w:rsidR="00705A1C" w:rsidRDefault="00093829">
                  <w:pPr>
                    <w:jc w:val="right"/>
                    <w:rPr>
                      <w:sz w:val="20"/>
                      <w:szCs w:val="20"/>
                    </w:rPr>
                  </w:pPr>
                  <w:r>
                    <w:rPr>
                      <w:rFonts w:hint="eastAsia"/>
                      <w:sz w:val="20"/>
                      <w:szCs w:val="20"/>
                    </w:rPr>
                    <w:t>支岙村</w:t>
                  </w:r>
                </w:p>
              </w:txbxContent>
            </v:textbox>
          </v:shape>
        </w:pict>
      </w:r>
      <w:r>
        <w:rPr>
          <w:rFonts w:ascii="宋体" w:eastAsia="宋体" w:hAnsi="宋体"/>
          <w:color w:val="000000" w:themeColor="text1"/>
          <w:sz w:val="28"/>
          <w:szCs w:val="28"/>
        </w:rPr>
        <w:pict>
          <v:shape id="_x0000_s1035" type="#_x0000_t202" style="position:absolute;left:0;text-align:left;margin-left:767.25pt;margin-top:11.25pt;width:25.5pt;height:452.25pt;z-index:251659264" fillcolor="#00b0f0" strokecolor="#f2f2f2" strokeweight=".25pt">
            <v:stroke endcap="round"/>
            <v:shadow on="t" type="perspective" color="#243f60" opacity=".5" offset="1pt" offset2="-1pt,-2pt"/>
            <v:textbox>
              <w:txbxContent>
                <w:p w:rsidR="00705A1C" w:rsidRDefault="00705A1C">
                  <w:pPr>
                    <w:jc w:val="center"/>
                  </w:pPr>
                </w:p>
                <w:p w:rsidR="00705A1C" w:rsidRDefault="00705A1C">
                  <w:pPr>
                    <w:jc w:val="center"/>
                  </w:pPr>
                </w:p>
                <w:p w:rsidR="00705A1C" w:rsidRDefault="00705A1C">
                  <w:pPr>
                    <w:jc w:val="center"/>
                  </w:pPr>
                </w:p>
                <w:p w:rsidR="00705A1C" w:rsidRDefault="00705A1C">
                  <w:pPr>
                    <w:jc w:val="center"/>
                  </w:pPr>
                </w:p>
                <w:p w:rsidR="00705A1C" w:rsidRDefault="00705A1C">
                  <w:pPr>
                    <w:jc w:val="center"/>
                  </w:pPr>
                </w:p>
                <w:p w:rsidR="00705A1C" w:rsidRDefault="00093829">
                  <w:pPr>
                    <w:jc w:val="center"/>
                  </w:pPr>
                  <w:r>
                    <w:rPr>
                      <w:rFonts w:hint="eastAsia"/>
                    </w:rPr>
                    <w:t>机场跑道中心线两侧各</w:t>
                  </w:r>
                  <w:r>
                    <w:rPr>
                      <w:rFonts w:hint="eastAsia"/>
                    </w:rPr>
                    <w:t>10</w:t>
                  </w:r>
                  <w:r>
                    <w:rPr>
                      <w:rFonts w:hint="eastAsia"/>
                    </w:rPr>
                    <w:t>公里</w:t>
                  </w:r>
                </w:p>
              </w:txbxContent>
            </v:textbox>
          </v:shape>
        </w:pict>
      </w:r>
      <w:r>
        <w:rPr>
          <w:rFonts w:ascii="宋体" w:eastAsia="宋体" w:hAnsi="宋体"/>
          <w:color w:val="000000" w:themeColor="text1"/>
          <w:sz w:val="28"/>
          <w:szCs w:val="28"/>
        </w:rPr>
        <w:pict>
          <v:shape id="_x0000_s1045" type="#_x0000_t202" style="position:absolute;left:0;text-align:left;margin-left:21.85pt;margin-top:-24pt;width:750.1pt;height:28.5pt;z-index:251664384" fillcolor="#00b0f0" strokecolor="#f2f2f2" strokeweight=".25pt">
            <v:stroke endcap="round"/>
            <v:shadow on="t" type="perspective" color="#243f60" opacity=".5" offset="1pt" offset2="-1pt,-2pt"/>
            <v:textbox>
              <w:txbxContent>
                <w:p w:rsidR="00705A1C" w:rsidRDefault="00093829">
                  <w:pPr>
                    <w:jc w:val="center"/>
                  </w:pPr>
                  <w:r>
                    <w:rPr>
                      <w:rFonts w:hint="eastAsia"/>
                    </w:rPr>
                    <w:t>机场跑道端外</w:t>
                  </w:r>
                  <w:r>
                    <w:rPr>
                      <w:rFonts w:hint="eastAsia"/>
                    </w:rPr>
                    <w:t>20</w:t>
                  </w:r>
                  <w:r>
                    <w:rPr>
                      <w:rFonts w:hint="eastAsia"/>
                    </w:rPr>
                    <w:t>公里</w:t>
                  </w:r>
                </w:p>
              </w:txbxContent>
            </v:textbox>
          </v:shape>
        </w:pict>
      </w:r>
      <w:r>
        <w:rPr>
          <w:rFonts w:ascii="宋体" w:eastAsia="宋体" w:hAnsi="宋体"/>
          <w:color w:val="000000" w:themeColor="text1"/>
          <w:sz w:val="28"/>
          <w:szCs w:val="28"/>
        </w:rPr>
        <w:pict>
          <v:shape id="_x0000_s1043" type="#_x0000_t202" style="position:absolute;left:0;text-align:left;margin-left:303pt;margin-top:401.25pt;width:183pt;height:19.5pt;z-index:251663360" fillcolor="#00b0f0" strokecolor="white" strokeweight=".25pt">
            <v:stroke endcap="round"/>
            <v:shadow on="t" type="perspective" color="#243f60" opacity=".5" offset="1pt" offset2="-1pt,-2pt"/>
            <v:textbox>
              <w:txbxContent>
                <w:p w:rsidR="00705A1C" w:rsidRDefault="00093829">
                  <w:pPr>
                    <w:spacing w:line="240" w:lineRule="atLeast"/>
                    <w:rPr>
                      <w:sz w:val="15"/>
                      <w:szCs w:val="15"/>
                    </w:rPr>
                  </w:pPr>
                  <w:r>
                    <w:rPr>
                      <w:rFonts w:hint="eastAsia"/>
                      <w:sz w:val="15"/>
                      <w:szCs w:val="15"/>
                    </w:rPr>
                    <w:t>龙东村</w:t>
                  </w:r>
                  <w:r>
                    <w:rPr>
                      <w:rFonts w:hint="eastAsia"/>
                      <w:sz w:val="15"/>
                      <w:szCs w:val="15"/>
                    </w:rPr>
                    <w:t xml:space="preserve"> </w:t>
                  </w:r>
                  <w:r>
                    <w:rPr>
                      <w:rFonts w:hint="eastAsia"/>
                      <w:sz w:val="15"/>
                      <w:szCs w:val="15"/>
                    </w:rPr>
                    <w:t>上山湾</w:t>
                  </w:r>
                  <w:r>
                    <w:rPr>
                      <w:rFonts w:hint="eastAsia"/>
                      <w:sz w:val="15"/>
                      <w:szCs w:val="15"/>
                    </w:rPr>
                    <w:t xml:space="preserve"> </w:t>
                  </w:r>
                  <w:r>
                    <w:rPr>
                      <w:sz w:val="15"/>
                      <w:szCs w:val="15"/>
                    </w:rPr>
                    <w:t>宏联佳园</w:t>
                  </w:r>
                  <w:r>
                    <w:rPr>
                      <w:rFonts w:hint="eastAsia"/>
                      <w:sz w:val="15"/>
                      <w:szCs w:val="15"/>
                    </w:rPr>
                    <w:t xml:space="preserve"> </w:t>
                  </w:r>
                  <w:r>
                    <w:rPr>
                      <w:rFonts w:hint="eastAsia"/>
                      <w:sz w:val="15"/>
                      <w:szCs w:val="15"/>
                    </w:rPr>
                    <w:t>双河村</w:t>
                  </w:r>
                  <w:r>
                    <w:rPr>
                      <w:rFonts w:hint="eastAsia"/>
                      <w:sz w:val="15"/>
                      <w:szCs w:val="15"/>
                    </w:rPr>
                    <w:t xml:space="preserve"> </w:t>
                  </w:r>
                  <w:r>
                    <w:rPr>
                      <w:rFonts w:hint="eastAsia"/>
                      <w:sz w:val="15"/>
                      <w:szCs w:val="15"/>
                    </w:rPr>
                    <w:t>青山村</w:t>
                  </w:r>
                  <w:r>
                    <w:rPr>
                      <w:rFonts w:hint="eastAsia"/>
                      <w:sz w:val="15"/>
                      <w:szCs w:val="15"/>
                    </w:rPr>
                    <w:t xml:space="preserve"> </w:t>
                  </w:r>
                  <w:r>
                    <w:rPr>
                      <w:rFonts w:hint="eastAsia"/>
                      <w:sz w:val="15"/>
                      <w:szCs w:val="15"/>
                    </w:rPr>
                    <w:t>双岙村</w:t>
                  </w:r>
                </w:p>
              </w:txbxContent>
            </v:textbox>
          </v:shape>
        </w:pict>
      </w:r>
      <w:r>
        <w:rPr>
          <w:rFonts w:ascii="宋体" w:eastAsia="宋体" w:hAnsi="宋体"/>
          <w:color w:val="000000" w:themeColor="text1"/>
          <w:sz w:val="28"/>
          <w:szCs w:val="28"/>
        </w:rPr>
        <w:pict>
          <v:shape id="_x0000_s1041" type="#_x0000_t202" style="position:absolute;left:0;text-align:left;margin-left:714.3pt;margin-top:486pt;width:57.65pt;height:22.5pt;z-index:251662336" fillcolor="#00b0f0" strokecolor="white" strokeweight=".25pt">
            <v:stroke endcap="round"/>
            <v:shadow on="t" type="perspective" color="#243f60" opacity=".5" offset="1pt" offset2="-1pt,-2pt"/>
            <v:textbox>
              <w:txbxContent>
                <w:p w:rsidR="00705A1C" w:rsidRDefault="00093829">
                  <w:pPr>
                    <w:jc w:val="left"/>
                    <w:rPr>
                      <w:sz w:val="20"/>
                      <w:szCs w:val="20"/>
                    </w:rPr>
                  </w:pPr>
                  <w:r>
                    <w:rPr>
                      <w:rFonts w:hint="eastAsia"/>
                      <w:sz w:val="20"/>
                      <w:szCs w:val="20"/>
                    </w:rPr>
                    <w:t>佳欣华庭</w:t>
                  </w:r>
                </w:p>
              </w:txbxContent>
            </v:textbox>
          </v:shape>
        </w:pict>
      </w:r>
      <w:r>
        <w:rPr>
          <w:rFonts w:ascii="宋体" w:eastAsia="宋体" w:hAnsi="宋体"/>
          <w:color w:val="000000" w:themeColor="text1"/>
          <w:sz w:val="28"/>
          <w:szCs w:val="28"/>
        </w:rPr>
        <w:pict>
          <v:shape id="_x0000_s1050" type="#_x0000_t202" style="position:absolute;left:0;text-align:left;margin-left:771.95pt;margin-top:463.5pt;width:20.8pt;height:77.25pt;z-index:251667456" fillcolor="#00b0f0" strokecolor="white" strokeweight=".25pt">
            <v:stroke endcap="round"/>
            <v:shadow on="t" type="perspective" color="#243f60" opacity=".5" offset="1pt" offset2="-1pt,-2pt"/>
            <v:textbox>
              <w:txbxContent>
                <w:p w:rsidR="00705A1C" w:rsidRDefault="00093829">
                  <w:pPr>
                    <w:jc w:val="left"/>
                    <w:rPr>
                      <w:sz w:val="20"/>
                      <w:szCs w:val="20"/>
                    </w:rPr>
                  </w:pPr>
                  <w:r>
                    <w:rPr>
                      <w:rFonts w:hint="eastAsia"/>
                      <w:sz w:val="20"/>
                      <w:szCs w:val="20"/>
                    </w:rPr>
                    <w:t>瑞</w:t>
                  </w:r>
                </w:p>
                <w:p w:rsidR="00705A1C" w:rsidRDefault="00093829">
                  <w:pPr>
                    <w:jc w:val="left"/>
                    <w:rPr>
                      <w:sz w:val="20"/>
                      <w:szCs w:val="20"/>
                    </w:rPr>
                  </w:pPr>
                  <w:r>
                    <w:rPr>
                      <w:rFonts w:hint="eastAsia"/>
                      <w:sz w:val="20"/>
                      <w:szCs w:val="20"/>
                    </w:rPr>
                    <w:t>都</w:t>
                  </w:r>
                </w:p>
                <w:p w:rsidR="00705A1C" w:rsidRDefault="00093829">
                  <w:pPr>
                    <w:jc w:val="left"/>
                    <w:rPr>
                      <w:sz w:val="20"/>
                      <w:szCs w:val="20"/>
                    </w:rPr>
                  </w:pPr>
                  <w:r>
                    <w:rPr>
                      <w:rFonts w:hint="eastAsia"/>
                      <w:sz w:val="20"/>
                      <w:szCs w:val="20"/>
                    </w:rPr>
                    <w:t>景</w:t>
                  </w:r>
                </w:p>
                <w:p w:rsidR="00705A1C" w:rsidRDefault="00093829">
                  <w:pPr>
                    <w:jc w:val="left"/>
                    <w:rPr>
                      <w:sz w:val="20"/>
                      <w:szCs w:val="20"/>
                    </w:rPr>
                  </w:pPr>
                  <w:r>
                    <w:rPr>
                      <w:rFonts w:hint="eastAsia"/>
                      <w:sz w:val="20"/>
                      <w:szCs w:val="20"/>
                    </w:rPr>
                    <w:t>园</w:t>
                  </w:r>
                </w:p>
              </w:txbxContent>
            </v:textbox>
          </v:shape>
        </w:pict>
      </w:r>
      <w:r>
        <w:rPr>
          <w:rFonts w:ascii="宋体" w:eastAsia="宋体" w:hAnsi="宋体"/>
          <w:color w:val="000000" w:themeColor="text1"/>
          <w:sz w:val="28"/>
          <w:szCs w:val="28"/>
        </w:rPr>
        <w:pict>
          <v:shape id="_x0000_s1038" type="#_x0000_t202" style="position:absolute;left:0;text-align:left;margin-left:26.9pt;margin-top:321.75pt;width:46.4pt;height:20.25pt;z-index:251661312" fillcolor="#00b0f0" strokecolor="white">
            <v:textbox>
              <w:txbxContent>
                <w:p w:rsidR="00705A1C" w:rsidRDefault="00093829">
                  <w:pPr>
                    <w:jc w:val="right"/>
                    <w:rPr>
                      <w:sz w:val="20"/>
                      <w:szCs w:val="20"/>
                    </w:rPr>
                  </w:pPr>
                  <w:r>
                    <w:rPr>
                      <w:rFonts w:hint="eastAsia"/>
                      <w:sz w:val="20"/>
                      <w:szCs w:val="20"/>
                    </w:rPr>
                    <w:t>杨八洞</w:t>
                  </w:r>
                </w:p>
              </w:txbxContent>
            </v:textbox>
          </v:shape>
        </w:pict>
      </w:r>
      <w:r>
        <w:rPr>
          <w:rFonts w:ascii="宋体" w:eastAsia="宋体" w:hAnsi="宋体"/>
          <w:color w:val="000000" w:themeColor="text1"/>
          <w:sz w:val="28"/>
          <w:szCs w:val="28"/>
        </w:rPr>
        <w:pict>
          <v:shape id="_x0000_s1037" type="#_x0000_t202" style="position:absolute;left:0;text-align:left;margin-left:27pt;margin-top:442.5pt;width:46.4pt;height:36.75pt;z-index:251660288" fillcolor="#00b0f0" strokecolor="white">
            <v:textbox>
              <w:txbxContent>
                <w:p w:rsidR="00705A1C" w:rsidRDefault="00093829">
                  <w:pPr>
                    <w:jc w:val="right"/>
                    <w:rPr>
                      <w:sz w:val="20"/>
                      <w:szCs w:val="20"/>
                    </w:rPr>
                  </w:pPr>
                  <w:r>
                    <w:rPr>
                      <w:rFonts w:hint="eastAsia"/>
                      <w:sz w:val="20"/>
                      <w:szCs w:val="20"/>
                    </w:rPr>
                    <w:t>东坑</w:t>
                  </w:r>
                </w:p>
                <w:p w:rsidR="00705A1C" w:rsidRDefault="00093829">
                  <w:pPr>
                    <w:jc w:val="right"/>
                    <w:rPr>
                      <w:sz w:val="20"/>
                      <w:szCs w:val="20"/>
                    </w:rPr>
                  </w:pPr>
                  <w:r>
                    <w:rPr>
                      <w:rFonts w:hint="eastAsia"/>
                      <w:sz w:val="20"/>
                      <w:szCs w:val="20"/>
                    </w:rPr>
                    <w:t>钟前村</w:t>
                  </w:r>
                </w:p>
              </w:txbxContent>
            </v:textbox>
          </v:shape>
        </w:pict>
      </w:r>
      <w:r>
        <w:rPr>
          <w:rFonts w:ascii="宋体" w:eastAsia="宋体" w:hAnsi="宋体"/>
          <w:color w:val="000000" w:themeColor="text1"/>
          <w:sz w:val="28"/>
          <w:szCs w:val="28"/>
        </w:rPr>
        <w:pict>
          <v:shape id="_x0000_s1048" type="#_x0000_t202" style="position:absolute;left:0;text-align:left;margin-left:27pt;margin-top:75.75pt;width:101.25pt;height:83.25pt;z-index:251665408" strokecolor="#f2f2f2" strokeweight="3pt">
            <v:stroke endcap="round"/>
            <v:shadow on="t" type="perspective" color="#243f60" opacity=".5" offset="1pt" offset2="-1pt,-2pt"/>
            <v:textbox>
              <w:txbxContent>
                <w:p w:rsidR="00705A1C" w:rsidRDefault="00093829">
                  <w:r>
                    <w:rPr>
                      <w:noProof/>
                    </w:rPr>
                    <w:drawing>
                      <wp:inline distT="0" distB="0" distL="0" distR="0">
                        <wp:extent cx="962025" cy="895350"/>
                        <wp:effectExtent l="19050" t="0" r="9525" b="0"/>
                        <wp:docPr id="15" name="图片 2"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timg.jpg"/>
                                <pic:cNvPicPr>
                                  <a:picLocks noChangeAspect="1"/>
                                </pic:cNvPicPr>
                              </pic:nvPicPr>
                              <pic:blipFill>
                                <a:blip r:embed="rId9"/>
                                <a:stretch>
                                  <a:fillRect/>
                                </a:stretch>
                              </pic:blipFill>
                              <pic:spPr>
                                <a:xfrm>
                                  <a:off x="0" y="0"/>
                                  <a:ext cx="962025" cy="895350"/>
                                </a:xfrm>
                                <a:prstGeom prst="rect">
                                  <a:avLst/>
                                </a:prstGeom>
                              </pic:spPr>
                            </pic:pic>
                          </a:graphicData>
                        </a:graphic>
                      </wp:inline>
                    </w:drawing>
                  </w:r>
                </w:p>
              </w:txbxContent>
            </v:textbox>
          </v:shape>
        </w:pict>
      </w:r>
      <w:r w:rsidR="00093829">
        <w:rPr>
          <w:rFonts w:ascii="宋体" w:eastAsia="宋体" w:hAnsi="宋体" w:hint="eastAsia"/>
          <w:noProof/>
          <w:color w:val="000000" w:themeColor="text1"/>
          <w:sz w:val="28"/>
          <w:szCs w:val="28"/>
        </w:rPr>
        <w:drawing>
          <wp:inline distT="0" distB="0" distL="0" distR="0">
            <wp:extent cx="9848850" cy="6276975"/>
            <wp:effectExtent l="19050" t="0" r="0" b="0"/>
            <wp:docPr id="8" name="图片 6" descr="无标题.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无标题.bmp"/>
                    <pic:cNvPicPr>
                      <a:picLocks noChangeAspect="1"/>
                    </pic:cNvPicPr>
                  </pic:nvPicPr>
                  <pic:blipFill>
                    <a:blip r:embed="rId10" cstate="print"/>
                    <a:srcRect l="1753" t="10399" r="5258" b="1733"/>
                    <a:stretch>
                      <a:fillRect/>
                    </a:stretch>
                  </pic:blipFill>
                  <pic:spPr>
                    <a:xfrm>
                      <a:off x="0" y="0"/>
                      <a:ext cx="9848850" cy="6276975"/>
                    </a:xfrm>
                    <a:prstGeom prst="rect">
                      <a:avLst/>
                    </a:prstGeom>
                  </pic:spPr>
                </pic:pic>
              </a:graphicData>
            </a:graphic>
          </wp:inline>
        </w:drawing>
      </w:r>
    </w:p>
    <w:sectPr w:rsidR="00705A1C" w:rsidSect="00705A1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6D" w:rsidRDefault="00CE2A6D" w:rsidP="00705A1C">
      <w:r>
        <w:separator/>
      </w:r>
    </w:p>
  </w:endnote>
  <w:endnote w:type="continuationSeparator" w:id="1">
    <w:p w:rsidR="00CE2A6D" w:rsidRDefault="00CE2A6D" w:rsidP="00705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38206"/>
      <w:docPartObj>
        <w:docPartGallery w:val="Page Numbers (Bottom of Page)"/>
        <w:docPartUnique/>
      </w:docPartObj>
    </w:sdtPr>
    <w:sdtContent>
      <w:p w:rsidR="00721BA7" w:rsidRDefault="00A3535D">
        <w:pPr>
          <w:pStyle w:val="a5"/>
          <w:jc w:val="center"/>
        </w:pPr>
        <w:r w:rsidRPr="00C13F66">
          <w:rPr>
            <w:sz w:val="28"/>
            <w:szCs w:val="28"/>
          </w:rPr>
          <w:fldChar w:fldCharType="begin"/>
        </w:r>
        <w:r w:rsidRPr="00C13F66">
          <w:rPr>
            <w:sz w:val="28"/>
            <w:szCs w:val="28"/>
          </w:rPr>
          <w:instrText xml:space="preserve"> PAGE   \* MERGEFORMAT </w:instrText>
        </w:r>
        <w:r w:rsidRPr="00C13F66">
          <w:rPr>
            <w:sz w:val="28"/>
            <w:szCs w:val="28"/>
          </w:rPr>
          <w:fldChar w:fldCharType="separate"/>
        </w:r>
        <w:r w:rsidR="00C13F66" w:rsidRPr="00C13F66">
          <w:rPr>
            <w:noProof/>
            <w:sz w:val="28"/>
            <w:szCs w:val="28"/>
            <w:lang w:val="zh-CN"/>
          </w:rPr>
          <w:t>8</w:t>
        </w:r>
        <w:r w:rsidRPr="00C13F66">
          <w:rPr>
            <w:sz w:val="28"/>
            <w:szCs w:val="28"/>
          </w:rPr>
          <w:fldChar w:fldCharType="end"/>
        </w:r>
      </w:p>
    </w:sdtContent>
  </w:sdt>
  <w:p w:rsidR="00721BA7" w:rsidRDefault="00721B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6D" w:rsidRDefault="00CE2A6D" w:rsidP="00705A1C">
      <w:r>
        <w:separator/>
      </w:r>
    </w:p>
  </w:footnote>
  <w:footnote w:type="continuationSeparator" w:id="1">
    <w:p w:rsidR="00CE2A6D" w:rsidRDefault="00CE2A6D" w:rsidP="00705A1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胡益阳">
    <w15:presenceInfo w15:providerId="None" w15:userId="胡益阳"/>
  </w15:person>
  <w15:person w15:author="蔡小龙">
    <w15:presenceInfo w15:providerId="None" w15:userId="蔡小龙"/>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fillcolor="white" strokecolor="white">
      <v:fill color="white"/>
      <v:stroke color="white" weight="3pt" endcap="round"/>
      <v:shadow on="t" type="perspective" color="white" opacity=".5" offset="1pt" offset2="-1pt,-2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84F"/>
    <w:rsid w:val="00017583"/>
    <w:rsid w:val="00025D1F"/>
    <w:rsid w:val="00025F69"/>
    <w:rsid w:val="00027C13"/>
    <w:rsid w:val="00033FFD"/>
    <w:rsid w:val="00060118"/>
    <w:rsid w:val="00075ADF"/>
    <w:rsid w:val="00075D1C"/>
    <w:rsid w:val="00077596"/>
    <w:rsid w:val="00080A65"/>
    <w:rsid w:val="0008387B"/>
    <w:rsid w:val="00084811"/>
    <w:rsid w:val="000849DF"/>
    <w:rsid w:val="00093829"/>
    <w:rsid w:val="000A05B6"/>
    <w:rsid w:val="000A1065"/>
    <w:rsid w:val="000A14C6"/>
    <w:rsid w:val="000A1B7F"/>
    <w:rsid w:val="000C3E80"/>
    <w:rsid w:val="000C5960"/>
    <w:rsid w:val="000D5B19"/>
    <w:rsid w:val="000E75A0"/>
    <w:rsid w:val="000F1208"/>
    <w:rsid w:val="000F2D91"/>
    <w:rsid w:val="000F5084"/>
    <w:rsid w:val="001030B0"/>
    <w:rsid w:val="00112888"/>
    <w:rsid w:val="00113E59"/>
    <w:rsid w:val="0012007A"/>
    <w:rsid w:val="001254FD"/>
    <w:rsid w:val="001257C1"/>
    <w:rsid w:val="001338CB"/>
    <w:rsid w:val="001361BA"/>
    <w:rsid w:val="001541B7"/>
    <w:rsid w:val="001543DF"/>
    <w:rsid w:val="00176D49"/>
    <w:rsid w:val="00187DF5"/>
    <w:rsid w:val="00197327"/>
    <w:rsid w:val="001B3653"/>
    <w:rsid w:val="001C43FB"/>
    <w:rsid w:val="001C7804"/>
    <w:rsid w:val="001D78C0"/>
    <w:rsid w:val="001E6781"/>
    <w:rsid w:val="00206B3D"/>
    <w:rsid w:val="002134A0"/>
    <w:rsid w:val="00251E5A"/>
    <w:rsid w:val="00254BF6"/>
    <w:rsid w:val="00262683"/>
    <w:rsid w:val="002656C7"/>
    <w:rsid w:val="00267E89"/>
    <w:rsid w:val="00282133"/>
    <w:rsid w:val="00282EE3"/>
    <w:rsid w:val="00284AB4"/>
    <w:rsid w:val="00290BDE"/>
    <w:rsid w:val="002A23E2"/>
    <w:rsid w:val="002A588B"/>
    <w:rsid w:val="002C4594"/>
    <w:rsid w:val="002E24D6"/>
    <w:rsid w:val="002F1D67"/>
    <w:rsid w:val="00300345"/>
    <w:rsid w:val="00302212"/>
    <w:rsid w:val="00311BD2"/>
    <w:rsid w:val="00321D81"/>
    <w:rsid w:val="00331F7A"/>
    <w:rsid w:val="0033382B"/>
    <w:rsid w:val="00334375"/>
    <w:rsid w:val="00340109"/>
    <w:rsid w:val="00344EE6"/>
    <w:rsid w:val="00347BE8"/>
    <w:rsid w:val="00350F50"/>
    <w:rsid w:val="003607E6"/>
    <w:rsid w:val="0036347D"/>
    <w:rsid w:val="00373283"/>
    <w:rsid w:val="0037361F"/>
    <w:rsid w:val="00373BDB"/>
    <w:rsid w:val="00376752"/>
    <w:rsid w:val="00377033"/>
    <w:rsid w:val="00377954"/>
    <w:rsid w:val="00387FBC"/>
    <w:rsid w:val="0039598D"/>
    <w:rsid w:val="003A0B94"/>
    <w:rsid w:val="003B4D4B"/>
    <w:rsid w:val="003B7889"/>
    <w:rsid w:val="003C31E6"/>
    <w:rsid w:val="003C7715"/>
    <w:rsid w:val="003D2243"/>
    <w:rsid w:val="003D24B5"/>
    <w:rsid w:val="003F0982"/>
    <w:rsid w:val="004026A5"/>
    <w:rsid w:val="004103C7"/>
    <w:rsid w:val="00410EB7"/>
    <w:rsid w:val="00425D83"/>
    <w:rsid w:val="00436E13"/>
    <w:rsid w:val="004454CB"/>
    <w:rsid w:val="00451075"/>
    <w:rsid w:val="00461260"/>
    <w:rsid w:val="00480902"/>
    <w:rsid w:val="004844A7"/>
    <w:rsid w:val="00497CC1"/>
    <w:rsid w:val="004C6A6C"/>
    <w:rsid w:val="004D0F5C"/>
    <w:rsid w:val="004E7032"/>
    <w:rsid w:val="004F35B0"/>
    <w:rsid w:val="00506F64"/>
    <w:rsid w:val="0053121A"/>
    <w:rsid w:val="00531C4C"/>
    <w:rsid w:val="00535CE6"/>
    <w:rsid w:val="00536D37"/>
    <w:rsid w:val="00546631"/>
    <w:rsid w:val="005535EB"/>
    <w:rsid w:val="00553614"/>
    <w:rsid w:val="00557EE0"/>
    <w:rsid w:val="00561A7C"/>
    <w:rsid w:val="0056423D"/>
    <w:rsid w:val="00570795"/>
    <w:rsid w:val="00573715"/>
    <w:rsid w:val="00580B5B"/>
    <w:rsid w:val="005957E6"/>
    <w:rsid w:val="005A377F"/>
    <w:rsid w:val="005B061A"/>
    <w:rsid w:val="005B6FB8"/>
    <w:rsid w:val="005C17FD"/>
    <w:rsid w:val="005C3081"/>
    <w:rsid w:val="005C6605"/>
    <w:rsid w:val="005C7DB1"/>
    <w:rsid w:val="005D478E"/>
    <w:rsid w:val="005D64E7"/>
    <w:rsid w:val="005F0981"/>
    <w:rsid w:val="00602E6F"/>
    <w:rsid w:val="006040E8"/>
    <w:rsid w:val="00615FC4"/>
    <w:rsid w:val="00634ABD"/>
    <w:rsid w:val="00644D50"/>
    <w:rsid w:val="006462B2"/>
    <w:rsid w:val="006469E6"/>
    <w:rsid w:val="006541BC"/>
    <w:rsid w:val="006562C5"/>
    <w:rsid w:val="00662B85"/>
    <w:rsid w:val="006754D7"/>
    <w:rsid w:val="00686632"/>
    <w:rsid w:val="006A2D4C"/>
    <w:rsid w:val="006A44FB"/>
    <w:rsid w:val="006B1203"/>
    <w:rsid w:val="006D396A"/>
    <w:rsid w:val="00705A1C"/>
    <w:rsid w:val="00705D15"/>
    <w:rsid w:val="00721BA7"/>
    <w:rsid w:val="007339C4"/>
    <w:rsid w:val="0074519A"/>
    <w:rsid w:val="00746988"/>
    <w:rsid w:val="00750433"/>
    <w:rsid w:val="00751F79"/>
    <w:rsid w:val="007625A1"/>
    <w:rsid w:val="007646FF"/>
    <w:rsid w:val="0076484F"/>
    <w:rsid w:val="00773548"/>
    <w:rsid w:val="0077710E"/>
    <w:rsid w:val="00777831"/>
    <w:rsid w:val="007923D7"/>
    <w:rsid w:val="007933CC"/>
    <w:rsid w:val="00797F03"/>
    <w:rsid w:val="007B0DAE"/>
    <w:rsid w:val="007C672A"/>
    <w:rsid w:val="007D0860"/>
    <w:rsid w:val="007D444E"/>
    <w:rsid w:val="007D6B26"/>
    <w:rsid w:val="007F2940"/>
    <w:rsid w:val="007F2E85"/>
    <w:rsid w:val="00817182"/>
    <w:rsid w:val="00817582"/>
    <w:rsid w:val="008204E4"/>
    <w:rsid w:val="0082297B"/>
    <w:rsid w:val="0084622F"/>
    <w:rsid w:val="00846EE1"/>
    <w:rsid w:val="00852385"/>
    <w:rsid w:val="008655A5"/>
    <w:rsid w:val="008661A1"/>
    <w:rsid w:val="00867F4F"/>
    <w:rsid w:val="00874408"/>
    <w:rsid w:val="008759A0"/>
    <w:rsid w:val="00885F81"/>
    <w:rsid w:val="00886726"/>
    <w:rsid w:val="00894051"/>
    <w:rsid w:val="008A02F0"/>
    <w:rsid w:val="008A5882"/>
    <w:rsid w:val="008B0FC6"/>
    <w:rsid w:val="008B7412"/>
    <w:rsid w:val="008C000A"/>
    <w:rsid w:val="008C0776"/>
    <w:rsid w:val="008C418A"/>
    <w:rsid w:val="008C6E0C"/>
    <w:rsid w:val="008E01E2"/>
    <w:rsid w:val="008E4E58"/>
    <w:rsid w:val="008F37CE"/>
    <w:rsid w:val="009030FF"/>
    <w:rsid w:val="00923F38"/>
    <w:rsid w:val="00940E37"/>
    <w:rsid w:val="00944AF0"/>
    <w:rsid w:val="00947AC0"/>
    <w:rsid w:val="00950D61"/>
    <w:rsid w:val="00964114"/>
    <w:rsid w:val="00973DC0"/>
    <w:rsid w:val="0097474A"/>
    <w:rsid w:val="00987A03"/>
    <w:rsid w:val="009962CB"/>
    <w:rsid w:val="009A3128"/>
    <w:rsid w:val="009B42E2"/>
    <w:rsid w:val="009C6D4F"/>
    <w:rsid w:val="009D06EE"/>
    <w:rsid w:val="009F3348"/>
    <w:rsid w:val="009F4ACF"/>
    <w:rsid w:val="00A06149"/>
    <w:rsid w:val="00A13FEE"/>
    <w:rsid w:val="00A15A9F"/>
    <w:rsid w:val="00A3535D"/>
    <w:rsid w:val="00A51AD6"/>
    <w:rsid w:val="00A778A6"/>
    <w:rsid w:val="00A82498"/>
    <w:rsid w:val="00A868D2"/>
    <w:rsid w:val="00A86BE3"/>
    <w:rsid w:val="00A8738C"/>
    <w:rsid w:val="00A92786"/>
    <w:rsid w:val="00A95253"/>
    <w:rsid w:val="00AC111D"/>
    <w:rsid w:val="00AC51DC"/>
    <w:rsid w:val="00AD12E7"/>
    <w:rsid w:val="00AE4DEC"/>
    <w:rsid w:val="00AF1CD0"/>
    <w:rsid w:val="00AF5606"/>
    <w:rsid w:val="00B108B9"/>
    <w:rsid w:val="00B17CE0"/>
    <w:rsid w:val="00B25293"/>
    <w:rsid w:val="00B25369"/>
    <w:rsid w:val="00B27360"/>
    <w:rsid w:val="00B33018"/>
    <w:rsid w:val="00B35A49"/>
    <w:rsid w:val="00B426DF"/>
    <w:rsid w:val="00B47022"/>
    <w:rsid w:val="00B57296"/>
    <w:rsid w:val="00B61D2D"/>
    <w:rsid w:val="00B64FF7"/>
    <w:rsid w:val="00B8340D"/>
    <w:rsid w:val="00B91EA9"/>
    <w:rsid w:val="00BA2D59"/>
    <w:rsid w:val="00BB2ABC"/>
    <w:rsid w:val="00BC4C1F"/>
    <w:rsid w:val="00BD53E8"/>
    <w:rsid w:val="00BD7A30"/>
    <w:rsid w:val="00C07E40"/>
    <w:rsid w:val="00C13F66"/>
    <w:rsid w:val="00C17ED2"/>
    <w:rsid w:val="00C20512"/>
    <w:rsid w:val="00C26763"/>
    <w:rsid w:val="00C34196"/>
    <w:rsid w:val="00C4675F"/>
    <w:rsid w:val="00C5016F"/>
    <w:rsid w:val="00C651A7"/>
    <w:rsid w:val="00C71E66"/>
    <w:rsid w:val="00C83B67"/>
    <w:rsid w:val="00C846FD"/>
    <w:rsid w:val="00C900C0"/>
    <w:rsid w:val="00CB02EB"/>
    <w:rsid w:val="00CB3127"/>
    <w:rsid w:val="00CC5DBD"/>
    <w:rsid w:val="00CD1C12"/>
    <w:rsid w:val="00CD519A"/>
    <w:rsid w:val="00CE2A6D"/>
    <w:rsid w:val="00CF659D"/>
    <w:rsid w:val="00D04072"/>
    <w:rsid w:val="00D119FA"/>
    <w:rsid w:val="00D22752"/>
    <w:rsid w:val="00D249D1"/>
    <w:rsid w:val="00D2548B"/>
    <w:rsid w:val="00D26BD4"/>
    <w:rsid w:val="00D3368A"/>
    <w:rsid w:val="00D50861"/>
    <w:rsid w:val="00D7222A"/>
    <w:rsid w:val="00D829D1"/>
    <w:rsid w:val="00D85219"/>
    <w:rsid w:val="00DA1904"/>
    <w:rsid w:val="00DA7327"/>
    <w:rsid w:val="00DC7991"/>
    <w:rsid w:val="00DE5F89"/>
    <w:rsid w:val="00DE662B"/>
    <w:rsid w:val="00DF38D9"/>
    <w:rsid w:val="00E053F1"/>
    <w:rsid w:val="00E31D79"/>
    <w:rsid w:val="00E41203"/>
    <w:rsid w:val="00E41C77"/>
    <w:rsid w:val="00E42495"/>
    <w:rsid w:val="00E44A24"/>
    <w:rsid w:val="00E47F62"/>
    <w:rsid w:val="00E531C9"/>
    <w:rsid w:val="00E54C3D"/>
    <w:rsid w:val="00E84AB6"/>
    <w:rsid w:val="00E87812"/>
    <w:rsid w:val="00E90740"/>
    <w:rsid w:val="00E92701"/>
    <w:rsid w:val="00E951F5"/>
    <w:rsid w:val="00E95F9C"/>
    <w:rsid w:val="00EB43B0"/>
    <w:rsid w:val="00EC1F69"/>
    <w:rsid w:val="00EC63B5"/>
    <w:rsid w:val="00ED0E03"/>
    <w:rsid w:val="00EE0F5B"/>
    <w:rsid w:val="00EF06A7"/>
    <w:rsid w:val="00EF5E01"/>
    <w:rsid w:val="00F0167A"/>
    <w:rsid w:val="00F05F00"/>
    <w:rsid w:val="00F15809"/>
    <w:rsid w:val="00F21A8A"/>
    <w:rsid w:val="00F24616"/>
    <w:rsid w:val="00F24D73"/>
    <w:rsid w:val="00F27147"/>
    <w:rsid w:val="00F3649C"/>
    <w:rsid w:val="00F36F35"/>
    <w:rsid w:val="00F4115D"/>
    <w:rsid w:val="00F47183"/>
    <w:rsid w:val="00F47A79"/>
    <w:rsid w:val="00F54868"/>
    <w:rsid w:val="00F5688E"/>
    <w:rsid w:val="00F63969"/>
    <w:rsid w:val="00F770A8"/>
    <w:rsid w:val="00F90811"/>
    <w:rsid w:val="00FA1A88"/>
    <w:rsid w:val="00FB6D94"/>
    <w:rsid w:val="00FC07BF"/>
    <w:rsid w:val="00FC3026"/>
    <w:rsid w:val="00FC5E48"/>
    <w:rsid w:val="00FD4833"/>
    <w:rsid w:val="00FE2D2C"/>
    <w:rsid w:val="00FE65F7"/>
    <w:rsid w:val="00FE6F68"/>
    <w:rsid w:val="00FF7363"/>
    <w:rsid w:val="04B261B6"/>
    <w:rsid w:val="070B7C02"/>
    <w:rsid w:val="161D43C4"/>
    <w:rsid w:val="21EC0A80"/>
    <w:rsid w:val="253F0150"/>
    <w:rsid w:val="29E00019"/>
    <w:rsid w:val="33DC591F"/>
    <w:rsid w:val="34FE4C55"/>
    <w:rsid w:val="35952048"/>
    <w:rsid w:val="3A6E2CBD"/>
    <w:rsid w:val="3B9B0FAF"/>
    <w:rsid w:val="43297228"/>
    <w:rsid w:val="6080139D"/>
    <w:rsid w:val="6FAD76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strokecolor="white">
      <v:fill color="white"/>
      <v:stroke color="white" weight="3pt" endcap="round"/>
      <v:shadow on="t" type="perspective" color="white" opacity=".5" offset="1pt" offset2="-1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05A1C"/>
    <w:pPr>
      <w:jc w:val="left"/>
    </w:pPr>
  </w:style>
  <w:style w:type="paragraph" w:styleId="a4">
    <w:name w:val="Balloon Text"/>
    <w:basedOn w:val="a"/>
    <w:link w:val="Char0"/>
    <w:uiPriority w:val="99"/>
    <w:semiHidden/>
    <w:unhideWhenUsed/>
    <w:qFormat/>
    <w:rsid w:val="00705A1C"/>
    <w:rPr>
      <w:sz w:val="18"/>
      <w:szCs w:val="18"/>
    </w:rPr>
  </w:style>
  <w:style w:type="paragraph" w:styleId="a5">
    <w:name w:val="footer"/>
    <w:basedOn w:val="a"/>
    <w:link w:val="Char1"/>
    <w:uiPriority w:val="99"/>
    <w:unhideWhenUsed/>
    <w:qFormat/>
    <w:rsid w:val="00705A1C"/>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05A1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05A1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705A1C"/>
    <w:rPr>
      <w:b/>
      <w:bCs/>
    </w:rPr>
  </w:style>
  <w:style w:type="character" w:styleId="a9">
    <w:name w:val="annotation reference"/>
    <w:basedOn w:val="a0"/>
    <w:uiPriority w:val="99"/>
    <w:semiHidden/>
    <w:unhideWhenUsed/>
    <w:qFormat/>
    <w:rsid w:val="00705A1C"/>
    <w:rPr>
      <w:sz w:val="21"/>
      <w:szCs w:val="21"/>
    </w:rPr>
  </w:style>
  <w:style w:type="character" w:customStyle="1" w:styleId="Char2">
    <w:name w:val="页眉 Char"/>
    <w:basedOn w:val="a0"/>
    <w:link w:val="a6"/>
    <w:uiPriority w:val="99"/>
    <w:semiHidden/>
    <w:qFormat/>
    <w:rsid w:val="00705A1C"/>
    <w:rPr>
      <w:sz w:val="18"/>
      <w:szCs w:val="18"/>
    </w:rPr>
  </w:style>
  <w:style w:type="character" w:customStyle="1" w:styleId="Char1">
    <w:name w:val="页脚 Char"/>
    <w:basedOn w:val="a0"/>
    <w:link w:val="a5"/>
    <w:uiPriority w:val="99"/>
    <w:qFormat/>
    <w:rsid w:val="00705A1C"/>
    <w:rPr>
      <w:sz w:val="18"/>
      <w:szCs w:val="18"/>
    </w:rPr>
  </w:style>
  <w:style w:type="paragraph" w:styleId="aa">
    <w:name w:val="List Paragraph"/>
    <w:basedOn w:val="a"/>
    <w:uiPriority w:val="34"/>
    <w:qFormat/>
    <w:rsid w:val="00705A1C"/>
    <w:pPr>
      <w:ind w:firstLineChars="200" w:firstLine="420"/>
    </w:pPr>
  </w:style>
  <w:style w:type="character" w:customStyle="1" w:styleId="Char0">
    <w:name w:val="批注框文本 Char"/>
    <w:basedOn w:val="a0"/>
    <w:link w:val="a4"/>
    <w:uiPriority w:val="99"/>
    <w:semiHidden/>
    <w:qFormat/>
    <w:rsid w:val="00705A1C"/>
    <w:rPr>
      <w:sz w:val="18"/>
      <w:szCs w:val="18"/>
    </w:rPr>
  </w:style>
  <w:style w:type="character" w:customStyle="1" w:styleId="Char">
    <w:name w:val="批注文字 Char"/>
    <w:basedOn w:val="a0"/>
    <w:link w:val="a3"/>
    <w:uiPriority w:val="99"/>
    <w:semiHidden/>
    <w:qFormat/>
    <w:rsid w:val="00705A1C"/>
    <w:rPr>
      <w:kern w:val="2"/>
      <w:sz w:val="21"/>
      <w:szCs w:val="22"/>
    </w:rPr>
  </w:style>
  <w:style w:type="character" w:customStyle="1" w:styleId="Char3">
    <w:name w:val="批注主题 Char"/>
    <w:basedOn w:val="Char"/>
    <w:link w:val="a8"/>
    <w:uiPriority w:val="99"/>
    <w:semiHidden/>
    <w:qFormat/>
    <w:rsid w:val="00705A1C"/>
    <w:rPr>
      <w:b/>
      <w:bCs/>
    </w:rPr>
  </w:style>
  <w:style w:type="character" w:styleId="ab">
    <w:name w:val="Hyperlink"/>
    <w:basedOn w:val="a0"/>
    <w:uiPriority w:val="99"/>
    <w:semiHidden/>
    <w:unhideWhenUsed/>
    <w:rsid w:val="00E951F5"/>
    <w:rPr>
      <w:color w:val="0000FF"/>
      <w:u w:val="single"/>
    </w:rPr>
  </w:style>
</w:styles>
</file>

<file path=word/webSettings.xml><?xml version="1.0" encoding="utf-8"?>
<w:webSettings xmlns:r="http://schemas.openxmlformats.org/officeDocument/2006/relationships" xmlns:w="http://schemas.openxmlformats.org/wordprocessingml/2006/main">
  <w:divs>
    <w:div w:id="1618559578">
      <w:bodyDiv w:val="1"/>
      <w:marLeft w:val="0"/>
      <w:marRight w:val="0"/>
      <w:marTop w:val="0"/>
      <w:marBottom w:val="0"/>
      <w:divBdr>
        <w:top w:val="none" w:sz="0" w:space="0" w:color="auto"/>
        <w:left w:val="none" w:sz="0" w:space="0" w:color="auto"/>
        <w:bottom w:val="none" w:sz="0" w:space="0" w:color="auto"/>
        <w:right w:val="none" w:sz="0" w:space="0" w:color="auto"/>
      </w:divBdr>
    </w:div>
    <w:div w:id="205384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9"/>
    <customShpInfo spid="_x0000_s1052"/>
    <customShpInfo spid="_x0000_s1051"/>
    <customShpInfo spid="_x0000_s1035"/>
    <customShpInfo spid="_x0000_s1045"/>
    <customShpInfo spid="_x0000_s1043"/>
    <customShpInfo spid="_x0000_s1041"/>
    <customShpInfo spid="_x0000_s1050"/>
    <customShpInfo spid="_x0000_s1038"/>
    <customShpInfo spid="_x0000_s1037"/>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CD02A-1FAB-4E88-BC7E-F85E06D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485</Words>
  <Characters>2770</Characters>
  <Application>Microsoft Office Word</Application>
  <DocSecurity>0</DocSecurity>
  <Lines>23</Lines>
  <Paragraphs>6</Paragraphs>
  <ScaleCrop>false</ScaleCrop>
  <Company>Organization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王积艳</cp:lastModifiedBy>
  <cp:revision>10</cp:revision>
  <dcterms:created xsi:type="dcterms:W3CDTF">2021-07-13T09:11:00Z</dcterms:created>
  <dcterms:modified xsi:type="dcterms:W3CDTF">2021-07-15T09:26:00Z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5EB5597A481748BFAC1C2964D6483079</vt:lpwstr>
  </property>
</Properties>
</file>