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D3D3D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D3D3D"/>
          <w:sz w:val="36"/>
          <w:szCs w:val="36"/>
          <w:shd w:val="clear" w:color="auto" w:fill="FFFFFF"/>
        </w:rPr>
        <w:t>关于服务业领域困难行业贷款贴息实施细则</w:t>
      </w:r>
    </w:p>
    <w:p>
      <w:pPr>
        <w:jc w:val="center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D3D3D"/>
          <w:sz w:val="30"/>
          <w:szCs w:val="30"/>
          <w:shd w:val="clear" w:color="auto" w:fill="FFFFFF"/>
        </w:rPr>
        <w:t>（征求意见稿）</w:t>
      </w:r>
    </w:p>
    <w:p>
      <w:pPr>
        <w:ind w:firstLine="640" w:firstLineChars="200"/>
        <w:rPr>
          <w:rFonts w:hint="eastAsia" w:ascii="仿宋" w:hAnsi="仿宋" w:eastAsia="仿宋" w:cs="仿宋"/>
          <w:color w:val="3D3D3D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根据《绍兴市进一步促进服务业市场主体纾困解难十条意见》（绍市发改综〔2022〕17号）中关于对企业贷款贴息的相关要求，制订本实施细则。</w:t>
      </w:r>
    </w:p>
    <w:p>
      <w:pPr>
        <w:ind w:firstLine="640" w:firstLineChars="200"/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  <w:t>一、贴息对象和标准</w:t>
      </w:r>
    </w:p>
    <w:p>
      <w:pPr>
        <w:ind w:firstLine="640" w:firstLineChars="200"/>
        <w:rPr>
          <w:rFonts w:hint="eastAsia" w:ascii="楷体" w:hAnsi="楷体" w:eastAsia="楷体" w:cs="楷体"/>
          <w:color w:val="3D3D3D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D3D3D"/>
          <w:szCs w:val="32"/>
          <w:shd w:val="clear" w:color="auto" w:fill="FFFFFF"/>
        </w:rPr>
        <w:t>1.贴息对象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（1）在绍兴市注册登记的餐饮、零售、旅游、交通运输业民营企业，国有企业和外商投资企业除外。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（2）贷款须为绍兴市辖区范围内的银行机构发放的企业贷款，个体工商户贷款和小微企业主贷款不属于本次贴息范围。</w:t>
      </w:r>
    </w:p>
    <w:p>
      <w:pPr>
        <w:ind w:firstLine="640" w:firstLineChars="200"/>
        <w:rPr>
          <w:rFonts w:hint="eastAsia" w:ascii="楷体" w:hAnsi="楷体" w:eastAsia="楷体" w:cs="楷体"/>
          <w:color w:val="3D3D3D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D3D3D"/>
          <w:szCs w:val="32"/>
          <w:shd w:val="clear" w:color="auto" w:fill="FFFFFF"/>
        </w:rPr>
        <w:t>2.贴息标准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（1）地方财政按企业4月、5月、6月当月实际支付利息的10%贴息。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（2）单家企业贴息金额不超过30万元。</w:t>
      </w:r>
    </w:p>
    <w:p>
      <w:pPr>
        <w:ind w:firstLine="640" w:firstLineChars="200"/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（3）逾期贷款不予贴息。</w:t>
      </w:r>
    </w:p>
    <w:p>
      <w:pPr>
        <w:ind w:firstLine="640" w:firstLineChars="200"/>
        <w:rPr>
          <w:rFonts w:hint="eastAsia" w:ascii="楷体" w:hAnsi="楷体" w:eastAsia="楷体" w:cs="楷体"/>
          <w:color w:val="3D3D3D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D3D3D"/>
          <w:szCs w:val="32"/>
          <w:shd w:val="clear" w:color="auto" w:fill="FFFFFF"/>
        </w:rPr>
        <w:t>3.贴息补助方式</w:t>
      </w:r>
    </w:p>
    <w:p>
      <w:pPr>
        <w:ind w:firstLine="640" w:firstLineChars="200"/>
        <w:rPr>
          <w:rFonts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按照先付后贴、一次性清算的原则，于6月结息日后按实付利息给予企业贴息资金。</w:t>
      </w:r>
    </w:p>
    <w:p>
      <w:pPr>
        <w:ind w:firstLine="640" w:firstLineChars="200"/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  <w:t>二、申请材料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（1）《绍兴市服务业领域困难行业财政贴息资金申请表》；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（2）付息凭证复印件或银行出具的付息证明。</w:t>
      </w:r>
    </w:p>
    <w:p>
      <w:pPr>
        <w:ind w:firstLine="640" w:firstLineChars="200"/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  <w:t>三、办理流程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  <w:shd w:val="clear" w:color="auto" w:fill="FFFFFF"/>
        </w:rPr>
        <w:t>1.金融机构初筛。银行机构组织筛选出符合条件的企业名单，填写《绍兴市服务业领域困难行业财政贴息情况汇总表》，于</w:t>
      </w:r>
      <w:r>
        <w:rPr>
          <w:rFonts w:hint="eastAsia" w:ascii="仿宋" w:hAnsi="仿宋" w:eastAsia="仿宋" w:cs="仿宋"/>
          <w:color w:val="000000"/>
          <w:szCs w:val="32"/>
          <w:shd w:val="clear" w:color="auto" w:fill="FFFFFF"/>
        </w:rPr>
        <w:t>6月结息日后5个工作日内报市金融办。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Cs w:val="32"/>
          <w:shd w:val="clear" w:color="auto" w:fill="FFFFFF"/>
        </w:rPr>
        <w:t>2.征求行业主管部门意见。市金融办按照标准格式梳理统计企业贴息情况表，征求市级行业主管部门意见。</w:t>
      </w:r>
    </w:p>
    <w:p>
      <w:pPr>
        <w:pStyle w:val="2"/>
        <w:ind w:firstLine="642"/>
        <w:rPr>
          <w:rFonts w:hint="eastAsia"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  <w:t>3.企业申报。行业主管部门对名单内的企业无异议后，银行机构通知企业申报，并审核企业提交的申请表和付息凭证，提出审核意见汇总报市金融办。</w:t>
      </w:r>
    </w:p>
    <w:p>
      <w:pPr>
        <w:pStyle w:val="10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4.区县复核和拨付。市金融办将经银行机构审核的贴息情况下发至各区、县（市）金融办，各区、县（市）金融办对辖区内的企业贴息情况进行复核，形成审批意见报同级财政局。区、县（市）财政局及时安排预算资金，将资金拨付给企业。</w:t>
      </w:r>
    </w:p>
    <w:p>
      <w:pPr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32"/>
          <w:shd w:val="clear" w:color="auto" w:fill="FFFFFF"/>
        </w:rPr>
        <w:t xml:space="preserve">    </w:t>
      </w:r>
      <w:r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  <w:t>四、其他内容</w:t>
      </w:r>
    </w:p>
    <w:p>
      <w:pPr>
        <w:pStyle w:val="10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1.金融机构应严格按照本细则规定，如实报送企业贷款资料。</w:t>
      </w:r>
    </w:p>
    <w:p>
      <w:pPr>
        <w:pStyle w:val="10"/>
        <w:spacing w:before="0" w:beforeAutospacing="0" w:after="0" w:afterAutospacing="0"/>
        <w:ind w:firstLine="640" w:firstLineChars="200"/>
        <w:jc w:val="both"/>
        <w:rPr>
          <w:rFonts w:hint="eastAsia" w:ascii="微软雅黑" w:hAnsi="微软雅黑" w:eastAsia="微软雅黑" w:cs="微软雅黑"/>
          <w:color w:val="3D3D3D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市金融办将会同相关部门对政策兑现工作实施监督，严格审核。对弄虚作假的银行和企业，一经查实，取消享受优惠政策支持资格，追回地方财政贴息，并按照有关规定追究相应责任；对申报中存在虚报、骗取、挪用、贿赂等违法违规行为，依照《财政违法行为处罚处分条例》等相关法律法规进行处理。</w:t>
      </w:r>
      <w:r>
        <w:rPr>
          <w:rFonts w:hint="eastAsia" w:ascii="微软雅黑" w:hAnsi="微软雅黑" w:eastAsia="微软雅黑" w:cs="微软雅黑"/>
          <w:color w:val="3D3D3D"/>
          <w:sz w:val="22"/>
          <w:szCs w:val="22"/>
          <w:shd w:val="clear" w:color="auto" w:fill="FFFFFF"/>
        </w:rPr>
        <w:t> </w:t>
      </w:r>
    </w:p>
    <w:p>
      <w:pPr>
        <w:pStyle w:val="10"/>
        <w:spacing w:before="0" w:beforeAutospacing="0" w:after="0" w:afterAutospacing="0" w:line="263" w:lineRule="atLeast"/>
        <w:jc w:val="center"/>
        <w:rPr>
          <w:rFonts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  <w:t>绍兴市服务业领域困难行业财政贴息资金申请表</w:t>
      </w:r>
    </w:p>
    <w:tbl>
      <w:tblPr>
        <w:tblStyle w:val="12"/>
        <w:tblpPr w:vertAnchor="text" w:tblpX="-293"/>
        <w:tblW w:w="9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010"/>
        <w:gridCol w:w="934"/>
        <w:gridCol w:w="872"/>
        <w:gridCol w:w="827"/>
        <w:gridCol w:w="1863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企业名称</w:t>
            </w:r>
          </w:p>
        </w:tc>
        <w:tc>
          <w:tcPr>
            <w:tcW w:w="766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统一社会信用</w:t>
            </w:r>
          </w:p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代码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法定代表人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注册地址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所属行业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经办联系人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联系电话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84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企业银行账号及开户行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1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贷款</w:t>
            </w:r>
            <w:r>
              <w:rPr>
                <w:rFonts w:ascii="仿宋_GB2312" w:cs="仿宋_GB2312"/>
                <w:color w:val="000000"/>
                <w:sz w:val="25"/>
                <w:szCs w:val="25"/>
              </w:rPr>
              <w:t>银行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63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贷款金额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ind w:left="640" w:leftChars="20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1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480" w:lineRule="exact"/>
              <w:ind w:firstLine="345"/>
              <w:jc w:val="center"/>
              <w:rPr>
                <w:rFonts w:ascii="仿宋_GB2312" w:cs="仿宋_GB2312"/>
                <w:sz w:val="25"/>
                <w:szCs w:val="25"/>
              </w:rPr>
            </w:pPr>
            <w:r>
              <w:rPr>
                <w:rFonts w:hint="eastAsia" w:ascii="仿宋_GB2312" w:cs="仿宋_GB2312"/>
                <w:sz w:val="25"/>
                <w:szCs w:val="25"/>
              </w:rPr>
              <w:t>实际支付</w:t>
            </w:r>
          </w:p>
          <w:p>
            <w:pPr>
              <w:pStyle w:val="10"/>
              <w:spacing w:before="0" w:beforeAutospacing="0" w:after="0" w:afterAutospacing="0" w:line="480" w:lineRule="exact"/>
              <w:ind w:firstLine="345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sz w:val="25"/>
                <w:szCs w:val="25"/>
              </w:rPr>
              <w:t>利息</w:t>
            </w:r>
          </w:p>
        </w:tc>
        <w:tc>
          <w:tcPr>
            <w:tcW w:w="1010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4月</w:t>
            </w:r>
          </w:p>
        </w:tc>
        <w:tc>
          <w:tcPr>
            <w:tcW w:w="934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5月</w:t>
            </w:r>
          </w:p>
        </w:tc>
        <w:tc>
          <w:tcPr>
            <w:tcW w:w="872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6月</w:t>
            </w:r>
          </w:p>
        </w:tc>
        <w:tc>
          <w:tcPr>
            <w:tcW w:w="827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合计</w:t>
            </w:r>
          </w:p>
        </w:tc>
        <w:tc>
          <w:tcPr>
            <w:tcW w:w="1863" w:type="dxa"/>
            <w:vMerge w:val="restart"/>
            <w:tcBorders>
              <w:top w:val="single" w:color="auto" w:sz="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480" w:lineRule="exact"/>
              <w:ind w:firstLine="165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申请贴息金额</w:t>
            </w:r>
          </w:p>
        </w:tc>
        <w:tc>
          <w:tcPr>
            <w:tcW w:w="2156" w:type="dxa"/>
            <w:vMerge w:val="restart"/>
            <w:tcBorders>
              <w:top w:val="single" w:color="auto" w:sz="2" w:space="0"/>
              <w:left w:val="nil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1010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934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872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827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186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2156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03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pStyle w:val="10"/>
              <w:spacing w:before="0" w:beforeAutospacing="0" w:after="0" w:afterAutospacing="0" w:line="560" w:lineRule="exact"/>
              <w:ind w:firstLine="135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申请人知悉并同意以下事项：</w:t>
            </w:r>
          </w:p>
          <w:p>
            <w:pPr>
              <w:pStyle w:val="10"/>
              <w:spacing w:before="0" w:beforeAutospacing="0" w:after="0" w:afterAutospacing="0" w:line="560" w:lineRule="exact"/>
              <w:ind w:firstLine="660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如本企业有下列情形之一的，财政部门可追回财政贴息资金：</w:t>
            </w: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（一）不符合财政贴息条件的；</w:t>
            </w: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（二）出现未严格按照要求使用资金、改变</w:t>
            </w: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贷款</w:t>
            </w:r>
            <w:r>
              <w:rPr>
                <w:rFonts w:ascii="仿宋_GB2312" w:cs="仿宋_GB2312"/>
                <w:color w:val="000000"/>
                <w:sz w:val="25"/>
                <w:szCs w:val="25"/>
              </w:rPr>
              <w:t>资金用途等情况的；</w:t>
            </w: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rFonts w:ascii="仿宋_GB2312" w:cs="仿宋_GB2312"/>
                <w:color w:val="000000"/>
                <w:sz w:val="25"/>
                <w:szCs w:val="25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（三）违反财政部门其他规定的。</w:t>
            </w: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rFonts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rFonts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rFonts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560" w:lineRule="exact"/>
              <w:ind w:firstLine="795"/>
              <w:rPr>
                <w:rFonts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560" w:lineRule="exact"/>
              <w:ind w:left="3960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申请企业法定代表人：（签名）</w:t>
            </w:r>
          </w:p>
          <w:p>
            <w:pPr>
              <w:pStyle w:val="10"/>
              <w:spacing w:before="0" w:beforeAutospacing="0" w:after="0" w:afterAutospacing="0" w:line="560" w:lineRule="exact"/>
              <w:ind w:left="3960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申请企业盖章：</w:t>
            </w:r>
          </w:p>
          <w:p>
            <w:pPr>
              <w:pStyle w:val="10"/>
              <w:spacing w:before="0" w:beforeAutospacing="0" w:after="0" w:afterAutospacing="0" w:line="560" w:lineRule="exact"/>
              <w:ind w:left="3960"/>
              <w:rPr>
                <w:rFonts w:ascii="仿宋_GB2312" w:cs="仿宋_GB2312"/>
                <w:color w:val="000000"/>
                <w:sz w:val="25"/>
                <w:szCs w:val="25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日期：</w:t>
            </w:r>
          </w:p>
          <w:p>
            <w:pPr>
              <w:pStyle w:val="10"/>
              <w:spacing w:before="0" w:beforeAutospacing="0" w:after="0" w:afterAutospacing="0" w:line="56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9503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pStyle w:val="10"/>
              <w:spacing w:before="0" w:beforeAutospacing="0" w:after="0" w:afterAutospacing="0" w:line="263" w:lineRule="atLeast"/>
              <w:ind w:firstLine="405"/>
              <w:rPr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受理银行提供资料情况及审查意见</w:t>
            </w:r>
            <w:r>
              <w:rPr>
                <w:rFonts w:ascii="仿宋_GB2312" w:cs="仿宋_GB2312"/>
                <w:color w:val="000000"/>
                <w:sz w:val="25"/>
                <w:szCs w:val="25"/>
              </w:rPr>
              <w:t>：</w:t>
            </w:r>
          </w:p>
          <w:p>
            <w:pPr>
              <w:pStyle w:val="10"/>
              <w:spacing w:before="0" w:beforeAutospacing="0" w:after="0" w:afterAutospacing="0" w:line="263" w:lineRule="atLeast"/>
              <w:ind w:firstLine="405"/>
              <w:rPr>
                <w:rFonts w:hint="eastAsia" w:eastAsia="宋体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 </w:t>
            </w:r>
          </w:p>
          <w:p>
            <w:pPr>
              <w:pStyle w:val="10"/>
              <w:spacing w:before="0" w:beforeAutospacing="0" w:after="0" w:afterAutospacing="0" w:line="263" w:lineRule="atLeast"/>
              <w:ind w:firstLine="7010" w:firstLineChars="2804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263" w:lineRule="atLeast"/>
              <w:ind w:firstLine="7010" w:firstLineChars="2804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263" w:lineRule="atLeast"/>
              <w:ind w:firstLine="7010" w:firstLineChars="2804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</w:p>
          <w:p>
            <w:pPr>
              <w:pStyle w:val="10"/>
              <w:spacing w:before="0" w:beforeAutospacing="0" w:after="0" w:afterAutospacing="0" w:line="263" w:lineRule="atLeast"/>
              <w:ind w:firstLine="7010" w:firstLineChars="2804"/>
              <w:rPr>
                <w:rFonts w:hint="eastAsia" w:ascii="仿宋_GB2312" w:cs="仿宋_GB2312"/>
                <w:color w:val="000000"/>
                <w:sz w:val="25"/>
                <w:szCs w:val="25"/>
              </w:rPr>
            </w:pPr>
            <w:r>
              <w:rPr>
                <w:rFonts w:hint="eastAsia" w:ascii="仿宋_GB2312" w:cs="仿宋_GB2312"/>
                <w:color w:val="000000"/>
                <w:sz w:val="25"/>
                <w:szCs w:val="25"/>
              </w:rPr>
              <w:t>盖章：</w:t>
            </w:r>
          </w:p>
          <w:p>
            <w:pPr>
              <w:pStyle w:val="10"/>
              <w:spacing w:before="0" w:beforeAutospacing="0" w:after="0" w:afterAutospacing="0" w:line="263" w:lineRule="atLeast"/>
              <w:ind w:firstLine="7010" w:firstLineChars="2804"/>
              <w:rPr>
                <w:rFonts w:ascii="仿宋_GB2312" w:cs="仿宋_GB2312"/>
                <w:color w:val="000000"/>
                <w:sz w:val="25"/>
                <w:szCs w:val="25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9503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ind w:firstLine="500" w:firstLineChars="200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区、县（市）金融办意见：</w:t>
            </w:r>
          </w:p>
          <w:p>
            <w:pPr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</w:p>
          <w:p>
            <w:pPr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</w:p>
          <w:p>
            <w:pPr>
              <w:jc w:val="center"/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5"/>
                <w:szCs w:val="25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盖章：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5"/>
                <w:szCs w:val="25"/>
                <w:lang w:bidi="ar"/>
              </w:rPr>
              <w:t xml:space="preserve">                                      </w:t>
            </w:r>
            <w:r>
              <w:rPr>
                <w:rFonts w:hint="eastAsia" w:ascii="仿宋_GB2312" w:hAnsi="Calibri" w:cs="仿宋_GB2312"/>
                <w:color w:val="000000"/>
                <w:kern w:val="0"/>
                <w:sz w:val="25"/>
                <w:szCs w:val="25"/>
                <w:lang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503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pStyle w:val="10"/>
              <w:spacing w:before="0" w:beforeAutospacing="0" w:after="0" w:afterAutospacing="0" w:line="263" w:lineRule="atLeast"/>
              <w:rPr>
                <w:rFonts w:ascii="仿宋_GB2312" w:cs="仿宋_GB2312"/>
                <w:color w:val="000000"/>
                <w:sz w:val="25"/>
                <w:szCs w:val="25"/>
              </w:rPr>
            </w:pPr>
            <w:r>
              <w:rPr>
                <w:rFonts w:ascii="仿宋_GB2312" w:cs="仿宋_GB2312"/>
                <w:color w:val="000000"/>
                <w:sz w:val="25"/>
                <w:szCs w:val="25"/>
              </w:rPr>
              <w:t>备注：</w:t>
            </w:r>
          </w:p>
        </w:tc>
      </w:tr>
    </w:tbl>
    <w:p>
      <w:pPr>
        <w:pStyle w:val="10"/>
        <w:spacing w:before="0" w:beforeAutospacing="0" w:after="0" w:afterAutospacing="0" w:line="263" w:lineRule="atLeast"/>
        <w:jc w:val="both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both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both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both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center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center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center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center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both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</w:p>
    <w:p>
      <w:pPr>
        <w:pStyle w:val="10"/>
        <w:spacing w:before="0" w:beforeAutospacing="0" w:after="0" w:afterAutospacing="0" w:line="263" w:lineRule="atLeast"/>
        <w:jc w:val="both"/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  <w:sectPr>
          <w:pgSz w:w="11906" w:h="16838"/>
          <w:pgMar w:top="1440" w:right="1576" w:bottom="1440" w:left="1406" w:header="851" w:footer="992" w:gutter="0"/>
          <w:cols w:space="720" w:num="1"/>
          <w:docGrid w:type="lines" w:linePitch="312" w:charSpace="0"/>
        </w:sectPr>
      </w:pPr>
    </w:p>
    <w:p>
      <w:pPr>
        <w:pStyle w:val="10"/>
        <w:spacing w:before="0" w:beforeAutospacing="0" w:after="0" w:afterAutospacing="0" w:line="263" w:lineRule="atLeast"/>
        <w:jc w:val="center"/>
        <w:rPr>
          <w:rFonts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  <w:t>绍兴市服务业领域困难行业</w:t>
      </w:r>
      <w:r>
        <w:rPr>
          <w:rFonts w:ascii="方正小标宋简体" w:hAnsi="方正小标宋简体" w:eastAsia="方正小标宋简体" w:cs="方正小标宋简体"/>
          <w:color w:val="3D3D3D"/>
          <w:sz w:val="36"/>
          <w:szCs w:val="36"/>
          <w:shd w:val="clear" w:color="auto" w:fill="FFFFFF"/>
        </w:rPr>
        <w:t>财政贴息情况汇总表</w:t>
      </w:r>
    </w:p>
    <w:p>
      <w:pPr>
        <w:pStyle w:val="10"/>
        <w:spacing w:before="0" w:beforeAutospacing="0" w:after="0" w:afterAutospacing="0" w:line="263" w:lineRule="atLeast"/>
        <w:jc w:val="both"/>
        <w:rPr>
          <w:rFonts w:hint="eastAsia" w:ascii="楷体" w:hAnsi="楷体" w:eastAsia="楷体" w:cs="楷体"/>
          <w:color w:val="3D3D3D"/>
          <w:szCs w:val="24"/>
          <w:shd w:val="clear" w:color="auto" w:fill="FFFFFF"/>
        </w:rPr>
      </w:pPr>
      <w:r>
        <w:rPr>
          <w:rFonts w:hint="eastAsia" w:ascii="楷体" w:hAnsi="楷体" w:eastAsia="楷体" w:cs="楷体"/>
          <w:color w:val="3D3D3D"/>
          <w:szCs w:val="24"/>
          <w:shd w:val="clear" w:color="auto" w:fill="FFFFFF"/>
        </w:rPr>
        <w:t>单位（盖章）：</w:t>
      </w:r>
    </w:p>
    <w:tbl>
      <w:tblPr>
        <w:tblStyle w:val="12"/>
        <w:tblW w:w="15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2510"/>
        <w:gridCol w:w="1637"/>
        <w:gridCol w:w="1088"/>
        <w:gridCol w:w="1163"/>
        <w:gridCol w:w="954"/>
        <w:gridCol w:w="1364"/>
        <w:gridCol w:w="868"/>
        <w:gridCol w:w="829"/>
        <w:gridCol w:w="801"/>
        <w:gridCol w:w="744"/>
        <w:gridCol w:w="1359"/>
        <w:gridCol w:w="764"/>
        <w:gridCol w:w="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46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510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贷款企业名称</w:t>
            </w:r>
          </w:p>
        </w:tc>
        <w:tc>
          <w:tcPr>
            <w:tcW w:w="1637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统一社会信用代码</w:t>
            </w:r>
          </w:p>
        </w:tc>
        <w:tc>
          <w:tcPr>
            <w:tcW w:w="1088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</w:p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注册区县</w:t>
            </w:r>
          </w:p>
        </w:tc>
        <w:tc>
          <w:tcPr>
            <w:tcW w:w="1163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954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企业开户银行</w:t>
            </w:r>
          </w:p>
        </w:tc>
        <w:tc>
          <w:tcPr>
            <w:tcW w:w="1364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企业银行账号</w:t>
            </w:r>
          </w:p>
        </w:tc>
        <w:tc>
          <w:tcPr>
            <w:tcW w:w="868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6月20日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贷款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余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额 （万元）</w:t>
            </w:r>
          </w:p>
        </w:tc>
        <w:tc>
          <w:tcPr>
            <w:tcW w:w="3733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实际支付利息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764" w:type="dxa"/>
            <w:vMerge w:val="restart"/>
            <w:tcBorders>
              <w:top w:val="single" w:color="auto" w:sz="12" w:space="0"/>
              <w:left w:val="single" w:color="auto" w:sz="2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申请贴息金额</w:t>
            </w:r>
          </w:p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〔元）</w:t>
            </w:r>
          </w:p>
        </w:tc>
        <w:tc>
          <w:tcPr>
            <w:tcW w:w="46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46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51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6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08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16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95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36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6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4月</w:t>
            </w: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5月</w:t>
            </w: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6月</w:t>
            </w: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hint="eastAsia"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467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2" w:space="0"/>
              <w:right w:val="single" w:color="auto" w:sz="6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ind w:firstLine="176" w:firstLineChars="100"/>
              <w:jc w:val="both"/>
              <w:rPr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both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51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63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80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4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35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6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46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tcMar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</w:tbl>
    <w:p>
      <w:pPr>
        <w:rPr>
          <w:rFonts w:hint="eastAsia" w:ascii="仿宋_GB2312" w:hAnsi="仿宋"/>
        </w:rPr>
        <w:sectPr>
          <w:footerReference r:id="rId3" w:type="default"/>
          <w:footerReference r:id="rId4" w:type="even"/>
          <w:pgSz w:w="16838" w:h="11906" w:orient="landscape"/>
          <w:pgMar w:top="1588" w:right="1531" w:bottom="1474" w:left="1134" w:header="851" w:footer="964" w:gutter="0"/>
          <w:cols w:space="720" w:num="1"/>
          <w:docGrid w:type="linesAndChars" w:linePitch="644" w:charSpace="-849"/>
        </w:sectPr>
      </w:pPr>
    </w:p>
    <w:p>
      <w:pPr>
        <w:spacing w:line="600" w:lineRule="exact"/>
        <w:rPr>
          <w:rFonts w:hint="eastAsia" w:ascii="仿宋_GB2312" w:hAnsi="宋体"/>
          <w:szCs w:val="32"/>
        </w:rPr>
      </w:pPr>
    </w:p>
    <w:sectPr>
      <w:pgSz w:w="11906" w:h="16838"/>
      <w:pgMar w:top="1531" w:right="1474" w:bottom="1134" w:left="1588" w:header="851" w:footer="964" w:gutter="0"/>
      <w:cols w:space="720" w:num="1"/>
      <w:docGrid w:type="linesAndChars" w:linePitch="64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方正仿宋简体">
    <w:altName w:val="方正仿宋_GBK"/>
    <w:panose1 w:val="00000000000000000000"/>
    <w:charset w:val="00"/>
    <w:family w:val="script"/>
    <w:pitch w:val="default"/>
    <w:sig w:usb0="00000000" w:usb1="080E0000" w:usb2="00000010" w:usb3="00000000" w:csb0="00040000" w:csb1="00000000"/>
  </w:font>
  <w:font w:name="TimesNewRomanPSMT">
    <w:altName w:val="Nimbus Roman No9 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SONGS--GB1-5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80000287" w:usb1="28C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2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WU4OGU5YThhYjcxNTgyYzY4YzJmNjRlM2QwOTQifQ=="/>
  </w:docVars>
  <w:rsids>
    <w:rsidRoot w:val="00172A27"/>
    <w:rsid w:val="001D5340"/>
    <w:rsid w:val="002C2873"/>
    <w:rsid w:val="003801C5"/>
    <w:rsid w:val="0078635E"/>
    <w:rsid w:val="008A69AC"/>
    <w:rsid w:val="00E25181"/>
    <w:rsid w:val="00E51105"/>
    <w:rsid w:val="00FA2C11"/>
    <w:rsid w:val="0746764E"/>
    <w:rsid w:val="07D22275"/>
    <w:rsid w:val="0A2E7E78"/>
    <w:rsid w:val="0BDB1FB1"/>
    <w:rsid w:val="10C7607E"/>
    <w:rsid w:val="12E77EDB"/>
    <w:rsid w:val="142D6824"/>
    <w:rsid w:val="17AC2BA7"/>
    <w:rsid w:val="1DEC7203"/>
    <w:rsid w:val="1EFA6704"/>
    <w:rsid w:val="1F3F477C"/>
    <w:rsid w:val="21C46642"/>
    <w:rsid w:val="239A0028"/>
    <w:rsid w:val="24D64616"/>
    <w:rsid w:val="26C52904"/>
    <w:rsid w:val="27133B7A"/>
    <w:rsid w:val="2BB268BF"/>
    <w:rsid w:val="34140F2C"/>
    <w:rsid w:val="38D33CC4"/>
    <w:rsid w:val="3A0B25FA"/>
    <w:rsid w:val="3B113399"/>
    <w:rsid w:val="3BE322CD"/>
    <w:rsid w:val="3C716911"/>
    <w:rsid w:val="3F7041B8"/>
    <w:rsid w:val="40BB67CD"/>
    <w:rsid w:val="428A15C1"/>
    <w:rsid w:val="42B91719"/>
    <w:rsid w:val="45765C78"/>
    <w:rsid w:val="4B8126D9"/>
    <w:rsid w:val="4BC51232"/>
    <w:rsid w:val="4C990251"/>
    <w:rsid w:val="54685CA6"/>
    <w:rsid w:val="58B4787D"/>
    <w:rsid w:val="5A4638E7"/>
    <w:rsid w:val="5CBF3F55"/>
    <w:rsid w:val="5D0C7246"/>
    <w:rsid w:val="5D172A1F"/>
    <w:rsid w:val="60FC3369"/>
    <w:rsid w:val="61A30B7E"/>
    <w:rsid w:val="624073BF"/>
    <w:rsid w:val="62E556FA"/>
    <w:rsid w:val="66C01B47"/>
    <w:rsid w:val="68596F81"/>
    <w:rsid w:val="69E61405"/>
    <w:rsid w:val="6BBC7CF7"/>
    <w:rsid w:val="6FF137A6"/>
    <w:rsid w:val="724E50FB"/>
    <w:rsid w:val="7B9869CA"/>
    <w:rsid w:val="7BAA2D40"/>
    <w:rsid w:val="7BF7DD1E"/>
    <w:rsid w:val="7CF62E38"/>
    <w:rsid w:val="7DF59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26"/>
      <w:ind w:left="613" w:right="781"/>
      <w:jc w:val="center"/>
      <w:outlineLvl w:val="0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line="0" w:lineRule="atLeast"/>
      <w:ind w:firstLine="585"/>
    </w:pPr>
    <w:rPr>
      <w:rFonts w:ascii="仿宋_GB2312"/>
    </w:rPr>
  </w:style>
  <w:style w:type="paragraph" w:styleId="6">
    <w:name w:val="Date"/>
    <w:basedOn w:val="1"/>
    <w:next w:val="1"/>
    <w:link w:val="16"/>
    <w:uiPriority w:val="0"/>
    <w:rPr>
      <w:rFonts w:eastAsia="仿宋_GB2312"/>
      <w:kern w:val="2"/>
      <w:sz w:val="32"/>
    </w:rPr>
  </w:style>
  <w:style w:type="paragraph" w:styleId="7">
    <w:name w:val="Balloon Text"/>
    <w:basedOn w:val="1"/>
    <w:link w:val="17"/>
    <w:uiPriority w:val="0"/>
    <w:rPr>
      <w:rFonts w:eastAsia="仿宋_GB2312"/>
      <w:kern w:val="2"/>
      <w:sz w:val="18"/>
      <w:szCs w:val="18"/>
    </w:rPr>
  </w:style>
  <w:style w:type="paragraph" w:styleId="8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 2"/>
    <w:basedOn w:val="5"/>
    <w:unhideWhenUsed/>
    <w:qFormat/>
    <w:uiPriority w:val="99"/>
    <w:pPr>
      <w:ind w:firstLine="420" w:firstLineChars="200"/>
    </w:pPr>
  </w:style>
  <w:style w:type="character" w:styleId="14">
    <w:name w:val="page number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日期 字符"/>
    <w:link w:val="6"/>
    <w:uiPriority w:val="0"/>
    <w:rPr>
      <w:rFonts w:eastAsia="仿宋_GB2312"/>
      <w:kern w:val="2"/>
      <w:sz w:val="32"/>
    </w:rPr>
  </w:style>
  <w:style w:type="character" w:customStyle="1" w:styleId="17">
    <w:name w:val="批注框文本 字符"/>
    <w:link w:val="7"/>
    <w:uiPriority w:val="0"/>
    <w:rPr>
      <w:rFonts w:eastAsia="仿宋_GB2312"/>
      <w:kern w:val="2"/>
      <w:sz w:val="18"/>
      <w:szCs w:val="18"/>
    </w:rPr>
  </w:style>
  <w:style w:type="character" w:customStyle="1" w:styleId="18">
    <w:name w:val="页脚 字符"/>
    <w:link w:val="8"/>
    <w:uiPriority w:val="0"/>
    <w:rPr>
      <w:rFonts w:eastAsia="仿宋_GB2312"/>
      <w:kern w:val="2"/>
      <w:sz w:val="18"/>
      <w:szCs w:val="18"/>
    </w:rPr>
  </w:style>
  <w:style w:type="paragraph" w:customStyle="1" w:styleId="19">
    <w:name w:val="样式1"/>
    <w:basedOn w:val="1"/>
    <w:uiPriority w:val="0"/>
    <w:pPr>
      <w:spacing w:line="600" w:lineRule="exact"/>
      <w:ind w:firstLine="200" w:firstLineChars="200"/>
    </w:pPr>
    <w:rPr>
      <w:rFonts w:eastAsia="方正仿宋简体"/>
      <w:bCs/>
      <w:snapToGrid w:val="0"/>
      <w:kern w:val="0"/>
      <w:szCs w:val="32"/>
    </w:rPr>
  </w:style>
  <w:style w:type="paragraph" w:customStyle="1" w:styleId="2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52575E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qFormat/>
    <w:uiPriority w:val="0"/>
    <w:pPr>
      <w:widowControl w:val="0"/>
      <w:shd w:val="clear" w:color="auto" w:fill="auto"/>
      <w:spacing w:line="567" w:lineRule="exact"/>
      <w:ind w:firstLine="800"/>
    </w:pPr>
    <w:rPr>
      <w:rFonts w:ascii="宋体" w:hAnsi="宋体" w:eastAsia="宋体" w:cs="宋体"/>
      <w:color w:val="52575E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color w:val="52575E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color w:val="52575E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4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5">
    <w:name w:val="fontstyle2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6">
    <w:name w:val="fontstyle1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7">
    <w:name w:val="fontstyle31"/>
    <w:qFormat/>
    <w:uiPriority w:val="0"/>
    <w:rPr>
      <w:rFonts w:hint="default" w:ascii="FZSONGS--GB1-5" w:hAnsi="FZSONGS--GB1-5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311</Words>
  <Characters>1775</Characters>
  <Lines>14</Lines>
  <Paragraphs>4</Paragraphs>
  <TotalTime>2</TotalTime>
  <ScaleCrop>false</ScaleCrop>
  <LinksUpToDate>false</LinksUpToDate>
  <CharactersWithSpaces>2082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2022-05-25T19:45:00Z</dcterms:created>
  <dc:creator>�</dc:creator>
  <cp:lastModifiedBy>greatwall</cp:lastModifiedBy>
  <cp:lastPrinted>2022-05-20T09:30:00Z</cp:lastPrinted>
  <dcterms:modified xsi:type="dcterms:W3CDTF">2022-05-26T15:58:41Z</dcterms:modified>
  <dc:title>ڹ칫�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F528E0E27695484096E6C1AB76B4ABD3</vt:lpwstr>
  </property>
</Properties>
</file>