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lang w:eastAsia="zh-CN"/>
        </w:rPr>
        <w:t>温州经济技术开发区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lang w:val="en-US" w:eastAsia="zh-CN"/>
        </w:rPr>
        <w:t>高耗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lang w:eastAsia="zh-CN"/>
        </w:rPr>
        <w:t>低效工业企业整治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lang w:eastAsia="zh-CN"/>
        </w:rPr>
        <w:t>提升三年行动实施方案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（送审稿）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为进一步深化“亩均论英雄”改革,优化资源要素配置，淘汰整治高耗低效工业企业，全力推进制造业提质扩量增效，根据省、市实施新一轮制造业“腾笼换鸟，凤凰涅槃”攻坚行动要求,特制订本实施方案。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一、总体要求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 xml:space="preserve">以习近平新时代中国特色社会主义思想为指导,坚持新发展理念，构建新发展格局，以高质量发展为主题，以深化供给侧结构性改革为主线，以“亩均论英雄”改革为导向，围绕存量制造业企业提质扩量增效，整治盘活高耗低效工业企业，推进新一轮制造业“腾笼换鸟、凤凰涅槃”，加快建设“一区五高地”，推动高质量跨越式发展。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二、主要目标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2021年，全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区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规上工业亩均税收达到3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以上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，亩均增加值达到1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50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万元，制造业（含技改）投资增长15%以上，规上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工业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全员劳动生产率达到18万元/人，单位工业增加值能耗下降3%以上，淘汰落后产能企业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50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家，整治提升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100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家，腾出工业用地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00亩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腾出用能0.48万吨标准煤，煤炭消费控制在20万吨以内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，完成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净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升规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85家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力争到2023年,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规上工业亩均税收达到4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万元，亩均增加值达到2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eastAsia="zh-CN"/>
        </w:rPr>
        <w:t>20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万元，制造业（含技改）投资年均增长1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%以上，工业投资占固定资产投资比重达到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0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%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eastAsia="zh-CN"/>
        </w:rPr>
        <w:t>以上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，规上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工业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全员劳动生产率达到2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</w:rPr>
        <w:t>万元/人，单位工业增加值能耗下降9%以上。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累计完成淘汰落后产能企业300家，整治提升企业500家,腾出工业用地2500亩。规上工业增加值突破170亿元，高新技术增加值占规上工业增加值的比重在80%以上，规上工业企业研发经费支出占主营业收入比重提高到3.5%左右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三、适用标准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按照《全区持续深化“亩均论英雄”改革2021年工作要点》浙集（开）亩均办〔2021〕1号文件要求，结合全区实际，突出抓好亩均评价D类、亩税10万以下高耗低效工业企业（包括年度综合亩均税收低于10万元/亩的国有土地使用权人）和亩均综合评价为C类企业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四、主要措施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1、全面开展高耗低效工业企业排摸。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按照动态排摸、分类建档、清单管理的方法，对规上制造业企业、规下制造业企业开展排查，摸清用地、用能等情况（包括企业区位分布、使用现状生产规模、主导产品、亩均税收、亩均评价、能耗、安全评估），分行业、分街道建立《高耗低效整治企业清单》，实行闭环管理。同时，建立全区工业用地基础数据库和可视数据库，完善企业“画像”，为做好工业用地三维地图，挖掘全区工业用地和企业数据价值打下基础。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（责任单位：*经发局、资规分局、税务局、招商局、生态环境分局、市场监管分局、行政执法局、应急局、科技局、审批局、不动产登记中心、龙湾供电分局、永强供电公司、各街道）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华文楷体" w:hAnsi="华文楷体" w:eastAsia="华文楷体" w:cs="华文楷体"/>
          <w:b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2、分类推进高耗低效企业整治。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严格按照安全、环保、质量、能源等法律法规、强制性标准和政策，对高耗低效企业开展合规检查，根据高耗、低效企业整治标准，制定整治提升方案。围绕“创新发展一批、改造提升一批、兼并盘活一批、淘汰关停一批”路径，实施分类整治。对存在违法违规等的企业限期整改，逾期未整改或经整改仍未达标的，坚决依法关停退出；对其它高耗低效企业，通过兼并重组、整体腾退、搬迁入园、改造提升等方式，实施“一企一策”，对标提升，达标销号。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（责任单位：*经发局、资规分局、税务局、招商局、生态环境分局、市场监管分局、行政执法局、应急局、审批局、各街道）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3、加快淘汰落后产能“腾笼换鸟”。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一是有力遏制“两高”项目发展。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针对2018年以来建设的年综合能耗1000吨标准煤以上（含）的“两高”项目、2018年以前建设的年综合能耗5000吨标准煤以上（含）的用能项目，逐一评估检查，对不符合要求的“两高”项目要坚决有力遏制。对不符合产业政策、产能置换、节能审查、环评审批等要求，未履行相关审批手续，违规审批、未批先建、批建不符等违法违规行为，坚决依法查处。对明显超出能耗双控目标、环境排放容量的项目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u w:val="none" w:color="auto"/>
          <w:lang w:val="en-US" w:eastAsia="zh-CN" w:bidi="ar"/>
        </w:rPr>
        <w:t>要列入限期整治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（责任单位：*经发局、审批局、资规分局、招商局、生态环境分局、龙湾供电分局、永强供电公司、各街道）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积极推进“退二优二”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。企业通过自身转型或兼并重组、合资合作等方式，实施引进符合区产业导向制造业项目，支持发展战略性新兴产业、高新技术产业、智能装备、数字经济等产业，淘汰原有落后产能，盘活用好闲置资源，提高发展质量和效益。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（责任单位：*经发局、资规分局、招商局、税务局、财政局、生态环境分局、市场监管分局、行政执法局、应急局、科技局、审批局、龙湾供电分局、永强供电公司、各街道）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三是实施关停腾退高耗低效供地工业企业。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以下情况由管委会按照产业监管合同或投资监管协议约定执行：（1）供地企业亩税低于10万元；（2)供地企业擅自改变工业用地性质、不符合区产业导向，且无能力自行转型的企业。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 xml:space="preserve">（责任单位：*招商局、资规分局、经发局、税务局、财政局、生态环境分局、市场监管分局、行政执法局、应急局、审批局、各街道）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4、大力推动企业技术改造。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一是全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面推进企业智能化技术改造，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加强典型示范、破难攻坚，分行业、分层次推进规上工业企业智能化技术改造全覆盖。抓好工业机器人、数控机床、智能检测装备应用，到 2023 年，力争全区在役工业机器人数量突破2500台，工业机器人密度达到 280 台/万人；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二是实施传统产业升级改造计划，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以电气、汽车、通用设备等行业为重点，梯次建立智能制造企业培育库，实施一批产品升级改造示范项目，打造“未来工厂”2 家（全市每年2家）、智能工厂（数字化车间）20家以上（全市每年10家以上）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三是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实施绿色制造工程，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加快构建绿色制造体系，深入推进绿色低碳工厂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建设，优先支持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亩均论英雄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评价 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A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类企业，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开展清洁生产和节能减碳技改的企业，创建省、市绿色工厂20家以上（市目标</w:t>
      </w:r>
      <w:r>
        <w:rPr>
          <w:rFonts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省市级绿色工厂100家以上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 xml:space="preserve">目前全区仅仅1家奔腾激光）。  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（责任单位：*经发局、生态环境分局、应急局、科技局、各街道）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08" w:firstLineChars="221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5、积极提升产业园高质量发展。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推动各类小微园、产业园、村二产整治提升。按照整治“拆改一批、转型提升一批”的要求，大力推进以工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业老旧厂房改建，支持由滨海投资集团等区属国企统一租赁（参股）开发经营模式，实施二产改建，为村二产留地再开发建设提质扩量增效。通过“整改优化一批、创建打造一批”的路径，集聚一批专精特新、省科技型中小企业，推进产业链协同强链、护链、补链，支撑形成若干超100亿产业集群和一批行业领军企业。到2023 年，新建2个专精特新产业园，占地面积约500亩，新培育四星级以上省级小微企业园2个以上，改造提升村二产留地改建面积约500亩。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 xml:space="preserve">（责任单位：*经发局、资规分局、行政执法局、生态环境分局、市场监管分局、应急局、审批局、各街道） 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 w:firstLineChars="200"/>
        <w:jc w:val="left"/>
        <w:textAlignment w:val="baseline"/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华文楷体" w:hAnsi="华文楷体" w:eastAsia="华文楷体" w:cs="华文楷体"/>
          <w:b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6、规范闲置厂房有效利用。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规范全区工业空置面积有效利用，强化入驻企业管理，提高工业土地产出效益，建立用地企业空置面积数据库，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对非鼓励类产业实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行负面清单管理，出台闲置厂房管理办法。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责任单位：*经发局、资规分局、招商局、市场监管分局、生态环境分局、应急管理局、行政执法局、审批局、各街道）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 w:firstLineChars="200"/>
        <w:jc w:val="left"/>
        <w:textAlignment w:val="baseline"/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华文楷体" w:hAnsi="华文楷体" w:eastAsia="华文楷体" w:cs="华文楷体"/>
          <w:b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7、实施差异化配置政策。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依据企业亩均效益综合评价结果，在资源配置上按照A类优先保障，B类积极支持，C类相对控制，D类严格限制的原则。依法依规制定实施用地、用电、用水、排污等资源要素差别化政策，倒逼企业整改提升，加速优胜劣汰，推进资源要素向综合评价高的企业集聚，提升资源要素利用效率。</w:t>
      </w:r>
      <w:r>
        <w:rPr>
          <w:rFonts w:hint="eastAsia" w:ascii="华文楷体" w:hAnsi="华文楷体" w:eastAsia="华文楷体" w:cs="华文楷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 xml:space="preserve">（责任单位：*经发局、财政局、生态环境分局、龙湾供电分局、永强供电公司、各街道）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sz w:val="32"/>
          <w:szCs w:val="32"/>
        </w:rPr>
        <w:t>、实施步骤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 w:firstLineChars="200"/>
        <w:jc w:val="both"/>
        <w:textAlignment w:val="baseline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（一）前期排查阶段：2021年8月-2021年9月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认真做好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高耗低效工业企业整治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提升调查摸底工作，并对工业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用地数据进行系统梳理，建立工业用地数据库，完善“一企一档”信息库，分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行业、分类别建立整治提升清单，实施边排查边整治。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 w:firstLineChars="200"/>
        <w:jc w:val="both"/>
        <w:textAlignment w:val="baseline"/>
        <w:rPr>
          <w:rFonts w:hint="eastAsia" w:ascii="华文楷体" w:hAnsi="华文楷体" w:eastAsia="华文楷体" w:cs="华文楷体"/>
          <w:b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华文楷体" w:hAnsi="华文楷体" w:eastAsia="华文楷体" w:cs="华文楷体"/>
          <w:b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（二）启动试点阶段：2021年9月-2021年11月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抓好整治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提升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试点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。以小升规为切入点，按照企业自有用地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10亩（承租面积10000平方米）以上要求全上规，亩均税收8万-10万的提升企业实现全销号。金海园区作为先行整治提升试点片区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其他街道按照要求，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制定整治提升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计划，点面结合，同步有力推进。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 w:firstLineChars="200"/>
        <w:jc w:val="both"/>
        <w:textAlignment w:val="baseline"/>
        <w:rPr>
          <w:rFonts w:hint="eastAsia" w:ascii="华文楷体" w:hAnsi="华文楷体" w:eastAsia="华文楷体" w:cs="华文楷体"/>
          <w:b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华文楷体" w:hAnsi="华文楷体" w:eastAsia="华文楷体" w:cs="华文楷体"/>
          <w:b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（三）全面整治阶段：2021年12月-2023年10月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总结试点经验做法，形成一套完整的操作办法和配套政策。逐企制定整治提升措施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和时间节点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实施挂牌整治，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闭环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销号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管理，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强化督考抓落实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 w:firstLineChars="200"/>
        <w:jc w:val="both"/>
        <w:textAlignment w:val="baseline"/>
        <w:rPr>
          <w:rFonts w:hint="eastAsia" w:ascii="华文楷体" w:hAnsi="华文楷体" w:eastAsia="华文楷体" w:cs="华文楷体"/>
          <w:b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华文楷体" w:hAnsi="华文楷体" w:eastAsia="华文楷体" w:cs="华文楷体"/>
          <w:b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（四）巩固总结阶段：2023年11月-2023年12月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" w:hAnsi="仿宋" w:eastAsia="仿宋_GB2312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总结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高耗低效工业企业整治提升工作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经验做法，并向市里提交阶段性总结报告。巩固提升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高耗低效工业企业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整治成效，健全完善长效管理机制，确保全区工业用地管理逐步走上规范化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，全面提升全区制造业高质量发展</w:t>
      </w:r>
      <w:r>
        <w:rPr>
          <w:rFonts w:ascii="Times New Roman" w:hAnsi="Times New Roman" w:eastAsia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水平</w:t>
      </w:r>
      <w:r>
        <w:rPr>
          <w:rFonts w:hint="eastAsia" w:ascii="Times New Roman" w:hAnsi="Times New Roman" w:eastAsia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w w:val="100"/>
          <w:kern w:val="0"/>
          <w:sz w:val="32"/>
          <w:szCs w:val="32"/>
        </w:rPr>
        <w:t>保障机制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　  （一）加强组织领导。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成立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经开区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高耗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低效工业企业整治提升行动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领导小组，由管委会主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要领导任组长，分管委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领导任副组长，各相关职能部门和各街道为成员单位，统筹协调各项工作。下设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领导小组办公室，抽调经发、资规、招商、税务、市监、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行政执法、应急管理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等单位人员实体化办公，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办公室设在经发局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负责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全区高耗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低效工业企业整治提升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攻坚行动日常工作。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（二）加大政策帮扶。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出台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高耗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低效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工业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企业整治提升政策意见，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加强政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策集成创新,强化土地、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财政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等要素保障,加大老旧工业园区改造提升、工业低效用地连片腾退开发等政策支持力度。实现政策再加码，进一步形成政策合力，促进资源要素高效集约利用，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产业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转型升级。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（三）强化责任落实。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科学制定年度推进计划，倒排时间表，明确各部门职责，抓好目标任务的分解落实。区级有关部门要按职责分工，强化协作联系，抓好企业基础数据台帐、工作指导、研究制定各类配套政策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及实施细则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等工作。各街道要建立健全相应组织机构，明确分工，落实人员，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按照整治提升清单，做好闭环销号管理，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确保各项工作落到实处。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 w:firstLineChars="200"/>
        <w:jc w:val="both"/>
        <w:textAlignment w:val="baseline"/>
        <w:rPr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eastAsia" w:ascii="华文楷体" w:hAnsi="华文楷体" w:eastAsia="华文楷体" w:cs="华文楷体"/>
          <w:b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"/>
        </w:rPr>
        <w:t>（四）营造良好氛围。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加大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高耗低效工业企业整治提升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工作的宣传力度，积极做好有关评价指标、政策法规解读。及时将相关评价、分类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整治提升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结果予以公示，有序推进差别化措施实施。加强正面典型宣传和反面曝光，畅通公众监督渠道，营造政府推动、企业主体、社会参与的良好环境。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righ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温州经济技术开发区管委会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                               2021年9月22日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联系人：王林华 13857719667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86900708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ascii="Times New Roman" w:hAnsi="Times New Roman" w:eastAsia="宋体" w:cs="Times New Roman"/>
          <w:b w:val="0"/>
          <w:i w:val="0"/>
          <w:caps w:val="0"/>
          <w:color w:val="auto"/>
          <w:spacing w:val="0"/>
          <w:w w:val="100"/>
          <w:sz w:val="21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A641B"/>
    <w:rsid w:val="00D56482"/>
    <w:rsid w:val="01B34DBC"/>
    <w:rsid w:val="04426724"/>
    <w:rsid w:val="04EC6DA1"/>
    <w:rsid w:val="0B557C4D"/>
    <w:rsid w:val="0B8A641B"/>
    <w:rsid w:val="0CD80ED3"/>
    <w:rsid w:val="0E4C49B3"/>
    <w:rsid w:val="0FED7CEE"/>
    <w:rsid w:val="10274D9B"/>
    <w:rsid w:val="10DC050B"/>
    <w:rsid w:val="119A19DB"/>
    <w:rsid w:val="123451CF"/>
    <w:rsid w:val="129204EB"/>
    <w:rsid w:val="12CF7B2D"/>
    <w:rsid w:val="131F3F55"/>
    <w:rsid w:val="180418FC"/>
    <w:rsid w:val="1A72774D"/>
    <w:rsid w:val="1AD9142B"/>
    <w:rsid w:val="1C9865AE"/>
    <w:rsid w:val="1F9A7A59"/>
    <w:rsid w:val="21017B7C"/>
    <w:rsid w:val="21036B2A"/>
    <w:rsid w:val="21F247A6"/>
    <w:rsid w:val="271728B6"/>
    <w:rsid w:val="27C8098A"/>
    <w:rsid w:val="29210B59"/>
    <w:rsid w:val="29CD6938"/>
    <w:rsid w:val="2D1A5FEA"/>
    <w:rsid w:val="30DE7952"/>
    <w:rsid w:val="34484BE1"/>
    <w:rsid w:val="363B74E1"/>
    <w:rsid w:val="39962460"/>
    <w:rsid w:val="3B597024"/>
    <w:rsid w:val="3BB53206"/>
    <w:rsid w:val="3BDA1F05"/>
    <w:rsid w:val="3CEC5D8A"/>
    <w:rsid w:val="3D6C657E"/>
    <w:rsid w:val="3D883A54"/>
    <w:rsid w:val="3E4264F7"/>
    <w:rsid w:val="40B61688"/>
    <w:rsid w:val="413E1E27"/>
    <w:rsid w:val="44372466"/>
    <w:rsid w:val="446B0EE8"/>
    <w:rsid w:val="44E35232"/>
    <w:rsid w:val="45B62D77"/>
    <w:rsid w:val="4693498B"/>
    <w:rsid w:val="49420FB6"/>
    <w:rsid w:val="49F216BA"/>
    <w:rsid w:val="51886F09"/>
    <w:rsid w:val="55193F7E"/>
    <w:rsid w:val="5C6E2B3E"/>
    <w:rsid w:val="5DA14D3E"/>
    <w:rsid w:val="5FDA2B54"/>
    <w:rsid w:val="6645784D"/>
    <w:rsid w:val="67E9694E"/>
    <w:rsid w:val="6F335733"/>
    <w:rsid w:val="71E40C99"/>
    <w:rsid w:val="73970E98"/>
    <w:rsid w:val="77993572"/>
    <w:rsid w:val="7817659E"/>
    <w:rsid w:val="7BF9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qFormat/>
    <w:uiPriority w:val="0"/>
    <w:pPr>
      <w:ind w:firstLine="420" w:firstLineChars="100"/>
    </w:p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15"/>
    <w:basedOn w:val="8"/>
    <w:qFormat/>
    <w:uiPriority w:val="0"/>
    <w:rPr>
      <w:rFonts w:hint="eastAsia" w:ascii="宋体" w:hAnsi="宋体" w:eastAsia="宋体"/>
      <w:b/>
      <w:bCs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2021-09-20T07:48:00Z</dcterms:created>
  <dc:creator>方圆</dc:creator>
  <cp:lastModifiedBy>方圆</cp:lastModifiedBy>
  <cp:lastPrinted>2021-09-22T08:18:00Z</cp:lastPrinted>
  <dcterms:modified xsi:type="dcterms:W3CDTF">2021-09-22T12:15:50Z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DA28C946F03F42CD9265A86A83E99119</vt:lpwstr>
  </property>
</Properties>
</file>