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600" w:lineRule="exact"/>
        <w:ind w:right="0"/>
        <w:jc w:val="center"/>
        <w:textAlignment w:val="baseline"/>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温州经济技术开发区单体制造业项目入园管理</w:t>
      </w:r>
    </w:p>
    <w:p>
      <w:pPr>
        <w:keepNext w:val="0"/>
        <w:keepLines w:val="0"/>
        <w:pageBreakBefore w:val="0"/>
        <w:widowControl/>
        <w:kinsoku/>
        <w:wordWrap/>
        <w:overflowPunct/>
        <w:topLinePunct w:val="0"/>
        <w:bidi w:val="0"/>
        <w:adjustRightInd w:val="0"/>
        <w:snapToGrid w:val="0"/>
        <w:spacing w:line="600" w:lineRule="exact"/>
        <w:ind w:right="0"/>
        <w:jc w:val="center"/>
        <w:textAlignment w:val="baseline"/>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实施办法</w:t>
      </w:r>
    </w:p>
    <w:p>
      <w:pPr>
        <w:keepNext w:val="0"/>
        <w:keepLines w:val="0"/>
        <w:pageBreakBefore w:val="0"/>
        <w:widowControl/>
        <w:kinsoku/>
        <w:wordWrap/>
        <w:overflowPunct/>
        <w:topLinePunct w:val="0"/>
        <w:bidi w:val="0"/>
        <w:adjustRightInd w:val="0"/>
        <w:snapToGrid w:val="0"/>
        <w:spacing w:line="600" w:lineRule="exact"/>
        <w:ind w:right="0"/>
        <w:jc w:val="center"/>
        <w:textAlignment w:val="baseline"/>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lang w:eastAsia="zh-CN"/>
        </w:rPr>
        <w:t>征求意见稿</w:t>
      </w:r>
      <w:bookmarkStart w:id="2" w:name="_GoBack"/>
      <w:bookmarkEnd w:id="2"/>
      <w:r>
        <w:rPr>
          <w:rFonts w:hint="default" w:ascii="Times New Roman" w:hAnsi="Times New Roman" w:eastAsia="楷体_GB2312" w:cs="Times New Roman"/>
          <w:color w:val="000000"/>
          <w:kern w:val="0"/>
          <w:sz w:val="32"/>
          <w:szCs w:val="32"/>
        </w:rPr>
        <w:t>）</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color w:val="000000"/>
          <w:sz w:val="32"/>
          <w:szCs w:val="32"/>
        </w:rPr>
      </w:pP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第一条  主要原则</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为进一步完善温州经济技术开发区（以下简称开发区）招商引资项目科学决策机制，</w:t>
      </w:r>
      <w:r>
        <w:rPr>
          <w:rFonts w:hint="eastAsia" w:ascii="Times New Roman" w:hAnsi="Times New Roman" w:eastAsia="仿宋_GB2312" w:cs="Times New Roman"/>
          <w:color w:val="auto"/>
          <w:sz w:val="32"/>
          <w:szCs w:val="32"/>
          <w:lang w:val="en-US" w:eastAsia="zh-CN"/>
        </w:rPr>
        <w:t>加快推进单体制造业项目集聚、促进主导产业做大做强、推动开发区高质量发展，</w:t>
      </w:r>
      <w:r>
        <w:rPr>
          <w:rFonts w:hint="default" w:ascii="Times New Roman" w:hAnsi="Times New Roman" w:eastAsia="仿宋_GB2312" w:cs="Times New Roman"/>
          <w:color w:val="auto"/>
          <w:sz w:val="32"/>
          <w:szCs w:val="32"/>
        </w:rPr>
        <w:t>对拟入驻开发区的单体制造业项目实施综合评审评价。为明确评审工作流程，确保评审工作科学规范、严谨公正、务实高效，根据有关法律、法规规定，结合我区实际，特制定本实施办法。</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第二条  适用范围</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本实施</w:t>
      </w:r>
      <w:r>
        <w:rPr>
          <w:rFonts w:hint="eastAsia" w:ascii="Times New Roman" w:hAnsi="Times New Roman" w:eastAsia="仿宋_GB2312" w:cs="Times New Roman"/>
          <w:color w:val="auto"/>
          <w:sz w:val="32"/>
          <w:szCs w:val="32"/>
          <w:lang w:val="en-US" w:eastAsia="zh-CN"/>
        </w:rPr>
        <w:t>办法</w:t>
      </w:r>
      <w:r>
        <w:rPr>
          <w:rFonts w:hint="default" w:ascii="Times New Roman" w:hAnsi="Times New Roman" w:eastAsia="仿宋_GB2312" w:cs="Times New Roman"/>
          <w:color w:val="auto"/>
          <w:sz w:val="32"/>
          <w:szCs w:val="32"/>
        </w:rPr>
        <w:t>适用于拟入驻开发区的单体制造业项目评审。</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Change w:id="0" w:author="陈博" w:date="2021-09-25T19:56:00Z">
          <w:pPr>
            <w:keepNext w:val="0"/>
            <w:keepLines w:val="0"/>
            <w:pageBreakBefore w:val="0"/>
            <w:kinsoku/>
            <w:wordWrap/>
            <w:overflowPunct/>
            <w:topLinePunct w:val="0"/>
            <w:bidi w:val="0"/>
            <w:adjustRightInd w:val="0"/>
            <w:snapToGrid w:val="0"/>
            <w:spacing w:line="600" w:lineRule="exact"/>
            <w:ind w:right="0" w:firstLine="640" w:firstLineChars="200"/>
          </w:pPr>
        </w:pPrChange>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对符合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温州市本级重大产业（平台）项目财政特别扶持政策议事规则</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《温州市人民政府办公室关于进一步加强工业用地高质量利用全周期管理的若干意见》（温政办〔2020〕53号）</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《温州经济技术开发区重大产业项目“一事一议”实施办法》认定标准的重大单体制造业项目按照开发区“一事一议”重大单体制造业项目入园评审管理办法实施。此类项目原则上拟安排</w:t>
      </w:r>
      <w:r>
        <w:rPr>
          <w:rFonts w:hint="eastAsia" w:ascii="Times New Roman" w:hAnsi="Times New Roman" w:eastAsia="仿宋_GB2312" w:cs="Times New Roman"/>
          <w:color w:val="auto"/>
          <w:sz w:val="32"/>
          <w:szCs w:val="32"/>
          <w:lang w:val="en-US" w:eastAsia="zh-CN"/>
        </w:rPr>
        <w:t>落地</w:t>
      </w:r>
      <w:r>
        <w:rPr>
          <w:rFonts w:hint="default" w:ascii="Times New Roman" w:hAnsi="Times New Roman" w:eastAsia="仿宋_GB2312" w:cs="Times New Roman"/>
          <w:color w:val="auto"/>
          <w:sz w:val="32"/>
          <w:szCs w:val="32"/>
        </w:rPr>
        <w:t>开发区新增围填海空间。</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对投资额1亿元以下或愿意采用“先租后让”模式入驻的单体制造业项目按照国有企业统一建设标准厂房入园企业“先租后让”项目管理办法实施。</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对其余申请入驻开发区的单体制造业项目按照“限地价竞税收”管理办法实施。此类项目原则上拟安排在现有成熟园区土地有机更新地块。</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第三条 入园条件</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（一）入园项目须为五大战略性新兴产业以及传统产业的头部企业，特别聚焦引入高端装备制造、</w:t>
      </w:r>
      <w:r>
        <w:rPr>
          <w:rFonts w:hint="default" w:ascii="Times New Roman" w:hAnsi="Times New Roman" w:eastAsia="仿宋_GB2312" w:cs="Times New Roman"/>
          <w:color w:val="000000" w:themeColor="text1"/>
          <w:sz w:val="32"/>
          <w:szCs w:val="32"/>
          <w14:textFill>
            <w14:solidFill>
              <w14:schemeClr w14:val="tx1"/>
            </w14:solidFill>
          </w14:textFill>
        </w:rPr>
        <w:t>新能源及节能产业</w:t>
      </w:r>
      <w:r>
        <w:rPr>
          <w:rFonts w:hint="default" w:ascii="Times New Roman" w:hAnsi="Times New Roman" w:eastAsia="仿宋_GB2312" w:cs="Times New Roman"/>
          <w:color w:val="auto"/>
          <w:sz w:val="32"/>
          <w:szCs w:val="32"/>
        </w:rPr>
        <w:t xml:space="preserve">、生物医药等三大产业。 </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（二）所有入园项目投资强度、土地产出、土地税收要达到温州市工业项目建设用地控制指标要求的130% （控制指标标准按温经信投资〔2018〕86号文件执行），高端装备制造、新能源及节能产业、生物医药等三大产业控制性指标须达到温州经济技术开发区重点战略新兴产业“标准地”控制性推荐值指标要求（</w:t>
      </w:r>
      <w:r>
        <w:rPr>
          <w:rFonts w:hint="eastAsia" w:ascii="Times New Roman" w:hAnsi="Times New Roman" w:eastAsia="仿宋_GB2312" w:cs="Times New Roman"/>
          <w:color w:val="auto"/>
          <w:sz w:val="32"/>
          <w:szCs w:val="32"/>
          <w:lang w:val="en-US" w:eastAsia="zh-CN"/>
        </w:rPr>
        <w:t>见附件2</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bidi w:val="0"/>
        <w:adjustRightInd w:val="0"/>
        <w:snapToGrid w:val="0"/>
        <w:spacing w:line="600" w:lineRule="exact"/>
        <w:ind w:right="0"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（三）对《浙南产业集聚区产业准入指导目录》温政办〔2018〕107号文件中所有限制类、淘汰类项目，原则上不予准入（</w:t>
      </w:r>
      <w:r>
        <w:rPr>
          <w:rFonts w:hint="eastAsia" w:ascii="Times New Roman" w:hAnsi="Times New Roman" w:eastAsia="仿宋_GB2312" w:cs="Times New Roman"/>
          <w:color w:val="auto"/>
          <w:sz w:val="32"/>
          <w:szCs w:val="32"/>
          <w:lang w:val="en-US" w:eastAsia="zh-CN"/>
        </w:rPr>
        <w:t>见附件1</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入园项目实行环保、能耗和安全生产一票否决制，严格禁止危险性化学品建设项目入园。各项指标符合开发区环保、能耗和安全生产入园条件，按照“双碳”高标准严格执行污染物排放总量控制要求，鼓励引进低污染、低能耗项目。</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（五）存量企业严格按照“双合同”约定标准验收，未通过验收企业新项目不予以入园供地。</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第四条 优先项目</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符合本办法第三条规定的准入基本要求，投资主体系世界500强或中国500强企业、中国民营200强、央企和国内行业排名前10强企业等项目以及我市本地产业链龙头企业新投资重大项目，将免于评审直接予以准入。</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第五条 加分项目</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符合本办法第三条规定的准入基本要求，并具备下列条件之一的产业投资项目相应给予适当加分：</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（一）投资主体系国家级品牌企业或国家重点支持的高新技术企业，建有经认定的省级以上企业技术中心、 研发中心、工程技术中心、工程实验室；团队核心成员系全球行业精英或省级以上领军人才。</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（二）投资主体属于外资独资、中外合资或外向型经济为主的企业。</w:t>
      </w:r>
    </w:p>
    <w:p>
      <w:pPr>
        <w:pStyle w:val="2"/>
        <w:keepNext w:val="0"/>
        <w:keepLines w:val="0"/>
        <w:pageBreakBefore w:val="0"/>
        <w:kinsoku/>
        <w:wordWrap/>
        <w:overflowPunct/>
        <w:topLinePunct w:val="0"/>
        <w:bidi w:val="0"/>
        <w:adjustRightInd w:val="0"/>
        <w:snapToGrid w:val="0"/>
        <w:spacing w:line="600" w:lineRule="exact"/>
        <w:ind w:right="0" w:firstLine="627" w:firstLineChars="196"/>
        <w:rPr>
          <w:rFonts w:hint="default" w:ascii="Times New Roman" w:hAnsi="Times New Roman" w:eastAsia="黑体" w:cs="Times New Roman"/>
          <w:b w:val="0"/>
          <w:bCs w:val="0"/>
          <w:color w:val="000000"/>
          <w:kern w:val="2"/>
          <w:sz w:val="32"/>
          <w:szCs w:val="32"/>
          <w:lang w:val="en-US" w:eastAsia="zh-CN" w:bidi="ar-SA"/>
        </w:rPr>
      </w:pPr>
      <w:r>
        <w:rPr>
          <w:rFonts w:hint="default" w:ascii="Times New Roman" w:hAnsi="Times New Roman" w:eastAsia="黑体" w:cs="Times New Roman"/>
          <w:b w:val="0"/>
          <w:bCs w:val="0"/>
          <w:color w:val="000000"/>
          <w:kern w:val="2"/>
          <w:sz w:val="32"/>
          <w:szCs w:val="32"/>
          <w:lang w:val="en-US" w:eastAsia="zh-CN" w:bidi="ar-SA"/>
        </w:rPr>
        <w:t>第六条 项目库管理</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立“三单六库”项目全生命周期服务管理机制。由“跟踪清单”、“在谈清单”、“签约清单”，“储备库”、“前期库”、“用地库”、“在建库”、“投产库”、“达产库”等9个环节相连的项目组成。坚持整体智治，实行“在谈-落地-达产”项目建设内容一以贯之，完整展现项目全周期演化过程。</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rPr>
        <w:t>第七条</w:t>
      </w:r>
      <w:r>
        <w:rPr>
          <w:rFonts w:hint="eastAsia" w:ascii="Times New Roman" w:hAnsi="Times New Roman" w:eastAsia="黑体" w:cs="Times New Roman"/>
          <w:b w:val="0"/>
          <w:bCs w:val="0"/>
          <w:color w:val="000000"/>
          <w:sz w:val="32"/>
          <w:szCs w:val="32"/>
          <w:lang w:val="en-US" w:eastAsia="zh-CN"/>
        </w:rPr>
        <w:t xml:space="preserve">  项目评审程序</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仿宋_GB2312" w:cs="Times New Roman"/>
          <w:color w:val="auto"/>
          <w:sz w:val="32"/>
          <w:szCs w:val="32"/>
        </w:rPr>
        <w:pPrChange w:id="1" w:author="陈博" w:date="2021-09-25T20:03:00Z">
          <w:pPr>
            <w:keepNext w:val="0"/>
            <w:keepLines w:val="0"/>
            <w:pageBreakBefore w:val="0"/>
            <w:kinsoku/>
            <w:wordWrap/>
            <w:overflowPunct/>
            <w:topLinePunct w:val="0"/>
            <w:bidi w:val="0"/>
            <w:adjustRightInd w:val="0"/>
            <w:snapToGrid w:val="0"/>
            <w:spacing w:line="600" w:lineRule="exact"/>
            <w:ind w:right="0" w:firstLine="640" w:firstLineChars="200"/>
          </w:pPr>
        </w:pPrChange>
      </w:pPr>
      <w:r>
        <w:rPr>
          <w:rFonts w:hint="default" w:ascii="Times New Roman" w:hAnsi="Times New Roman" w:eastAsia="楷体_GB2312" w:cs="Times New Roman"/>
          <w:b/>
          <w:bCs/>
          <w:color w:val="000000"/>
          <w:sz w:val="32"/>
          <w:szCs w:val="32"/>
        </w:rPr>
        <w:t xml:space="preserve"> </w:t>
      </w:r>
      <w:r>
        <w:rPr>
          <w:rFonts w:hint="default" w:ascii="Times New Roman" w:hAnsi="Times New Roman" w:eastAsia="楷体_GB2312" w:cs="Times New Roman"/>
          <w:b/>
          <w:bCs/>
          <w:color w:val="000000"/>
          <w:sz w:val="32"/>
          <w:szCs w:val="32"/>
          <w:lang w:eastAsia="zh-CN"/>
        </w:rPr>
        <w:t>（</w:t>
      </w:r>
      <w:r>
        <w:rPr>
          <w:rFonts w:hint="default" w:ascii="Times New Roman" w:hAnsi="Times New Roman" w:eastAsia="楷体_GB2312" w:cs="Times New Roman"/>
          <w:b/>
          <w:bCs/>
          <w:color w:val="000000"/>
          <w:sz w:val="32"/>
          <w:szCs w:val="32"/>
          <w:lang w:val="en-US" w:eastAsia="zh-CN"/>
        </w:rPr>
        <w:t>一）</w:t>
      </w:r>
      <w:r>
        <w:rPr>
          <w:rFonts w:hint="default" w:ascii="Times New Roman" w:hAnsi="Times New Roman" w:eastAsia="楷体_GB2312" w:cs="Times New Roman"/>
          <w:b/>
          <w:bCs/>
          <w:color w:val="000000"/>
          <w:sz w:val="32"/>
          <w:szCs w:val="32"/>
        </w:rPr>
        <w:t>“一事一议”重大单体制造业项目入园评审程序</w:t>
      </w:r>
      <w:r>
        <w:rPr>
          <w:rFonts w:hint="eastAsia" w:ascii="Times New Roman" w:hAnsi="Times New Roman" w:eastAsia="楷体_GB2312" w:cs="Times New Roman"/>
          <w:b/>
          <w:bCs/>
          <w:color w:val="auto"/>
          <w:sz w:val="32"/>
          <w:szCs w:val="32"/>
          <w:lang w:eastAsia="zh-CN"/>
        </w:rPr>
        <w:t>。</w:t>
      </w:r>
      <w:r>
        <w:rPr>
          <w:rFonts w:hint="default" w:ascii="Times New Roman" w:hAnsi="Times New Roman" w:eastAsia="仿宋_GB2312" w:cs="Times New Roman"/>
          <w:color w:val="auto"/>
          <w:sz w:val="32"/>
          <w:szCs w:val="32"/>
        </w:rPr>
        <w:t>“一事一议”重大单体制造业按《温州经济技术开发区重大产业项目“一事一议”实施办法》规定执行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评审程序如下：</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1</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项目洽谈。</w:t>
      </w:r>
      <w:r>
        <w:rPr>
          <w:rFonts w:hint="default" w:ascii="Times New Roman" w:hAnsi="Times New Roman" w:eastAsia="仿宋_GB2312" w:cs="Times New Roman"/>
          <w:color w:val="auto"/>
          <w:sz w:val="32"/>
          <w:szCs w:val="32"/>
        </w:rPr>
        <w:t>由招商局负责项目引进，接受企业入园申请报告及项目可研报告，并对项目进行审查，初步筛选出符合入园条件的项目。</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2</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项目考察。</w:t>
      </w:r>
      <w:r>
        <w:rPr>
          <w:rFonts w:hint="default" w:ascii="Times New Roman" w:hAnsi="Times New Roman" w:eastAsia="仿宋_GB2312" w:cs="Times New Roman"/>
          <w:color w:val="auto"/>
          <w:sz w:val="32"/>
          <w:szCs w:val="32"/>
        </w:rPr>
        <w:t>考察小组主要由招商局牵头，届时视项目具体情况分别邀请相关部门参加考察，同时可以邀请市经信、市发改委、市财政局、市投资促进局等部门及相关行业专家对初步筛选项目进行实地考察。</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3</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项目评审。</w:t>
      </w:r>
      <w:r>
        <w:rPr>
          <w:rFonts w:hint="default" w:ascii="Times New Roman" w:hAnsi="Times New Roman" w:eastAsia="仿宋_GB2312" w:cs="Times New Roman"/>
          <w:color w:val="auto"/>
          <w:sz w:val="32"/>
          <w:szCs w:val="32"/>
        </w:rPr>
        <w:t>由管委会分管领导组织相关单位及专家评审小组对经考察的项目进行评审，同时，依项目产业情况必要可邀请2-3名市专家库中行业专家参与评审。参加评审的成员单位及专家依照各自职责分工，对项目进行评估并提出意见。专家主要对项目的可行性、技术的先进性、财务数据真实性、安全生产、生态环境等方面出具专业性意见；成员单位对项目合法合规性进行审查，并对投资方实力、项目基本情况、技术先进性、经济和社会效益等指标进行评价。专家和评审成员单位意见是评审小组决策的重要依据（</w:t>
      </w:r>
      <w:r>
        <w:rPr>
          <w:rFonts w:hint="eastAsia" w:ascii="Times New Roman" w:hAnsi="Times New Roman" w:eastAsia="仿宋_GB2312" w:cs="Times New Roman"/>
          <w:color w:val="auto"/>
          <w:sz w:val="32"/>
          <w:szCs w:val="32"/>
          <w:lang w:val="en-US" w:eastAsia="zh-CN"/>
        </w:rPr>
        <w:t>见附件3、附件4</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4</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召开国有工业土地招拍挂联席会议审定。</w:t>
      </w:r>
      <w:r>
        <w:rPr>
          <w:rFonts w:hint="default" w:ascii="Times New Roman" w:hAnsi="Times New Roman" w:eastAsia="仿宋_GB2312" w:cs="Times New Roman"/>
          <w:color w:val="auto"/>
          <w:sz w:val="32"/>
          <w:szCs w:val="32"/>
        </w:rPr>
        <w:t>通过专家评审确定入园的项目，管委会主要领导召开国有工业土地招拍挂联席会议审定并出具国有工业土地招拍挂联席会议纪要。</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5</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主任办公会议审定。</w:t>
      </w:r>
      <w:r>
        <w:rPr>
          <w:rFonts w:hint="default" w:ascii="Times New Roman" w:hAnsi="Times New Roman" w:eastAsia="仿宋_GB2312" w:cs="Times New Roman"/>
          <w:color w:val="auto"/>
          <w:sz w:val="32"/>
          <w:szCs w:val="32"/>
        </w:rPr>
        <w:t>通过管委会国有工业土地招拍挂联席会议的项目由招商局形成项目书面建议，提交管委会主任办公会议研究审定，并出具主任办公会议纪要。</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bookmarkStart w:id="0" w:name="bookmark20"/>
      <w:r>
        <w:rPr>
          <w:rFonts w:hint="eastAsia" w:ascii="Times New Roman" w:hAnsi="Times New Roman" w:eastAsia="楷体_GB2312" w:cs="Times New Roman"/>
          <w:b/>
          <w:bCs/>
          <w:color w:val="auto"/>
          <w:sz w:val="32"/>
          <w:szCs w:val="32"/>
          <w:lang w:eastAsia="zh-CN"/>
        </w:rPr>
        <w:t>6</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项目设计方案编制。</w:t>
      </w:r>
      <w:r>
        <w:rPr>
          <w:rFonts w:hint="default" w:ascii="Times New Roman" w:hAnsi="Times New Roman" w:eastAsia="仿宋_GB2312" w:cs="Times New Roman"/>
          <w:color w:val="auto"/>
          <w:sz w:val="32"/>
          <w:szCs w:val="32"/>
        </w:rPr>
        <w:t>通过管委会主任办公会议确定入园的项目，项目设计方案（含厂房及工业设计方案）必须经过区自然资源和规划分局和区行政审批局审定后方可进入土地挂牌程序。</w:t>
      </w:r>
    </w:p>
    <w:bookmarkEnd w:id="0"/>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7</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组织挂牌及入园准备。</w:t>
      </w:r>
      <w:r>
        <w:rPr>
          <w:rFonts w:hint="default" w:ascii="Times New Roman" w:hAnsi="Times New Roman" w:eastAsia="仿宋_GB2312" w:cs="Times New Roman"/>
          <w:color w:val="auto"/>
          <w:sz w:val="32"/>
          <w:szCs w:val="32"/>
        </w:rPr>
        <w:t>根据管委会投资项目联席会议纪要，自然资源和规划分局组织宗地出让方案，经管委会批准后，组织挂牌材料报市公共资源交易中心推出挂牌。招商引资项目国有建设用地使用权摘牌后，竞得方应先与开发区管委会签订《工业用地项目投资合同》，并向开发区财政局财政专户按投资协议约定缴纳履约保证金，再签订《国有建设用地使用权出让合同》。自然资源和规划分局、经济发展局、行政审批局、交通和建设局、招商局、生态环境分局等部门积极协助办理相关手续，加快入园项目建设。</w:t>
      </w:r>
    </w:p>
    <w:p>
      <w:pPr>
        <w:keepNext w:val="0"/>
        <w:keepLines w:val="0"/>
        <w:pageBreakBefore w:val="0"/>
        <w:kinsoku/>
        <w:wordWrap/>
        <w:overflowPunct/>
        <w:topLinePunct w:val="0"/>
        <w:bidi w:val="0"/>
        <w:adjustRightInd w:val="0"/>
        <w:snapToGrid w:val="0"/>
        <w:spacing w:line="600" w:lineRule="exact"/>
        <w:ind w:right="0" w:firstLine="642" w:firstLineChars="200"/>
        <w:rPr>
          <w:rFonts w:hint="eastAsia" w:ascii="Times New Roman" w:hAnsi="Times New Roman" w:eastAsia="楷体_GB2312" w:cs="Times New Roman"/>
          <w:b/>
          <w:bCs/>
          <w:color w:val="000000"/>
          <w:sz w:val="32"/>
          <w:szCs w:val="32"/>
        </w:rPr>
      </w:pP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lang w:val="en-US" w:eastAsia="zh-CN"/>
        </w:rPr>
        <w:t>二）</w:t>
      </w:r>
      <w:r>
        <w:rPr>
          <w:rFonts w:hint="default" w:ascii="Times New Roman" w:hAnsi="Times New Roman" w:eastAsia="楷体_GB2312" w:cs="Times New Roman"/>
          <w:b/>
          <w:bCs/>
          <w:color w:val="000000"/>
          <w:sz w:val="32"/>
          <w:szCs w:val="32"/>
        </w:rPr>
        <w:t xml:space="preserve"> 国有企业统一建设标准厂房“先租后让”项目入园程序</w:t>
      </w:r>
      <w:r>
        <w:rPr>
          <w:rFonts w:hint="eastAsia" w:ascii="Times New Roman" w:hAnsi="Times New Roman" w:eastAsia="楷体_GB2312" w:cs="Times New Roman"/>
          <w:b/>
          <w:bCs/>
          <w:color w:val="auto"/>
          <w:sz w:val="32"/>
          <w:szCs w:val="32"/>
          <w:lang w:eastAsia="zh-CN"/>
        </w:rPr>
        <w:t>。</w:t>
      </w:r>
      <w:r>
        <w:rPr>
          <w:rFonts w:hint="default" w:ascii="Times New Roman" w:hAnsi="Times New Roman" w:eastAsia="仿宋_GB2312" w:cs="Times New Roman"/>
          <w:color w:val="auto"/>
          <w:sz w:val="32"/>
          <w:szCs w:val="32"/>
        </w:rPr>
        <w:t>评审程序如下：</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val="en-US" w:eastAsia="zh-CN"/>
        </w:rPr>
        <w:t>1.</w:t>
      </w:r>
      <w:r>
        <w:rPr>
          <w:rFonts w:hint="default" w:ascii="Times New Roman" w:hAnsi="Times New Roman" w:eastAsia="楷体_GB2312" w:cs="Times New Roman"/>
          <w:b/>
          <w:bCs/>
          <w:color w:val="auto"/>
          <w:sz w:val="32"/>
          <w:szCs w:val="32"/>
        </w:rPr>
        <w:t>项目洽谈。</w:t>
      </w:r>
      <w:r>
        <w:rPr>
          <w:rFonts w:hint="default" w:ascii="Times New Roman" w:hAnsi="Times New Roman" w:eastAsia="仿宋_GB2312" w:cs="Times New Roman"/>
          <w:color w:val="auto"/>
          <w:sz w:val="32"/>
          <w:szCs w:val="32"/>
        </w:rPr>
        <w:t>由招商局根据项目入园标准发布招商公告,接受企业入园申请报告及项目可研报告,并对符合入园条件的申请项目进行初步筛选。</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val="en-US" w:eastAsia="zh-CN"/>
        </w:rPr>
        <w:t>2.</w:t>
      </w:r>
      <w:r>
        <w:rPr>
          <w:rFonts w:hint="eastAsia" w:ascii="Times New Roman" w:hAnsi="Times New Roman" w:eastAsia="楷体_GB2312" w:cs="Times New Roman"/>
          <w:b/>
          <w:bCs/>
          <w:color w:val="auto"/>
          <w:sz w:val="32"/>
          <w:szCs w:val="32"/>
        </w:rPr>
        <w:t>项目考察。</w:t>
      </w:r>
      <w:r>
        <w:rPr>
          <w:rFonts w:hint="default" w:ascii="Times New Roman" w:hAnsi="Times New Roman" w:eastAsia="仿宋_GB2312" w:cs="Times New Roman"/>
          <w:color w:val="auto"/>
          <w:sz w:val="32"/>
          <w:szCs w:val="32"/>
        </w:rPr>
        <w:t>由招商局组织项目考察，其中主要考察项目现有生产规模，用地情况、管理情况、厂房使用情况、设备情况、技术科技含量等情况。考察后符合基本条件的项目，提供相关材料（包括工艺流程和厂房设计方案等）进入专家评审阶段。</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val="en-US" w:eastAsia="zh-CN"/>
        </w:rPr>
        <w:t>3.</w:t>
      </w:r>
      <w:r>
        <w:rPr>
          <w:rFonts w:hint="eastAsia" w:ascii="Times New Roman" w:hAnsi="Times New Roman" w:eastAsia="楷体_GB2312" w:cs="Times New Roman"/>
          <w:b/>
          <w:bCs/>
          <w:color w:val="auto"/>
          <w:sz w:val="32"/>
          <w:szCs w:val="32"/>
        </w:rPr>
        <w:t>项目评审。</w:t>
      </w:r>
      <w:r>
        <w:rPr>
          <w:rFonts w:hint="default" w:ascii="Times New Roman" w:hAnsi="Times New Roman" w:eastAsia="仿宋_GB2312" w:cs="Times New Roman"/>
          <w:color w:val="auto"/>
          <w:sz w:val="32"/>
          <w:szCs w:val="32"/>
        </w:rPr>
        <w:t>项目评审内容主要从现实条件、投资强度、技术水平、人才团队、发展潜力、厂房和工业设计方案等6个方面对项目进行评分，得分70分含以上，予以推荐，得分70分以下，不予推荐，进入培育库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见附件5）</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val="en-US" w:eastAsia="zh-CN"/>
        </w:rPr>
        <w:t>4.</w:t>
      </w:r>
      <w:r>
        <w:rPr>
          <w:rFonts w:hint="eastAsia" w:ascii="Times New Roman" w:hAnsi="Times New Roman" w:eastAsia="楷体_GB2312" w:cs="Times New Roman"/>
          <w:b/>
          <w:bCs/>
          <w:color w:val="auto"/>
          <w:sz w:val="32"/>
          <w:szCs w:val="32"/>
        </w:rPr>
        <w:t>主任办公会议审定。</w:t>
      </w:r>
      <w:r>
        <w:rPr>
          <w:rFonts w:hint="default" w:ascii="Times New Roman" w:hAnsi="Times New Roman" w:eastAsia="仿宋_GB2312" w:cs="Times New Roman"/>
          <w:color w:val="auto"/>
          <w:sz w:val="32"/>
          <w:szCs w:val="32"/>
        </w:rPr>
        <w:t>由招商局形成推荐入园的项目书面建议报主任办公会议研究确定入园。签订合同。入园企业与开发区国有企业签订《先租后让协议》、与开发区管委会签订《工业用地项目投资合同》。</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黑体" w:cs="Times New Roman"/>
          <w:b w:val="0"/>
          <w:bCs w:val="0"/>
          <w:color w:val="000000"/>
          <w:sz w:val="32"/>
          <w:szCs w:val="32"/>
        </w:rPr>
      </w:pPr>
      <w:r>
        <w:rPr>
          <w:rFonts w:hint="default" w:ascii="Times New Roman" w:hAnsi="Times New Roman" w:eastAsia="楷体_GB2312" w:cs="Times New Roman"/>
          <w:b/>
          <w:bCs/>
          <w:color w:val="auto"/>
          <w:sz w:val="32"/>
          <w:szCs w:val="32"/>
          <w:lang w:val="en-US" w:eastAsia="zh-CN"/>
        </w:rPr>
        <w:t>（三）</w:t>
      </w:r>
      <w:r>
        <w:rPr>
          <w:rFonts w:hint="eastAsia" w:ascii="Times New Roman" w:hAnsi="Times New Roman" w:eastAsia="楷体_GB2312" w:cs="Times New Roman"/>
          <w:b/>
          <w:bCs/>
          <w:color w:val="auto"/>
          <w:sz w:val="32"/>
          <w:szCs w:val="32"/>
        </w:rPr>
        <w:t>限地价竞税收项目</w:t>
      </w:r>
      <w:r>
        <w:rPr>
          <w:rFonts w:hint="default" w:ascii="Times New Roman" w:hAnsi="Times New Roman" w:eastAsia="楷体_GB2312" w:cs="Times New Roman"/>
          <w:b/>
          <w:bCs/>
          <w:color w:val="auto"/>
          <w:sz w:val="32"/>
          <w:szCs w:val="32"/>
          <w:lang w:val="en-US" w:eastAsia="zh-CN"/>
        </w:rPr>
        <w:t>入园程序。</w:t>
      </w:r>
      <w:r>
        <w:rPr>
          <w:rFonts w:hint="default" w:ascii="Times New Roman" w:hAnsi="Times New Roman" w:eastAsia="仿宋_GB2312" w:cs="Times New Roman"/>
          <w:color w:val="auto"/>
          <w:sz w:val="32"/>
          <w:szCs w:val="32"/>
        </w:rPr>
        <w:t>具体参照《温州市人民政府办公室关于进一步加强工业用地高质量利用全周期管理的若干意见》（温政办〔2020〕53号）文件实施。</w:t>
      </w:r>
    </w:p>
    <w:p>
      <w:pPr>
        <w:keepNext w:val="0"/>
        <w:keepLines w:val="0"/>
        <w:pageBreakBefore w:val="0"/>
        <w:kinsoku/>
        <w:wordWrap/>
        <w:overflowPunct/>
        <w:topLinePunct w:val="0"/>
        <w:bidi w:val="0"/>
        <w:adjustRightInd w:val="0"/>
        <w:snapToGrid w:val="0"/>
        <w:spacing w:line="600" w:lineRule="exact"/>
        <w:ind w:right="0" w:firstLine="640" w:firstLineChars="200"/>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 xml:space="preserve">第八条 </w:t>
      </w:r>
      <w:r>
        <w:rPr>
          <w:rFonts w:hint="eastAsia" w:ascii="Times New Roman" w:hAnsi="Times New Roman" w:eastAsia="黑体" w:cs="Times New Roman"/>
          <w:b w:val="0"/>
          <w:bCs w:val="0"/>
          <w:color w:val="000000"/>
          <w:sz w:val="32"/>
          <w:szCs w:val="32"/>
          <w:lang w:val="en-US" w:eastAsia="zh-CN"/>
        </w:rPr>
        <w:t xml:space="preserve"> </w:t>
      </w:r>
      <w:r>
        <w:rPr>
          <w:rFonts w:hint="default" w:ascii="Times New Roman" w:hAnsi="Times New Roman" w:eastAsia="黑体" w:cs="Times New Roman"/>
          <w:b w:val="0"/>
          <w:bCs w:val="0"/>
          <w:color w:val="000000"/>
          <w:sz w:val="32"/>
          <w:szCs w:val="32"/>
        </w:rPr>
        <w:t>项目履约监管。</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auto"/>
          <w:sz w:val="32"/>
          <w:szCs w:val="32"/>
        </w:rPr>
        <w:t xml:space="preserve"> </w:t>
      </w:r>
      <w:r>
        <w:rPr>
          <w:rFonts w:hint="default" w:ascii="Times New Roman" w:hAnsi="Times New Roman" w:eastAsia="楷体_GB2312" w:cs="Times New Roman"/>
          <w:b/>
          <w:bCs/>
          <w:color w:val="auto"/>
          <w:sz w:val="32"/>
          <w:szCs w:val="32"/>
          <w:lang w:eastAsia="zh-CN"/>
        </w:rPr>
        <w:t>（</w:t>
      </w:r>
      <w:r>
        <w:rPr>
          <w:rFonts w:hint="default" w:ascii="Times New Roman" w:hAnsi="Times New Roman" w:eastAsia="楷体_GB2312" w:cs="Times New Roman"/>
          <w:b/>
          <w:bCs/>
          <w:color w:val="auto"/>
          <w:sz w:val="32"/>
          <w:szCs w:val="32"/>
          <w:lang w:val="en-US" w:eastAsia="zh-CN"/>
        </w:rPr>
        <w:t>一）</w:t>
      </w:r>
      <w:r>
        <w:rPr>
          <w:rFonts w:hint="default" w:ascii="Times New Roman" w:hAnsi="Times New Roman" w:eastAsia="楷体_GB2312" w:cs="Times New Roman"/>
          <w:b/>
          <w:bCs/>
          <w:color w:val="auto"/>
          <w:sz w:val="32"/>
          <w:szCs w:val="32"/>
        </w:rPr>
        <w:t>“一事一议”重大单体制造业项目</w:t>
      </w:r>
      <w:r>
        <w:rPr>
          <w:rFonts w:hint="eastAsia" w:ascii="Times New Roman" w:hAnsi="Times New Roman" w:eastAsia="楷体_GB2312" w:cs="Times New Roman"/>
          <w:b/>
          <w:bCs/>
          <w:color w:val="auto"/>
          <w:sz w:val="32"/>
          <w:szCs w:val="32"/>
          <w:lang w:val="en-US" w:eastAsia="zh-CN"/>
        </w:rPr>
        <w:t>履约监管。</w:t>
      </w:r>
      <w:r>
        <w:rPr>
          <w:rFonts w:hint="default" w:ascii="Times New Roman" w:hAnsi="Times New Roman" w:eastAsia="仿宋_GB2312" w:cs="Times New Roman"/>
          <w:color w:val="auto"/>
          <w:sz w:val="32"/>
          <w:szCs w:val="32"/>
        </w:rPr>
        <w:t>根据《温州市人民政府办公室关于进一步加强工业用地高质量利用全周期管理的若干意见》温政办〔2020〕53 号文件内容，严格按照有关法律、法规和《工业用地项目投资合同》、《国有建设用地使用权出让合同》，以及投资主体承诺内容, 由区招商局牵头加强对入园项目实施情况的监督管理。</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b/>
          <w:bCs/>
          <w:color w:val="auto"/>
          <w:sz w:val="32"/>
          <w:szCs w:val="32"/>
          <w:lang w:eastAsia="zh-CN"/>
        </w:rPr>
        <w:t>1</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建设周期约定要求。</w:t>
      </w:r>
      <w:bookmarkStart w:id="1" w:name="bookmark26"/>
      <w:r>
        <w:rPr>
          <w:rFonts w:hint="default" w:ascii="Times New Roman" w:hAnsi="Times New Roman" w:eastAsia="仿宋_GB2312" w:cs="Times New Roman"/>
          <w:color w:val="auto"/>
          <w:sz w:val="32"/>
          <w:szCs w:val="32"/>
        </w:rPr>
        <w:t>在合同约定建设周期内竣工，原则上投资10亿元以下制造业项目约定建设周期不超过24个，10—20亿元项目不超过30个月，20亿元以上项目不超过36个月</w:t>
      </w:r>
      <w:r>
        <w:rPr>
          <w:rFonts w:hint="eastAsia" w:ascii="Times New Roman" w:hAnsi="Times New Roman" w:eastAsia="仿宋_GB2312" w:cs="Times New Roman"/>
          <w:color w:val="auto"/>
          <w:sz w:val="32"/>
          <w:szCs w:val="32"/>
          <w:lang w:eastAsia="zh-CN"/>
        </w:rPr>
        <w:t>，分期建设项目原则上不超过二期，首期投资额不低于总投资的</w:t>
      </w:r>
      <w:r>
        <w:rPr>
          <w:rFonts w:hint="eastAsia" w:ascii="Times New Roman" w:hAnsi="Times New Roman" w:eastAsia="仿宋_GB2312" w:cs="Times New Roman"/>
          <w:color w:val="auto"/>
          <w:sz w:val="32"/>
          <w:szCs w:val="32"/>
          <w:lang w:val="en-US" w:eastAsia="zh-CN"/>
        </w:rPr>
        <w:t>50%，项目建设总工期不超过5年。</w:t>
      </w:r>
    </w:p>
    <w:bookmarkEnd w:id="1"/>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2</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加强项目履约验收监管。</w:t>
      </w:r>
      <w:r>
        <w:rPr>
          <w:rFonts w:hint="default" w:ascii="Times New Roman" w:hAnsi="Times New Roman" w:eastAsia="仿宋_GB2312" w:cs="Times New Roman"/>
          <w:color w:val="auto"/>
          <w:sz w:val="32"/>
          <w:szCs w:val="32"/>
        </w:rPr>
        <w:t>项目竣工投产后3个月内，项目实施单位应及时提交项目竣工验收申请，招商局牵头组织相关部门按照《工业用地项目投资合同》、《国有建设用地使用权出让合同》等约定的内容，对项目投资强度等约束性指标进行初步验收；验收</w:t>
      </w:r>
      <w:r>
        <w:rPr>
          <w:rFonts w:hint="eastAsia" w:ascii="Times New Roman" w:hAnsi="Times New Roman" w:eastAsia="仿宋_GB2312" w:cs="Times New Roman"/>
          <w:color w:val="auto"/>
          <w:sz w:val="32"/>
          <w:szCs w:val="32"/>
          <w:lang w:eastAsia="zh-CN"/>
        </w:rPr>
        <w:t>合格</w:t>
      </w:r>
      <w:r>
        <w:rPr>
          <w:rFonts w:hint="default" w:ascii="Times New Roman" w:hAnsi="Times New Roman" w:eastAsia="仿宋_GB2312" w:cs="Times New Roman"/>
          <w:color w:val="auto"/>
          <w:sz w:val="32"/>
          <w:szCs w:val="32"/>
        </w:rPr>
        <w:t>后，出具书面验收纪要并报管委会备案</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项目达产后1</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个月内，项目实施单位应及时提交项目达产验收申请，经济发展局牵头组织相关部门对项目亩均税收等预期性指标进行综合验收。验收</w:t>
      </w:r>
      <w:r>
        <w:rPr>
          <w:rFonts w:hint="eastAsia" w:ascii="Times New Roman" w:hAnsi="Times New Roman" w:eastAsia="仿宋_GB2312" w:cs="Times New Roman"/>
          <w:color w:val="auto"/>
          <w:sz w:val="32"/>
          <w:szCs w:val="32"/>
          <w:lang w:eastAsia="zh-CN"/>
        </w:rPr>
        <w:t>合格</w:t>
      </w:r>
      <w:r>
        <w:rPr>
          <w:rFonts w:hint="default" w:ascii="Times New Roman" w:hAnsi="Times New Roman" w:eastAsia="仿宋_GB2312" w:cs="Times New Roman"/>
          <w:color w:val="auto"/>
          <w:sz w:val="32"/>
          <w:szCs w:val="32"/>
        </w:rPr>
        <w:t>后，出具书面验收纪要并报管委会备案。管委会可组织有关部门，对项目实施和履约情况不定期进行稽查。</w:t>
      </w:r>
    </w:p>
    <w:p>
      <w:pPr>
        <w:keepNext w:val="0"/>
        <w:keepLines w:val="0"/>
        <w:pageBreakBefore w:val="0"/>
        <w:kinsoku/>
        <w:wordWrap/>
        <w:overflowPunct/>
        <w:topLinePunct w:val="0"/>
        <w:bidi w:val="0"/>
        <w:adjustRightInd w:val="0"/>
        <w:snapToGrid w:val="0"/>
        <w:spacing w:line="600" w:lineRule="exact"/>
        <w:ind w:right="0" w:firstLine="642" w:firstLineChars="200"/>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3</w:t>
      </w:r>
      <w:r>
        <w:rPr>
          <w:rFonts w:hint="eastAsia" w:ascii="Times New Roman" w:hAnsi="Times New Roman" w:eastAsia="楷体_GB2312" w:cs="Times New Roman"/>
          <w:b/>
          <w:bCs/>
          <w:color w:val="auto"/>
          <w:sz w:val="32"/>
          <w:szCs w:val="32"/>
          <w:lang w:val="en-US" w:eastAsia="zh-CN"/>
        </w:rPr>
        <w:t>.</w:t>
      </w:r>
      <w:r>
        <w:rPr>
          <w:rFonts w:hint="default" w:ascii="Times New Roman" w:hAnsi="Times New Roman" w:eastAsia="楷体_GB2312" w:cs="Times New Roman"/>
          <w:b/>
          <w:bCs/>
          <w:color w:val="auto"/>
          <w:sz w:val="32"/>
          <w:szCs w:val="32"/>
        </w:rPr>
        <w:t>加大项目违约处置力度。</w:t>
      </w:r>
      <w:r>
        <w:rPr>
          <w:rFonts w:hint="default" w:ascii="Times New Roman" w:hAnsi="Times New Roman" w:eastAsia="仿宋_GB2312" w:cs="Times New Roman"/>
          <w:color w:val="auto"/>
          <w:sz w:val="32"/>
          <w:szCs w:val="32"/>
        </w:rPr>
        <w:t>对未通过履约情况验收考核、违反合同的，按照《工业用地项目投资合同》、《国有建设用地使用权出让合同》等有关要求，对投资方出现未按期竣工投产或未达到承诺亩均税收等严重违约的项目，由</w:t>
      </w:r>
      <w:r>
        <w:rPr>
          <w:rFonts w:hint="eastAsia" w:ascii="Times New Roman" w:hAnsi="Times New Roman" w:eastAsia="仿宋_GB2312" w:cs="Times New Roman"/>
          <w:color w:val="auto"/>
          <w:sz w:val="32"/>
          <w:szCs w:val="32"/>
          <w:lang w:eastAsia="zh-CN"/>
        </w:rPr>
        <w:t>管委会</w:t>
      </w:r>
      <w:r>
        <w:rPr>
          <w:rFonts w:hint="default" w:ascii="Times New Roman" w:hAnsi="Times New Roman" w:eastAsia="仿宋_GB2312" w:cs="Times New Roman"/>
          <w:color w:val="auto"/>
          <w:sz w:val="32"/>
          <w:szCs w:val="32"/>
        </w:rPr>
        <w:t>按协议条款和相关法律进行处置，并及时按照违约条款取消或追回投资方所享受的优惠政策。</w:t>
      </w:r>
    </w:p>
    <w:p>
      <w:pPr>
        <w:keepNext w:val="0"/>
        <w:keepLines w:val="0"/>
        <w:pageBreakBefore w:val="0"/>
        <w:kinsoku/>
        <w:wordWrap/>
        <w:overflowPunct/>
        <w:topLinePunct w:val="0"/>
        <w:bidi w:val="0"/>
        <w:adjustRightInd w:val="0"/>
        <w:snapToGrid w:val="0"/>
        <w:spacing w:line="600" w:lineRule="exact"/>
        <w:ind w:right="0" w:firstLine="642" w:firstLineChars="200"/>
        <w:jc w:val="left"/>
        <w:rPr>
          <w:rFonts w:hint="default" w:ascii="Times New Roman" w:hAnsi="Times New Roman" w:eastAsia="黑体" w:cs="Times New Roman"/>
          <w:b w:val="0"/>
          <w:bCs w:val="0"/>
          <w:color w:val="000000"/>
          <w:sz w:val="32"/>
          <w:szCs w:val="32"/>
        </w:rPr>
      </w:pPr>
      <w:r>
        <w:rPr>
          <w:rFonts w:hint="eastAsia" w:ascii="Times New Roman" w:hAnsi="Times New Roman" w:eastAsia="楷体_GB2312" w:cs="Times New Roman"/>
          <w:b/>
          <w:bCs/>
          <w:color w:val="auto"/>
          <w:sz w:val="32"/>
          <w:szCs w:val="32"/>
          <w:lang w:eastAsia="zh-CN"/>
        </w:rPr>
        <w:t>（</w:t>
      </w:r>
      <w:r>
        <w:rPr>
          <w:rFonts w:hint="eastAsia" w:ascii="Times New Roman" w:hAnsi="Times New Roman" w:eastAsia="楷体_GB2312" w:cs="Times New Roman"/>
          <w:b/>
          <w:bCs/>
          <w:color w:val="auto"/>
          <w:sz w:val="32"/>
          <w:szCs w:val="32"/>
          <w:lang w:val="en-US" w:eastAsia="zh-CN"/>
        </w:rPr>
        <w:t>二）</w:t>
      </w:r>
      <w:r>
        <w:rPr>
          <w:rFonts w:hint="default" w:ascii="Times New Roman" w:hAnsi="Times New Roman" w:eastAsia="楷体_GB2312" w:cs="Times New Roman"/>
          <w:b/>
          <w:bCs/>
          <w:color w:val="auto"/>
          <w:sz w:val="32"/>
          <w:szCs w:val="32"/>
        </w:rPr>
        <w:t xml:space="preserve"> 国有企业统一建设标准厂房“先租后让”项目履约验收监管。</w:t>
      </w:r>
      <w:r>
        <w:rPr>
          <w:rFonts w:hint="default" w:ascii="Times New Roman" w:hAnsi="Times New Roman" w:eastAsia="仿宋_GB2312" w:cs="Times New Roman"/>
          <w:color w:val="auto"/>
          <w:sz w:val="32"/>
          <w:szCs w:val="32"/>
        </w:rPr>
        <w:t>项目入住投产3年内，项目入园企业提交项目达产验收申请，项目实施单位应及时提交项目达产验收申请，招商局和经济发展局牵头组织相关部门对项目亩均税收等预期性指标进行综合验收。验收后，出具书面验收纪要并报管委会备案。验收合格企业管委会按照企业签订的合同将产权过户给企业。</w:t>
      </w:r>
    </w:p>
    <w:p>
      <w:pPr>
        <w:keepNext w:val="0"/>
        <w:keepLines w:val="0"/>
        <w:pageBreakBefore w:val="0"/>
        <w:kinsoku/>
        <w:wordWrap/>
        <w:overflowPunct/>
        <w:topLinePunct w:val="0"/>
        <w:bidi w:val="0"/>
        <w:adjustRightInd w:val="0"/>
        <w:snapToGrid w:val="0"/>
        <w:spacing w:line="600" w:lineRule="exact"/>
        <w:ind w:right="0"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color w:val="000000"/>
          <w:sz w:val="32"/>
          <w:szCs w:val="32"/>
        </w:rPr>
        <w:t>第</w:t>
      </w:r>
      <w:r>
        <w:rPr>
          <w:rFonts w:hint="eastAsia" w:ascii="Times New Roman" w:hAnsi="Times New Roman" w:eastAsia="黑体" w:cs="Times New Roman"/>
          <w:b w:val="0"/>
          <w:bCs w:val="0"/>
          <w:color w:val="000000"/>
          <w:sz w:val="32"/>
          <w:szCs w:val="32"/>
          <w:lang w:val="en-US" w:eastAsia="zh-CN"/>
        </w:rPr>
        <w:t>九</w:t>
      </w:r>
      <w:r>
        <w:rPr>
          <w:rFonts w:hint="default" w:ascii="Times New Roman" w:hAnsi="Times New Roman" w:eastAsia="黑体" w:cs="Times New Roman"/>
          <w:b w:val="0"/>
          <w:bCs w:val="0"/>
          <w:color w:val="000000"/>
          <w:sz w:val="32"/>
          <w:szCs w:val="32"/>
        </w:rPr>
        <w:t>条</w:t>
      </w:r>
      <w:r>
        <w:rPr>
          <w:rFonts w:hint="default" w:ascii="Times New Roman" w:hAnsi="Times New Roman" w:eastAsia="仿宋_GB2312" w:cs="Times New Roman"/>
          <w:b/>
          <w:bCs/>
          <w:color w:val="000000"/>
          <w:sz w:val="32"/>
          <w:szCs w:val="32"/>
        </w:rPr>
        <w:t xml:space="preserve"> </w:t>
      </w:r>
      <w:r>
        <w:rPr>
          <w:rFonts w:hint="default" w:ascii="Times New Roman" w:hAnsi="Times New Roman" w:eastAsia="仿宋_GB2312" w:cs="Times New Roman"/>
          <w:color w:val="auto"/>
          <w:sz w:val="32"/>
          <w:szCs w:val="32"/>
        </w:rPr>
        <w:t>本办法自2021年XX月XX日起施行，有效期两年。</w:t>
      </w:r>
    </w:p>
    <w:p>
      <w:pPr>
        <w:pStyle w:val="2"/>
        <w:keepNext w:val="0"/>
        <w:keepLines w:val="0"/>
        <w:pageBreakBefore w:val="0"/>
        <w:kinsoku/>
        <w:wordWrap/>
        <w:overflowPunct/>
        <w:topLinePunct w:val="0"/>
        <w:bidi w:val="0"/>
        <w:adjustRightInd w:val="0"/>
        <w:snapToGrid w:val="0"/>
        <w:spacing w:line="600" w:lineRule="exact"/>
        <w:ind w:right="0"/>
        <w:rPr>
          <w:rFonts w:hint="default" w:ascii="Times New Roman" w:hAnsi="Times New Roman" w:eastAsia="仿宋_GB2312" w:cs="Times New Roman"/>
          <w:color w:val="auto"/>
          <w:kern w:val="2"/>
          <w:sz w:val="32"/>
          <w:szCs w:val="32"/>
        </w:rPr>
      </w:pPr>
    </w:p>
    <w:p>
      <w:pPr>
        <w:keepNext w:val="0"/>
        <w:keepLines w:val="0"/>
        <w:pageBreakBefore w:val="0"/>
        <w:kinsoku/>
        <w:wordWrap/>
        <w:overflowPunct/>
        <w:topLinePunct w:val="0"/>
        <w:bidi w:val="0"/>
        <w:adjustRightInd w:val="0"/>
        <w:snapToGrid w:val="0"/>
        <w:spacing w:line="600" w:lineRule="exact"/>
        <w:ind w:right="0" w:firstLine="640" w:firstLineChars="2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温州经济技术开发区管委会</w:t>
      </w:r>
    </w:p>
    <w:p>
      <w:pPr>
        <w:keepNext w:val="0"/>
        <w:keepLines w:val="0"/>
        <w:pageBreakBefore w:val="0"/>
        <w:kinsoku/>
        <w:wordWrap/>
        <w:overflowPunct/>
        <w:topLinePunct w:val="0"/>
        <w:bidi w:val="0"/>
        <w:adjustRightInd w:val="0"/>
        <w:snapToGrid w:val="0"/>
        <w:spacing w:line="600" w:lineRule="exact"/>
        <w:ind w:right="0" w:firstLine="640" w:firstLineChars="200"/>
        <w:jc w:val="center"/>
        <w:rPr>
          <w:rFonts w:hint="eastAsia" w:ascii="Times New Roman" w:hAnsi="Times New Roman" w:eastAsia="仿宋_GB2312" w:cs="Times New Roman"/>
          <w:sz w:val="32"/>
          <w:szCs w:val="32"/>
          <w:lang w:val="en-US" w:eastAsia="zh-CN"/>
        </w:rPr>
        <w:sectPr>
          <w:footerReference r:id="rId3" w:type="default"/>
          <w:footerReference r:id="rId4" w:type="even"/>
          <w:pgSz w:w="11906" w:h="16838"/>
          <w:pgMar w:top="2098" w:right="1474" w:bottom="1985" w:left="1588" w:header="851" w:footer="1276" w:gutter="0"/>
          <w:cols w:space="720" w:num="1"/>
          <w:docGrid w:type="lines" w:linePitch="435"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2021年9月2</w:t>
      </w:r>
      <w:r>
        <w:rPr>
          <w:rFonts w:hint="eastAsia" w:ascii="Times New Roman" w:hAnsi="Times New Roman" w:eastAsia="仿宋_GB2312" w:cs="Times New Roman"/>
          <w:sz w:val="32"/>
          <w:szCs w:val="32"/>
          <w:lang w:val="en-US" w:eastAsia="zh-CN"/>
        </w:rPr>
        <w:t>6日</w:t>
      </w:r>
    </w:p>
    <w:p>
      <w:pPr>
        <w:pStyle w:val="2"/>
        <w:rPr>
          <w:rFonts w:hint="default" w:ascii="Times New Roman" w:hAnsi="Times New Roman" w:eastAsia="黑体" w:cs="Times New Roman"/>
          <w:sz w:val="32"/>
          <w:szCs w:val="32"/>
        </w:rPr>
      </w:pPr>
      <w:r>
        <w:rPr>
          <w:rFonts w:hint="default" w:ascii="Times New Roman" w:hAnsi="Times New Roman" w:eastAsia="黑体" w:cs="Times New Roman"/>
          <w:kern w:val="2"/>
          <w:sz w:val="32"/>
          <w:szCs w:val="32"/>
        </w:rPr>
        <w:t>附件1</w:t>
      </w:r>
    </w:p>
    <w:p>
      <w:pPr>
        <w:pStyle w:val="4"/>
        <w:jc w:val="center"/>
        <w:rPr>
          <w:rFonts w:hint="default" w:ascii="Times New Roman" w:hAnsi="Times New Roman" w:eastAsia="仿宋_GB2312" w:cs="Times New Roman"/>
          <w:color w:val="000000"/>
          <w:kern w:val="0"/>
          <w:lang w:val="en-US"/>
        </w:rPr>
      </w:pPr>
      <w:r>
        <w:rPr>
          <w:rFonts w:hint="default" w:ascii="Times New Roman" w:hAnsi="Times New Roman" w:cs="Times New Roman"/>
        </w:rPr>
        <mc:AlternateContent>
          <mc:Choice Requires="wps">
            <w:drawing>
              <wp:anchor distT="0" distB="0" distL="114300" distR="114300" simplePos="0" relativeHeight="251659264" behindDoc="1" locked="0" layoutInCell="1" allowOverlap="1">
                <wp:simplePos x="0" y="0"/>
                <wp:positionH relativeFrom="page">
                  <wp:posOffset>976630</wp:posOffset>
                </wp:positionH>
                <wp:positionV relativeFrom="page">
                  <wp:posOffset>1863725</wp:posOffset>
                </wp:positionV>
                <wp:extent cx="5332730" cy="7398385"/>
                <wp:effectExtent l="0" t="0" r="0" b="0"/>
                <wp:wrapThrough wrapText="bothSides">
                  <wp:wrapPolygon>
                    <wp:start x="0" y="0"/>
                    <wp:lineTo x="21600" y="0"/>
                    <wp:lineTo x="21600" y="21600"/>
                    <wp:lineTo x="0" y="21600"/>
                    <wp:lineTo x="0" y="0"/>
                  </wp:wrapPolygon>
                </wp:wrapThrough>
                <wp:docPr id="5" name="文本框 5"/>
                <wp:cNvGraphicFramePr/>
                <a:graphic xmlns:a="http://schemas.openxmlformats.org/drawingml/2006/main">
                  <a:graphicData uri="http://schemas.microsoft.com/office/word/2010/wordprocessingShape">
                    <wps:wsp>
                      <wps:cNvSpPr txBox="true"/>
                      <wps:spPr>
                        <a:xfrm>
                          <a:off x="0" y="0"/>
                          <a:ext cx="5332730" cy="7398385"/>
                        </a:xfrm>
                        <a:prstGeom prst="rect">
                          <a:avLst/>
                        </a:prstGeom>
                        <a:noFill/>
                        <a:ln>
                          <a:noFill/>
                        </a:ln>
                        <a:effectLst/>
                      </wps:spPr>
                      <wps:txbx>
                        <w:txbxContent>
                          <w:tbl>
                            <w:tblPr>
                              <w:tblStyle w:val="8"/>
                              <w:tblW w:w="8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2231"/>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8383" w:type="dxa"/>
                                  <w:gridSpan w:val="6"/>
                                </w:tcPr>
                                <w:p>
                                  <w:pPr>
                                    <w:pStyle w:val="15"/>
                                    <w:spacing w:before="32"/>
                                    <w:ind w:left="3621" w:right="3611"/>
                                    <w:jc w:val="center"/>
                                    <w:rPr>
                                      <w:rFonts w:ascii="黑体" w:eastAsia="黑体"/>
                                      <w:sz w:val="22"/>
                                    </w:rPr>
                                  </w:pPr>
                                  <w:r>
                                    <w:rPr>
                                      <w:rFonts w:hint="eastAsia" w:ascii="黑体" w:eastAsia="黑体"/>
                                      <w:sz w:val="22"/>
                                    </w:rPr>
                                    <w:t>一、鼓励类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18"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序号</w:t>
                                  </w:r>
                                </w:p>
                              </w:tc>
                              <w:tc>
                                <w:tcPr>
                                  <w:tcW w:w="999"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目录类别</w:t>
                                  </w:r>
                                </w:p>
                              </w:tc>
                              <w:tc>
                                <w:tcPr>
                                  <w:tcW w:w="912"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三大产业领域</w:t>
                                  </w:r>
                                </w:p>
                              </w:tc>
                              <w:tc>
                                <w:tcPr>
                                  <w:tcW w:w="1030"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产业大类</w:t>
                                  </w:r>
                                </w:p>
                              </w:tc>
                              <w:tc>
                                <w:tcPr>
                                  <w:tcW w:w="2231"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产业中类</w:t>
                                  </w:r>
                                </w:p>
                              </w:tc>
                              <w:tc>
                                <w:tcPr>
                                  <w:tcW w:w="2493"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细分行业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1</w:t>
                                  </w:r>
                                </w:p>
                              </w:tc>
                              <w:tc>
                                <w:tcPr>
                                  <w:tcW w:w="999" w:type="dxa"/>
                                  <w:vMerge w:val="restart"/>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温州市重点发展产业指导目录（2018 年本）</w:t>
                                  </w:r>
                                </w:p>
                              </w:tc>
                              <w:tc>
                                <w:tcPr>
                                  <w:tcW w:w="912" w:type="dxa"/>
                                  <w:vMerge w:val="restart"/>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一、战略性新兴产业培育工程</w:t>
                                  </w:r>
                                </w:p>
                              </w:tc>
                              <w:tc>
                                <w:tcPr>
                                  <w:tcW w:w="1030" w:type="dxa"/>
                                  <w:vMerge w:val="restart"/>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（一）新一代信息技术产业</w:t>
                                  </w: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2.集成电路</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集成电路芯片设计、制造、封测</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集成电路芯片产品</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集成电路设备</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2</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3.新型电子元器件</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新型电子元器件</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新型电子元器件材料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9"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3</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4.新型显示器件</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低温多晶硅（LTPS）/ 氧化物（Oxide）液晶显示器（TFT-LCD）面板产品新型显示材料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4</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5.电子应用设备</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电子专用设备仪器</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其他高端电子应用产品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5</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卫星定位系统及设备</w:t>
                                  </w: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（新增）</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北斗全球定位系统（GPS 终端与设备，卫星导航芯片、终端设备、电子地图）</w:t>
                                  </w:r>
                                </w:p>
                              </w:tc>
                            </w:tr>
                          </w:tbl>
                          <w:p>
                            <w:pPr>
                              <w:pStyle w:val="4"/>
                              <w:rPr>
                                <w:rFonts w:ascii="仿宋" w:hAnsi="仿宋" w:eastAsia="仿宋" w:cs="仿宋"/>
                              </w:rPr>
                            </w:pPr>
                          </w:p>
                        </w:txbxContent>
                      </wps:txbx>
                      <wps:bodyPr lIns="0" tIns="0" rIns="0" bIns="0" upright="true"/>
                    </wps:wsp>
                  </a:graphicData>
                </a:graphic>
              </wp:anchor>
            </w:drawing>
          </mc:Choice>
          <mc:Fallback>
            <w:pict>
              <v:shape id="_x0000_s1026" o:spid="_x0000_s1026" o:spt="202" type="#_x0000_t202" style="position:absolute;left:0pt;margin-left:76.9pt;margin-top:146.75pt;height:582.55pt;width:419.9pt;mso-position-horizontal-relative:page;mso-position-vertical-relative:page;mso-wrap-distance-left:9pt;mso-wrap-distance-right:9pt;z-index:-251657216;mso-width-relative:page;mso-height-relative:page;" filled="f" stroked="f" coordsize="21600,21600" wrapcoords="0 0 21600 0 21600 21600 0 21600 0 0" o:gfxdata="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EuecrLaAAAADAEAAA8AAAAAAAAAAQAgAAAAOAAAAGRycy9kb3ducmV2Lnht&#10;bFBLAQIUABQAAAAIAIdO4kALvbExqAEAADkDAAAOAAAAAAAAAAEAIAAAAD8BAABkcnMvZTJvRG9j&#10;LnhtbFBLBQYAAAAABgAGAFkBAABZBQAAAAA=&#10;">
                <v:fill on="f" focussize="0,0"/>
                <v:stroke on="f"/>
                <v:imagedata o:title=""/>
                <o:lock v:ext="edit" aspectratio="f"/>
                <v:textbox inset="0mm,0mm,0mm,0mm">
                  <w:txbxContent>
                    <w:tbl>
                      <w:tblPr>
                        <w:tblStyle w:val="8"/>
                        <w:tblW w:w="8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2231"/>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8383" w:type="dxa"/>
                            <w:gridSpan w:val="6"/>
                          </w:tcPr>
                          <w:p>
                            <w:pPr>
                              <w:pStyle w:val="15"/>
                              <w:spacing w:before="32"/>
                              <w:ind w:left="3621" w:right="3611"/>
                              <w:jc w:val="center"/>
                              <w:rPr>
                                <w:rFonts w:ascii="黑体" w:eastAsia="黑体"/>
                                <w:sz w:val="22"/>
                              </w:rPr>
                            </w:pPr>
                            <w:r>
                              <w:rPr>
                                <w:rFonts w:hint="eastAsia" w:ascii="黑体" w:eastAsia="黑体"/>
                                <w:sz w:val="22"/>
                              </w:rPr>
                              <w:t>一、鼓励类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18"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序号</w:t>
                            </w:r>
                          </w:p>
                        </w:tc>
                        <w:tc>
                          <w:tcPr>
                            <w:tcW w:w="999"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目录类别</w:t>
                            </w:r>
                          </w:p>
                        </w:tc>
                        <w:tc>
                          <w:tcPr>
                            <w:tcW w:w="912"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三大产业领域</w:t>
                            </w:r>
                          </w:p>
                        </w:tc>
                        <w:tc>
                          <w:tcPr>
                            <w:tcW w:w="1030"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产业大类</w:t>
                            </w:r>
                          </w:p>
                        </w:tc>
                        <w:tc>
                          <w:tcPr>
                            <w:tcW w:w="2231"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产业中类</w:t>
                            </w:r>
                          </w:p>
                        </w:tc>
                        <w:tc>
                          <w:tcPr>
                            <w:tcW w:w="2493" w:type="dxa"/>
                            <w:vAlign w:val="center"/>
                          </w:tcPr>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细分行业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1</w:t>
                            </w:r>
                          </w:p>
                        </w:tc>
                        <w:tc>
                          <w:tcPr>
                            <w:tcW w:w="999" w:type="dxa"/>
                            <w:vMerge w:val="restart"/>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温州市重点发展产业指导目录（2018 年本）</w:t>
                            </w:r>
                          </w:p>
                        </w:tc>
                        <w:tc>
                          <w:tcPr>
                            <w:tcW w:w="912" w:type="dxa"/>
                            <w:vMerge w:val="restart"/>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一、战略性新兴产业培育工程</w:t>
                            </w:r>
                          </w:p>
                        </w:tc>
                        <w:tc>
                          <w:tcPr>
                            <w:tcW w:w="1030" w:type="dxa"/>
                            <w:vMerge w:val="restart"/>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（一）新一代信息技术产业</w:t>
                            </w: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2.集成电路</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集成电路芯片设计、制造、封测</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集成电路芯片产品</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集成电路设备</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集成电路材料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2</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3.新型电子元器件</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新型电子元器件</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新型电子元器件材料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9"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3</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4.新型显示器件</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低温多晶硅（LTPS）/ 氧化物（Oxide）液晶显示器（TFT-LCD）面板产品新型显示材料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1"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4</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5.电子应用设备</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电子专用设备仪器</w:t>
                            </w: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其他高端电子应用产品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718" w:type="dxa"/>
                          </w:tcPr>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5</w:t>
                            </w:r>
                          </w:p>
                        </w:tc>
                        <w:tc>
                          <w:tcPr>
                            <w:tcW w:w="999"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912"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1030" w:type="dxa"/>
                            <w:vMerge w:val="continue"/>
                            <w:tcBorders>
                              <w:top w:val="nil"/>
                            </w:tcBorders>
                            <w:vAlign w:val="center"/>
                          </w:tcPr>
                          <w:p>
                            <w:pPr>
                              <w:pStyle w:val="15"/>
                              <w:spacing w:line="266" w:lineRule="auto"/>
                              <w:ind w:left="28" w:right="17"/>
                              <w:jc w:val="center"/>
                              <w:rPr>
                                <w:rFonts w:ascii="仿宋" w:hAnsi="仿宋" w:eastAsia="仿宋" w:cs="仿宋"/>
                                <w:color w:val="000000"/>
                                <w:kern w:val="0"/>
                                <w:sz w:val="22"/>
                                <w:szCs w:val="22"/>
                                <w:lang w:val="en-US" w:bidi="ar-SA"/>
                              </w:rPr>
                            </w:pPr>
                          </w:p>
                        </w:tc>
                        <w:tc>
                          <w:tcPr>
                            <w:tcW w:w="2231" w:type="dxa"/>
                            <w:vAlign w:val="center"/>
                          </w:tcPr>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卫星定位系统及设备</w:t>
                            </w:r>
                          </w:p>
                          <w:p>
                            <w:pPr>
                              <w:pStyle w:val="15"/>
                              <w:spacing w:line="266" w:lineRule="auto"/>
                              <w:ind w:left="28"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（新增）</w:t>
                            </w:r>
                          </w:p>
                        </w:tc>
                        <w:tc>
                          <w:tcPr>
                            <w:tcW w:w="2493" w:type="dxa"/>
                          </w:tcPr>
                          <w:p>
                            <w:pPr>
                              <w:pStyle w:val="15"/>
                              <w:spacing w:line="266" w:lineRule="auto"/>
                              <w:ind w:right="17"/>
                              <w:jc w:val="center"/>
                              <w:rPr>
                                <w:rFonts w:ascii="仿宋" w:hAnsi="仿宋" w:eastAsia="仿宋" w:cs="仿宋"/>
                                <w:color w:val="000000"/>
                                <w:kern w:val="0"/>
                                <w:sz w:val="22"/>
                                <w:szCs w:val="22"/>
                                <w:lang w:val="en-US" w:bidi="ar-SA"/>
                              </w:rPr>
                            </w:pPr>
                          </w:p>
                          <w:p>
                            <w:pPr>
                              <w:pStyle w:val="15"/>
                              <w:spacing w:line="266" w:lineRule="auto"/>
                              <w:ind w:right="17"/>
                              <w:jc w:val="center"/>
                              <w:rPr>
                                <w:rFonts w:ascii="仿宋" w:hAnsi="仿宋" w:eastAsia="仿宋" w:cs="仿宋"/>
                                <w:color w:val="000000"/>
                                <w:kern w:val="0"/>
                                <w:sz w:val="22"/>
                                <w:szCs w:val="22"/>
                                <w:lang w:val="en-US" w:bidi="ar-SA"/>
                              </w:rPr>
                            </w:pPr>
                            <w:r>
                              <w:rPr>
                                <w:rFonts w:hint="eastAsia" w:ascii="仿宋" w:hAnsi="仿宋" w:eastAsia="仿宋" w:cs="仿宋"/>
                                <w:color w:val="000000"/>
                                <w:kern w:val="0"/>
                                <w:sz w:val="22"/>
                                <w:szCs w:val="22"/>
                                <w:lang w:val="en-US" w:bidi="ar-SA"/>
                              </w:rPr>
                              <w:t>北斗全球定位系统（GPS 终端与设备，卫星导航芯片、终端设备、电子地图）</w:t>
                            </w:r>
                          </w:p>
                        </w:tc>
                      </w:tr>
                    </w:tbl>
                    <w:p>
                      <w:pPr>
                        <w:pStyle w:val="4"/>
                        <w:rPr>
                          <w:rFonts w:ascii="仿宋" w:hAnsi="仿宋" w:eastAsia="仿宋" w:cs="仿宋"/>
                        </w:rPr>
                      </w:pPr>
                    </w:p>
                  </w:txbxContent>
                </v:textbox>
                <w10:wrap type="through"/>
              </v:shape>
            </w:pict>
          </mc:Fallback>
        </mc:AlternateContent>
      </w:r>
      <w:r>
        <w:rPr>
          <w:rFonts w:hint="default" w:ascii="Times New Roman" w:hAnsi="Times New Roman" w:eastAsia="仿宋_GB2312" w:cs="Times New Roman"/>
          <w:color w:val="000000"/>
          <w:kern w:val="0"/>
          <w:lang w:val="en-US"/>
        </w:rPr>
        <w:t>浙南产业集聚区产业准入指导目录</w:t>
      </w: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pStyle w:val="4"/>
        <w:rPr>
          <w:rFonts w:hint="default" w:ascii="Times New Roman" w:hAnsi="Times New Roman" w:cs="Times New Roman"/>
          <w:sz w:val="42"/>
        </w:rPr>
      </w:pPr>
    </w:p>
    <w:p>
      <w:pPr>
        <w:ind w:right="505"/>
        <w:rPr>
          <w:rFonts w:hint="default" w:ascii="Times New Roman" w:hAnsi="Times New Roman" w:cs="Times New Roman"/>
          <w:sz w:val="22"/>
        </w:rPr>
        <w:sectPr>
          <w:footerReference r:id="rId5" w:type="default"/>
          <w:footerReference r:id="rId6" w:type="even"/>
          <w:pgSz w:w="11910" w:h="16840"/>
          <w:pgMar w:top="1701" w:right="1474" w:bottom="1701" w:left="1474" w:header="720" w:footer="1474" w:gutter="0"/>
          <w:pgNumType w:start="21"/>
          <w:cols w:space="0" w:num="1"/>
          <w:rtlGutter w:val="0"/>
          <w:docGrid w:linePitch="0" w:charSpace="0"/>
        </w:sectPr>
      </w:pPr>
    </w:p>
    <w:tbl>
      <w:tblPr>
        <w:tblStyle w:val="8"/>
        <w:tblW w:w="8383"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2231"/>
        <w:gridCol w:w="2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18" w:type="dxa"/>
          </w:tcPr>
          <w:p>
            <w:pPr>
              <w:pStyle w:val="15"/>
              <w:spacing w:before="186"/>
              <w:ind w:left="120" w:right="108"/>
              <w:jc w:val="center"/>
              <w:rPr>
                <w:rFonts w:hint="default" w:ascii="Times New Roman" w:hAnsi="Times New Roman" w:eastAsia="仿宋" w:cs="Times New Roman"/>
                <w:sz w:val="22"/>
              </w:rPr>
            </w:pPr>
            <w:r>
              <w:rPr>
                <w:rFonts w:hint="default" w:ascii="Times New Roman" w:hAnsi="Times New Roman" w:eastAsia="仿宋" w:cs="Times New Roman"/>
                <w:sz w:val="22"/>
              </w:rPr>
              <w:t>序号</w:t>
            </w:r>
          </w:p>
        </w:tc>
        <w:tc>
          <w:tcPr>
            <w:tcW w:w="999" w:type="dxa"/>
          </w:tcPr>
          <w:p>
            <w:pPr>
              <w:pStyle w:val="15"/>
              <w:spacing w:before="186"/>
              <w:ind w:left="59"/>
              <w:rPr>
                <w:rFonts w:hint="default" w:ascii="Times New Roman" w:hAnsi="Times New Roman" w:eastAsia="仿宋" w:cs="Times New Roman"/>
                <w:sz w:val="22"/>
              </w:rPr>
            </w:pPr>
            <w:r>
              <w:rPr>
                <w:rFonts w:hint="default" w:ascii="Times New Roman" w:hAnsi="Times New Roman" w:eastAsia="仿宋" w:cs="Times New Roman"/>
                <w:sz w:val="22"/>
              </w:rPr>
              <w:t>目录类别</w:t>
            </w:r>
          </w:p>
        </w:tc>
        <w:tc>
          <w:tcPr>
            <w:tcW w:w="912" w:type="dxa"/>
          </w:tcPr>
          <w:p>
            <w:pPr>
              <w:pStyle w:val="15"/>
              <w:spacing w:before="2" w:line="310" w:lineRule="atLeast"/>
              <w:ind w:left="236" w:right="3" w:hanging="221"/>
              <w:rPr>
                <w:rFonts w:hint="default" w:ascii="Times New Roman" w:hAnsi="Times New Roman" w:eastAsia="仿宋" w:cs="Times New Roman"/>
                <w:sz w:val="22"/>
              </w:rPr>
            </w:pPr>
            <w:r>
              <w:rPr>
                <w:rFonts w:hint="default" w:ascii="Times New Roman" w:hAnsi="Times New Roman" w:eastAsia="仿宋" w:cs="Times New Roman"/>
                <w:sz w:val="22"/>
              </w:rPr>
              <w:t>三大产业领域</w:t>
            </w:r>
          </w:p>
        </w:tc>
        <w:tc>
          <w:tcPr>
            <w:tcW w:w="1030" w:type="dxa"/>
          </w:tcPr>
          <w:p>
            <w:pPr>
              <w:pStyle w:val="15"/>
              <w:spacing w:before="186"/>
              <w:ind w:left="75"/>
              <w:rPr>
                <w:rFonts w:hint="default" w:ascii="Times New Roman" w:hAnsi="Times New Roman" w:eastAsia="仿宋" w:cs="Times New Roman"/>
                <w:sz w:val="22"/>
              </w:rPr>
            </w:pPr>
            <w:r>
              <w:rPr>
                <w:rFonts w:hint="default" w:ascii="Times New Roman" w:hAnsi="Times New Roman" w:eastAsia="仿宋" w:cs="Times New Roman"/>
                <w:sz w:val="22"/>
              </w:rPr>
              <w:t>产业大类</w:t>
            </w:r>
          </w:p>
        </w:tc>
        <w:tc>
          <w:tcPr>
            <w:tcW w:w="2231" w:type="dxa"/>
          </w:tcPr>
          <w:p>
            <w:pPr>
              <w:pStyle w:val="15"/>
              <w:spacing w:before="186"/>
              <w:ind w:left="675"/>
              <w:rPr>
                <w:rFonts w:hint="default" w:ascii="Times New Roman" w:hAnsi="Times New Roman" w:eastAsia="仿宋" w:cs="Times New Roman"/>
                <w:sz w:val="22"/>
              </w:rPr>
            </w:pPr>
            <w:r>
              <w:rPr>
                <w:rFonts w:hint="default" w:ascii="Times New Roman" w:hAnsi="Times New Roman" w:eastAsia="仿宋" w:cs="Times New Roman"/>
                <w:sz w:val="22"/>
              </w:rPr>
              <w:t>产业中类</w:t>
            </w:r>
          </w:p>
        </w:tc>
        <w:tc>
          <w:tcPr>
            <w:tcW w:w="2493" w:type="dxa"/>
          </w:tcPr>
          <w:p>
            <w:pPr>
              <w:pStyle w:val="15"/>
              <w:spacing w:before="186"/>
              <w:ind w:left="805"/>
              <w:rPr>
                <w:rFonts w:hint="default" w:ascii="Times New Roman" w:hAnsi="Times New Roman" w:eastAsia="仿宋" w:cs="Times New Roman"/>
                <w:sz w:val="22"/>
              </w:rPr>
            </w:pPr>
            <w:r>
              <w:rPr>
                <w:rFonts w:hint="default" w:ascii="Times New Roman" w:hAnsi="Times New Roman" w:eastAsia="仿宋" w:cs="Times New Roman"/>
                <w:sz w:val="22"/>
              </w:rPr>
              <w:t>细分行业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0"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6</w:t>
            </w:r>
          </w:p>
        </w:tc>
        <w:tc>
          <w:tcPr>
            <w:tcW w:w="999"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温州市重点发展产业指导目录（2018 年本）</w:t>
            </w:r>
          </w:p>
        </w:tc>
        <w:tc>
          <w:tcPr>
            <w:tcW w:w="912"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一、战略性新兴产业培育工程</w:t>
            </w: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（一）新一代信息技术产业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智能终端设备（新增）</w:t>
            </w:r>
          </w:p>
        </w:tc>
        <w:tc>
          <w:tcPr>
            <w:tcW w:w="2493"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智能安防、智能无人系统、可穿戴设</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备、智能通信终端、智能</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仪表、智能家居等智能终端设备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7</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（二）高端装备制造产业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3.智能制造装备</w:t>
            </w:r>
          </w:p>
        </w:tc>
        <w:tc>
          <w:tcPr>
            <w:tcW w:w="2493"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智能加工装备</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高性能增材制造装备</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智能检测装配设备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2"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8</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4.其他高端装备</w:t>
            </w:r>
          </w:p>
        </w:tc>
        <w:tc>
          <w:tcPr>
            <w:tcW w:w="2493"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高性能建材装备与工程施工装备，大型环保、节能及资源综合利用设备，海洋工程装备，现代物流装备，高档数控机床，自动化专用生产设备等重大成套高端装备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9</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（三）新材料产业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1.先进高分子材料</w:t>
            </w:r>
          </w:p>
        </w:tc>
        <w:tc>
          <w:tcPr>
            <w:tcW w:w="2493"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1.1 聚氨酯材料</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1.2 工程塑料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4"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10</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2.高端金属及功能材料</w:t>
            </w:r>
          </w:p>
        </w:tc>
        <w:tc>
          <w:tcPr>
            <w:tcW w:w="2493"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高品质特殊钢</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高端金属材料</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硬质合金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11</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3.其他先进新材料</w:t>
            </w:r>
          </w:p>
        </w:tc>
        <w:tc>
          <w:tcPr>
            <w:tcW w:w="2493"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碳纤维、石墨烯、纳米及生物基材料、增材制造（3D 打印）材料、超导材料等新材料。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5"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12</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（五）新能源和智能网联汽车产业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1.新能源汽车整车</w:t>
            </w:r>
          </w:p>
        </w:tc>
        <w:tc>
          <w:tcPr>
            <w:tcW w:w="2493"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新能源商用车、专用车等整车制造</w:t>
            </w:r>
          </w:p>
        </w:tc>
      </w:tr>
    </w:tbl>
    <w:p>
      <w:pPr>
        <w:pStyle w:val="15"/>
        <w:spacing w:line="266" w:lineRule="auto"/>
        <w:ind w:left="28" w:right="17"/>
        <w:rPr>
          <w:rFonts w:hint="default" w:ascii="Times New Roman" w:hAnsi="Times New Roman" w:eastAsia="仿宋" w:cs="Times New Roman"/>
          <w:color w:val="000000"/>
          <w:kern w:val="0"/>
          <w:sz w:val="22"/>
          <w:szCs w:val="22"/>
          <w:lang w:val="en-US" w:bidi="ar-SA"/>
        </w:rPr>
        <w:sectPr>
          <w:pgSz w:w="11910" w:h="16840"/>
          <w:pgMar w:top="2098" w:right="1474" w:bottom="1984" w:left="1587" w:header="0" w:footer="1474" w:gutter="0"/>
          <w:cols w:space="720" w:num="1"/>
        </w:sectPr>
      </w:pPr>
    </w:p>
    <w:tbl>
      <w:tblPr>
        <w:tblStyle w:val="8"/>
        <w:tblW w:w="882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2231"/>
        <w:gridCol w:w="2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718" w:type="dxa"/>
            <w:vAlign w:val="center"/>
          </w:tcPr>
          <w:p>
            <w:pPr>
              <w:pStyle w:val="15"/>
              <w:spacing w:before="2" w:line="310" w:lineRule="atLeast"/>
              <w:ind w:left="236" w:right="3" w:hanging="221"/>
              <w:jc w:val="center"/>
              <w:rPr>
                <w:rFonts w:hint="default" w:ascii="Times New Roman" w:hAnsi="Times New Roman" w:eastAsia="仿宋" w:cs="Times New Roman"/>
                <w:sz w:val="22"/>
                <w:lang w:val="en-US"/>
              </w:rPr>
            </w:pPr>
            <w:r>
              <w:rPr>
                <w:rFonts w:hint="default" w:ascii="Times New Roman" w:hAnsi="Times New Roman" w:eastAsia="仿宋" w:cs="Times New Roman"/>
                <w:sz w:val="22"/>
                <w:lang w:val="en-US"/>
              </w:rPr>
              <w:t>序号</w:t>
            </w:r>
          </w:p>
        </w:tc>
        <w:tc>
          <w:tcPr>
            <w:tcW w:w="999" w:type="dxa"/>
            <w:vAlign w:val="center"/>
          </w:tcPr>
          <w:p>
            <w:pPr>
              <w:pStyle w:val="15"/>
              <w:spacing w:before="2" w:line="310" w:lineRule="atLeast"/>
              <w:ind w:right="3"/>
              <w:jc w:val="center"/>
              <w:rPr>
                <w:rFonts w:hint="default" w:ascii="Times New Roman" w:hAnsi="Times New Roman" w:eastAsia="仿宋" w:cs="Times New Roman"/>
                <w:sz w:val="22"/>
                <w:lang w:val="en-US"/>
              </w:rPr>
            </w:pPr>
            <w:r>
              <w:rPr>
                <w:rFonts w:hint="default" w:ascii="Times New Roman" w:hAnsi="Times New Roman" w:eastAsia="仿宋" w:cs="Times New Roman"/>
                <w:sz w:val="22"/>
                <w:lang w:val="en-US"/>
              </w:rPr>
              <w:t>目录类别</w:t>
            </w:r>
          </w:p>
        </w:tc>
        <w:tc>
          <w:tcPr>
            <w:tcW w:w="912" w:type="dxa"/>
            <w:vAlign w:val="center"/>
          </w:tcPr>
          <w:p>
            <w:pPr>
              <w:pStyle w:val="15"/>
              <w:spacing w:before="2" w:line="310" w:lineRule="atLeast"/>
              <w:ind w:right="3"/>
              <w:jc w:val="center"/>
              <w:rPr>
                <w:rFonts w:hint="default" w:ascii="Times New Roman" w:hAnsi="Times New Roman" w:eastAsia="仿宋" w:cs="Times New Roman"/>
                <w:sz w:val="22"/>
                <w:lang w:val="en-US"/>
              </w:rPr>
            </w:pPr>
            <w:r>
              <w:rPr>
                <w:rFonts w:hint="default" w:ascii="Times New Roman" w:hAnsi="Times New Roman" w:eastAsia="仿宋" w:cs="Times New Roman"/>
                <w:sz w:val="22"/>
                <w:lang w:val="en-US"/>
              </w:rPr>
              <w:t>三大产业领域</w:t>
            </w:r>
          </w:p>
        </w:tc>
        <w:tc>
          <w:tcPr>
            <w:tcW w:w="1030" w:type="dxa"/>
            <w:vAlign w:val="center"/>
          </w:tcPr>
          <w:p>
            <w:pPr>
              <w:pStyle w:val="15"/>
              <w:spacing w:before="2" w:line="310" w:lineRule="atLeast"/>
              <w:ind w:right="3"/>
              <w:jc w:val="center"/>
              <w:rPr>
                <w:rFonts w:hint="default" w:ascii="Times New Roman" w:hAnsi="Times New Roman" w:eastAsia="仿宋" w:cs="Times New Roman"/>
                <w:sz w:val="22"/>
                <w:lang w:val="en-US"/>
              </w:rPr>
            </w:pPr>
            <w:r>
              <w:rPr>
                <w:rFonts w:hint="default" w:ascii="Times New Roman" w:hAnsi="Times New Roman" w:eastAsia="仿宋" w:cs="Times New Roman"/>
                <w:sz w:val="22"/>
                <w:lang w:val="en-US"/>
              </w:rPr>
              <w:t>产业大类</w:t>
            </w:r>
          </w:p>
        </w:tc>
        <w:tc>
          <w:tcPr>
            <w:tcW w:w="2231" w:type="dxa"/>
            <w:vAlign w:val="center"/>
          </w:tcPr>
          <w:p>
            <w:pPr>
              <w:pStyle w:val="15"/>
              <w:spacing w:before="2" w:line="310" w:lineRule="atLeast"/>
              <w:ind w:right="3"/>
              <w:jc w:val="center"/>
              <w:rPr>
                <w:rFonts w:hint="default" w:ascii="Times New Roman" w:hAnsi="Times New Roman" w:eastAsia="仿宋" w:cs="Times New Roman"/>
                <w:sz w:val="22"/>
                <w:lang w:val="en-US"/>
              </w:rPr>
            </w:pPr>
            <w:r>
              <w:rPr>
                <w:rFonts w:hint="default" w:ascii="Times New Roman" w:hAnsi="Times New Roman" w:eastAsia="仿宋" w:cs="Times New Roman"/>
                <w:sz w:val="22"/>
                <w:lang w:val="en-US"/>
              </w:rPr>
              <w:t>产业中类</w:t>
            </w:r>
          </w:p>
        </w:tc>
        <w:tc>
          <w:tcPr>
            <w:tcW w:w="2930" w:type="dxa"/>
            <w:vAlign w:val="center"/>
          </w:tcPr>
          <w:p>
            <w:pPr>
              <w:pStyle w:val="15"/>
              <w:spacing w:before="2" w:line="310" w:lineRule="atLeast"/>
              <w:ind w:right="3"/>
              <w:jc w:val="center"/>
              <w:rPr>
                <w:rFonts w:hint="default" w:ascii="Times New Roman" w:hAnsi="Times New Roman" w:eastAsia="仿宋" w:cs="Times New Roman"/>
                <w:sz w:val="22"/>
                <w:lang w:val="en-US"/>
              </w:rPr>
            </w:pPr>
            <w:r>
              <w:rPr>
                <w:rFonts w:hint="default" w:ascii="Times New Roman" w:hAnsi="Times New Roman" w:eastAsia="仿宋" w:cs="Times New Roman"/>
                <w:sz w:val="22"/>
                <w:lang w:val="en-US"/>
              </w:rPr>
              <w:t>细分行业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13</w:t>
            </w:r>
          </w:p>
        </w:tc>
        <w:tc>
          <w:tcPr>
            <w:tcW w:w="999"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温州市重点发展产业指导目录（2018 年本）</w:t>
            </w:r>
          </w:p>
        </w:tc>
        <w:tc>
          <w:tcPr>
            <w:tcW w:w="912"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一、战略性新兴产业培育工程</w:t>
            </w: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（五）新能源和智能网联汽车产业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2.新能源汽车关键部件</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新能源汽车关键部件总成</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新能源汽车电动附件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14</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（六）激光与光电产业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1.激光器件与设备</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激光器件</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激光加工设备</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其他激光应用设备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78"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15</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二、传统优势产业提质工程</w:t>
            </w: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（一）电气机械及器材制造业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1.智能中低压电气设备及技术</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智能中低压设备、中低压电气新技术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16</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2.智能高压电气设备及技术</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高压电气关键设备与器件、组合电器和成套电器、高压电气新技术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17</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3.智能电网设备及技术</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智能电网先进电力电子装置</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智能输配电及控制设备</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智能电网新技术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18</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(四）汽摩配制造业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汽车总成及关键零部件</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汽车电控系统及关键零部件</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汽摩配智能生产设备</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1"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19</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（五）泵阀制造业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1.高端泵阀</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1.4 泵阀系统流程装备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8"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（六）专用设备制造业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食品制药机械</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金融机具机械</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其他机械装备</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21</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三、现代服务业发展工程</w:t>
            </w: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（一）信息服务业</w:t>
            </w: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1.新兴软件及服务</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云计算软件及服务工业软件</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1.5 智能制造技术服务</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1.7 信息安全产品与服务等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22</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231"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4.电子商务</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跨境电子商务</w:t>
            </w:r>
          </w:p>
        </w:tc>
      </w:tr>
    </w:tbl>
    <w:p>
      <w:pPr>
        <w:pStyle w:val="15"/>
        <w:spacing w:line="266" w:lineRule="auto"/>
        <w:ind w:left="28" w:right="17"/>
        <w:rPr>
          <w:rFonts w:hint="default" w:ascii="Times New Roman" w:hAnsi="Times New Roman" w:eastAsia="仿宋" w:cs="Times New Roman"/>
          <w:color w:val="000000"/>
          <w:kern w:val="0"/>
          <w:sz w:val="22"/>
          <w:szCs w:val="22"/>
          <w:lang w:val="en-US" w:bidi="ar-SA"/>
        </w:rPr>
        <w:sectPr>
          <w:pgSz w:w="11910" w:h="16840"/>
          <w:pgMar w:top="1600" w:right="1420" w:bottom="1660" w:left="1420" w:header="0" w:footer="1474" w:gutter="0"/>
          <w:cols w:space="720" w:num="1"/>
        </w:sectPr>
      </w:pPr>
    </w:p>
    <w:tbl>
      <w:tblPr>
        <w:tblStyle w:val="8"/>
        <w:tblW w:w="882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2999"/>
        <w:gridCol w:w="2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三大产业领域</w:t>
            </w:r>
          </w:p>
        </w:tc>
        <w:tc>
          <w:tcPr>
            <w:tcW w:w="1030"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2999"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产业中类</w:t>
            </w:r>
          </w:p>
        </w:tc>
        <w:tc>
          <w:tcPr>
            <w:tcW w:w="2162"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23</w:t>
            </w:r>
          </w:p>
        </w:tc>
        <w:tc>
          <w:tcPr>
            <w:tcW w:w="999"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温州市重点发展产业指导目录（2018 年本）</w:t>
            </w:r>
          </w:p>
        </w:tc>
        <w:tc>
          <w:tcPr>
            <w:tcW w:w="912"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三、现代服务业发展工程</w:t>
            </w: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（三）现代供应链</w:t>
            </w: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2.制造供应链</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以原辅材料采购和仓储金融质押等功能为核心的第三方供应链物流平台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24</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4.智慧物流</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718" w:type="dxa"/>
            <w:vAlign w:val="center"/>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25</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5.物流先进技术和服务</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冷链技术应用和服务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8820" w:type="dxa"/>
            <w:gridSpan w:val="6"/>
          </w:tcPr>
          <w:p>
            <w:pPr>
              <w:pStyle w:val="15"/>
              <w:spacing w:before="156"/>
              <w:ind w:left="3840" w:right="3830"/>
              <w:jc w:val="center"/>
              <w:rPr>
                <w:rFonts w:hint="default" w:ascii="Times New Roman" w:hAnsi="Times New Roman" w:eastAsia="黑体" w:cs="Times New Roman"/>
                <w:sz w:val="22"/>
              </w:rPr>
            </w:pPr>
            <w:r>
              <w:rPr>
                <w:rFonts w:hint="default" w:ascii="Times New Roman" w:hAnsi="Times New Roman" w:eastAsia="黑体" w:cs="Times New Roman"/>
                <w:sz w:val="22"/>
              </w:rPr>
              <w:t>二、限制类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718"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限制范围</w:t>
            </w:r>
          </w:p>
        </w:tc>
        <w:tc>
          <w:tcPr>
            <w:tcW w:w="1030"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2999"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2162" w:type="dxa"/>
          </w:tcPr>
          <w:p>
            <w:pPr>
              <w:pStyle w:val="15"/>
              <w:spacing w:line="266" w:lineRule="auto"/>
              <w:ind w:left="28"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w:t>
            </w:r>
          </w:p>
        </w:tc>
        <w:tc>
          <w:tcPr>
            <w:tcW w:w="999"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国家产业结构调整指导目录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年本、2013 年修正）</w:t>
            </w:r>
          </w:p>
        </w:tc>
        <w:tc>
          <w:tcPr>
            <w:tcW w:w="912"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与平台定位不符的</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《国家产业结构目录》鼓励类产业</w:t>
            </w: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一、农林业</w:t>
            </w: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5.畜禽标准化规模养殖技术开发与应用</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27.优质高产牧草人工种植与加工</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30.有机废弃物无害化处理及有机肥料产业化技术开发与应用</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三、煤炭</w:t>
            </w: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四、电力</w:t>
            </w: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6.30 万千瓦及以上循环流化床、增压流化床整体煤气化联合循环发电等洁净煤发电</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6</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7.单机 30 万千瓦及以上采用流化床锅炉并利用煤矸石、中煤、煤泥等发电</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7</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五、新能源</w:t>
            </w: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7.农林生物质资源收 集、运输、储存技术开发与设备制造；农林生物质成型燃料加工设 备、锅炉和炉具制造</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8</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8.以畜禽养殖场废弃 物、城市填埋垃圾、工业有机废水等为原料的大型沼气生产成套设备</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7"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9</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2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9.沼气发电机组、沼气净化设备、沼气管道供气、装罐成套设备制造</w:t>
            </w:r>
          </w:p>
        </w:tc>
        <w:tc>
          <w:tcPr>
            <w:tcW w:w="216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bl>
    <w:p>
      <w:pPr>
        <w:pStyle w:val="15"/>
        <w:spacing w:line="266" w:lineRule="auto"/>
        <w:ind w:right="17"/>
        <w:jc w:val="center"/>
        <w:rPr>
          <w:rFonts w:hint="default" w:ascii="Times New Roman" w:hAnsi="Times New Roman" w:eastAsia="仿宋" w:cs="Times New Roman"/>
          <w:color w:val="000000"/>
          <w:kern w:val="0"/>
          <w:sz w:val="22"/>
          <w:szCs w:val="22"/>
          <w:lang w:val="en-US" w:bidi="ar-SA"/>
        </w:rPr>
        <w:sectPr>
          <w:pgSz w:w="11910" w:h="16840"/>
          <w:pgMar w:top="1600" w:right="1420" w:bottom="1660" w:left="1420" w:header="0" w:footer="1474" w:gutter="0"/>
          <w:cols w:space="720" w:num="1"/>
        </w:sectPr>
      </w:pPr>
    </w:p>
    <w:tbl>
      <w:tblPr>
        <w:tblStyle w:val="8"/>
        <w:tblpPr w:leftFromText="180" w:rightFromText="180" w:vertAnchor="text" w:horzAnchor="page" w:tblpX="1467" w:tblpY="113"/>
        <w:tblOverlap w:val="never"/>
        <w:tblW w:w="88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3964"/>
        <w:gridCol w:w="1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2"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限制范围</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3964"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1197"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8"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10</w:t>
            </w:r>
          </w:p>
        </w:tc>
        <w:tc>
          <w:tcPr>
            <w:tcW w:w="999"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国家产业结构调整指导目录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年本、2013 年修正）</w:t>
            </w:r>
          </w:p>
        </w:tc>
        <w:tc>
          <w:tcPr>
            <w:tcW w:w="912"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与平台定位不符的</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《国家产业结构目录》鼓励类产业</w:t>
            </w: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六、核能</w:t>
            </w: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6"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11</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七、石油天然气</w:t>
            </w: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1.常规石油、天然气勘探与开采</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3"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12</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2.页岩气、油页岩、油砂、天然气水合物等非常规资源勘探开发</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13</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八、钢铁</w:t>
            </w: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14</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九、有色金属</w:t>
            </w: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1.有色金属现有矿山接替资源勘探开发，紧缺资源的深部及难采矿床</w:t>
            </w:r>
          </w:p>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开采</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94"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15</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3.高效、节能、低污染规模化再生资源回收与综合利用</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3"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16</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十、黄金</w:t>
            </w: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17</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十一、石化化工</w:t>
            </w: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1.含硫含酸重质、劣质原</w:t>
            </w:r>
          </w:p>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油炼制技术，高标准油品生产技术开发与应用</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7"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18</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2.硫、钾、硼、锂等短缺化工矿产资源勘探开发及综合利用，中低品位磷矿采选与利用，磷矿伴生资源综合利用</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7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19</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3.零极距、氧阴极等离子膜烧碱电解槽节能技术、废盐酸制氯气等综合利用技术、铬盐清洁生产新工艺的开发和应用，气动流化塔生产高锰酸钾，全热能回收热</w:t>
            </w:r>
          </w:p>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法磷酸生产，大型脱氟磷酸钙生产装置</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87"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w:t>
            </w:r>
          </w:p>
        </w:tc>
        <w:tc>
          <w:tcPr>
            <w:tcW w:w="999"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64"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4.20 万吨/年及以上合成气制乙二醇、10 万吨/年及以上离子交换法双酚A、15 万吨/年及以上直接氧化法环氧丙 烷、20万吨/年及以上共氧化法环氧丙烷、5 万吨/年及以上丁二烯法己二腈生产装置，万吨级脂肪族异氰酸酯生产技术开发与应用</w:t>
            </w:r>
          </w:p>
        </w:tc>
        <w:tc>
          <w:tcPr>
            <w:tcW w:w="1197"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bl>
    <w:p>
      <w:pPr>
        <w:pStyle w:val="4"/>
        <w:rPr>
          <w:rFonts w:hint="default" w:ascii="Times New Roman" w:hAnsi="Times New Roman" w:cs="Times New Roman"/>
          <w:sz w:val="22"/>
        </w:rPr>
        <w:sectPr>
          <w:pgSz w:w="11910" w:h="16840"/>
          <w:pgMar w:top="1600" w:right="1420" w:bottom="1660" w:left="1420" w:header="0" w:footer="1474" w:gutter="0"/>
          <w:cols w:space="720" w:num="1"/>
        </w:sectPr>
      </w:pPr>
    </w:p>
    <w:tbl>
      <w:tblPr>
        <w:tblStyle w:val="8"/>
        <w:tblW w:w="882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3959"/>
        <w:gridCol w:w="1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限制范围</w:t>
            </w:r>
          </w:p>
        </w:tc>
        <w:tc>
          <w:tcPr>
            <w:tcW w:w="10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3959"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120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21</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结构调整指导目录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年本、2013</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年修正）</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与平台定</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位不符的</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业结构目录》鼓励</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类产业</w:t>
            </w:r>
          </w:p>
        </w:tc>
        <w:tc>
          <w:tcPr>
            <w:tcW w:w="1030"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十一、石化</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化工</w:t>
            </w:r>
          </w:p>
        </w:tc>
        <w:tc>
          <w:tcPr>
            <w:tcW w:w="3959" w:type="dxa"/>
            <w:vAlign w:val="center"/>
          </w:tcPr>
          <w:p>
            <w:pPr>
              <w:pStyle w:val="15"/>
              <w:spacing w:line="266" w:lineRule="auto"/>
              <w:ind w:right="17"/>
              <w:jc w:val="left"/>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5.优质钾肥及各种专用肥、缓控释肥的生产，氮肥企业节能减排和原料结构调整，磷石膏综合利用技术开发与应用，10 万吨/年及以上湿法磷酸净化生产装置</w:t>
            </w:r>
          </w:p>
        </w:tc>
        <w:tc>
          <w:tcPr>
            <w:tcW w:w="120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4"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22</w:t>
            </w:r>
          </w:p>
        </w:tc>
        <w:tc>
          <w:tcPr>
            <w:tcW w:w="999"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5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6.高效、安全、环境友好的农药新品种、新剂型(水基化剂型等)、专用中间体、助剂(水基化助剂等)的开发与生产甲叉法乙草胺、水相法毒死蜱工艺、草甘膦回收氯甲烷工艺、定向合成法手性和立体结构农药生产、乙基氯化物合成技术等清洁生产工艺的开发和应用，生物农药新产品、新技术的开发与生产</w:t>
            </w:r>
          </w:p>
        </w:tc>
        <w:tc>
          <w:tcPr>
            <w:tcW w:w="120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54"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23</w:t>
            </w:r>
          </w:p>
        </w:tc>
        <w:tc>
          <w:tcPr>
            <w:tcW w:w="999"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5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7.水性木器、工业、船舶涂料，高固体分、无溶剂、辐射固化、功能性外墙外保温涂料等环境友好、资源节约型涂料生产；单线产能 3 万吨/年及以上、并以二氧化钛含量不小于 90％的富钛料（人造金红石</w:t>
            </w:r>
          </w:p>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天然金红石、高钛渣）为原料的氯化法钛白粉生产</w:t>
            </w:r>
          </w:p>
        </w:tc>
        <w:tc>
          <w:tcPr>
            <w:tcW w:w="120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4"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24</w:t>
            </w:r>
          </w:p>
        </w:tc>
        <w:tc>
          <w:tcPr>
            <w:tcW w:w="999"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395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8.高固着率、高色牢度高提升性、高匀染性、高重现性、低沾污性以及低盐、低温、小浴比染色用和湿短蒸轧染用的活性染料,高超细旦聚酯纤维染色性、高洗涤牢度、高染着率、高光牢度和低沾污性（尼</w:t>
            </w:r>
          </w:p>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龙、氨纶）、小浴比染色用的分散染料,用于聚酰胺纤维、羊毛和皮革染色的不含金属的弱酸性染料，高耐晒牢度高耐气候牢度有机颜料的开发与生产</w:t>
            </w:r>
          </w:p>
        </w:tc>
        <w:tc>
          <w:tcPr>
            <w:tcW w:w="1202"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bl>
    <w:p>
      <w:pPr>
        <w:rPr>
          <w:rFonts w:hint="default" w:ascii="Times New Roman" w:hAnsi="Times New Roman" w:cs="Times New Roman"/>
          <w:sz w:val="18"/>
        </w:rPr>
        <w:sectPr>
          <w:pgSz w:w="11910" w:h="16840"/>
          <w:pgMar w:top="1600" w:right="1420" w:bottom="1660" w:left="1420" w:header="0" w:footer="1474" w:gutter="0"/>
          <w:cols w:space="720" w:num="1"/>
        </w:sectPr>
      </w:pPr>
    </w:p>
    <w:tbl>
      <w:tblPr>
        <w:tblStyle w:val="8"/>
        <w:tblW w:w="882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416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限制范围</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416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99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2"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25</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国家产业结构调整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本、2013</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年修正）</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与平台定位不符的</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业结构目</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录》鼓励</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类产业</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十一、石化化工</w:t>
            </w: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9.染料及染料中间体清洁生产、本质安全的新技术（包括催化、三氧化硫磺化、连续硝化、绝热硝化、定向氯化、组合增效、溶剂反应、循环利用等技术，以及取代光气等剧毒原料的适用技术，膜过滤和原浆干燥技术）的开发与应用</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0"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26</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十二、建材</w:t>
            </w: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1.利用现有 2000 吨/日及以上新型干法水泥窑炉处置工业废弃物、城市污泥和生活垃圾，纯低温余热发电；粉磨系统等节能改造</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27</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9.高新技术领域需求的高纯、超细、改性等精细加工的高岭土、石墨硅藻土等非金属矿深加工材料生产</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2"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28</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10.30 万平方米/年以上超薄复合石材生产；机械化石材矿山开采；矿石碎料和板材边角料综合利用生产及工艺装备开发</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29</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11.废矿石、尾矿和建筑废弃物的综合利用</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30</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十三、医药</w:t>
            </w: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7.实验动物标准化养殖及动物实验服务</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31</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十六、汽车</w:t>
            </w: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4.高效柴油发动机（3L以下升功率≥50 kW/L 3L 以上升功率≥40kW/L）</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32</w:t>
            </w:r>
          </w:p>
        </w:tc>
        <w:tc>
          <w:tcPr>
            <w:tcW w:w="999" w:type="dxa"/>
            <w:vMerge w:val="continue"/>
          </w:tcPr>
          <w:p>
            <w:pPr>
              <w:pStyle w:val="15"/>
              <w:spacing w:line="266" w:lineRule="auto"/>
              <w:ind w:right="17"/>
              <w:rPr>
                <w:rFonts w:hint="default" w:ascii="Times New Roman" w:hAnsi="Times New Roman" w:eastAsia="仿宋" w:cs="Times New Roman"/>
                <w:color w:val="000000"/>
                <w:kern w:val="0"/>
                <w:sz w:val="22"/>
                <w:szCs w:val="22"/>
                <w:lang w:val="en-US" w:bidi="ar-SA"/>
              </w:rPr>
            </w:pPr>
          </w:p>
        </w:tc>
        <w:tc>
          <w:tcPr>
            <w:tcW w:w="912" w:type="dxa"/>
            <w:vMerge w:val="continue"/>
          </w:tcPr>
          <w:p>
            <w:pPr>
              <w:pStyle w:val="15"/>
              <w:spacing w:line="266" w:lineRule="auto"/>
              <w:ind w:right="17"/>
              <w:rPr>
                <w:rFonts w:hint="default" w:ascii="Times New Roman" w:hAnsi="Times New Roman" w:eastAsia="仿宋" w:cs="Times New Roman"/>
                <w:color w:val="000000"/>
                <w:kern w:val="0"/>
                <w:sz w:val="22"/>
                <w:szCs w:val="22"/>
                <w:lang w:val="en-US" w:bidi="ar-SA"/>
              </w:rPr>
            </w:pPr>
          </w:p>
        </w:tc>
        <w:tc>
          <w:tcPr>
            <w:tcW w:w="1030" w:type="dxa"/>
            <w:vMerge w:val="continue"/>
          </w:tcPr>
          <w:p>
            <w:pPr>
              <w:pStyle w:val="15"/>
              <w:spacing w:line="266" w:lineRule="auto"/>
              <w:ind w:right="17"/>
              <w:rPr>
                <w:rFonts w:hint="default" w:ascii="Times New Roman" w:hAnsi="Times New Roman" w:eastAsia="仿宋" w:cs="Times New Roman"/>
                <w:color w:val="000000"/>
                <w:kern w:val="0"/>
                <w:sz w:val="22"/>
                <w:szCs w:val="22"/>
                <w:lang w:val="en-US" w:bidi="ar-SA"/>
              </w:rPr>
            </w:pPr>
          </w:p>
        </w:tc>
        <w:tc>
          <w:tcPr>
            <w:tcW w:w="4169" w:type="dxa"/>
            <w:vAlign w:val="center"/>
          </w:tcPr>
          <w:p>
            <w:pPr>
              <w:pStyle w:val="15"/>
              <w:spacing w:line="266" w:lineRule="auto"/>
              <w:ind w:right="17"/>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5.高效汽油发动机（自然吸气汽油机升功率≥60kW/L，涡轮增压汽油机升功率≥70kW/L）</w:t>
            </w:r>
          </w:p>
        </w:tc>
        <w:tc>
          <w:tcPr>
            <w:tcW w:w="992"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tc>
      </w:tr>
    </w:tbl>
    <w:p>
      <w:pPr>
        <w:rPr>
          <w:rFonts w:hint="default" w:ascii="Times New Roman" w:hAnsi="Times New Roman" w:cs="Times New Roman"/>
          <w:sz w:val="2"/>
          <w:szCs w:val="2"/>
        </w:rPr>
        <w:sectPr>
          <w:pgSz w:w="11910" w:h="16840"/>
          <w:pgMar w:top="1600" w:right="1420" w:bottom="1660" w:left="1420" w:header="0" w:footer="1474" w:gutter="0"/>
          <w:cols w:space="720" w:num="1"/>
        </w:sectPr>
      </w:pPr>
    </w:p>
    <w:tbl>
      <w:tblPr>
        <w:tblStyle w:val="8"/>
        <w:tblW w:w="882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416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限制范围</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416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99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1"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33</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国家产业结构调整指导目录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年本、2013 年修正）</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与平台定位不符的</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《国家产业结构目录》鼓励类产业</w:t>
            </w: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十九、轻工</w:t>
            </w:r>
          </w:p>
        </w:tc>
        <w:tc>
          <w:tcPr>
            <w:tcW w:w="4169" w:type="dxa"/>
          </w:tcPr>
          <w:p>
            <w:pPr>
              <w:pStyle w:val="15"/>
              <w:spacing w:before="105" w:line="220" w:lineRule="auto"/>
              <w:ind w:left="15" w:right="2"/>
              <w:rPr>
                <w:rFonts w:hint="default" w:ascii="Times New Roman" w:hAnsi="Times New Roman" w:cs="Times New Roman"/>
                <w:sz w:val="22"/>
              </w:rPr>
            </w:pPr>
            <w:r>
              <w:rPr>
                <w:rFonts w:hint="default" w:ascii="Times New Roman" w:hAnsi="Times New Roman" w:eastAsia="仿宋" w:cs="Times New Roman"/>
                <w:color w:val="000000"/>
                <w:kern w:val="0"/>
                <w:sz w:val="22"/>
                <w:szCs w:val="22"/>
                <w:lang w:val="en-US" w:bidi="ar-SA"/>
              </w:rPr>
              <w:t>1.单条化学木浆 30 万吨/年及以上、化学机械木浆 10 万吨/ 年及以上、化学竹浆 10 万吨/ 年及以上的林纸一体化生产线及相应配套的纸及纸板生产线（新闻纸铜版纸除外）建设；采用清洁生产工艺、以非木纤维为原料、单条 10 万吨/年及以上的纸浆生产线建设</w:t>
            </w:r>
          </w:p>
        </w:tc>
        <w:tc>
          <w:tcPr>
            <w:tcW w:w="992" w:type="dxa"/>
          </w:tcPr>
          <w:p>
            <w:pPr>
              <w:pStyle w:val="15"/>
              <w:rPr>
                <w:rFonts w:hint="default" w:ascii="Times New Roman" w:hAnsi="Times New Roman" w:cs="Times New Roman"/>
                <w:sz w:val="22"/>
              </w:rPr>
            </w:pPr>
          </w:p>
          <w:p>
            <w:pPr>
              <w:pStyle w:val="15"/>
              <w:rPr>
                <w:rFonts w:hint="default" w:ascii="Times New Roman" w:hAnsi="Times New Roman" w:cs="Times New Roman"/>
                <w:sz w:val="22"/>
              </w:rPr>
            </w:pPr>
          </w:p>
          <w:p>
            <w:pPr>
              <w:pStyle w:val="15"/>
              <w:rPr>
                <w:rFonts w:hint="default" w:ascii="Times New Roman" w:hAnsi="Times New Roman" w:cs="Times New Roman"/>
                <w:sz w:val="22"/>
              </w:rPr>
            </w:pPr>
          </w:p>
          <w:p>
            <w:pPr>
              <w:pStyle w:val="15"/>
              <w:rPr>
                <w:rFonts w:hint="default" w:ascii="Times New Roman" w:hAnsi="Times New Roman" w:cs="Times New Roman"/>
                <w:sz w:val="22"/>
              </w:rPr>
            </w:pPr>
          </w:p>
          <w:p>
            <w:pPr>
              <w:pStyle w:val="15"/>
              <w:rPr>
                <w:rFonts w:hint="default" w:ascii="Times New Roman" w:hAnsi="Times New Roman" w:cs="Times New Roman"/>
                <w:sz w:val="22"/>
              </w:rPr>
            </w:pPr>
          </w:p>
          <w:p>
            <w:pPr>
              <w:pStyle w:val="15"/>
              <w:rPr>
                <w:rFonts w:hint="default" w:ascii="Times New Roman" w:hAnsi="Times New Roman" w:cs="Times New Roman"/>
                <w:sz w:val="22"/>
              </w:rPr>
            </w:pPr>
          </w:p>
          <w:p>
            <w:pPr>
              <w:pStyle w:val="15"/>
              <w:spacing w:before="129"/>
              <w:ind w:left="-126"/>
              <w:rPr>
                <w:rFonts w:hint="default" w:ascii="Times New Roman" w:hAnsi="Times New Roman" w:cs="Times New Roman"/>
                <w:sz w:val="22"/>
              </w:rPr>
            </w:pPr>
            <w:r>
              <w:rPr>
                <w:rFonts w:hint="default" w:ascii="Times New Roman" w:hAnsi="Times New Roman" w:cs="Times New Roman"/>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34</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3.无元素氯（ECF）和全无氯（TCF）化学纸浆漂白工艺开发及应用</w:t>
            </w:r>
          </w:p>
        </w:tc>
        <w:tc>
          <w:tcPr>
            <w:tcW w:w="992"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35</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36.畜禽骨、血及内脏等副产物综合利用与无害化处理</w:t>
            </w:r>
          </w:p>
        </w:tc>
        <w:tc>
          <w:tcPr>
            <w:tcW w:w="992"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36</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37.采用生物发酵技术生产优质低温肉制品</w:t>
            </w:r>
          </w:p>
        </w:tc>
        <w:tc>
          <w:tcPr>
            <w:tcW w:w="992"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37</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二十六、航空运输</w:t>
            </w: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1.机场建设</w:t>
            </w:r>
          </w:p>
        </w:tc>
        <w:tc>
          <w:tcPr>
            <w:tcW w:w="992"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38</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continue"/>
            <w:tcBorders>
              <w:top w:val="nil"/>
            </w:tcBorders>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6.航空油料设施建设</w:t>
            </w:r>
          </w:p>
        </w:tc>
        <w:tc>
          <w:tcPr>
            <w:tcW w:w="992"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18" w:type="dxa"/>
          </w:tcPr>
          <w:p>
            <w:pPr>
              <w:pStyle w:val="15"/>
              <w:spacing w:line="266" w:lineRule="auto"/>
              <w:ind w:right="17"/>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39</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restart"/>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三十八、环境保护与资源节约综合利用</w:t>
            </w: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5.区域性废旧汽车、废旧电器电子产品、废旧船舶、废钢铁、废旧木材等资源循环利用基地建设</w:t>
            </w:r>
          </w:p>
        </w:tc>
        <w:tc>
          <w:tcPr>
            <w:tcW w:w="992"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40</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continue"/>
            <w:tcBorders>
              <w:top w:val="nil"/>
            </w:tcBorders>
          </w:tcPr>
          <w:p>
            <w:pPr>
              <w:rPr>
                <w:rFonts w:hint="default" w:ascii="Times New Roman" w:hAnsi="Times New Roman" w:cs="Times New Roman"/>
                <w:sz w:val="2"/>
                <w:szCs w:val="2"/>
              </w:rPr>
            </w:pP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8.危险废弃物（放射性废物、核设施退役工程医疗废物、含重金属废弃物）安全处置技术设备开发制造及处置中心建设</w:t>
            </w:r>
          </w:p>
        </w:tc>
        <w:tc>
          <w:tcPr>
            <w:tcW w:w="992" w:type="dxa"/>
          </w:tcPr>
          <w:p>
            <w:pPr>
              <w:pStyle w:val="15"/>
              <w:rPr>
                <w:rFonts w:hint="default" w:ascii="Times New Roman" w:hAnsi="Times New Roman" w:cs="Times New Roman"/>
                <w:sz w:val="23"/>
              </w:rPr>
            </w:pPr>
          </w:p>
          <w:p>
            <w:pPr>
              <w:pStyle w:val="15"/>
              <w:spacing w:before="1"/>
              <w:ind w:left="-126"/>
              <w:rPr>
                <w:rFonts w:hint="default" w:ascii="Times New Roman" w:hAnsi="Times New Roman" w:cs="Times New Roman"/>
                <w:sz w:val="22"/>
              </w:rPr>
            </w:pPr>
            <w:r>
              <w:rPr>
                <w:rFonts w:hint="default" w:ascii="Times New Roman" w:hAnsi="Times New Roman" w:cs="Times New Roman"/>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41</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continue"/>
            <w:tcBorders>
              <w:top w:val="nil"/>
            </w:tcBorders>
          </w:tcPr>
          <w:p>
            <w:pPr>
              <w:rPr>
                <w:rFonts w:hint="default" w:ascii="Times New Roman" w:hAnsi="Times New Roman" w:cs="Times New Roman"/>
                <w:sz w:val="2"/>
                <w:szCs w:val="2"/>
              </w:rPr>
            </w:pP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27.尾矿、废渣等资源综合利用</w:t>
            </w:r>
          </w:p>
        </w:tc>
        <w:tc>
          <w:tcPr>
            <w:tcW w:w="992"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718"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42</w:t>
            </w:r>
          </w:p>
        </w:tc>
        <w:tc>
          <w:tcPr>
            <w:tcW w:w="999" w:type="dxa"/>
            <w:vMerge w:val="continue"/>
            <w:tcBorders>
              <w:top w:val="nil"/>
            </w:tcBorders>
          </w:tcPr>
          <w:p>
            <w:pPr>
              <w:rPr>
                <w:rFonts w:hint="default" w:ascii="Times New Roman" w:hAnsi="Times New Roman" w:cs="Times New Roman"/>
                <w:sz w:val="2"/>
                <w:szCs w:val="2"/>
              </w:rPr>
            </w:pPr>
          </w:p>
        </w:tc>
        <w:tc>
          <w:tcPr>
            <w:tcW w:w="912" w:type="dxa"/>
            <w:vMerge w:val="continue"/>
            <w:tcBorders>
              <w:top w:val="nil"/>
            </w:tcBorders>
          </w:tcPr>
          <w:p>
            <w:pPr>
              <w:rPr>
                <w:rFonts w:hint="default" w:ascii="Times New Roman" w:hAnsi="Times New Roman" w:cs="Times New Roman"/>
                <w:sz w:val="2"/>
                <w:szCs w:val="2"/>
              </w:rPr>
            </w:pPr>
          </w:p>
        </w:tc>
        <w:tc>
          <w:tcPr>
            <w:tcW w:w="1030" w:type="dxa"/>
            <w:vMerge w:val="continue"/>
            <w:tcBorders>
              <w:top w:val="nil"/>
            </w:tcBorders>
          </w:tcPr>
          <w:p>
            <w:pPr>
              <w:rPr>
                <w:rFonts w:hint="default" w:ascii="Times New Roman" w:hAnsi="Times New Roman" w:cs="Times New Roman"/>
                <w:sz w:val="2"/>
                <w:szCs w:val="2"/>
              </w:rPr>
            </w:pPr>
          </w:p>
        </w:tc>
        <w:tc>
          <w:tcPr>
            <w:tcW w:w="4169" w:type="dxa"/>
          </w:tcPr>
          <w:p>
            <w:pPr>
              <w:pStyle w:val="15"/>
              <w:spacing w:before="105" w:line="220" w:lineRule="auto"/>
              <w:ind w:left="15" w:right="2"/>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30.废旧汽车、工程机械、矿山机械、机床产品、农业机械、船舶等废旧机电产品及零部件再利用、再制造，墨盒有机光导鼓的再制造（再填充）</w:t>
            </w:r>
          </w:p>
        </w:tc>
        <w:tc>
          <w:tcPr>
            <w:tcW w:w="992" w:type="dxa"/>
          </w:tcPr>
          <w:p>
            <w:pPr>
              <w:pStyle w:val="15"/>
              <w:rPr>
                <w:rFonts w:hint="default" w:ascii="Times New Roman" w:hAnsi="Times New Roman" w:cs="Times New Roman"/>
                <w:sz w:val="22"/>
              </w:rPr>
            </w:pPr>
          </w:p>
          <w:p>
            <w:pPr>
              <w:pStyle w:val="15"/>
              <w:rPr>
                <w:rFonts w:hint="default" w:ascii="Times New Roman" w:hAnsi="Times New Roman" w:cs="Times New Roman"/>
                <w:sz w:val="22"/>
              </w:rPr>
            </w:pPr>
          </w:p>
          <w:p>
            <w:pPr>
              <w:pStyle w:val="15"/>
              <w:rPr>
                <w:rFonts w:hint="default" w:ascii="Times New Roman" w:hAnsi="Times New Roman" w:cs="Times New Roman"/>
                <w:sz w:val="22"/>
              </w:rPr>
            </w:pPr>
          </w:p>
          <w:p>
            <w:pPr>
              <w:pStyle w:val="15"/>
              <w:spacing w:before="9"/>
              <w:rPr>
                <w:rFonts w:hint="default" w:ascii="Times New Roman" w:hAnsi="Times New Roman" w:cs="Times New Roman"/>
                <w:sz w:val="24"/>
              </w:rPr>
            </w:pPr>
          </w:p>
          <w:p>
            <w:pPr>
              <w:pStyle w:val="15"/>
              <w:ind w:left="-126"/>
              <w:rPr>
                <w:rFonts w:hint="default" w:ascii="Times New Roman" w:hAnsi="Times New Roman" w:cs="Times New Roman"/>
                <w:sz w:val="22"/>
              </w:rPr>
            </w:pPr>
            <w:r>
              <w:rPr>
                <w:rFonts w:hint="default" w:ascii="Times New Roman" w:hAnsi="Times New Roman" w:cs="Times New Roman"/>
                <w:sz w:val="22"/>
              </w:rPr>
              <w:t>、</w:t>
            </w:r>
          </w:p>
        </w:tc>
      </w:tr>
    </w:tbl>
    <w:p>
      <w:pPr>
        <w:rPr>
          <w:rFonts w:hint="default" w:ascii="Times New Roman" w:hAnsi="Times New Roman" w:cs="Times New Roman"/>
          <w:sz w:val="22"/>
        </w:rPr>
        <w:sectPr>
          <w:pgSz w:w="11910" w:h="16840"/>
          <w:pgMar w:top="1600" w:right="1420" w:bottom="1660" w:left="1420" w:header="0" w:footer="1474" w:gutter="0"/>
          <w:cols w:space="720" w:num="1"/>
        </w:sectPr>
      </w:pPr>
    </w:p>
    <w:tbl>
      <w:tblPr>
        <w:tblStyle w:val="8"/>
        <w:tblW w:w="882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2231"/>
        <w:gridCol w:w="2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限制范围</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29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43</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结构调整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本、2013</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年修正）</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业结构目</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录》限制</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类产业</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一、农林业</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44</w:t>
            </w:r>
          </w:p>
        </w:tc>
        <w:tc>
          <w:tcPr>
            <w:tcW w:w="999" w:type="dxa"/>
            <w:vMerge w:val="continue"/>
          </w:tcPr>
          <w:p>
            <w:pPr>
              <w:pStyle w:val="15"/>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四、石化化工</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45</w:t>
            </w:r>
          </w:p>
        </w:tc>
        <w:tc>
          <w:tcPr>
            <w:tcW w:w="999" w:type="dxa"/>
            <w:vMerge w:val="continue"/>
          </w:tcPr>
          <w:p>
            <w:pPr>
              <w:pStyle w:val="15"/>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六、钢铁</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46</w:t>
            </w:r>
          </w:p>
        </w:tc>
        <w:tc>
          <w:tcPr>
            <w:tcW w:w="999" w:type="dxa"/>
            <w:vMerge w:val="continue"/>
          </w:tcPr>
          <w:p>
            <w:pPr>
              <w:pStyle w:val="15"/>
              <w:spacing w:line="272" w:lineRule="exact"/>
              <w:ind w:left="13"/>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七、有色金属</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18"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47</w:t>
            </w:r>
          </w:p>
        </w:tc>
        <w:tc>
          <w:tcPr>
            <w:tcW w:w="999" w:type="dxa"/>
            <w:vMerge w:val="continue"/>
          </w:tcPr>
          <w:p>
            <w:pPr>
              <w:rPr>
                <w:rFonts w:hint="default" w:ascii="Times New Roman" w:hAnsi="Times New Roman" w:cs="Times New Roman"/>
                <w:sz w:val="2"/>
                <w:szCs w:val="2"/>
              </w:rPr>
            </w:pPr>
          </w:p>
        </w:tc>
        <w:tc>
          <w:tcPr>
            <w:tcW w:w="912" w:type="dxa"/>
            <w:vMerge w:val="continue"/>
          </w:tcPr>
          <w:p>
            <w:pPr>
              <w:rPr>
                <w:rFonts w:hint="default" w:ascii="Times New Roman" w:hAnsi="Times New Roman" w:cs="Times New Roman"/>
                <w:sz w:val="2"/>
                <w:szCs w:val="2"/>
              </w:rPr>
            </w:pPr>
          </w:p>
        </w:tc>
        <w:tc>
          <w:tcPr>
            <w:tcW w:w="1030"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九、建材</w:t>
            </w:r>
          </w:p>
        </w:tc>
        <w:tc>
          <w:tcPr>
            <w:tcW w:w="2231"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vMerge w:val="restart"/>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718"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48</w:t>
            </w:r>
          </w:p>
        </w:tc>
        <w:tc>
          <w:tcPr>
            <w:tcW w:w="999" w:type="dxa"/>
            <w:vMerge w:val="continue"/>
          </w:tcPr>
          <w:p>
            <w:pPr>
              <w:rPr>
                <w:rFonts w:hint="default" w:ascii="Times New Roman" w:hAnsi="Times New Roman" w:cs="Times New Roman"/>
                <w:sz w:val="2"/>
                <w:szCs w:val="2"/>
              </w:rPr>
            </w:pPr>
          </w:p>
        </w:tc>
        <w:tc>
          <w:tcPr>
            <w:tcW w:w="912" w:type="dxa"/>
            <w:vMerge w:val="continue"/>
          </w:tcPr>
          <w:p>
            <w:pPr>
              <w:rPr>
                <w:rFonts w:hint="default" w:ascii="Times New Roman" w:hAnsi="Times New Roman" w:cs="Times New Roman"/>
                <w:sz w:val="2"/>
                <w:szCs w:val="2"/>
              </w:rPr>
            </w:pPr>
          </w:p>
        </w:tc>
        <w:tc>
          <w:tcPr>
            <w:tcW w:w="1030"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十一、机械</w:t>
            </w:r>
          </w:p>
        </w:tc>
        <w:tc>
          <w:tcPr>
            <w:tcW w:w="2231"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vMerge w:val="restart"/>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49</w:t>
            </w:r>
          </w:p>
        </w:tc>
        <w:tc>
          <w:tcPr>
            <w:tcW w:w="999" w:type="dxa"/>
            <w:vMerge w:val="continue"/>
          </w:tcPr>
          <w:p>
            <w:pPr>
              <w:pStyle w:val="15"/>
              <w:spacing w:line="250" w:lineRule="exact"/>
              <w:ind w:left="13"/>
              <w:rPr>
                <w:rFonts w:hint="default" w:ascii="Times New Roman" w:hAnsi="Times New Roman" w:cs="Times New Roman"/>
                <w:sz w:val="22"/>
              </w:rPr>
            </w:pPr>
          </w:p>
        </w:tc>
        <w:tc>
          <w:tcPr>
            <w:tcW w:w="912" w:type="dxa"/>
            <w:vMerge w:val="continue"/>
          </w:tcPr>
          <w:p>
            <w:pPr>
              <w:pStyle w:val="15"/>
              <w:spacing w:line="250" w:lineRule="exact"/>
              <w:ind w:left="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十二、轻工</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50</w:t>
            </w:r>
          </w:p>
        </w:tc>
        <w:tc>
          <w:tcPr>
            <w:tcW w:w="999" w:type="dxa"/>
            <w:vMerge w:val="continue"/>
          </w:tcPr>
          <w:p>
            <w:pPr>
              <w:pStyle w:val="15"/>
              <w:spacing w:line="268" w:lineRule="exact"/>
              <w:ind w:left="13"/>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十三、纺织</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51</w:t>
            </w:r>
          </w:p>
        </w:tc>
        <w:tc>
          <w:tcPr>
            <w:tcW w:w="999" w:type="dxa"/>
            <w:vMerge w:val="continue"/>
          </w:tcPr>
          <w:p>
            <w:pPr>
              <w:pStyle w:val="15"/>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十四、烟草</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52</w:t>
            </w:r>
          </w:p>
        </w:tc>
        <w:tc>
          <w:tcPr>
            <w:tcW w:w="999" w:type="dxa"/>
            <w:vMerge w:val="continue"/>
          </w:tcPr>
          <w:p>
            <w:pPr>
              <w:pStyle w:val="15"/>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十五、消防</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53</w:t>
            </w:r>
          </w:p>
        </w:tc>
        <w:tc>
          <w:tcPr>
            <w:tcW w:w="999" w:type="dxa"/>
            <w:vMerge w:val="continue"/>
          </w:tcPr>
          <w:p>
            <w:pPr>
              <w:pStyle w:val="15"/>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十七、其他</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8820" w:type="dxa"/>
            <w:gridSpan w:val="6"/>
          </w:tcPr>
          <w:p>
            <w:pPr>
              <w:pStyle w:val="15"/>
              <w:spacing w:before="30"/>
              <w:ind w:left="3840" w:right="3830"/>
              <w:jc w:val="center"/>
              <w:rPr>
                <w:rFonts w:hint="default" w:ascii="Times New Roman" w:hAnsi="Times New Roman" w:eastAsia="黑体" w:cs="Times New Roman"/>
                <w:sz w:val="22"/>
              </w:rPr>
            </w:pPr>
            <w:r>
              <w:rPr>
                <w:rFonts w:hint="default" w:ascii="Times New Roman" w:hAnsi="Times New Roman" w:eastAsia="黑体" w:cs="Times New Roman"/>
                <w:sz w:val="22"/>
              </w:rPr>
              <w:t>三、淘汰类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淘汰范围</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29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0" w:hRule="atLeast"/>
        </w:trPr>
        <w:tc>
          <w:tcPr>
            <w:tcW w:w="718"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1</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结构调整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本、2013</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年修正）</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业结构目</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录》淘汰</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类产业</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所有产业</w:t>
            </w:r>
          </w:p>
        </w:tc>
        <w:tc>
          <w:tcPr>
            <w:tcW w:w="2231"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列入淘汰类的所有落后生产工艺装备和落后产品</w:t>
            </w:r>
          </w:p>
        </w:tc>
        <w:tc>
          <w:tcPr>
            <w:tcW w:w="2930" w:type="dxa"/>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718"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浙江省淘</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汰落后生</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产能力指</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（2012 年本）</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浙江省淘</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汰类产业</w:t>
            </w:r>
          </w:p>
        </w:tc>
        <w:tc>
          <w:tcPr>
            <w:tcW w:w="1030"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所有产业</w:t>
            </w:r>
          </w:p>
        </w:tc>
        <w:tc>
          <w:tcPr>
            <w:tcW w:w="2231"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列入浙江省淘汰落后生产能力目录的钢铁冶炼及压延加工业、有色金属冶炼及压延加工业、石油化工行业、机械行业、建材及其它非金属工艺生产业、纺织行业轻工行业、铅酸电池、电镀、电力等行业</w:t>
            </w:r>
          </w:p>
        </w:tc>
        <w:tc>
          <w:tcPr>
            <w:tcW w:w="2930" w:type="dxa"/>
            <w:tcBorders>
              <w:bottom w:val="nil"/>
            </w:tcBorders>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718" w:type="dxa"/>
            <w:vMerge w:val="continue"/>
          </w:tcPr>
          <w:p>
            <w:pPr>
              <w:pStyle w:val="15"/>
              <w:rPr>
                <w:rFonts w:hint="default" w:ascii="Times New Roman" w:hAnsi="Times New Roman" w:cs="Times New Roman"/>
                <w:sz w:val="22"/>
              </w:rPr>
            </w:pPr>
          </w:p>
        </w:tc>
        <w:tc>
          <w:tcPr>
            <w:tcW w:w="999" w:type="dxa"/>
            <w:vMerge w:val="continue"/>
          </w:tcPr>
          <w:p>
            <w:pPr>
              <w:pStyle w:val="15"/>
              <w:spacing w:before="10" w:line="272" w:lineRule="exact"/>
              <w:ind w:left="13"/>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Merge w:val="continue"/>
          </w:tcPr>
          <w:p>
            <w:pPr>
              <w:pStyle w:val="15"/>
              <w:rPr>
                <w:rFonts w:hint="default" w:ascii="Times New Roman" w:hAnsi="Times New Roman" w:cs="Times New Roman"/>
                <w:sz w:val="22"/>
              </w:rPr>
            </w:pPr>
          </w:p>
        </w:tc>
        <w:tc>
          <w:tcPr>
            <w:tcW w:w="2231" w:type="dxa"/>
            <w:vMerge w:val="continue"/>
            <w:tcBorders>
              <w:top w:val="nil"/>
            </w:tcBorders>
          </w:tcPr>
          <w:p>
            <w:pPr>
              <w:rPr>
                <w:rFonts w:hint="default" w:ascii="Times New Roman" w:hAnsi="Times New Roman" w:cs="Times New Roman"/>
                <w:sz w:val="2"/>
                <w:szCs w:val="2"/>
              </w:rPr>
            </w:pPr>
          </w:p>
        </w:tc>
        <w:tc>
          <w:tcPr>
            <w:tcW w:w="2930" w:type="dxa"/>
            <w:tcBorders>
              <w:top w:val="nil"/>
              <w:bottom w:val="nil"/>
            </w:tcBorders>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718" w:type="dxa"/>
            <w:vMerge w:val="continue"/>
          </w:tcPr>
          <w:p>
            <w:pPr>
              <w:pStyle w:val="15"/>
              <w:spacing w:before="166"/>
              <w:ind w:left="12"/>
              <w:jc w:val="center"/>
              <w:rPr>
                <w:rFonts w:hint="default" w:ascii="Times New Roman" w:hAnsi="Times New Roman" w:cs="Times New Roman"/>
                <w:sz w:val="22"/>
              </w:rPr>
            </w:pPr>
          </w:p>
        </w:tc>
        <w:tc>
          <w:tcPr>
            <w:tcW w:w="999" w:type="dxa"/>
            <w:vMerge w:val="continue"/>
          </w:tcPr>
          <w:p>
            <w:pPr>
              <w:pStyle w:val="15"/>
              <w:spacing w:before="30" w:line="272" w:lineRule="exact"/>
              <w:ind w:left="13"/>
              <w:rPr>
                <w:rFonts w:hint="default" w:ascii="Times New Roman" w:hAnsi="Times New Roman" w:cs="Times New Roman"/>
                <w:sz w:val="22"/>
              </w:rPr>
            </w:pPr>
          </w:p>
        </w:tc>
        <w:tc>
          <w:tcPr>
            <w:tcW w:w="912" w:type="dxa"/>
            <w:vMerge w:val="continue"/>
          </w:tcPr>
          <w:p>
            <w:pPr>
              <w:pStyle w:val="15"/>
              <w:spacing w:before="30" w:line="272" w:lineRule="exact"/>
              <w:ind w:left="15"/>
              <w:rPr>
                <w:rFonts w:hint="default" w:ascii="Times New Roman" w:hAnsi="Times New Roman" w:cs="Times New Roman"/>
                <w:sz w:val="22"/>
              </w:rPr>
            </w:pPr>
          </w:p>
        </w:tc>
        <w:tc>
          <w:tcPr>
            <w:tcW w:w="1030" w:type="dxa"/>
            <w:vMerge w:val="continue"/>
          </w:tcPr>
          <w:p>
            <w:pPr>
              <w:pStyle w:val="15"/>
              <w:spacing w:before="166"/>
              <w:ind w:left="15"/>
              <w:rPr>
                <w:rFonts w:hint="default" w:ascii="Times New Roman" w:hAnsi="Times New Roman" w:cs="Times New Roman"/>
                <w:sz w:val="22"/>
              </w:rPr>
            </w:pPr>
          </w:p>
        </w:tc>
        <w:tc>
          <w:tcPr>
            <w:tcW w:w="2231" w:type="dxa"/>
            <w:vMerge w:val="continue"/>
            <w:tcBorders>
              <w:top w:val="nil"/>
            </w:tcBorders>
          </w:tcPr>
          <w:p>
            <w:pPr>
              <w:rPr>
                <w:rFonts w:hint="default" w:ascii="Times New Roman" w:hAnsi="Times New Roman" w:cs="Times New Roman"/>
                <w:sz w:val="2"/>
                <w:szCs w:val="2"/>
              </w:rPr>
            </w:pPr>
          </w:p>
        </w:tc>
        <w:tc>
          <w:tcPr>
            <w:tcW w:w="2930" w:type="dxa"/>
            <w:tcBorders>
              <w:top w:val="nil"/>
              <w:bottom w:val="nil"/>
            </w:tcBorders>
          </w:tcPr>
          <w:p>
            <w:pPr>
              <w:pStyle w:val="15"/>
              <w:rPr>
                <w:rFonts w:hint="default" w:ascii="Times New Roman" w:hAnsi="Times New Roman" w:cs="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718" w:type="dxa"/>
            <w:vMerge w:val="continue"/>
          </w:tcPr>
          <w:p>
            <w:pPr>
              <w:pStyle w:val="15"/>
              <w:rPr>
                <w:rFonts w:hint="default" w:ascii="Times New Roman" w:hAnsi="Times New Roman" w:cs="Times New Roman"/>
                <w:sz w:val="22"/>
              </w:rPr>
            </w:pPr>
          </w:p>
        </w:tc>
        <w:tc>
          <w:tcPr>
            <w:tcW w:w="999" w:type="dxa"/>
            <w:vMerge w:val="continue"/>
          </w:tcPr>
          <w:p>
            <w:pPr>
              <w:pStyle w:val="15"/>
              <w:spacing w:before="10" w:line="266" w:lineRule="auto"/>
              <w:ind w:left="13" w:right="36"/>
              <w:rPr>
                <w:rFonts w:hint="default" w:ascii="Times New Roman" w:hAnsi="Times New Roman" w:cs="Times New Roman"/>
                <w:sz w:val="22"/>
              </w:rPr>
            </w:pPr>
          </w:p>
        </w:tc>
        <w:tc>
          <w:tcPr>
            <w:tcW w:w="912" w:type="dxa"/>
            <w:vMerge w:val="continue"/>
          </w:tcPr>
          <w:p>
            <w:pPr>
              <w:pStyle w:val="15"/>
              <w:rPr>
                <w:rFonts w:hint="default" w:ascii="Times New Roman" w:hAnsi="Times New Roman" w:cs="Times New Roman"/>
                <w:sz w:val="22"/>
              </w:rPr>
            </w:pPr>
          </w:p>
        </w:tc>
        <w:tc>
          <w:tcPr>
            <w:tcW w:w="1030" w:type="dxa"/>
            <w:vMerge w:val="continue"/>
          </w:tcPr>
          <w:p>
            <w:pPr>
              <w:pStyle w:val="15"/>
              <w:rPr>
                <w:rFonts w:hint="default" w:ascii="Times New Roman" w:hAnsi="Times New Roman" w:cs="Times New Roman"/>
                <w:sz w:val="22"/>
              </w:rPr>
            </w:pPr>
          </w:p>
        </w:tc>
        <w:tc>
          <w:tcPr>
            <w:tcW w:w="2231" w:type="dxa"/>
            <w:vMerge w:val="continue"/>
            <w:tcBorders>
              <w:top w:val="nil"/>
            </w:tcBorders>
          </w:tcPr>
          <w:p>
            <w:pPr>
              <w:rPr>
                <w:rFonts w:hint="default" w:ascii="Times New Roman" w:hAnsi="Times New Roman" w:cs="Times New Roman"/>
                <w:sz w:val="2"/>
                <w:szCs w:val="2"/>
              </w:rPr>
            </w:pPr>
          </w:p>
        </w:tc>
        <w:tc>
          <w:tcPr>
            <w:tcW w:w="2930" w:type="dxa"/>
            <w:tcBorders>
              <w:top w:val="nil"/>
            </w:tcBorders>
          </w:tcPr>
          <w:p>
            <w:pPr>
              <w:pStyle w:val="15"/>
              <w:spacing w:before="166"/>
              <w:ind w:left="-126"/>
              <w:rPr>
                <w:rFonts w:hint="default" w:ascii="Times New Roman" w:hAnsi="Times New Roman" w:cs="Times New Roman"/>
                <w:sz w:val="22"/>
              </w:rPr>
            </w:pPr>
            <w:r>
              <w:rPr>
                <w:rFonts w:hint="default" w:ascii="Times New Roman" w:hAnsi="Times New Roman" w:cs="Times New Roman"/>
                <w:sz w:val="22"/>
              </w:rPr>
              <w:t>、</w:t>
            </w:r>
          </w:p>
        </w:tc>
      </w:tr>
    </w:tbl>
    <w:p>
      <w:pPr>
        <w:rPr>
          <w:rFonts w:hint="default" w:ascii="Times New Roman" w:hAnsi="Times New Roman" w:cs="Times New Roman"/>
          <w:sz w:val="22"/>
        </w:rPr>
        <w:sectPr>
          <w:pgSz w:w="11910" w:h="16840"/>
          <w:pgMar w:top="1600" w:right="1420" w:bottom="1660" w:left="1420" w:header="0" w:footer="1474" w:gutter="0"/>
          <w:cols w:space="720" w:num="1"/>
        </w:sectPr>
      </w:pPr>
    </w:p>
    <w:tbl>
      <w:tblPr>
        <w:tblStyle w:val="8"/>
        <w:tblW w:w="882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999"/>
        <w:gridCol w:w="912"/>
        <w:gridCol w:w="1030"/>
        <w:gridCol w:w="2231"/>
        <w:gridCol w:w="2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718"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序号</w:t>
            </w:r>
          </w:p>
        </w:tc>
        <w:tc>
          <w:tcPr>
            <w:tcW w:w="999"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目录类别</w:t>
            </w:r>
          </w:p>
        </w:tc>
        <w:tc>
          <w:tcPr>
            <w:tcW w:w="912"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淘汰范围</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产业大类</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细分行业</w:t>
            </w:r>
          </w:p>
        </w:tc>
        <w:tc>
          <w:tcPr>
            <w:tcW w:w="29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0" w:hRule="atLeast"/>
        </w:trPr>
        <w:tc>
          <w:tcPr>
            <w:tcW w:w="718" w:type="dxa"/>
            <w:vAlign w:val="center"/>
          </w:tcPr>
          <w:p>
            <w:pPr>
              <w:pStyle w:val="15"/>
              <w:spacing w:before="10" w:line="272" w:lineRule="exact"/>
              <w:ind w:left="12"/>
              <w:jc w:val="center"/>
              <w:rPr>
                <w:rFonts w:hint="default" w:ascii="Times New Roman" w:hAnsi="Times New Roman" w:cs="Times New Roman"/>
                <w:sz w:val="22"/>
              </w:rPr>
            </w:pPr>
            <w:r>
              <w:rPr>
                <w:rFonts w:hint="default" w:ascii="Times New Roman" w:hAnsi="Times New Roman" w:cs="Times New Roman"/>
                <w:sz w:val="22"/>
              </w:rPr>
              <w:t>3</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温州市重</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点行业落</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后产能认</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定标准指</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（2013 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版）</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温州市淘汰类产业</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所有产业</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列入温州市落后产能行</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业目录的钢铁、有色金</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属、轻工、制革、石油</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化工、铸造、水泥、电</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镀等行业</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718" w:type="dxa"/>
            <w:vAlign w:val="center"/>
          </w:tcPr>
          <w:p>
            <w:pPr>
              <w:pStyle w:val="15"/>
              <w:spacing w:before="164"/>
              <w:ind w:left="12"/>
              <w:jc w:val="center"/>
              <w:rPr>
                <w:rFonts w:hint="default" w:ascii="Times New Roman" w:hAnsi="Times New Roman" w:cs="Times New Roman"/>
                <w:sz w:val="22"/>
              </w:rPr>
            </w:pPr>
            <w:r>
              <w:rPr>
                <w:rFonts w:hint="default" w:ascii="Times New Roman" w:hAnsi="Times New Roman" w:cs="Times New Roman"/>
                <w:sz w:val="22"/>
              </w:rPr>
              <w:t>4</w:t>
            </w:r>
          </w:p>
        </w:tc>
        <w:tc>
          <w:tcPr>
            <w:tcW w:w="999"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结构调整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指导目录</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（2011 年</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本、2013</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年修正）</w:t>
            </w:r>
          </w:p>
        </w:tc>
        <w:tc>
          <w:tcPr>
            <w:tcW w:w="912" w:type="dxa"/>
            <w:vMerge w:val="restart"/>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与平台定位不符需淘汰的</w:t>
            </w:r>
          </w:p>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《国家产业结构目录》限制类产业</w:t>
            </w: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二、煤炭</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 w:hRule="atLeast"/>
        </w:trPr>
        <w:tc>
          <w:tcPr>
            <w:tcW w:w="718" w:type="dxa"/>
            <w:vAlign w:val="center"/>
          </w:tcPr>
          <w:p>
            <w:pPr>
              <w:pStyle w:val="15"/>
              <w:spacing w:before="105"/>
              <w:ind w:left="12"/>
              <w:jc w:val="center"/>
              <w:rPr>
                <w:rFonts w:hint="default" w:ascii="Times New Roman" w:hAnsi="Times New Roman" w:cs="Times New Roman"/>
                <w:sz w:val="22"/>
              </w:rPr>
            </w:pPr>
            <w:r>
              <w:rPr>
                <w:rFonts w:hint="default" w:ascii="Times New Roman" w:hAnsi="Times New Roman" w:cs="Times New Roman"/>
                <w:sz w:val="22"/>
              </w:rPr>
              <w:t>5</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三、电力</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718" w:type="dxa"/>
            <w:vAlign w:val="center"/>
          </w:tcPr>
          <w:p>
            <w:pPr>
              <w:pStyle w:val="15"/>
              <w:spacing w:before="188"/>
              <w:ind w:left="12"/>
              <w:jc w:val="center"/>
              <w:rPr>
                <w:rFonts w:hint="default" w:ascii="Times New Roman" w:hAnsi="Times New Roman" w:cs="Times New Roman"/>
                <w:sz w:val="22"/>
              </w:rPr>
            </w:pPr>
            <w:r>
              <w:rPr>
                <w:rFonts w:hint="default" w:ascii="Times New Roman" w:hAnsi="Times New Roman" w:cs="Times New Roman"/>
                <w:sz w:val="22"/>
              </w:rPr>
              <w:t>6</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五、信息产业</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18" w:type="dxa"/>
            <w:vAlign w:val="center"/>
          </w:tcPr>
          <w:p>
            <w:pPr>
              <w:pStyle w:val="15"/>
              <w:spacing w:before="93"/>
              <w:ind w:left="12"/>
              <w:jc w:val="center"/>
              <w:rPr>
                <w:rFonts w:hint="default" w:ascii="Times New Roman" w:hAnsi="Times New Roman" w:cs="Times New Roman"/>
                <w:sz w:val="22"/>
              </w:rPr>
            </w:pPr>
            <w:r>
              <w:rPr>
                <w:rFonts w:hint="default" w:ascii="Times New Roman" w:hAnsi="Times New Roman" w:cs="Times New Roman"/>
                <w:sz w:val="22"/>
              </w:rPr>
              <w:t>7</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八、黄金</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718" w:type="dxa"/>
            <w:vAlign w:val="center"/>
          </w:tcPr>
          <w:p>
            <w:pPr>
              <w:pStyle w:val="15"/>
              <w:spacing w:before="188"/>
              <w:ind w:left="12"/>
              <w:jc w:val="center"/>
              <w:rPr>
                <w:rFonts w:hint="default" w:ascii="Times New Roman" w:hAnsi="Times New Roman" w:cs="Times New Roman"/>
                <w:sz w:val="22"/>
              </w:rPr>
            </w:pPr>
            <w:r>
              <w:rPr>
                <w:rFonts w:hint="default" w:ascii="Times New Roman" w:hAnsi="Times New Roman" w:cs="Times New Roman"/>
                <w:sz w:val="22"/>
              </w:rPr>
              <w:t>8</w:t>
            </w:r>
          </w:p>
        </w:tc>
        <w:tc>
          <w:tcPr>
            <w:tcW w:w="999" w:type="dxa"/>
            <w:vMerge w:val="continue"/>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912" w:type="dxa"/>
            <w:vMerge w:val="continue"/>
            <w:tcBorders>
              <w:top w:val="nil"/>
            </w:tcBorders>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p>
        </w:tc>
        <w:tc>
          <w:tcPr>
            <w:tcW w:w="1030"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十六、民爆产品</w:t>
            </w:r>
          </w:p>
        </w:tc>
        <w:tc>
          <w:tcPr>
            <w:tcW w:w="2231" w:type="dxa"/>
            <w:vAlign w:val="center"/>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全部</w:t>
            </w:r>
          </w:p>
        </w:tc>
        <w:tc>
          <w:tcPr>
            <w:tcW w:w="2930" w:type="dxa"/>
          </w:tcPr>
          <w:p>
            <w:pPr>
              <w:pStyle w:val="15"/>
              <w:spacing w:line="266" w:lineRule="auto"/>
              <w:ind w:right="17"/>
              <w:jc w:val="center"/>
              <w:rPr>
                <w:rFonts w:hint="default" w:ascii="Times New Roman" w:hAnsi="Times New Roman" w:eastAsia="仿宋" w:cs="Times New Roman"/>
                <w:color w:val="000000"/>
                <w:kern w:val="0"/>
                <w:sz w:val="22"/>
                <w:szCs w:val="22"/>
                <w:lang w:val="en-US" w:bidi="ar-SA"/>
              </w:rPr>
            </w:pPr>
            <w:r>
              <w:rPr>
                <w:rFonts w:hint="default" w:ascii="Times New Roman" w:hAnsi="Times New Roman" w:eastAsia="仿宋" w:cs="Times New Roman"/>
                <w:color w:val="000000"/>
                <w:kern w:val="0"/>
                <w:sz w:val="22"/>
                <w:szCs w:val="22"/>
                <w:lang w:val="en-US" w:bidi="ar-SA"/>
              </w:rPr>
              <w:t>含《国家产业结构目录》鼓励类第四十条民爆产品</w:t>
            </w:r>
          </w:p>
        </w:tc>
      </w:tr>
    </w:tbl>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eastAsia="仿宋_GB2312" w:cs="Times New Roman"/>
          <w:b/>
          <w:bCs/>
          <w:sz w:val="40"/>
          <w:szCs w:val="22"/>
        </w:rPr>
      </w:pPr>
    </w:p>
    <w:p>
      <w:pPr>
        <w:pStyle w:val="2"/>
        <w:rPr>
          <w:rFonts w:hint="default" w:ascii="Times New Roman" w:hAnsi="Times New Roman" w:eastAsia="仿宋_GB2312" w:cs="Times New Roman"/>
          <w:b/>
          <w:bCs/>
          <w:sz w:val="40"/>
          <w:szCs w:val="22"/>
        </w:rPr>
      </w:pPr>
    </w:p>
    <w:p>
      <w:pPr>
        <w:pStyle w:val="2"/>
        <w:rPr>
          <w:rFonts w:hint="default" w:ascii="Times New Roman" w:hAnsi="Times New Roman" w:eastAsia="仿宋_GB2312" w:cs="Times New Roman"/>
          <w:b/>
          <w:bCs/>
          <w:sz w:val="40"/>
          <w:szCs w:val="22"/>
        </w:rPr>
        <w:sectPr>
          <w:footerReference r:id="rId7" w:type="default"/>
          <w:pgSz w:w="11906" w:h="16838"/>
          <w:pgMar w:top="2098" w:right="1474" w:bottom="1984" w:left="1587" w:header="851" w:footer="992" w:gutter="0"/>
          <w:cols w:space="720" w:num="1"/>
          <w:docGrid w:type="lines" w:linePitch="312" w:charSpace="0"/>
        </w:sectPr>
      </w:pPr>
    </w:p>
    <w:p>
      <w:pPr>
        <w:pStyle w:val="2"/>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附件2</w:t>
      </w:r>
    </w:p>
    <w:tbl>
      <w:tblPr>
        <w:tblStyle w:val="8"/>
        <w:tblW w:w="15165" w:type="dxa"/>
        <w:tblInd w:w="-1257" w:type="dxa"/>
        <w:tblLayout w:type="fixed"/>
        <w:tblCellMar>
          <w:top w:w="0" w:type="dxa"/>
          <w:left w:w="108" w:type="dxa"/>
          <w:bottom w:w="0" w:type="dxa"/>
          <w:right w:w="108" w:type="dxa"/>
        </w:tblCellMar>
      </w:tblPr>
      <w:tblGrid>
        <w:gridCol w:w="450"/>
        <w:gridCol w:w="420"/>
        <w:gridCol w:w="1665"/>
        <w:gridCol w:w="1020"/>
        <w:gridCol w:w="1035"/>
        <w:gridCol w:w="840"/>
        <w:gridCol w:w="1065"/>
        <w:gridCol w:w="1110"/>
        <w:gridCol w:w="1260"/>
        <w:gridCol w:w="1095"/>
        <w:gridCol w:w="1650"/>
        <w:gridCol w:w="1635"/>
        <w:gridCol w:w="990"/>
        <w:gridCol w:w="930"/>
      </w:tblGrid>
      <w:tr>
        <w:tblPrEx>
          <w:tblCellMar>
            <w:top w:w="0" w:type="dxa"/>
            <w:left w:w="108" w:type="dxa"/>
            <w:bottom w:w="0" w:type="dxa"/>
            <w:right w:w="108" w:type="dxa"/>
          </w:tblCellMar>
        </w:tblPrEx>
        <w:trPr>
          <w:trHeight w:val="450" w:hRule="atLeast"/>
        </w:trPr>
        <w:tc>
          <w:tcPr>
            <w:tcW w:w="15165" w:type="dxa"/>
            <w:gridSpan w:val="14"/>
            <w:tcBorders>
              <w:top w:val="nil"/>
              <w:left w:val="nil"/>
              <w:bottom w:val="nil"/>
              <w:right w:val="nil"/>
            </w:tcBorders>
            <w:vAlign w:val="center"/>
          </w:tcPr>
          <w:p>
            <w:pPr>
              <w:widowControl/>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温州经济技术开发区重点战略新兴产业"标准地"控制性指标</w:t>
            </w:r>
          </w:p>
        </w:tc>
      </w:tr>
      <w:tr>
        <w:tblPrEx>
          <w:tblCellMar>
            <w:top w:w="0" w:type="dxa"/>
            <w:left w:w="108" w:type="dxa"/>
            <w:bottom w:w="0" w:type="dxa"/>
            <w:right w:w="108" w:type="dxa"/>
          </w:tblCellMar>
        </w:tblPrEx>
        <w:trPr>
          <w:trHeight w:val="660" w:hRule="atLeast"/>
        </w:trPr>
        <w:tc>
          <w:tcPr>
            <w:tcW w:w="450"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序号</w:t>
            </w:r>
          </w:p>
        </w:tc>
        <w:tc>
          <w:tcPr>
            <w:tcW w:w="420"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代码</w:t>
            </w:r>
          </w:p>
        </w:tc>
        <w:tc>
          <w:tcPr>
            <w:tcW w:w="1665" w:type="dxa"/>
            <w:vMerge w:val="restart"/>
            <w:tcBorders>
              <w:top w:val="single" w:color="auto" w:sz="4" w:space="0"/>
              <w:left w:val="nil"/>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行业</w:t>
            </w:r>
          </w:p>
        </w:tc>
        <w:tc>
          <w:tcPr>
            <w:tcW w:w="205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固定资产投资强度（万元/亩）</w:t>
            </w:r>
          </w:p>
        </w:tc>
        <w:tc>
          <w:tcPr>
            <w:tcW w:w="840" w:type="dxa"/>
            <w:vMerge w:val="restart"/>
            <w:tcBorders>
              <w:top w:val="single" w:color="auto" w:sz="4" w:space="0"/>
              <w:left w:val="nil"/>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容积率</w:t>
            </w:r>
          </w:p>
        </w:tc>
        <w:tc>
          <w:tcPr>
            <w:tcW w:w="217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土地产出</w:t>
            </w:r>
          </w:p>
          <w:p>
            <w:pPr>
              <w:pStyle w:val="2"/>
              <w:jc w:val="center"/>
              <w:rPr>
                <w:rFonts w:hint="default" w:ascii="Times New Roman" w:hAnsi="Times New Roman" w:cs="Times New Roman"/>
              </w:rPr>
            </w:pPr>
            <w:r>
              <w:rPr>
                <w:rFonts w:hint="default" w:ascii="Times New Roman" w:hAnsi="Times New Roman" w:cs="Times New Roman" w:eastAsiaTheme="minorEastAsia"/>
                <w:color w:val="auto"/>
                <w:kern w:val="2"/>
                <w:sz w:val="21"/>
              </w:rPr>
              <w:t>（万元/亩）</w:t>
            </w:r>
          </w:p>
        </w:tc>
        <w:tc>
          <w:tcPr>
            <w:tcW w:w="2355"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亩均税收 （万元/亩）</w:t>
            </w:r>
          </w:p>
        </w:tc>
        <w:tc>
          <w:tcPr>
            <w:tcW w:w="1650" w:type="dxa"/>
            <w:vMerge w:val="restart"/>
            <w:tcBorders>
              <w:top w:val="single" w:color="auto" w:sz="4" w:space="0"/>
              <w:left w:val="nil"/>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单位能耗增加值(万元/吨标煤）</w:t>
            </w:r>
          </w:p>
        </w:tc>
        <w:tc>
          <w:tcPr>
            <w:tcW w:w="1635" w:type="dxa"/>
            <w:vMerge w:val="restart"/>
            <w:tcBorders>
              <w:top w:val="single" w:color="auto" w:sz="4" w:space="0"/>
              <w:left w:val="nil"/>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单位排放增加值（万元/吨）</w:t>
            </w:r>
          </w:p>
        </w:tc>
        <w:tc>
          <w:tcPr>
            <w:tcW w:w="192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研发经费支出占主营收入比例</w:t>
            </w:r>
          </w:p>
        </w:tc>
      </w:tr>
      <w:tr>
        <w:tblPrEx>
          <w:tblCellMar>
            <w:top w:w="0" w:type="dxa"/>
            <w:left w:w="108" w:type="dxa"/>
            <w:bottom w:w="0" w:type="dxa"/>
            <w:right w:w="108" w:type="dxa"/>
          </w:tblCellMar>
        </w:tblPrEx>
        <w:trPr>
          <w:trHeight w:val="660" w:hRule="atLeast"/>
        </w:trPr>
        <w:tc>
          <w:tcPr>
            <w:tcW w:w="450"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420"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1665"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102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控制值</w:t>
            </w:r>
          </w:p>
        </w:tc>
        <w:tc>
          <w:tcPr>
            <w:tcW w:w="103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开发区推荐值</w:t>
            </w:r>
          </w:p>
        </w:tc>
        <w:tc>
          <w:tcPr>
            <w:tcW w:w="840" w:type="dxa"/>
            <w:vMerge w:val="continue"/>
            <w:tcBorders>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p>
        </w:tc>
        <w:tc>
          <w:tcPr>
            <w:tcW w:w="106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rPr>
              <w:t>控制值</w:t>
            </w:r>
          </w:p>
        </w:tc>
        <w:tc>
          <w:tcPr>
            <w:tcW w:w="111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rPr>
            </w:pPr>
            <w:r>
              <w:rPr>
                <w:rFonts w:hint="default" w:ascii="Times New Roman" w:hAnsi="Times New Roman" w:cs="Times New Roman"/>
                <w:kern w:val="0"/>
                <w:sz w:val="20"/>
                <w:szCs w:val="20"/>
              </w:rPr>
              <w:t>开发区推荐值</w:t>
            </w:r>
          </w:p>
        </w:tc>
        <w:tc>
          <w:tcPr>
            <w:tcW w:w="126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控制值</w:t>
            </w:r>
          </w:p>
        </w:tc>
        <w:tc>
          <w:tcPr>
            <w:tcW w:w="1095"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开发区推荐值</w:t>
            </w:r>
          </w:p>
        </w:tc>
        <w:tc>
          <w:tcPr>
            <w:tcW w:w="1650" w:type="dxa"/>
            <w:vMerge w:val="continue"/>
            <w:tcBorders>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p>
        </w:tc>
        <w:tc>
          <w:tcPr>
            <w:tcW w:w="1635" w:type="dxa"/>
            <w:vMerge w:val="continue"/>
            <w:tcBorders>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p>
        </w:tc>
        <w:tc>
          <w:tcPr>
            <w:tcW w:w="99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控制值</w:t>
            </w:r>
          </w:p>
        </w:tc>
        <w:tc>
          <w:tcPr>
            <w:tcW w:w="93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开发区推荐值</w:t>
            </w:r>
          </w:p>
        </w:tc>
      </w:tr>
      <w:tr>
        <w:tblPrEx>
          <w:tblCellMar>
            <w:top w:w="0" w:type="dxa"/>
            <w:left w:w="108" w:type="dxa"/>
            <w:bottom w:w="0" w:type="dxa"/>
            <w:right w:w="108" w:type="dxa"/>
          </w:tblCellMar>
        </w:tblPrEx>
        <w:trPr>
          <w:trHeight w:val="783" w:hRule="atLeast"/>
        </w:trPr>
        <w:tc>
          <w:tcPr>
            <w:tcW w:w="45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cs="Times New Roman"/>
                <w:kern w:val="0"/>
                <w:sz w:val="20"/>
                <w:szCs w:val="20"/>
              </w:rPr>
              <w:t>1</w:t>
            </w:r>
          </w:p>
        </w:tc>
        <w:tc>
          <w:tcPr>
            <w:tcW w:w="42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27</w:t>
            </w:r>
          </w:p>
        </w:tc>
        <w:tc>
          <w:tcPr>
            <w:tcW w:w="1665"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医药制造业</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≥360</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≥600</w:t>
            </w:r>
          </w:p>
        </w:tc>
        <w:tc>
          <w:tcPr>
            <w:tcW w:w="840" w:type="dxa"/>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≥1.5</w:t>
            </w:r>
          </w:p>
        </w:tc>
        <w:tc>
          <w:tcPr>
            <w:tcW w:w="1065"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≥330</w:t>
            </w:r>
          </w:p>
        </w:tc>
        <w:tc>
          <w:tcPr>
            <w:tcW w:w="111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≥600</w:t>
            </w:r>
          </w:p>
        </w:tc>
        <w:tc>
          <w:tcPr>
            <w:tcW w:w="126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≥46.3</w:t>
            </w:r>
          </w:p>
        </w:tc>
        <w:tc>
          <w:tcPr>
            <w:tcW w:w="1095"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≥50</w:t>
            </w:r>
          </w:p>
        </w:tc>
        <w:tc>
          <w:tcPr>
            <w:tcW w:w="165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≥4.7</w:t>
            </w:r>
          </w:p>
        </w:tc>
        <w:tc>
          <w:tcPr>
            <w:tcW w:w="1635"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≥1272</w:t>
            </w:r>
          </w:p>
        </w:tc>
        <w:tc>
          <w:tcPr>
            <w:tcW w:w="99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≥3.7</w:t>
            </w:r>
          </w:p>
        </w:tc>
        <w:tc>
          <w:tcPr>
            <w:tcW w:w="930" w:type="dxa"/>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≥4.0</w:t>
            </w:r>
          </w:p>
        </w:tc>
      </w:tr>
      <w:tr>
        <w:tblPrEx>
          <w:tblCellMar>
            <w:top w:w="0" w:type="dxa"/>
            <w:left w:w="108" w:type="dxa"/>
            <w:bottom w:w="0" w:type="dxa"/>
            <w:right w:w="108" w:type="dxa"/>
          </w:tblCellMar>
        </w:tblPrEx>
        <w:trPr>
          <w:trHeight w:val="759" w:hRule="atLeast"/>
        </w:trPr>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cs="Times New Roman"/>
                <w:kern w:val="0"/>
                <w:sz w:val="20"/>
                <w:szCs w:val="20"/>
              </w:rPr>
              <w:t>2</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34</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通用设备制造业</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≥300</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≥500</w:t>
            </w:r>
          </w:p>
        </w:tc>
        <w:tc>
          <w:tcPr>
            <w:tcW w:w="840"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≥380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≥500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≥24.7</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≥40</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≥6.6</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≥5640</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≥2.9</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≥3.5</w:t>
            </w:r>
          </w:p>
        </w:tc>
      </w:tr>
      <w:tr>
        <w:tblPrEx>
          <w:tblCellMar>
            <w:top w:w="0" w:type="dxa"/>
            <w:left w:w="108" w:type="dxa"/>
            <w:bottom w:w="0" w:type="dxa"/>
            <w:right w:w="108" w:type="dxa"/>
          </w:tblCellMar>
        </w:tblPrEx>
        <w:trPr>
          <w:trHeight w:val="699" w:hRule="atLeast"/>
        </w:trPr>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cs="Times New Roman"/>
                <w:kern w:val="0"/>
                <w:sz w:val="20"/>
                <w:szCs w:val="20"/>
              </w:rPr>
              <w:t>3</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35</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专用设备制造业</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≥300</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≥500</w:t>
            </w:r>
          </w:p>
        </w:tc>
        <w:tc>
          <w:tcPr>
            <w:tcW w:w="840"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≥500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≥23</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≥40</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≥11269</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≥3.5</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≥4.0</w:t>
            </w:r>
          </w:p>
        </w:tc>
      </w:tr>
      <w:tr>
        <w:tblPrEx>
          <w:tblCellMar>
            <w:top w:w="0" w:type="dxa"/>
            <w:left w:w="108" w:type="dxa"/>
            <w:bottom w:w="0" w:type="dxa"/>
            <w:right w:w="108" w:type="dxa"/>
          </w:tblCellMar>
        </w:tblPrEx>
        <w:trPr>
          <w:trHeight w:val="649" w:hRule="atLeast"/>
        </w:trPr>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cs="Times New Roman"/>
                <w:kern w:val="0"/>
                <w:sz w:val="20"/>
                <w:szCs w:val="20"/>
              </w:rPr>
              <w:t>4</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36</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汽车制造业</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≥300</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≥400</w:t>
            </w:r>
          </w:p>
        </w:tc>
        <w:tc>
          <w:tcPr>
            <w:tcW w:w="840"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≥450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≥600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≥37</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≥40</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≥7.2</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≥6564</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≥2.4</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≥3.5</w:t>
            </w:r>
          </w:p>
        </w:tc>
      </w:tr>
      <w:tr>
        <w:tblPrEx>
          <w:tblCellMar>
            <w:top w:w="0" w:type="dxa"/>
            <w:left w:w="108" w:type="dxa"/>
            <w:bottom w:w="0" w:type="dxa"/>
            <w:right w:w="108" w:type="dxa"/>
          </w:tblCellMar>
        </w:tblPrEx>
        <w:trPr>
          <w:trHeight w:val="1019" w:hRule="atLeast"/>
        </w:trPr>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cs="Times New Roman"/>
                <w:kern w:val="0"/>
                <w:sz w:val="20"/>
                <w:szCs w:val="20"/>
              </w:rPr>
              <w:t>5</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37</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铁路、船舶、航空航天和其他运输设备制造业</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≥300</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≥450</w:t>
            </w:r>
          </w:p>
        </w:tc>
        <w:tc>
          <w:tcPr>
            <w:tcW w:w="840"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≥340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≥500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≥19.2</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≥40</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≥8.4</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≥3820</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≥2.6</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≥3.5</w:t>
            </w:r>
          </w:p>
        </w:tc>
      </w:tr>
      <w:tr>
        <w:tblPrEx>
          <w:tblCellMar>
            <w:top w:w="0" w:type="dxa"/>
            <w:left w:w="108" w:type="dxa"/>
            <w:bottom w:w="0" w:type="dxa"/>
            <w:right w:w="108" w:type="dxa"/>
          </w:tblCellMar>
        </w:tblPrEx>
        <w:trPr>
          <w:trHeight w:val="1059" w:hRule="atLeast"/>
        </w:trPr>
        <w:tc>
          <w:tcPr>
            <w:tcW w:w="4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w:t>
            </w:r>
          </w:p>
        </w:tc>
        <w:tc>
          <w:tcPr>
            <w:tcW w:w="4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38</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电气机械和器材制造业</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≥300</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≥500</w:t>
            </w:r>
          </w:p>
        </w:tc>
        <w:tc>
          <w:tcPr>
            <w:tcW w:w="840"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≥420</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≥550</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≥39.4</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≥45</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≥6.8</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≥11996</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≥2.8</w:t>
            </w:r>
          </w:p>
        </w:tc>
        <w:tc>
          <w:tcPr>
            <w:tcW w:w="9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≥3.5</w:t>
            </w:r>
          </w:p>
        </w:tc>
      </w:tr>
    </w:tbl>
    <w:p>
      <w:pPr>
        <w:widowControl/>
        <w:jc w:val="left"/>
        <w:rPr>
          <w:rFonts w:hint="default" w:ascii="Times New Roman" w:hAnsi="Times New Roman" w:cs="Times New Roman"/>
          <w:kern w:val="0"/>
          <w:sz w:val="20"/>
          <w:szCs w:val="20"/>
        </w:rPr>
        <w:sectPr>
          <w:pgSz w:w="16838" w:h="11906" w:orient="landscape"/>
          <w:pgMar w:top="1587" w:right="2098" w:bottom="1474" w:left="1984" w:header="851" w:footer="992" w:gutter="0"/>
          <w:cols w:space="720" w:num="1"/>
          <w:docGrid w:type="lines" w:linePitch="312" w:charSpace="0"/>
        </w:sectPr>
      </w:pPr>
      <w:r>
        <w:rPr>
          <w:rFonts w:hint="default" w:ascii="Times New Roman" w:hAnsi="Times New Roman" w:cs="Times New Roman"/>
          <w:kern w:val="0"/>
          <w:sz w:val="20"/>
          <w:szCs w:val="20"/>
        </w:rPr>
        <w:t>控制值：参照《温州市"标准地"控制性指标 (试行)》温经信投资〔2018〕86号文件内推荐值指标</w:t>
      </w:r>
    </w:p>
    <w:p>
      <w:pPr>
        <w:pStyle w:val="2"/>
        <w:rPr>
          <w:rFonts w:hint="default" w:ascii="Times New Roman" w:hAnsi="Times New Roman" w:eastAsia="黑体" w:cs="Times New Roman"/>
          <w:sz w:val="32"/>
          <w:szCs w:val="32"/>
        </w:rPr>
      </w:pPr>
      <w:r>
        <w:rPr>
          <w:rFonts w:hint="default" w:ascii="Times New Roman" w:hAnsi="Times New Roman" w:eastAsia="黑体" w:cs="Times New Roman"/>
          <w:kern w:val="2"/>
          <w:sz w:val="32"/>
          <w:szCs w:val="32"/>
        </w:rPr>
        <w:t>附件3</w:t>
      </w:r>
    </w:p>
    <w:p>
      <w:pPr>
        <w:widowControl/>
        <w:jc w:val="center"/>
        <w:textAlignment w:val="baseline"/>
        <w:rPr>
          <w:rFonts w:hint="default" w:ascii="Times New Roman" w:hAnsi="Times New Roman" w:eastAsia="仿宋_GB2312" w:cs="Times New Roman"/>
          <w:b/>
          <w:bCs/>
          <w:color w:val="000000"/>
          <w:spacing w:val="-20"/>
          <w:kern w:val="0"/>
          <w:sz w:val="32"/>
          <w:szCs w:val="32"/>
        </w:rPr>
      </w:pPr>
      <w:r>
        <w:rPr>
          <w:rFonts w:hint="default" w:ascii="Times New Roman" w:hAnsi="Times New Roman" w:eastAsia="仿宋_GB2312" w:cs="Times New Roman"/>
          <w:b/>
          <w:bCs/>
          <w:color w:val="000000"/>
          <w:spacing w:val="-20"/>
          <w:kern w:val="0"/>
          <w:sz w:val="32"/>
          <w:szCs w:val="32"/>
        </w:rPr>
        <w:t>温州经济技术开发区“一事一议”单体制造业项目入园评价表</w:t>
      </w:r>
    </w:p>
    <w:p>
      <w:pPr>
        <w:pStyle w:val="2"/>
        <w:jc w:val="both"/>
        <w:rPr>
          <w:rFonts w:hint="default" w:ascii="Times New Roman" w:hAnsi="Times New Roman" w:cs="Times New Roman"/>
          <w:b/>
          <w:bCs/>
          <w:sz w:val="21"/>
          <w:szCs w:val="21"/>
        </w:rPr>
      </w:pPr>
      <w:r>
        <w:rPr>
          <w:rFonts w:hint="default" w:ascii="Times New Roman" w:hAnsi="Times New Roman" w:cs="Times New Roman"/>
          <w:b/>
          <w:bCs/>
          <w:sz w:val="21"/>
          <w:szCs w:val="21"/>
        </w:rPr>
        <w:t>企业（项目）名称：</w:t>
      </w:r>
    </w:p>
    <w:tbl>
      <w:tblPr>
        <w:tblStyle w:val="8"/>
        <w:tblW w:w="9187"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12"/>
        <w:gridCol w:w="1900"/>
        <w:gridCol w:w="1188"/>
        <w:gridCol w:w="1512"/>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sz w:val="21"/>
                <w:szCs w:val="21"/>
              </w:rPr>
            </w:pPr>
            <w:r>
              <w:rPr>
                <w:rFonts w:hint="default" w:ascii="Times New Roman" w:hAnsi="Times New Roman" w:cs="Times New Roman"/>
                <w:b/>
                <w:bCs/>
                <w:sz w:val="21"/>
                <w:szCs w:val="21"/>
              </w:rPr>
              <w:t>评估内容</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sz w:val="21"/>
                <w:szCs w:val="21"/>
              </w:rPr>
            </w:pPr>
            <w:r>
              <w:rPr>
                <w:rFonts w:hint="default" w:ascii="Times New Roman" w:hAnsi="Times New Roman" w:cs="Times New Roman"/>
                <w:b/>
                <w:bCs/>
                <w:sz w:val="21"/>
                <w:szCs w:val="21"/>
              </w:rPr>
              <w:t>分值</w:t>
            </w:r>
          </w:p>
          <w:p>
            <w:pPr>
              <w:pStyle w:val="2"/>
              <w:jc w:val="center"/>
              <w:rPr>
                <w:rFonts w:hint="default" w:ascii="Times New Roman" w:hAnsi="Times New Roman" w:cs="Times New Roman"/>
                <w:b/>
                <w:bCs/>
                <w:sz w:val="21"/>
                <w:szCs w:val="21"/>
              </w:rPr>
            </w:pPr>
            <w:r>
              <w:rPr>
                <w:rFonts w:hint="default" w:ascii="Times New Roman" w:hAnsi="Times New Roman" w:cs="Times New Roman"/>
                <w:b/>
                <w:bCs/>
                <w:sz w:val="21"/>
                <w:szCs w:val="21"/>
              </w:rPr>
              <w:t>（百分制）</w:t>
            </w:r>
          </w:p>
        </w:tc>
        <w:tc>
          <w:tcPr>
            <w:tcW w:w="151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sz w:val="21"/>
                <w:szCs w:val="21"/>
              </w:rPr>
            </w:pPr>
            <w:r>
              <w:rPr>
                <w:rFonts w:hint="default" w:ascii="Times New Roman" w:hAnsi="Times New Roman" w:cs="Times New Roman"/>
                <w:b/>
                <w:bCs/>
                <w:sz w:val="21"/>
                <w:szCs w:val="21"/>
              </w:rPr>
              <w:t>定量评估得分</w:t>
            </w: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sz w:val="21"/>
                <w:szCs w:val="21"/>
              </w:rPr>
            </w:pPr>
            <w:r>
              <w:rPr>
                <w:rFonts w:hint="default" w:ascii="Times New Roman" w:hAnsi="Times New Roman"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投资方实力、投资方情况（持股30%以上大股东）</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主要从投资方的行业地位、以往业绩、商业信用、资产状况等方面进行评估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50"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经济指标</w:t>
            </w:r>
          </w:p>
        </w:tc>
        <w:tc>
          <w:tcPr>
            <w:tcW w:w="190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产值、税收贡献及亩均贡献</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主要从项目预期能够实现的区级产值、财税贡献等方面进行评估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p>
        </w:tc>
        <w:tc>
          <w:tcPr>
            <w:tcW w:w="1112" w:type="dxa"/>
            <w:vMerge w:val="continue"/>
            <w:tcBorders>
              <w:top w:val="single" w:color="auto" w:sz="4" w:space="0"/>
              <w:left w:val="single" w:color="auto" w:sz="4" w:space="0"/>
              <w:bottom w:val="single" w:color="auto" w:sz="4" w:space="0"/>
              <w:right w:val="single" w:color="auto" w:sz="4" w:space="0"/>
            </w:tcBorders>
            <w:vAlign w:val="bottom"/>
          </w:tcPr>
          <w:p>
            <w:pPr>
              <w:pStyle w:val="2"/>
              <w:jc w:val="center"/>
              <w:rPr>
                <w:rFonts w:hint="default" w:ascii="Times New Roman" w:hAnsi="Times New Roman" w:cs="Times New Roman"/>
                <w:sz w:val="22"/>
                <w:szCs w:val="22"/>
              </w:rPr>
            </w:pPr>
          </w:p>
        </w:tc>
        <w:tc>
          <w:tcPr>
            <w:tcW w:w="190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现实条件（亩产值、亩税收）</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20</w:t>
            </w:r>
          </w:p>
        </w:tc>
        <w:tc>
          <w:tcPr>
            <w:tcW w:w="1512" w:type="dxa"/>
            <w:tcBorders>
              <w:top w:val="single" w:color="auto" w:sz="4" w:space="0"/>
              <w:left w:val="single" w:color="auto" w:sz="4" w:space="0"/>
              <w:bottom w:val="single" w:color="auto" w:sz="4" w:space="0"/>
              <w:right w:val="single" w:color="auto" w:sz="4" w:space="0"/>
            </w:tcBorders>
          </w:tcPr>
          <w:p>
            <w:pPr>
              <w:pStyle w:val="2"/>
              <w:jc w:val="center"/>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主要从企业现有项目的产值、财税贡献等方面进行评估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750"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投资规模</w:t>
            </w:r>
          </w:p>
        </w:tc>
        <w:tc>
          <w:tcPr>
            <w:tcW w:w="190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投资额度、投资强度</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15</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vMerge w:val="restart"/>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主要从投资额度、投资强度、设备投资等标准进行评估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50" w:type="dxa"/>
            <w:vMerge w:val="continue"/>
            <w:tcBorders>
              <w:top w:val="single" w:color="auto" w:sz="4" w:space="0"/>
              <w:left w:val="single" w:color="auto" w:sz="4" w:space="0"/>
              <w:bottom w:val="single" w:color="auto" w:sz="4" w:space="0"/>
              <w:right w:val="single" w:color="auto" w:sz="4" w:space="0"/>
            </w:tcBorders>
            <w:vAlign w:val="center"/>
          </w:tcPr>
          <w:p>
            <w:pPr>
              <w:pStyle w:val="2"/>
              <w:rPr>
                <w:rFonts w:hint="default" w:ascii="Times New Roman" w:hAnsi="Times New Roman" w:cs="Times New Roman"/>
                <w:sz w:val="22"/>
                <w:szCs w:val="22"/>
              </w:rPr>
            </w:pPr>
          </w:p>
        </w:tc>
        <w:tc>
          <w:tcPr>
            <w:tcW w:w="1112" w:type="dxa"/>
            <w:vMerge w:val="continue"/>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190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设备投资</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vMerge w:val="continue"/>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产品和技术科技含量</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主要从技术的先进性、领先性、创新性及专利、知识产权等方面进行评估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人才团队</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主要从项目引进的顶尖人才、领军人才等高端人才引进方面进行评估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厂房和工业设计方案</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主要从项目的生产流程和生产工艺等方面进行评估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能源消耗</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jc w:val="both"/>
              <w:rPr>
                <w:rFonts w:hint="default" w:ascii="Times New Roman" w:hAnsi="Times New Roman" w:cs="Times New Roman"/>
                <w:sz w:val="22"/>
                <w:szCs w:val="22"/>
              </w:rPr>
            </w:pPr>
            <w:r>
              <w:rPr>
                <w:rFonts w:hint="default" w:ascii="Times New Roman" w:hAnsi="Times New Roman" w:cs="Times New Roman"/>
                <w:sz w:val="22"/>
                <w:szCs w:val="22"/>
              </w:rPr>
              <w:t>主要从项目的能耗总量及单位能耗增加值等方面进行评估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发展潜力</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r>
              <w:rPr>
                <w:rFonts w:hint="default" w:ascii="Times New Roman" w:hAnsi="Times New Roman" w:cs="Times New Roman"/>
                <w:sz w:val="22"/>
                <w:szCs w:val="22"/>
              </w:rPr>
              <w:t>主要从项目的行业背景、市场发展潜力等方面酌情进行评估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5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3012"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加分项</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1512"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vAlign w:val="center"/>
          </w:tcPr>
          <w:p>
            <w:pPr>
              <w:pStyle w:val="2"/>
              <w:rPr>
                <w:rFonts w:hint="default" w:ascii="Times New Roman" w:hAnsi="Times New Roman" w:cs="Times New Roman"/>
                <w:sz w:val="22"/>
                <w:szCs w:val="22"/>
              </w:rPr>
            </w:pPr>
            <w:r>
              <w:rPr>
                <w:rFonts w:hint="default" w:ascii="Times New Roman" w:hAnsi="Times New Roman" w:cs="Times New Roman"/>
                <w:sz w:val="22"/>
                <w:szCs w:val="22"/>
              </w:rPr>
              <w:t>主要从投资主体、人才情况、亩税贡献、外资情况等方面酌情给予加分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3762" w:type="dxa"/>
            <w:gridSpan w:val="3"/>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定量评估总得分</w:t>
            </w:r>
          </w:p>
        </w:tc>
        <w:tc>
          <w:tcPr>
            <w:tcW w:w="1188"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100（+10）</w:t>
            </w:r>
          </w:p>
        </w:tc>
        <w:tc>
          <w:tcPr>
            <w:tcW w:w="1512"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c>
          <w:tcPr>
            <w:tcW w:w="2725" w:type="dxa"/>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4950" w:type="dxa"/>
            <w:gridSpan w:val="4"/>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sz w:val="22"/>
                <w:szCs w:val="22"/>
              </w:rPr>
            </w:pPr>
            <w:r>
              <w:rPr>
                <w:rFonts w:hint="default" w:ascii="Times New Roman" w:hAnsi="Times New Roman" w:cs="Times New Roman"/>
                <w:sz w:val="22"/>
                <w:szCs w:val="22"/>
              </w:rPr>
              <w:t>是否同意准入</w:t>
            </w:r>
          </w:p>
        </w:tc>
        <w:tc>
          <w:tcPr>
            <w:tcW w:w="4237" w:type="dxa"/>
            <w:gridSpan w:val="2"/>
            <w:tcBorders>
              <w:top w:val="single" w:color="auto" w:sz="4" w:space="0"/>
              <w:left w:val="single" w:color="auto" w:sz="4" w:space="0"/>
              <w:bottom w:val="single" w:color="auto" w:sz="4" w:space="0"/>
              <w:right w:val="single" w:color="auto" w:sz="4" w:space="0"/>
            </w:tcBorders>
          </w:tcPr>
          <w:p>
            <w:pPr>
              <w:pStyle w:val="2"/>
              <w:rPr>
                <w:rFonts w:hint="default" w:ascii="Times New Roman" w:hAnsi="Times New Roman" w:cs="Times New Roman"/>
                <w:sz w:val="22"/>
                <w:szCs w:val="22"/>
              </w:rPr>
            </w:pPr>
          </w:p>
        </w:tc>
      </w:tr>
    </w:tbl>
    <w:p>
      <w:pPr>
        <w:pStyle w:val="2"/>
        <w:tabs>
          <w:tab w:val="left" w:pos="288"/>
        </w:tabs>
        <w:rPr>
          <w:rFonts w:hint="default" w:ascii="Times New Roman" w:hAnsi="Times New Roman" w:cs="Times New Roman"/>
        </w:rPr>
      </w:pPr>
      <w:r>
        <w:rPr>
          <w:rFonts w:hint="default" w:ascii="Times New Roman" w:hAnsi="Times New Roman" w:cs="Times New Roman"/>
        </w:rPr>
        <w:t>注：算数平均综合得分在80分以上的项目，予以推荐入园。</w:t>
      </w:r>
    </w:p>
    <w:p>
      <w:pPr>
        <w:pStyle w:val="2"/>
        <w:tabs>
          <w:tab w:val="left" w:pos="288"/>
        </w:tabs>
        <w:rPr>
          <w:rFonts w:hint="default" w:ascii="Times New Roman" w:hAnsi="Times New Roman" w:cs="Times New Roman"/>
        </w:rPr>
        <w:sectPr>
          <w:pgSz w:w="11906" w:h="16838"/>
          <w:pgMar w:top="1361" w:right="1800" w:bottom="1361" w:left="1800" w:header="851" w:footer="992" w:gutter="0"/>
          <w:cols w:space="720" w:num="1"/>
          <w:docGrid w:type="lines" w:linePitch="312" w:charSpace="0"/>
        </w:sectPr>
      </w:pPr>
      <w:r>
        <w:rPr>
          <w:rFonts w:hint="default" w:ascii="Times New Roman" w:hAnsi="Times New Roman" w:cs="Times New Roman"/>
        </w:rPr>
        <w:t>评分人：年   月   日</w:t>
      </w:r>
    </w:p>
    <w:p>
      <w:pPr>
        <w:pStyle w:val="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widowControl/>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bCs/>
          <w:color w:val="000000"/>
          <w:kern w:val="0"/>
          <w:sz w:val="32"/>
          <w:szCs w:val="32"/>
        </w:rPr>
        <w:t>部门审查分工及意见反馈表</w:t>
      </w:r>
    </w:p>
    <w:p>
      <w:pPr>
        <w:pStyle w:val="2"/>
        <w:tabs>
          <w:tab w:val="left" w:pos="6369"/>
        </w:tabs>
        <w:jc w:val="both"/>
        <w:rPr>
          <w:rFonts w:hint="default" w:ascii="Times New Roman" w:hAnsi="Times New Roman" w:cs="Times New Roman"/>
          <w:b/>
          <w:bCs/>
          <w:sz w:val="21"/>
          <w:szCs w:val="21"/>
        </w:rPr>
      </w:pPr>
      <w:r>
        <w:rPr>
          <w:rFonts w:hint="default" w:ascii="Times New Roman" w:hAnsi="Times New Roman" w:cs="Times New Roman"/>
          <w:b/>
          <w:bCs/>
          <w:sz w:val="21"/>
          <w:szCs w:val="21"/>
        </w:rPr>
        <w:t>企业名称：</w:t>
      </w:r>
    </w:p>
    <w:p>
      <w:pPr>
        <w:pStyle w:val="2"/>
        <w:tabs>
          <w:tab w:val="left" w:pos="6369"/>
        </w:tabs>
        <w:jc w:val="both"/>
        <w:rPr>
          <w:rFonts w:hint="default" w:ascii="Times New Roman" w:hAnsi="Times New Roman" w:cs="Times New Roman"/>
          <w:b/>
          <w:bCs/>
          <w:sz w:val="21"/>
          <w:szCs w:val="21"/>
        </w:rPr>
      </w:pPr>
      <w:r>
        <w:rPr>
          <w:rFonts w:hint="default" w:ascii="Times New Roman" w:hAnsi="Times New Roman" w:cs="Times New Roman"/>
          <w:b/>
          <w:bCs/>
          <w:sz w:val="21"/>
          <w:szCs w:val="21"/>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4014"/>
        <w:gridCol w:w="2290"/>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rPr>
            </w:pPr>
            <w:r>
              <w:rPr>
                <w:rFonts w:hint="default" w:ascii="Times New Roman" w:hAnsi="Times New Roman" w:cs="Times New Roman"/>
                <w:b/>
                <w:bCs/>
              </w:rPr>
              <w:t>单位名称</w:t>
            </w:r>
          </w:p>
        </w:tc>
        <w:tc>
          <w:tcPr>
            <w:tcW w:w="4014"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rPr>
            </w:pPr>
            <w:r>
              <w:rPr>
                <w:rFonts w:hint="default" w:ascii="Times New Roman" w:hAnsi="Times New Roman" w:cs="Times New Roman"/>
                <w:b/>
                <w:bCs/>
              </w:rPr>
              <w:t>审查内容</w:t>
            </w:r>
          </w:p>
        </w:tc>
        <w:tc>
          <w:tcPr>
            <w:tcW w:w="2290"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rPr>
            </w:pPr>
            <w:r>
              <w:rPr>
                <w:rFonts w:hint="default" w:ascii="Times New Roman" w:hAnsi="Times New Roman" w:cs="Times New Roman"/>
                <w:b/>
                <w:bCs/>
              </w:rPr>
              <w:t>审查意见</w:t>
            </w:r>
          </w:p>
        </w:tc>
        <w:tc>
          <w:tcPr>
            <w:tcW w:w="991" w:type="dxa"/>
            <w:tcBorders>
              <w:top w:val="single" w:color="auto" w:sz="4" w:space="0"/>
              <w:left w:val="single" w:color="auto" w:sz="4" w:space="0"/>
              <w:bottom w:val="single" w:color="auto" w:sz="4" w:space="0"/>
              <w:right w:val="single" w:color="auto" w:sz="4" w:space="0"/>
            </w:tcBorders>
            <w:vAlign w:val="center"/>
          </w:tcPr>
          <w:p>
            <w:pPr>
              <w:pStyle w:val="2"/>
              <w:jc w:val="center"/>
              <w:rPr>
                <w:rFonts w:hint="default" w:ascii="Times New Roman" w:hAnsi="Times New Roman" w:cs="Times New Roman"/>
                <w:b/>
                <w:bCs/>
              </w:rPr>
            </w:pPr>
            <w:r>
              <w:rPr>
                <w:rFonts w:hint="default" w:ascii="Times New Roman" w:hAnsi="Times New Roman" w:cs="Times New Roman"/>
                <w:b/>
                <w:bCs/>
              </w:rPr>
              <w:t>是否同意入园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经济发展局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exact"/>
              <w:rPr>
                <w:rFonts w:hint="default" w:ascii="Times New Roman" w:hAnsi="Times New Roman" w:eastAsia="宋体" w:cs="Times New Roman"/>
                <w:b/>
                <w:bCs/>
                <w:color w:val="000000"/>
                <w:kern w:val="0"/>
                <w:sz w:val="40"/>
                <w:szCs w:val="22"/>
              </w:rPr>
            </w:pPr>
            <w:r>
              <w:rPr>
                <w:rFonts w:hint="default" w:ascii="Times New Roman" w:hAnsi="Times New Roman" w:eastAsia="楷体_GB2312" w:cs="Times New Roman"/>
                <w:color w:val="000000"/>
                <w:kern w:val="0"/>
                <w:sz w:val="24"/>
              </w:rPr>
              <w:t>对项目是否符合国家产业发展政策、是否符合我区产业规划布局及重点发展方向等方面提出综合性评估意见；对项目产业链发展契合度提出意见；对项目拟选址区域是否符合区域产业发展规划提出意见。对项目的能源消耗及其它依据职责审查事项提出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科技局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1" w:lineRule="exact"/>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对拟入园项目的科技含量与技术水平及其它依据职责审查事项提出意见；对跨行业投资方引进技术的可行性提出意见；对区内投资方技术研发水平提供意见。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生态环境分局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1" w:lineRule="exact"/>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对项目的环境影响、污染物排放的种类、数量及其它依据职责审查事项提出意见。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应急管理局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1" w:lineRule="exact"/>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根据项目建设内容、产品及中间产品等信息，对项目是否属于危险化学品等建设项目提出初步审查意见；区内投资方三年内是否有重大安全事故审查及其它依据职责审查事项提出意见。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财政局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1" w:lineRule="exact"/>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项目扶持建议及其它依据职责审查事项提出意见。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税务局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8" w:lineRule="exact"/>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对项目预期税收贡献、区内投资方纳税贡献进行审查；其它依据职责审查事项提出意见。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市场监督管理分局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8" w:lineRule="exact"/>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对企业三年内是否属于严重违法失信企业审查提出意见。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自然资源和规划分局</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8" w:lineRule="exact"/>
              <w:rPr>
                <w:rFonts w:hint="default" w:ascii="Times New Roman" w:hAnsi="Times New Roman" w:eastAsia="仿宋_GB2312" w:cs="Times New Roman"/>
                <w:b/>
                <w:bCs/>
                <w:color w:val="000000"/>
                <w:kern w:val="0"/>
                <w:sz w:val="40"/>
                <w:szCs w:val="22"/>
              </w:rPr>
            </w:pPr>
            <w:r>
              <w:rPr>
                <w:rFonts w:hint="default" w:ascii="Times New Roman" w:hAnsi="Times New Roman" w:eastAsia="楷体_GB2312" w:cs="Times New Roman"/>
                <w:color w:val="000000"/>
                <w:kern w:val="0"/>
                <w:sz w:val="24"/>
              </w:rPr>
              <w:t>对企业的选址情况是否符合土地利用规划和城镇空间规划提出意见；对项目的用地面积（租赁面积）、建筑面积、建筑密度和容积率及其它依据职责审查事项提出意见；对项目方区内已有用地情况提出意见。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aseline"/>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其他单位</w:t>
            </w:r>
          </w:p>
        </w:tc>
        <w:tc>
          <w:tcPr>
            <w:tcW w:w="401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78" w:lineRule="exact"/>
              <w:rPr>
                <w:rFonts w:hint="default" w:ascii="Times New Roman" w:hAnsi="Times New Roman" w:eastAsia="楷体_GB2312" w:cs="Times New Roman"/>
                <w:color w:val="000000"/>
                <w:kern w:val="0"/>
                <w:sz w:val="24"/>
              </w:rPr>
            </w:pPr>
            <w:r>
              <w:rPr>
                <w:rFonts w:hint="default" w:ascii="Times New Roman" w:hAnsi="Times New Roman" w:eastAsia="楷体_GB2312" w:cs="Times New Roman"/>
                <w:color w:val="000000"/>
                <w:kern w:val="0"/>
                <w:sz w:val="24"/>
              </w:rPr>
              <w:t>依据职责反馈意见。</w:t>
            </w:r>
          </w:p>
        </w:tc>
        <w:tc>
          <w:tcPr>
            <w:tcW w:w="2290"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c>
          <w:tcPr>
            <w:tcW w:w="991" w:type="dxa"/>
            <w:tcBorders>
              <w:top w:val="single" w:color="auto" w:sz="4" w:space="0"/>
              <w:left w:val="single" w:color="auto" w:sz="4" w:space="0"/>
              <w:bottom w:val="single" w:color="auto" w:sz="4" w:space="0"/>
              <w:right w:val="single" w:color="auto" w:sz="4" w:space="0"/>
            </w:tcBorders>
          </w:tcPr>
          <w:p>
            <w:pPr>
              <w:widowControl/>
              <w:jc w:val="center"/>
              <w:textAlignment w:val="baseline"/>
              <w:rPr>
                <w:rFonts w:hint="default" w:ascii="Times New Roman" w:hAnsi="Times New Roman" w:eastAsia="仿宋_GB2312" w:cs="Times New Roman"/>
                <w:b/>
                <w:bCs/>
                <w:color w:val="000000"/>
                <w:kern w:val="0"/>
                <w:sz w:val="40"/>
                <w:szCs w:val="22"/>
              </w:rPr>
            </w:pPr>
          </w:p>
        </w:tc>
      </w:tr>
    </w:tbl>
    <w:p>
      <w:pPr>
        <w:pStyle w:val="2"/>
        <w:rPr>
          <w:rFonts w:hint="default" w:ascii="Times New Roman" w:hAnsi="Times New Roman" w:cs="Times New Roman"/>
        </w:rPr>
        <w:sectPr>
          <w:pgSz w:w="11906" w:h="16838"/>
          <w:pgMar w:top="1361" w:right="1800" w:bottom="1361" w:left="1800" w:header="851" w:footer="992" w:gutter="0"/>
          <w:cols w:space="720" w:num="1"/>
          <w:docGrid w:type="lines" w:linePitch="312" w:charSpace="0"/>
        </w:sectPr>
      </w:pPr>
      <w:r>
        <w:rPr>
          <w:rFonts w:hint="default" w:ascii="Times New Roman" w:hAnsi="Times New Roman" w:cs="Times New Roman"/>
          <w:b/>
          <w:bCs/>
        </w:rPr>
        <w:t>注：各单位反馈意见不限以上列表中内容，可依职责提出反馈意见。</w:t>
      </w:r>
    </w:p>
    <w:p>
      <w:pPr>
        <w:pStyle w:val="2"/>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附件5</w:t>
      </w:r>
    </w:p>
    <w:p>
      <w:pPr>
        <w:widowControl/>
        <w:jc w:val="center"/>
        <w:textAlignment w:val="baseline"/>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温州经济技术开发区国有企业统一建设标准厂房入园企业“先租后让”项目专家评估打分表</w:t>
      </w:r>
      <w:r>
        <w:rPr>
          <w:rFonts w:hint="default" w:ascii="Times New Roman" w:hAnsi="Times New Roman" w:eastAsia="仿宋_GB2312" w:cs="Times New Roman"/>
          <w:b/>
          <w:bCs/>
          <w:color w:val="000000"/>
          <w:kern w:val="0"/>
          <w:sz w:val="32"/>
          <w:szCs w:val="32"/>
        </w:rPr>
        <w:tab/>
      </w:r>
    </w:p>
    <w:p>
      <w:pPr>
        <w:pStyle w:val="2"/>
        <w:tabs>
          <w:tab w:val="left" w:pos="6369"/>
        </w:tabs>
        <w:jc w:val="both"/>
        <w:rPr>
          <w:rFonts w:hint="default" w:ascii="Times New Roman" w:hAnsi="Times New Roman" w:cs="Times New Roman"/>
          <w:b/>
          <w:bCs/>
          <w:sz w:val="21"/>
          <w:szCs w:val="21"/>
        </w:rPr>
      </w:pPr>
      <w:r>
        <w:rPr>
          <w:rFonts w:hint="default" w:ascii="Times New Roman" w:hAnsi="Times New Roman" w:cs="Times New Roman"/>
          <w:b/>
          <w:bCs/>
          <w:sz w:val="21"/>
          <w:szCs w:val="21"/>
        </w:rPr>
        <w:t>企业（项目）名称：</w:t>
      </w:r>
      <w:r>
        <w:rPr>
          <w:rFonts w:hint="default" w:ascii="Times New Roman" w:hAnsi="Times New Roman" w:cs="Times New Roman"/>
          <w:b/>
          <w:bCs/>
          <w:sz w:val="21"/>
          <w:szCs w:val="21"/>
        </w:rPr>
        <w:tab/>
      </w:r>
      <w:r>
        <w:rPr>
          <w:rFonts w:hint="default" w:ascii="Times New Roman" w:hAnsi="Times New Roman" w:cs="Times New Roman"/>
          <w:b/>
          <w:bCs/>
          <w:sz w:val="21"/>
          <w:szCs w:val="21"/>
        </w:rPr>
        <w:t>总分：</w:t>
      </w:r>
    </w:p>
    <w:tbl>
      <w:tblPr>
        <w:tblStyle w:val="8"/>
        <w:tblW w:w="10727" w:type="dxa"/>
        <w:jc w:val="center"/>
        <w:tblLayout w:type="fixed"/>
        <w:tblCellMar>
          <w:top w:w="0" w:type="dxa"/>
          <w:left w:w="108" w:type="dxa"/>
          <w:bottom w:w="0" w:type="dxa"/>
          <w:right w:w="108" w:type="dxa"/>
        </w:tblCellMar>
      </w:tblPr>
      <w:tblGrid>
        <w:gridCol w:w="992"/>
        <w:gridCol w:w="1052"/>
        <w:gridCol w:w="2073"/>
        <w:gridCol w:w="2080"/>
        <w:gridCol w:w="2632"/>
        <w:gridCol w:w="1273"/>
        <w:gridCol w:w="625"/>
      </w:tblGrid>
      <w:tr>
        <w:tblPrEx>
          <w:tblCellMar>
            <w:top w:w="0" w:type="dxa"/>
            <w:left w:w="108" w:type="dxa"/>
            <w:bottom w:w="0" w:type="dxa"/>
            <w:right w:w="108" w:type="dxa"/>
          </w:tblCellMar>
        </w:tblPrEx>
        <w:trPr>
          <w:trHeight w:val="635"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b/>
                <w:bCs/>
                <w:sz w:val="20"/>
                <w:szCs w:val="20"/>
              </w:rPr>
            </w:pPr>
            <w:r>
              <w:rPr>
                <w:rFonts w:hint="default" w:ascii="Times New Roman" w:hAnsi="Times New Roman" w:cs="Times New Roman"/>
                <w:b/>
                <w:bCs/>
                <w:sz w:val="20"/>
                <w:szCs w:val="20"/>
              </w:rPr>
              <w:t>项目</w:t>
            </w:r>
          </w:p>
        </w:tc>
        <w:tc>
          <w:tcPr>
            <w:tcW w:w="105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b/>
                <w:bCs/>
                <w:sz w:val="20"/>
                <w:szCs w:val="20"/>
              </w:rPr>
            </w:pPr>
            <w:r>
              <w:rPr>
                <w:rFonts w:hint="default" w:ascii="Times New Roman" w:hAnsi="Times New Roman" w:cs="Times New Roman"/>
                <w:b/>
                <w:bCs/>
                <w:sz w:val="20"/>
                <w:szCs w:val="20"/>
              </w:rPr>
              <w:t>分值</w:t>
            </w:r>
          </w:p>
        </w:tc>
        <w:tc>
          <w:tcPr>
            <w:tcW w:w="4153" w:type="dxa"/>
            <w:gridSpan w:val="2"/>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b/>
                <w:bCs/>
                <w:sz w:val="20"/>
                <w:szCs w:val="20"/>
              </w:rPr>
            </w:pPr>
            <w:r>
              <w:rPr>
                <w:rFonts w:hint="default" w:ascii="Times New Roman" w:hAnsi="Times New Roman" w:cs="Times New Roman"/>
                <w:b/>
                <w:bCs/>
                <w:sz w:val="20"/>
                <w:szCs w:val="20"/>
              </w:rPr>
              <w:t>评估主要内容</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b/>
                <w:bCs/>
                <w:sz w:val="20"/>
                <w:szCs w:val="20"/>
              </w:rPr>
            </w:pPr>
            <w:r>
              <w:rPr>
                <w:rFonts w:hint="default" w:ascii="Times New Roman" w:hAnsi="Times New Roman" w:cs="Times New Roman"/>
                <w:b/>
                <w:bCs/>
                <w:sz w:val="20"/>
                <w:szCs w:val="20"/>
              </w:rPr>
              <w:t>评分标准</w:t>
            </w:r>
          </w:p>
          <w:p>
            <w:pPr>
              <w:pStyle w:val="2"/>
              <w:jc w:val="center"/>
              <w:rPr>
                <w:rFonts w:hint="default" w:ascii="Times New Roman" w:hAnsi="Times New Roman" w:cs="Times New Roman"/>
                <w:b/>
                <w:bCs/>
                <w:sz w:val="20"/>
                <w:szCs w:val="20"/>
              </w:rPr>
            </w:pPr>
            <w:r>
              <w:rPr>
                <w:rFonts w:hint="default" w:ascii="Times New Roman" w:hAnsi="Times New Roman" w:cs="Times New Roman"/>
                <w:b/>
                <w:bCs/>
                <w:sz w:val="20"/>
                <w:szCs w:val="20"/>
              </w:rPr>
              <w:t>（百分制）</w:t>
            </w:r>
          </w:p>
        </w:tc>
        <w:tc>
          <w:tcPr>
            <w:tcW w:w="127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b/>
                <w:bCs/>
                <w:sz w:val="20"/>
                <w:szCs w:val="20"/>
              </w:rPr>
            </w:pPr>
            <w:r>
              <w:rPr>
                <w:rFonts w:hint="default" w:ascii="Times New Roman" w:hAnsi="Times New Roman" w:cs="Times New Roman"/>
                <w:b/>
                <w:bCs/>
                <w:sz w:val="20"/>
                <w:szCs w:val="20"/>
              </w:rPr>
              <w:t>项目实际情况</w:t>
            </w:r>
          </w:p>
        </w:tc>
        <w:tc>
          <w:tcPr>
            <w:tcW w:w="625"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b/>
                <w:bCs/>
                <w:sz w:val="20"/>
                <w:szCs w:val="20"/>
              </w:rPr>
            </w:pPr>
            <w:r>
              <w:rPr>
                <w:rFonts w:hint="default" w:ascii="Times New Roman" w:hAnsi="Times New Roman" w:cs="Times New Roman"/>
                <w:b/>
                <w:bCs/>
                <w:sz w:val="20"/>
                <w:szCs w:val="20"/>
              </w:rPr>
              <w:t>评分</w:t>
            </w:r>
          </w:p>
        </w:tc>
      </w:tr>
      <w:tr>
        <w:tblPrEx>
          <w:tblCellMar>
            <w:top w:w="0" w:type="dxa"/>
            <w:left w:w="108" w:type="dxa"/>
            <w:bottom w:w="0" w:type="dxa"/>
            <w:right w:w="108" w:type="dxa"/>
          </w:tblCellMar>
        </w:tblPrEx>
        <w:trPr>
          <w:trHeight w:val="985"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固定资产投资强度</w:t>
            </w:r>
          </w:p>
        </w:tc>
        <w:tc>
          <w:tcPr>
            <w:tcW w:w="105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4153" w:type="dxa"/>
            <w:gridSpan w:val="2"/>
            <w:tcBorders>
              <w:top w:val="single" w:color="000000" w:sz="4" w:space="0"/>
              <w:left w:val="single" w:color="000000" w:sz="4" w:space="0"/>
              <w:bottom w:val="nil"/>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拟投资项目，亩设备投资200万元</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达到标准得基本分，每超过（低于）10%，加（减）1分每项加（减）不超过10分。</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78" w:hRule="atLeast"/>
          <w:jc w:val="center"/>
        </w:trPr>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现实条件</w:t>
            </w:r>
          </w:p>
        </w:tc>
        <w:tc>
          <w:tcPr>
            <w:tcW w:w="105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207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项目主要产品上一年度销售收入</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大于3000万元（含）</w:t>
            </w:r>
          </w:p>
        </w:tc>
        <w:tc>
          <w:tcPr>
            <w:tcW w:w="2632"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达到标准得基本分，每超过（低于）10%，加（减）1分，每项加（减）不超过5分。</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80" w:hRule="atLeast"/>
          <w:jc w:val="center"/>
        </w:trPr>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05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207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项目主要产品上一年度税收总额</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大于200万元（含）</w:t>
            </w:r>
          </w:p>
        </w:tc>
        <w:tc>
          <w:tcPr>
            <w:tcW w:w="263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20" w:hRule="atLeast"/>
          <w:jc w:val="center"/>
        </w:trPr>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05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207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项目主要产品上一年度每亩税收</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大于30万元/亩（含）</w:t>
            </w:r>
          </w:p>
        </w:tc>
        <w:tc>
          <w:tcPr>
            <w:tcW w:w="263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39" w:hRule="atLeast"/>
          <w:jc w:val="center"/>
        </w:trPr>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05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207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科研投入经费占当年销售收入</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大于4%（含）</w:t>
            </w:r>
          </w:p>
        </w:tc>
        <w:tc>
          <w:tcPr>
            <w:tcW w:w="263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60" w:hRule="atLeast"/>
          <w:jc w:val="center"/>
        </w:trPr>
        <w:tc>
          <w:tcPr>
            <w:tcW w:w="992" w:type="dxa"/>
            <w:vMerge w:val="restart"/>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产品技术水平</w:t>
            </w:r>
          </w:p>
        </w:tc>
        <w:tc>
          <w:tcPr>
            <w:tcW w:w="1052"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30</w:t>
            </w:r>
          </w:p>
        </w:tc>
        <w:tc>
          <w:tcPr>
            <w:tcW w:w="2073"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品牌/商标</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中国驰名商标</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620" w:hRule="atLeast"/>
          <w:jc w:val="center"/>
        </w:trPr>
        <w:tc>
          <w:tcPr>
            <w:tcW w:w="992" w:type="dxa"/>
            <w:vMerge w:val="continue"/>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05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207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省级名牌产品/省级著名商标</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20" w:hRule="atLeast"/>
          <w:jc w:val="center"/>
        </w:trPr>
        <w:tc>
          <w:tcPr>
            <w:tcW w:w="992" w:type="dxa"/>
            <w:vMerge w:val="continue"/>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05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2073"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高新技术</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高新技术企业</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30" w:hRule="atLeast"/>
          <w:jc w:val="center"/>
        </w:trPr>
        <w:tc>
          <w:tcPr>
            <w:tcW w:w="992" w:type="dxa"/>
            <w:vMerge w:val="continue"/>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05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2073" w:type="dxa"/>
            <w:vMerge w:val="restart"/>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企业技术（研发）中心）</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国家级</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15" w:hRule="atLeast"/>
          <w:jc w:val="center"/>
        </w:trPr>
        <w:tc>
          <w:tcPr>
            <w:tcW w:w="992" w:type="dxa"/>
            <w:vMerge w:val="continue"/>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1052"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2073" w:type="dxa"/>
            <w:vMerge w:val="continue"/>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省级</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60" w:hRule="atLeast"/>
          <w:jc w:val="center"/>
        </w:trPr>
        <w:tc>
          <w:tcPr>
            <w:tcW w:w="99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人才团队</w:t>
            </w:r>
          </w:p>
        </w:tc>
        <w:tc>
          <w:tcPr>
            <w:tcW w:w="105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2073"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企业中层人员技术骨干</w:t>
            </w:r>
          </w:p>
        </w:tc>
        <w:tc>
          <w:tcPr>
            <w:tcW w:w="2080"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博士1名或硕士人员2名或本科人员20名</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824" w:hRule="atLeast"/>
          <w:jc w:val="center"/>
        </w:trPr>
        <w:tc>
          <w:tcPr>
            <w:tcW w:w="99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厂房和工业设计方案</w:t>
            </w:r>
          </w:p>
        </w:tc>
        <w:tc>
          <w:tcPr>
            <w:tcW w:w="105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4153" w:type="dxa"/>
            <w:gridSpan w:val="2"/>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项目的生产流程和生产工艺等方面</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99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发展潜力</w:t>
            </w:r>
          </w:p>
        </w:tc>
        <w:tc>
          <w:tcPr>
            <w:tcW w:w="105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4153" w:type="dxa"/>
            <w:gridSpan w:val="2"/>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企业产品、技术、市场发展潜力是否较大</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酌情</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40" w:hRule="atLeast"/>
          <w:jc w:val="center"/>
        </w:trPr>
        <w:tc>
          <w:tcPr>
            <w:tcW w:w="99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加分项</w:t>
            </w:r>
          </w:p>
        </w:tc>
        <w:tc>
          <w:tcPr>
            <w:tcW w:w="105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4153" w:type="dxa"/>
            <w:gridSpan w:val="2"/>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具体见第四条同等条件下加分内容</w:t>
            </w:r>
          </w:p>
        </w:tc>
        <w:tc>
          <w:tcPr>
            <w:tcW w:w="263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酌情</w:t>
            </w:r>
          </w:p>
        </w:tc>
        <w:tc>
          <w:tcPr>
            <w:tcW w:w="12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c>
          <w:tcPr>
            <w:tcW w:w="6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440" w:hRule="atLeast"/>
          <w:jc w:val="center"/>
        </w:trPr>
        <w:tc>
          <w:tcPr>
            <w:tcW w:w="99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合计</w:t>
            </w:r>
          </w:p>
        </w:tc>
        <w:tc>
          <w:tcPr>
            <w:tcW w:w="1052" w:type="dxa"/>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100（+10）</w:t>
            </w:r>
          </w:p>
        </w:tc>
        <w:tc>
          <w:tcPr>
            <w:tcW w:w="8683"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63" w:hRule="atLeast"/>
          <w:jc w:val="center"/>
        </w:trPr>
        <w:tc>
          <w:tcPr>
            <w:tcW w:w="992" w:type="dxa"/>
            <w:tcBorders>
              <w:top w:val="nil"/>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是否同意准入</w:t>
            </w:r>
          </w:p>
        </w:tc>
        <w:tc>
          <w:tcPr>
            <w:tcW w:w="9735" w:type="dxa"/>
            <w:gridSpan w:val="6"/>
            <w:tcBorders>
              <w:top w:val="single" w:color="000000" w:sz="4" w:space="0"/>
              <w:left w:val="single" w:color="000000" w:sz="4" w:space="0"/>
              <w:bottom w:val="single" w:color="000000" w:sz="4" w:space="0"/>
              <w:right w:val="single" w:color="000000" w:sz="4" w:space="0"/>
            </w:tcBorders>
            <w:vAlign w:val="center"/>
          </w:tcPr>
          <w:p>
            <w:pPr>
              <w:pStyle w:val="2"/>
              <w:jc w:val="center"/>
              <w:rPr>
                <w:rFonts w:hint="default" w:ascii="Times New Roman" w:hAnsi="Times New Roman" w:cs="Times New Roman"/>
                <w:sz w:val="20"/>
                <w:szCs w:val="20"/>
              </w:rPr>
            </w:pPr>
          </w:p>
        </w:tc>
      </w:tr>
      <w:tr>
        <w:tblPrEx>
          <w:tblCellMar>
            <w:top w:w="0" w:type="dxa"/>
            <w:left w:w="108" w:type="dxa"/>
            <w:bottom w:w="0" w:type="dxa"/>
            <w:right w:w="108" w:type="dxa"/>
          </w:tblCellMar>
        </w:tblPrEx>
        <w:trPr>
          <w:trHeight w:val="480" w:hRule="atLeast"/>
          <w:jc w:val="center"/>
        </w:trPr>
        <w:tc>
          <w:tcPr>
            <w:tcW w:w="992" w:type="dxa"/>
            <w:tcBorders>
              <w:top w:val="nil"/>
              <w:left w:val="nil"/>
              <w:bottom w:val="nil"/>
              <w:right w:val="nil"/>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评分人：</w:t>
            </w:r>
          </w:p>
        </w:tc>
        <w:tc>
          <w:tcPr>
            <w:tcW w:w="1052" w:type="dxa"/>
            <w:tcBorders>
              <w:top w:val="nil"/>
              <w:left w:val="nil"/>
              <w:bottom w:val="nil"/>
              <w:right w:val="nil"/>
            </w:tcBorders>
            <w:vAlign w:val="center"/>
          </w:tcPr>
          <w:p>
            <w:pPr>
              <w:pStyle w:val="2"/>
              <w:jc w:val="center"/>
              <w:rPr>
                <w:rFonts w:hint="default" w:ascii="Times New Roman" w:hAnsi="Times New Roman" w:cs="Times New Roman"/>
                <w:sz w:val="20"/>
                <w:szCs w:val="20"/>
              </w:rPr>
            </w:pPr>
          </w:p>
        </w:tc>
        <w:tc>
          <w:tcPr>
            <w:tcW w:w="2073" w:type="dxa"/>
            <w:tcBorders>
              <w:top w:val="nil"/>
              <w:left w:val="nil"/>
              <w:bottom w:val="nil"/>
              <w:right w:val="nil"/>
            </w:tcBorders>
            <w:vAlign w:val="center"/>
          </w:tcPr>
          <w:p>
            <w:pPr>
              <w:pStyle w:val="2"/>
              <w:jc w:val="center"/>
              <w:rPr>
                <w:rFonts w:hint="default" w:ascii="Times New Roman" w:hAnsi="Times New Roman" w:cs="Times New Roman"/>
                <w:sz w:val="20"/>
                <w:szCs w:val="20"/>
              </w:rPr>
            </w:pPr>
          </w:p>
        </w:tc>
        <w:tc>
          <w:tcPr>
            <w:tcW w:w="2080" w:type="dxa"/>
            <w:tcBorders>
              <w:top w:val="nil"/>
              <w:left w:val="nil"/>
              <w:bottom w:val="nil"/>
              <w:right w:val="nil"/>
            </w:tcBorders>
            <w:vAlign w:val="center"/>
          </w:tcPr>
          <w:p>
            <w:pPr>
              <w:pStyle w:val="2"/>
              <w:jc w:val="center"/>
              <w:rPr>
                <w:rFonts w:hint="default" w:ascii="Times New Roman" w:hAnsi="Times New Roman" w:cs="Times New Roman"/>
                <w:sz w:val="20"/>
                <w:szCs w:val="20"/>
              </w:rPr>
            </w:pPr>
          </w:p>
        </w:tc>
        <w:tc>
          <w:tcPr>
            <w:tcW w:w="2632" w:type="dxa"/>
            <w:tcBorders>
              <w:top w:val="nil"/>
              <w:left w:val="nil"/>
              <w:bottom w:val="nil"/>
              <w:right w:val="nil"/>
            </w:tcBorders>
            <w:vAlign w:val="center"/>
          </w:tcPr>
          <w:p>
            <w:pPr>
              <w:pStyle w:val="2"/>
              <w:jc w:val="center"/>
              <w:rPr>
                <w:rFonts w:hint="default" w:ascii="Times New Roman" w:hAnsi="Times New Roman" w:cs="Times New Roman"/>
                <w:sz w:val="20"/>
                <w:szCs w:val="20"/>
              </w:rPr>
            </w:pPr>
          </w:p>
        </w:tc>
        <w:tc>
          <w:tcPr>
            <w:tcW w:w="1273" w:type="dxa"/>
            <w:tcBorders>
              <w:top w:val="nil"/>
              <w:left w:val="nil"/>
              <w:bottom w:val="nil"/>
              <w:right w:val="nil"/>
            </w:tcBorders>
            <w:vAlign w:val="center"/>
          </w:tcPr>
          <w:p>
            <w:pPr>
              <w:pStyle w:val="2"/>
              <w:jc w:val="center"/>
              <w:rPr>
                <w:rFonts w:hint="default" w:ascii="Times New Roman" w:hAnsi="Times New Roman" w:cs="Times New Roman"/>
                <w:sz w:val="20"/>
                <w:szCs w:val="20"/>
              </w:rPr>
            </w:pPr>
            <w:r>
              <w:rPr>
                <w:rFonts w:hint="default" w:ascii="Times New Roman" w:hAnsi="Times New Roman" w:cs="Times New Roman"/>
                <w:sz w:val="20"/>
                <w:szCs w:val="20"/>
              </w:rPr>
              <w:t>年  月  日</w:t>
            </w:r>
          </w:p>
        </w:tc>
        <w:tc>
          <w:tcPr>
            <w:tcW w:w="625" w:type="dxa"/>
            <w:tcBorders>
              <w:top w:val="nil"/>
              <w:left w:val="nil"/>
              <w:bottom w:val="nil"/>
              <w:right w:val="nil"/>
            </w:tcBorders>
            <w:vAlign w:val="center"/>
          </w:tcPr>
          <w:p>
            <w:pPr>
              <w:pStyle w:val="2"/>
              <w:jc w:val="center"/>
              <w:rPr>
                <w:rFonts w:hint="default" w:ascii="Times New Roman" w:hAnsi="Times New Roman" w:cs="Times New Roman"/>
                <w:sz w:val="20"/>
                <w:szCs w:val="20"/>
              </w:rPr>
            </w:pPr>
          </w:p>
        </w:tc>
      </w:tr>
    </w:tbl>
    <w:p>
      <w:pPr>
        <w:pStyle w:val="2"/>
        <w:rPr>
          <w:rFonts w:hint="default" w:ascii="Times New Roman" w:hAnsi="Times New Roman" w:cs="Times New Roman"/>
        </w:rPr>
      </w:pPr>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80" w:firstLine="280" w:firstLineChars="100"/>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h7uYIgIAADc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Moe7mCICAAA3BAAADgAAAAAAAAABACAAAAA1AQAAZHJzL2Uyb0RvYy54&#10;bWxQSwUGAAAAAAYABgBZAQAAyQ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40" w:firstLineChars="50"/>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t xml:space="preserve">— </w:t>
                          </w:r>
                          <w:r>
                            <w:fldChar w:fldCharType="begin"/>
                          </w:r>
                          <w:r>
                            <w:instrText xml:space="preserve"> PAGE  \* MERGEFORMAT </w:instrText>
                          </w:r>
                          <w:r>
                            <w:fldChar w:fldCharType="separate"/>
                          </w:r>
                          <w:r>
                            <w:t>23</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23</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1158875</wp:posOffset>
              </wp:positionH>
              <wp:positionV relativeFrom="page">
                <wp:posOffset>9566275</wp:posOffset>
              </wp:positionV>
              <wp:extent cx="737235" cy="20383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37235" cy="203835"/>
                      </a:xfrm>
                      <a:prstGeom prst="rect">
                        <a:avLst/>
                      </a:prstGeom>
                      <a:noFill/>
                      <a:ln>
                        <a:noFill/>
                      </a:ln>
                      <a:effectLst/>
                    </wps:spPr>
                    <wps:txbx>
                      <w:txbxContent>
                        <w:p>
                          <w:pPr>
                            <w:pStyle w:val="4"/>
                            <w:spacing w:line="321" w:lineRule="exact"/>
                            <w:ind w:left="20"/>
                          </w:pPr>
                          <w:r>
                            <w:t xml:space="preserve">— </w:t>
                          </w:r>
                          <w:r>
                            <w:fldChar w:fldCharType="begin"/>
                          </w:r>
                          <w:r>
                            <w:instrText xml:space="preserve"> PAGE </w:instrText>
                          </w:r>
                          <w:r>
                            <w:fldChar w:fldCharType="separate"/>
                          </w:r>
                          <w:r>
                            <w:t>22</w:t>
                          </w:r>
                          <w:r>
                            <w:fldChar w:fldCharType="end"/>
                          </w:r>
                          <w:r>
                            <w:t xml:space="preserve"> —</w:t>
                          </w:r>
                        </w:p>
                      </w:txbxContent>
                    </wps:txbx>
                    <wps:bodyPr lIns="0" tIns="0" rIns="0" bIns="0" upright="true"/>
                  </wps:wsp>
                </a:graphicData>
              </a:graphic>
            </wp:anchor>
          </w:drawing>
        </mc:Choice>
        <mc:Fallback>
          <w:pict>
            <v:shape id="_x0000_s1026" o:spid="_x0000_s1026" o:spt="202" type="#_x0000_t202" style="position:absolute;left:0pt;margin-left:91.25pt;margin-top:753.25pt;height:16.05pt;width:58.05pt;mso-position-horizontal-relative:page;mso-position-vertical-relative:page;z-index:-251656192;mso-width-relative:page;mso-height-relative:page;" filled="f" stroked="f" coordsize="21600,21600" o:gfxdata="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5PecrdkAAAANAQAADwAAAAAAAAABACAAAAA4AAAAZHJzL2Rvd25yZXYueG1sUEsB&#10;AhQAFAAAAAgAh07iQLx6oFulAQAANwMAAA4AAAAAAAAAAQAgAAAAPgEAAGRycy9lMm9Eb2MueG1s&#10;UEsFBgAAAAAGAAYAWQEAAFUFAAAAAA==&#10;">
              <v:fill on="f" focussize="0,0"/>
              <v:stroke on="f"/>
              <v:imagedata o:title=""/>
              <o:lock v:ext="edit" aspectratio="f"/>
              <v:textbox inset="0mm,0mm,0mm,0mm">
                <w:txbxContent>
                  <w:p>
                    <w:pPr>
                      <w:pStyle w:val="4"/>
                      <w:spacing w:line="321" w:lineRule="exact"/>
                      <w:ind w:left="20"/>
                    </w:pPr>
                    <w:r>
                      <w:t xml:space="preserve">— </w:t>
                    </w:r>
                    <w:r>
                      <w:fldChar w:fldCharType="begin"/>
                    </w:r>
                    <w:r>
                      <w:instrText xml:space="preserve"> PAGE </w:instrText>
                    </w:r>
                    <w:r>
                      <w:fldChar w:fldCharType="separate"/>
                    </w:r>
                    <w:r>
                      <w:t>22</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7410"/>
      <w:rPr>
        <w:rFonts w:ascii="宋体" w:hAnsi="宋体" w:eastAsia="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t xml:space="preserve">— </w:t>
                          </w:r>
                          <w:r>
                            <w:fldChar w:fldCharType="begin"/>
                          </w:r>
                          <w:r>
                            <w:instrText xml:space="preserve"> PAGE  \* MERGEFORMAT </w:instrText>
                          </w:r>
                          <w:r>
                            <w:fldChar w:fldCharType="separate"/>
                          </w:r>
                          <w:r>
                            <w:t>30</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W/3CIgIAADc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L1v9wiICAAA3BAAADgAAAAAAAAABACAAAAA1AQAAZHJzL2Uyb0RvYy54&#10;bWxQSwUGAAAAAAYABgBZAQAAyQ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30</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t xml:space="preserve">— </w:t>
                          </w:r>
                          <w:r>
                            <w:fldChar w:fldCharType="begin"/>
                          </w:r>
                          <w:r>
                            <w:instrText xml:space="preserve"> PAGE  \* MERGEFORMAT </w:instrText>
                          </w:r>
                          <w:r>
                            <w:fldChar w:fldCharType="separate"/>
                          </w:r>
                          <w:r>
                            <w:t>35</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0726mIQIAADkEAAAOAAAAAAAAAAEAIAAAADUBAABkcnMvZTJvRG9jLnht&#10;bFBLBQYAAAAABgAGAFkBAADI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35</w:t>
                    </w:r>
                    <w:r>
                      <w:fldChar w:fldCharType="end"/>
                    </w:r>
                    <w: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博">
    <w15:presenceInfo w15:providerId="None" w15:userId="陈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7648DC"/>
    <w:rsid w:val="7F5FB230"/>
    <w:rsid w:val="AFEE9451"/>
    <w:rsid w:val="B778DD9A"/>
    <w:rsid w:val="BBAF7B51"/>
    <w:rsid w:val="FCDB4B5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32"/>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99"/>
    <w:rPr>
      <w:rFonts w:cs="Times New Roman"/>
    </w:rPr>
  </w:style>
  <w:style w:type="paragraph" w:customStyle="1" w:styleId="12">
    <w:name w:val="List Paragraph"/>
    <w:basedOn w:val="1"/>
    <w:qFormat/>
    <w:uiPriority w:val="1"/>
    <w:pPr>
      <w:ind w:left="109" w:right="106" w:firstLine="640"/>
    </w:pPr>
    <w:rPr>
      <w:rFonts w:ascii="宋体" w:hAnsi="宋体" w:eastAsia="宋体" w:cs="宋体"/>
      <w:lang w:val="zh-CN" w:bidi="zh-CN"/>
    </w:rPr>
  </w:style>
  <w:style w:type="paragraph" w:customStyle="1" w:styleId="13">
    <w:name w:val="Body text|1"/>
    <w:basedOn w:val="1"/>
    <w:qFormat/>
    <w:uiPriority w:val="0"/>
    <w:pPr>
      <w:spacing w:line="418" w:lineRule="auto"/>
      <w:ind w:firstLine="400"/>
    </w:pPr>
    <w:rPr>
      <w:rFonts w:ascii="宋体" w:hAnsi="宋体" w:eastAsia="宋体" w:cs="宋体"/>
      <w:sz w:val="28"/>
      <w:szCs w:val="28"/>
      <w:lang w:val="zh-TW" w:eastAsia="zh-TW" w:bidi="zh-TW"/>
    </w:rPr>
  </w:style>
  <w:style w:type="table" w:customStyle="1" w:styleId="14">
    <w:name w:val="Table Normal"/>
    <w:unhideWhenUsed/>
    <w:qFormat/>
    <w:uiPriority w:val="0"/>
    <w:tblPr>
      <w:tblCellMar>
        <w:top w:w="0" w:type="dxa"/>
        <w:left w:w="0" w:type="dxa"/>
        <w:bottom w:w="0" w:type="dxa"/>
        <w:right w:w="0" w:type="dxa"/>
      </w:tblCellMar>
    </w:tblPr>
  </w:style>
  <w:style w:type="paragraph" w:customStyle="1" w:styleId="15">
    <w:name w:val="Table Paragraph"/>
    <w:basedOn w:val="1"/>
    <w:qFormat/>
    <w:uiPriority w:val="1"/>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22</Pages>
  <Words>1707</Words>
  <Characters>9730</Characters>
  <Lines>81</Lines>
  <Paragraphs>22</Paragraphs>
  <TotalTime>1</TotalTime>
  <ScaleCrop>false</ScaleCrop>
  <LinksUpToDate>false</LinksUpToDate>
  <CharactersWithSpaces>11415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2021-09-26T18:56:00Z</dcterms:created>
  <dc:creator>Administrator</dc:creator>
  <cp:lastModifiedBy>greatwall</cp:lastModifiedBy>
  <cp:lastPrinted>2021-09-26T15:13:00Z</cp:lastPrinted>
  <dcterms:modified xsi:type="dcterms:W3CDTF">2021-09-27T15:30:24Z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4DB72C7608174796B04E731C1DE1417B</vt:lpwstr>
  </property>
</Properties>
</file>