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eastAsia="仿宋"/>
          <w:color w:val="FF0000"/>
          <w:sz w:val="28"/>
          <w:szCs w:val="28"/>
        </w:rPr>
      </w:pPr>
    </w:p>
    <w:p>
      <w:pPr>
        <w:adjustRightInd w:val="0"/>
        <w:snapToGrid w:val="0"/>
        <w:spacing w:line="360" w:lineRule="auto"/>
        <w:rPr>
          <w:rFonts w:eastAsia="仿宋"/>
          <w:color w:val="FF0000"/>
          <w:sz w:val="28"/>
          <w:szCs w:val="28"/>
        </w:rPr>
      </w:pPr>
    </w:p>
    <w:p>
      <w:pPr>
        <w:adjustRightInd w:val="0"/>
        <w:snapToGrid w:val="0"/>
        <w:spacing w:line="360" w:lineRule="auto"/>
        <w:rPr>
          <w:rFonts w:eastAsia="仿宋"/>
          <w:color w:val="FF0000"/>
          <w:sz w:val="28"/>
          <w:szCs w:val="28"/>
        </w:rPr>
      </w:pPr>
    </w:p>
    <w:p>
      <w:pPr>
        <w:adjustRightInd w:val="0"/>
        <w:snapToGrid w:val="0"/>
        <w:spacing w:line="360" w:lineRule="auto"/>
        <w:rPr>
          <w:rFonts w:eastAsia="仿宋"/>
          <w:color w:val="FF0000"/>
          <w:sz w:val="28"/>
          <w:szCs w:val="28"/>
        </w:rPr>
      </w:pPr>
    </w:p>
    <w:p>
      <w:pPr>
        <w:adjustRightInd w:val="0"/>
        <w:snapToGrid w:val="0"/>
        <w:spacing w:line="360" w:lineRule="auto"/>
        <w:rPr>
          <w:rFonts w:eastAsia="仿宋"/>
          <w:color w:val="FF0000"/>
          <w:sz w:val="28"/>
          <w:szCs w:val="28"/>
        </w:rPr>
      </w:pPr>
    </w:p>
    <w:p>
      <w:pPr>
        <w:adjustRightInd w:val="0"/>
        <w:snapToGrid w:val="0"/>
        <w:spacing w:line="360" w:lineRule="auto"/>
        <w:rPr>
          <w:rFonts w:eastAsia="仿宋"/>
          <w:color w:val="FF0000"/>
          <w:sz w:val="28"/>
          <w:szCs w:val="28"/>
        </w:rPr>
      </w:pPr>
    </w:p>
    <w:p>
      <w:pPr>
        <w:adjustRightInd w:val="0"/>
        <w:snapToGrid w:val="0"/>
        <w:spacing w:line="360" w:lineRule="auto"/>
        <w:rPr>
          <w:rFonts w:ascii="创艺简标宋" w:eastAsia="创艺简标宋"/>
          <w:sz w:val="28"/>
          <w:szCs w:val="28"/>
        </w:rPr>
      </w:pPr>
    </w:p>
    <w:p>
      <w:pPr>
        <w:adjustRightInd w:val="0"/>
        <w:snapToGrid w:val="0"/>
        <w:spacing w:line="360" w:lineRule="auto"/>
        <w:jc w:val="center"/>
        <w:rPr>
          <w:rFonts w:ascii="创艺简标宋" w:hAnsi="华文楷体" w:eastAsia="创艺简标宋"/>
          <w:b/>
          <w:sz w:val="44"/>
          <w:szCs w:val="44"/>
        </w:rPr>
      </w:pPr>
      <w:r>
        <w:rPr>
          <w:rFonts w:hint="eastAsia" w:ascii="创艺简标宋" w:hAnsi="华文楷体" w:eastAsia="创艺简标宋"/>
          <w:b/>
          <w:sz w:val="44"/>
          <w:szCs w:val="44"/>
        </w:rPr>
        <w:t>温州市商务发展“十四五”规划</w:t>
      </w:r>
    </w:p>
    <w:p>
      <w:pPr>
        <w:adjustRightInd w:val="0"/>
        <w:snapToGrid w:val="0"/>
        <w:spacing w:line="360" w:lineRule="auto"/>
        <w:rPr>
          <w:rFonts w:ascii="创艺简标宋" w:hAnsi="华文楷体" w:eastAsia="创艺简标宋"/>
          <w:b/>
          <w:sz w:val="28"/>
          <w:szCs w:val="28"/>
          <w:u w:val="single"/>
        </w:rPr>
      </w:pPr>
    </w:p>
    <w:p>
      <w:pPr>
        <w:adjustRightInd w:val="0"/>
        <w:snapToGrid w:val="0"/>
        <w:spacing w:line="360" w:lineRule="auto"/>
        <w:rPr>
          <w:rFonts w:ascii="创艺简标宋" w:hAnsi="华文楷体" w:eastAsia="创艺简标宋"/>
          <w:b/>
          <w:sz w:val="28"/>
          <w:szCs w:val="28"/>
          <w:u w:val="single"/>
        </w:rPr>
      </w:pPr>
    </w:p>
    <w:p>
      <w:pPr>
        <w:adjustRightInd w:val="0"/>
        <w:snapToGrid w:val="0"/>
        <w:spacing w:line="360" w:lineRule="auto"/>
        <w:jc w:val="center"/>
        <w:rPr>
          <w:rFonts w:ascii="创艺简标宋" w:hAnsi="华文楷体" w:eastAsia="创艺简标宋"/>
          <w:b/>
          <w:sz w:val="36"/>
          <w:szCs w:val="36"/>
        </w:rPr>
      </w:pPr>
      <w:r>
        <w:rPr>
          <w:rFonts w:hint="eastAsia" w:ascii="创艺简标宋" w:hAnsi="华文楷体" w:eastAsia="创艺简标宋"/>
          <w:b/>
          <w:sz w:val="36"/>
          <w:szCs w:val="36"/>
        </w:rPr>
        <w:t>（</w:t>
      </w:r>
      <w:r>
        <w:rPr>
          <w:rFonts w:hint="eastAsia" w:ascii="创艺简标宋" w:hAnsi="华文楷体" w:eastAsia="创艺简标宋"/>
          <w:b/>
          <w:sz w:val="36"/>
          <w:szCs w:val="36"/>
          <w:lang w:eastAsia="zh-CN"/>
        </w:rPr>
        <w:t>征求意见稿</w:t>
      </w:r>
      <w:bookmarkStart w:id="84" w:name="_GoBack"/>
      <w:bookmarkEnd w:id="84"/>
      <w:r>
        <w:rPr>
          <w:rFonts w:hint="eastAsia" w:ascii="创艺简标宋" w:hAnsi="华文楷体" w:eastAsia="创艺简标宋"/>
          <w:b/>
          <w:sz w:val="36"/>
          <w:szCs w:val="36"/>
        </w:rPr>
        <w:t>）</w:t>
      </w:r>
    </w:p>
    <w:p>
      <w:pPr>
        <w:adjustRightInd w:val="0"/>
        <w:snapToGrid w:val="0"/>
        <w:spacing w:line="360" w:lineRule="auto"/>
        <w:rPr>
          <w:rFonts w:ascii="创艺简标宋" w:hAnsi="华文楷体" w:eastAsia="创艺简标宋"/>
          <w:b/>
          <w:sz w:val="28"/>
          <w:szCs w:val="28"/>
          <w:u w:val="single"/>
        </w:rPr>
      </w:pPr>
    </w:p>
    <w:p>
      <w:pPr>
        <w:tabs>
          <w:tab w:val="left" w:pos="1157"/>
        </w:tabs>
        <w:adjustRightInd w:val="0"/>
        <w:snapToGrid w:val="0"/>
        <w:spacing w:line="360" w:lineRule="auto"/>
        <w:rPr>
          <w:rFonts w:ascii="创艺简标宋" w:hAnsi="华文楷体" w:eastAsia="创艺简标宋"/>
          <w:b/>
          <w:sz w:val="28"/>
          <w:szCs w:val="28"/>
          <w:u w:val="single"/>
        </w:rPr>
      </w:pPr>
    </w:p>
    <w:p>
      <w:pPr>
        <w:adjustRightInd w:val="0"/>
        <w:snapToGrid w:val="0"/>
        <w:spacing w:line="360" w:lineRule="auto"/>
        <w:rPr>
          <w:rFonts w:ascii="创艺简标宋" w:hAnsi="华文楷体" w:eastAsia="创艺简标宋"/>
          <w:b/>
          <w:sz w:val="28"/>
          <w:szCs w:val="28"/>
          <w:u w:val="single"/>
        </w:rPr>
      </w:pPr>
    </w:p>
    <w:p>
      <w:pPr>
        <w:adjustRightInd w:val="0"/>
        <w:snapToGrid w:val="0"/>
        <w:spacing w:line="360" w:lineRule="auto"/>
        <w:rPr>
          <w:rFonts w:ascii="创艺简标宋" w:hAnsi="华文楷体" w:eastAsia="创艺简标宋"/>
          <w:b/>
          <w:sz w:val="28"/>
          <w:szCs w:val="28"/>
          <w:u w:val="single"/>
        </w:rPr>
      </w:pPr>
    </w:p>
    <w:p>
      <w:pPr>
        <w:adjustRightInd w:val="0"/>
        <w:snapToGrid w:val="0"/>
        <w:spacing w:line="360" w:lineRule="auto"/>
        <w:rPr>
          <w:rFonts w:ascii="创艺简标宋" w:hAnsi="华文楷体" w:eastAsia="创艺简标宋"/>
          <w:b/>
          <w:sz w:val="28"/>
          <w:szCs w:val="28"/>
          <w:u w:val="single"/>
        </w:rPr>
      </w:pPr>
    </w:p>
    <w:p>
      <w:pPr>
        <w:adjustRightInd w:val="0"/>
        <w:snapToGrid w:val="0"/>
        <w:spacing w:line="360" w:lineRule="auto"/>
        <w:jc w:val="center"/>
        <w:rPr>
          <w:rFonts w:ascii="创艺简标宋" w:hAnsi="华文楷体" w:eastAsia="创艺简标宋"/>
          <w:b/>
          <w:sz w:val="36"/>
          <w:szCs w:val="36"/>
        </w:rPr>
      </w:pPr>
      <w:r>
        <w:rPr>
          <w:rFonts w:hint="eastAsia" w:ascii="创艺简标宋" w:hAnsi="华文楷体" w:eastAsia="创艺简标宋"/>
          <w:b/>
          <w:sz w:val="36"/>
          <w:szCs w:val="36"/>
        </w:rPr>
        <w:t>温州市商务局</w:t>
      </w:r>
    </w:p>
    <w:p>
      <w:pPr>
        <w:adjustRightInd w:val="0"/>
        <w:snapToGrid w:val="0"/>
        <w:spacing w:line="360" w:lineRule="auto"/>
        <w:jc w:val="center"/>
        <w:rPr>
          <w:rFonts w:ascii="创艺简标宋" w:hAnsi="华文楷体" w:eastAsia="创艺简标宋"/>
          <w:b/>
          <w:sz w:val="36"/>
          <w:szCs w:val="36"/>
        </w:rPr>
      </w:pPr>
      <w:r>
        <w:rPr>
          <w:rFonts w:hint="eastAsia" w:ascii="创艺简标宋" w:hAnsi="华文楷体" w:eastAsia="创艺简标宋"/>
          <w:b/>
          <w:sz w:val="36"/>
          <w:szCs w:val="36"/>
        </w:rPr>
        <w:t>202</w:t>
      </w:r>
      <w:r>
        <w:rPr>
          <w:rFonts w:ascii="创艺简标宋" w:hAnsi="华文楷体" w:eastAsia="创艺简标宋"/>
          <w:b/>
          <w:sz w:val="36"/>
          <w:szCs w:val="36"/>
        </w:rPr>
        <w:t>1</w:t>
      </w:r>
      <w:r>
        <w:rPr>
          <w:rFonts w:hint="eastAsia" w:ascii="创艺简标宋" w:hAnsi="华文楷体" w:eastAsia="创艺简标宋"/>
          <w:b/>
          <w:sz w:val="36"/>
          <w:szCs w:val="36"/>
        </w:rPr>
        <w:t>年</w:t>
      </w:r>
      <w:r>
        <w:rPr>
          <w:rFonts w:ascii="创艺简标宋" w:hAnsi="华文楷体" w:eastAsia="创艺简标宋"/>
          <w:b/>
          <w:sz w:val="36"/>
          <w:szCs w:val="36"/>
        </w:rPr>
        <w:t>06</w:t>
      </w:r>
      <w:r>
        <w:rPr>
          <w:rFonts w:hint="eastAsia" w:ascii="创艺简标宋" w:hAnsi="华文楷体" w:eastAsia="创艺简标宋"/>
          <w:b/>
          <w:sz w:val="36"/>
          <w:szCs w:val="36"/>
        </w:rPr>
        <w:t>月</w:t>
      </w:r>
    </w:p>
    <w:p>
      <w:pPr>
        <w:widowControl/>
        <w:jc w:val="center"/>
        <w:rPr>
          <w:rFonts w:ascii="黑体" w:hAnsi="黑体" w:eastAsia="黑体"/>
          <w:sz w:val="30"/>
          <w:szCs w:val="30"/>
        </w:rPr>
      </w:pPr>
      <w:r>
        <w:rPr>
          <w:rFonts w:hint="eastAsia" w:ascii="创艺简标宋" w:eastAsia="创艺简标宋"/>
          <w:color w:val="FF0000"/>
          <w:sz w:val="28"/>
          <w:szCs w:val="28"/>
        </w:rPr>
        <w:br w:type="page"/>
      </w:r>
      <w:bookmarkStart w:id="0" w:name="_Toc36376523"/>
      <w:r>
        <w:rPr>
          <w:rFonts w:ascii="黑体" w:hAnsi="黑体" w:eastAsia="黑体"/>
          <w:sz w:val="30"/>
          <w:szCs w:val="30"/>
          <w:lang w:val="zh-CN"/>
        </w:rPr>
        <w:t>目</w:t>
      </w:r>
      <w:r>
        <w:rPr>
          <w:rFonts w:hint="eastAsia" w:ascii="黑体" w:hAnsi="黑体" w:eastAsia="黑体"/>
          <w:sz w:val="30"/>
          <w:szCs w:val="30"/>
          <w:lang w:val="zh-CN"/>
        </w:rPr>
        <w:t xml:space="preserve"> </w:t>
      </w:r>
      <w:r>
        <w:rPr>
          <w:rFonts w:ascii="黑体" w:hAnsi="黑体" w:eastAsia="黑体"/>
          <w:sz w:val="30"/>
          <w:szCs w:val="30"/>
          <w:lang w:val="zh-CN"/>
        </w:rPr>
        <w:t>录</w:t>
      </w:r>
    </w:p>
    <w:p>
      <w:pPr>
        <w:pStyle w:val="11"/>
        <w:tabs>
          <w:tab w:val="right" w:leader="dot" w:pos="8296"/>
        </w:tabs>
        <w:rPr>
          <w:rFonts w:eastAsia="仿宋_GB2312"/>
          <w:sz w:val="30"/>
          <w:szCs w:val="30"/>
        </w:rPr>
      </w:pPr>
      <w:r>
        <w:rPr>
          <w:rFonts w:eastAsia="仿宋_GB2312"/>
          <w:color w:val="FF0000"/>
          <w:sz w:val="30"/>
          <w:szCs w:val="30"/>
        </w:rPr>
        <w:fldChar w:fldCharType="begin"/>
      </w:r>
      <w:r>
        <w:rPr>
          <w:rFonts w:eastAsia="仿宋_GB2312"/>
          <w:color w:val="FF0000"/>
          <w:sz w:val="30"/>
          <w:szCs w:val="30"/>
        </w:rPr>
        <w:instrText xml:space="preserve"> TOC \o "1-3" \h \z \u </w:instrText>
      </w:r>
      <w:r>
        <w:rPr>
          <w:rFonts w:eastAsia="仿宋_GB2312"/>
          <w:color w:val="FF0000"/>
          <w:sz w:val="30"/>
          <w:szCs w:val="30"/>
        </w:rPr>
        <w:fldChar w:fldCharType="separate"/>
      </w:r>
      <w:r>
        <w:fldChar w:fldCharType="begin"/>
      </w:r>
      <w:r>
        <w:instrText xml:space="preserve"> HYPERLINK \l "_Toc74756850" </w:instrText>
      </w:r>
      <w:r>
        <w:fldChar w:fldCharType="separate"/>
      </w:r>
      <w:r>
        <w:rPr>
          <w:rStyle w:val="19"/>
          <w:rFonts w:eastAsia="仿宋_GB2312"/>
          <w:sz w:val="30"/>
          <w:szCs w:val="30"/>
        </w:rPr>
        <w:t>前 言</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_Toc74756850 \h </w:instrText>
      </w:r>
      <w:r>
        <w:rPr>
          <w:rFonts w:eastAsia="仿宋_GB2312"/>
          <w:sz w:val="30"/>
          <w:szCs w:val="30"/>
        </w:rPr>
        <w:fldChar w:fldCharType="separate"/>
      </w:r>
      <w:r>
        <w:rPr>
          <w:rFonts w:eastAsia="仿宋_GB2312"/>
          <w:sz w:val="30"/>
          <w:szCs w:val="30"/>
        </w:rPr>
        <w:t>1</w:t>
      </w:r>
      <w:r>
        <w:rPr>
          <w:rFonts w:eastAsia="仿宋_GB2312"/>
          <w:sz w:val="30"/>
          <w:szCs w:val="30"/>
        </w:rPr>
        <w:fldChar w:fldCharType="end"/>
      </w:r>
      <w:r>
        <w:rPr>
          <w:rFonts w:eastAsia="仿宋_GB2312"/>
          <w:sz w:val="30"/>
          <w:szCs w:val="30"/>
        </w:rPr>
        <w:fldChar w:fldCharType="end"/>
      </w:r>
    </w:p>
    <w:p>
      <w:pPr>
        <w:pStyle w:val="11"/>
        <w:tabs>
          <w:tab w:val="right" w:leader="dot" w:pos="8296"/>
        </w:tabs>
        <w:rPr>
          <w:rFonts w:eastAsia="仿宋_GB2312"/>
          <w:sz w:val="30"/>
          <w:szCs w:val="30"/>
        </w:rPr>
      </w:pPr>
      <w:r>
        <w:fldChar w:fldCharType="begin"/>
      </w:r>
      <w:r>
        <w:instrText xml:space="preserve"> HYPERLINK \l "_Toc74756851" </w:instrText>
      </w:r>
      <w:r>
        <w:fldChar w:fldCharType="separate"/>
      </w:r>
      <w:r>
        <w:rPr>
          <w:rStyle w:val="19"/>
          <w:rFonts w:eastAsia="仿宋_GB2312"/>
          <w:sz w:val="30"/>
          <w:szCs w:val="30"/>
        </w:rPr>
        <w:t>一、发展基础与发展环境</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_Toc74756851 \h </w:instrText>
      </w:r>
      <w:r>
        <w:rPr>
          <w:rFonts w:eastAsia="仿宋_GB2312"/>
          <w:sz w:val="30"/>
          <w:szCs w:val="30"/>
        </w:rPr>
        <w:fldChar w:fldCharType="separate"/>
      </w:r>
      <w:r>
        <w:rPr>
          <w:rFonts w:eastAsia="仿宋_GB2312"/>
          <w:sz w:val="30"/>
          <w:szCs w:val="30"/>
        </w:rPr>
        <w:t>3</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"_Toc74756852" </w:instrText>
      </w:r>
      <w:r>
        <w:fldChar w:fldCharType="separate"/>
      </w:r>
      <w:r>
        <w:rPr>
          <w:rStyle w:val="19"/>
          <w:rFonts w:eastAsia="仿宋_GB2312"/>
          <w:kern w:val="0"/>
          <w:sz w:val="30"/>
          <w:szCs w:val="30"/>
        </w:rPr>
        <w:t>（一）发展成就</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_Toc74756852 \h </w:instrText>
      </w:r>
      <w:r>
        <w:rPr>
          <w:rFonts w:eastAsia="仿宋_GB2312"/>
          <w:sz w:val="30"/>
          <w:szCs w:val="30"/>
        </w:rPr>
        <w:fldChar w:fldCharType="separate"/>
      </w:r>
      <w:r>
        <w:rPr>
          <w:rFonts w:eastAsia="仿宋_GB2312"/>
          <w:sz w:val="30"/>
          <w:szCs w:val="30"/>
        </w:rPr>
        <w:t>3</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"_Toc74756853" </w:instrText>
      </w:r>
      <w:r>
        <w:fldChar w:fldCharType="separate"/>
      </w:r>
      <w:r>
        <w:rPr>
          <w:rStyle w:val="19"/>
          <w:rFonts w:eastAsia="仿宋_GB2312"/>
          <w:sz w:val="30"/>
          <w:szCs w:val="30"/>
        </w:rPr>
        <w:t>1、商业基础设施与网点建设不断完善</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_Toc74756853 \h </w:instrText>
      </w:r>
      <w:r>
        <w:rPr>
          <w:rFonts w:eastAsia="仿宋_GB2312"/>
          <w:sz w:val="30"/>
          <w:szCs w:val="30"/>
        </w:rPr>
        <w:fldChar w:fldCharType="separate"/>
      </w:r>
      <w:r>
        <w:rPr>
          <w:rFonts w:eastAsia="仿宋_GB2312"/>
          <w:sz w:val="30"/>
          <w:szCs w:val="30"/>
        </w:rPr>
        <w:t>3</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"_Toc74756854" </w:instrText>
      </w:r>
      <w:r>
        <w:fldChar w:fldCharType="separate"/>
      </w:r>
      <w:r>
        <w:rPr>
          <w:rStyle w:val="19"/>
          <w:rFonts w:eastAsia="仿宋_GB2312"/>
          <w:sz w:val="30"/>
          <w:szCs w:val="30"/>
        </w:rPr>
        <w:t>2、消费市场规模与亮点建设稳步提升</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_Toc74756854 \h </w:instrText>
      </w:r>
      <w:r>
        <w:rPr>
          <w:rFonts w:eastAsia="仿宋_GB2312"/>
          <w:sz w:val="30"/>
          <w:szCs w:val="30"/>
        </w:rPr>
        <w:fldChar w:fldCharType="separate"/>
      </w:r>
      <w:r>
        <w:rPr>
          <w:rFonts w:eastAsia="仿宋_GB2312"/>
          <w:sz w:val="30"/>
          <w:szCs w:val="30"/>
        </w:rPr>
        <w:t>3</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"_Toc74756855" </w:instrText>
      </w:r>
      <w:r>
        <w:fldChar w:fldCharType="separate"/>
      </w:r>
      <w:r>
        <w:rPr>
          <w:rStyle w:val="19"/>
          <w:rFonts w:eastAsia="仿宋_GB2312"/>
          <w:sz w:val="30"/>
          <w:szCs w:val="30"/>
        </w:rPr>
        <w:t>3、电子商务与跨境电商双线快速攀升</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_Toc74756855 \h </w:instrText>
      </w:r>
      <w:r>
        <w:rPr>
          <w:rFonts w:eastAsia="仿宋_GB2312"/>
          <w:sz w:val="30"/>
          <w:szCs w:val="30"/>
        </w:rPr>
        <w:fldChar w:fldCharType="separate"/>
      </w:r>
      <w:r>
        <w:rPr>
          <w:rFonts w:eastAsia="仿宋_GB2312"/>
          <w:sz w:val="30"/>
          <w:szCs w:val="30"/>
        </w:rPr>
        <w:t>4</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"_Toc74756856" </w:instrText>
      </w:r>
      <w:r>
        <w:fldChar w:fldCharType="separate"/>
      </w:r>
      <w:r>
        <w:rPr>
          <w:rStyle w:val="19"/>
          <w:rFonts w:eastAsia="仿宋_GB2312"/>
          <w:sz w:val="30"/>
          <w:szCs w:val="30"/>
        </w:rPr>
        <w:t>4、对外贸易与开放平台创新突破并存</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_Toc74756856 \h </w:instrText>
      </w:r>
      <w:r>
        <w:rPr>
          <w:rFonts w:eastAsia="仿宋_GB2312"/>
          <w:sz w:val="30"/>
          <w:szCs w:val="30"/>
        </w:rPr>
        <w:fldChar w:fldCharType="separate"/>
      </w:r>
      <w:r>
        <w:rPr>
          <w:rFonts w:eastAsia="仿宋_GB2312"/>
          <w:sz w:val="30"/>
          <w:szCs w:val="30"/>
        </w:rPr>
        <w:t>4</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"_Toc74756857" </w:instrText>
      </w:r>
      <w:r>
        <w:fldChar w:fldCharType="separate"/>
      </w:r>
      <w:r>
        <w:rPr>
          <w:rStyle w:val="19"/>
          <w:rFonts w:eastAsia="仿宋_GB2312"/>
          <w:sz w:val="30"/>
          <w:szCs w:val="30"/>
        </w:rPr>
        <w:t>5、对外投资与国际合作影响持续扩大</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_Toc74756857 \h </w:instrText>
      </w:r>
      <w:r>
        <w:rPr>
          <w:rFonts w:eastAsia="仿宋_GB2312"/>
          <w:sz w:val="30"/>
          <w:szCs w:val="30"/>
        </w:rPr>
        <w:fldChar w:fldCharType="separate"/>
      </w:r>
      <w:r>
        <w:rPr>
          <w:rFonts w:eastAsia="仿宋_GB2312"/>
          <w:sz w:val="30"/>
          <w:szCs w:val="30"/>
        </w:rPr>
        <w:t>5</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"_Toc74756858" </w:instrText>
      </w:r>
      <w:r>
        <w:fldChar w:fldCharType="separate"/>
      </w:r>
      <w:r>
        <w:rPr>
          <w:rStyle w:val="19"/>
          <w:rFonts w:eastAsia="仿宋_GB2312"/>
          <w:kern w:val="0"/>
          <w:sz w:val="30"/>
          <w:szCs w:val="30"/>
        </w:rPr>
        <w:t>（二）存在问题</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_Toc74756858 \h </w:instrText>
      </w:r>
      <w:r>
        <w:rPr>
          <w:rFonts w:eastAsia="仿宋_GB2312"/>
          <w:sz w:val="30"/>
          <w:szCs w:val="30"/>
        </w:rPr>
        <w:fldChar w:fldCharType="separate"/>
      </w:r>
      <w:r>
        <w:rPr>
          <w:rFonts w:eastAsia="仿宋_GB2312"/>
          <w:sz w:val="30"/>
          <w:szCs w:val="30"/>
        </w:rPr>
        <w:t>5</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"_Toc74756859" </w:instrText>
      </w:r>
      <w:r>
        <w:fldChar w:fldCharType="separate"/>
      </w:r>
      <w:r>
        <w:rPr>
          <w:rStyle w:val="19"/>
          <w:rFonts w:eastAsia="仿宋_GB2312"/>
          <w:kern w:val="0"/>
          <w:sz w:val="30"/>
          <w:szCs w:val="30"/>
        </w:rPr>
        <w:t>（三）面临形势</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_Toc74756859 \h </w:instrText>
      </w:r>
      <w:r>
        <w:rPr>
          <w:rFonts w:eastAsia="仿宋_GB2312"/>
          <w:sz w:val="30"/>
          <w:szCs w:val="30"/>
        </w:rPr>
        <w:fldChar w:fldCharType="separate"/>
      </w:r>
      <w:r>
        <w:rPr>
          <w:rFonts w:eastAsia="仿宋_GB2312"/>
          <w:sz w:val="30"/>
          <w:szCs w:val="30"/>
        </w:rPr>
        <w:t>6</w:t>
      </w:r>
      <w:r>
        <w:rPr>
          <w:rFonts w:eastAsia="仿宋_GB2312"/>
          <w:sz w:val="30"/>
          <w:szCs w:val="30"/>
        </w:rPr>
        <w:fldChar w:fldCharType="end"/>
      </w:r>
      <w:r>
        <w:rPr>
          <w:rFonts w:eastAsia="仿宋_GB2312"/>
          <w:sz w:val="30"/>
          <w:szCs w:val="30"/>
        </w:rPr>
        <w:fldChar w:fldCharType="end"/>
      </w:r>
    </w:p>
    <w:p>
      <w:pPr>
        <w:pStyle w:val="11"/>
        <w:tabs>
          <w:tab w:val="right" w:leader="dot" w:pos="8296"/>
        </w:tabs>
        <w:rPr>
          <w:rFonts w:eastAsia="仿宋_GB2312"/>
          <w:sz w:val="30"/>
          <w:szCs w:val="30"/>
        </w:rPr>
      </w:pPr>
      <w:r>
        <w:fldChar w:fldCharType="begin"/>
      </w:r>
      <w:r>
        <w:instrText xml:space="preserve"> HYPERLINK \l "_Toc74756860" </w:instrText>
      </w:r>
      <w:r>
        <w:fldChar w:fldCharType="separate"/>
      </w:r>
      <w:r>
        <w:rPr>
          <w:rStyle w:val="19"/>
          <w:rFonts w:eastAsia="仿宋_GB2312"/>
          <w:sz w:val="30"/>
          <w:szCs w:val="30"/>
        </w:rPr>
        <w:t>二、指导思想、发展原则与目标</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_Toc74756860 \h </w:instrText>
      </w:r>
      <w:r>
        <w:rPr>
          <w:rFonts w:eastAsia="仿宋_GB2312"/>
          <w:sz w:val="30"/>
          <w:szCs w:val="30"/>
        </w:rPr>
        <w:fldChar w:fldCharType="separate"/>
      </w:r>
      <w:r>
        <w:rPr>
          <w:rFonts w:eastAsia="仿宋_GB2312"/>
          <w:sz w:val="30"/>
          <w:szCs w:val="30"/>
        </w:rPr>
        <w:t>8</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"_Toc74756861" </w:instrText>
      </w:r>
      <w:r>
        <w:fldChar w:fldCharType="separate"/>
      </w:r>
      <w:r>
        <w:rPr>
          <w:rStyle w:val="19"/>
          <w:rFonts w:eastAsia="仿宋_GB2312"/>
          <w:kern w:val="0"/>
          <w:sz w:val="30"/>
          <w:szCs w:val="30"/>
        </w:rPr>
        <w:t>（一）指导思想</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_Toc74756861 \h </w:instrText>
      </w:r>
      <w:r>
        <w:rPr>
          <w:rFonts w:eastAsia="仿宋_GB2312"/>
          <w:sz w:val="30"/>
          <w:szCs w:val="30"/>
        </w:rPr>
        <w:fldChar w:fldCharType="separate"/>
      </w:r>
      <w:r>
        <w:rPr>
          <w:rFonts w:eastAsia="仿宋_GB2312"/>
          <w:sz w:val="30"/>
          <w:szCs w:val="30"/>
        </w:rPr>
        <w:t>8</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"_Toc74756862" </w:instrText>
      </w:r>
      <w:r>
        <w:fldChar w:fldCharType="separate"/>
      </w:r>
      <w:r>
        <w:rPr>
          <w:rStyle w:val="19"/>
          <w:rFonts w:eastAsia="仿宋_GB2312"/>
          <w:kern w:val="0"/>
          <w:sz w:val="30"/>
          <w:szCs w:val="30"/>
        </w:rPr>
        <w:t>（二）发展原则</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_Toc74756862 \h </w:instrText>
      </w:r>
      <w:r>
        <w:rPr>
          <w:rFonts w:eastAsia="仿宋_GB2312"/>
          <w:sz w:val="30"/>
          <w:szCs w:val="30"/>
        </w:rPr>
        <w:fldChar w:fldCharType="separate"/>
      </w:r>
      <w:r>
        <w:rPr>
          <w:rFonts w:eastAsia="仿宋_GB2312"/>
          <w:sz w:val="30"/>
          <w:szCs w:val="30"/>
        </w:rPr>
        <w:t>10</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"_Toc74756863" </w:instrText>
      </w:r>
      <w:r>
        <w:fldChar w:fldCharType="separate"/>
      </w:r>
      <w:r>
        <w:rPr>
          <w:rStyle w:val="19"/>
          <w:rFonts w:eastAsia="仿宋_GB2312"/>
          <w:kern w:val="0"/>
          <w:sz w:val="30"/>
          <w:szCs w:val="30"/>
        </w:rPr>
        <w:t>（三）发展目标</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_Toc74756863 \h </w:instrText>
      </w:r>
      <w:r>
        <w:rPr>
          <w:rFonts w:eastAsia="仿宋_GB2312"/>
          <w:sz w:val="30"/>
          <w:szCs w:val="30"/>
        </w:rPr>
        <w:fldChar w:fldCharType="separate"/>
      </w:r>
      <w:r>
        <w:rPr>
          <w:rFonts w:eastAsia="仿宋_GB2312"/>
          <w:sz w:val="30"/>
          <w:szCs w:val="30"/>
        </w:rPr>
        <w:t>11</w:t>
      </w:r>
      <w:r>
        <w:rPr>
          <w:rFonts w:eastAsia="仿宋_GB2312"/>
          <w:sz w:val="30"/>
          <w:szCs w:val="30"/>
        </w:rPr>
        <w:fldChar w:fldCharType="end"/>
      </w:r>
      <w:r>
        <w:rPr>
          <w:rFonts w:eastAsia="仿宋_GB2312"/>
          <w:sz w:val="30"/>
          <w:szCs w:val="30"/>
        </w:rPr>
        <w:fldChar w:fldCharType="end"/>
      </w:r>
    </w:p>
    <w:p>
      <w:pPr>
        <w:pStyle w:val="11"/>
        <w:tabs>
          <w:tab w:val="right" w:leader="dot" w:pos="8296"/>
        </w:tabs>
        <w:rPr>
          <w:rFonts w:eastAsia="仿宋_GB2312"/>
          <w:sz w:val="30"/>
          <w:szCs w:val="30"/>
        </w:rPr>
      </w:pPr>
      <w:r>
        <w:fldChar w:fldCharType="begin"/>
      </w:r>
      <w:r>
        <w:instrText xml:space="preserve"> HYPERLINK \l "_Toc74756864" </w:instrText>
      </w:r>
      <w:r>
        <w:fldChar w:fldCharType="separate"/>
      </w:r>
      <w:r>
        <w:rPr>
          <w:rStyle w:val="19"/>
          <w:rFonts w:eastAsia="仿宋_GB2312"/>
          <w:sz w:val="30"/>
          <w:szCs w:val="30"/>
        </w:rPr>
        <w:t>三、主要任务</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_Toc74756864 \h </w:instrText>
      </w:r>
      <w:r>
        <w:rPr>
          <w:rFonts w:eastAsia="仿宋_GB2312"/>
          <w:sz w:val="30"/>
          <w:szCs w:val="30"/>
        </w:rPr>
        <w:fldChar w:fldCharType="separate"/>
      </w:r>
      <w:r>
        <w:rPr>
          <w:rFonts w:eastAsia="仿宋_GB2312"/>
          <w:sz w:val="30"/>
          <w:szCs w:val="30"/>
        </w:rPr>
        <w:t>13</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"_Toc74756865" </w:instrText>
      </w:r>
      <w:r>
        <w:fldChar w:fldCharType="separate"/>
      </w:r>
      <w:r>
        <w:rPr>
          <w:rStyle w:val="19"/>
          <w:rFonts w:eastAsia="仿宋_GB2312"/>
          <w:kern w:val="0"/>
          <w:sz w:val="30"/>
          <w:szCs w:val="30"/>
        </w:rPr>
        <w:t>（一）高水平建设区域性新消费高地</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_Toc74756865 \h </w:instrText>
      </w:r>
      <w:r>
        <w:rPr>
          <w:rFonts w:eastAsia="仿宋_GB2312"/>
          <w:sz w:val="30"/>
          <w:szCs w:val="30"/>
        </w:rPr>
        <w:fldChar w:fldCharType="separate"/>
      </w:r>
      <w:r>
        <w:rPr>
          <w:rFonts w:eastAsia="仿宋_GB2312"/>
          <w:sz w:val="30"/>
          <w:szCs w:val="30"/>
        </w:rPr>
        <w:t>13</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"_Toc74756866" </w:instrText>
      </w:r>
      <w:r>
        <w:fldChar w:fldCharType="separate"/>
      </w:r>
      <w:r>
        <w:rPr>
          <w:rStyle w:val="19"/>
          <w:rFonts w:eastAsia="仿宋_GB2312"/>
          <w:sz w:val="30"/>
          <w:szCs w:val="30"/>
        </w:rPr>
        <w:t>1、优化城市商业新布局</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_Toc74756866 \h </w:instrText>
      </w:r>
      <w:r>
        <w:rPr>
          <w:rFonts w:eastAsia="仿宋_GB2312"/>
          <w:sz w:val="30"/>
          <w:szCs w:val="30"/>
        </w:rPr>
        <w:fldChar w:fldCharType="separate"/>
      </w:r>
      <w:r>
        <w:rPr>
          <w:rFonts w:eastAsia="仿宋_GB2312"/>
          <w:sz w:val="30"/>
          <w:szCs w:val="30"/>
        </w:rPr>
        <w:t>13</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"_Toc74756867" </w:instrText>
      </w:r>
      <w:r>
        <w:fldChar w:fldCharType="separate"/>
      </w:r>
      <w:r>
        <w:rPr>
          <w:rStyle w:val="19"/>
          <w:rFonts w:eastAsia="仿宋_GB2312"/>
          <w:sz w:val="30"/>
          <w:szCs w:val="30"/>
        </w:rPr>
        <w:t>2、发展品质消费新载体</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_Toc74756867 \h </w:instrText>
      </w:r>
      <w:r>
        <w:rPr>
          <w:rFonts w:eastAsia="仿宋_GB2312"/>
          <w:sz w:val="30"/>
          <w:szCs w:val="30"/>
        </w:rPr>
        <w:fldChar w:fldCharType="separate"/>
      </w:r>
      <w:r>
        <w:rPr>
          <w:rFonts w:eastAsia="仿宋_GB2312"/>
          <w:sz w:val="30"/>
          <w:szCs w:val="30"/>
        </w:rPr>
        <w:t>14</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"_Toc74756868" </w:instrText>
      </w:r>
      <w:r>
        <w:fldChar w:fldCharType="separate"/>
      </w:r>
      <w:r>
        <w:rPr>
          <w:rStyle w:val="19"/>
          <w:rFonts w:eastAsia="仿宋_GB2312"/>
          <w:sz w:val="30"/>
          <w:szCs w:val="30"/>
        </w:rPr>
        <w:t>3、做大特色消费新业态</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_Toc74756868 \h </w:instrText>
      </w:r>
      <w:r>
        <w:rPr>
          <w:rFonts w:eastAsia="仿宋_GB2312"/>
          <w:sz w:val="30"/>
          <w:szCs w:val="30"/>
        </w:rPr>
        <w:fldChar w:fldCharType="separate"/>
      </w:r>
      <w:r>
        <w:rPr>
          <w:rFonts w:eastAsia="仿宋_GB2312"/>
          <w:sz w:val="30"/>
          <w:szCs w:val="30"/>
        </w:rPr>
        <w:t>15</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"_Toc74756869" </w:instrText>
      </w:r>
      <w:r>
        <w:fldChar w:fldCharType="separate"/>
      </w:r>
      <w:r>
        <w:rPr>
          <w:rStyle w:val="19"/>
          <w:rFonts w:eastAsia="仿宋_GB2312"/>
          <w:sz w:val="30"/>
          <w:szCs w:val="30"/>
        </w:rPr>
        <w:t>4、发展商贸服务新模式</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_Toc74756869 \h </w:instrText>
      </w:r>
      <w:r>
        <w:rPr>
          <w:rFonts w:eastAsia="仿宋_GB2312"/>
          <w:sz w:val="30"/>
          <w:szCs w:val="30"/>
        </w:rPr>
        <w:fldChar w:fldCharType="separate"/>
      </w:r>
      <w:r>
        <w:rPr>
          <w:rFonts w:eastAsia="仿宋_GB2312"/>
          <w:sz w:val="30"/>
          <w:szCs w:val="30"/>
        </w:rPr>
        <w:t>16</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"_Toc74756870" </w:instrText>
      </w:r>
      <w:r>
        <w:fldChar w:fldCharType="separate"/>
      </w:r>
      <w:r>
        <w:rPr>
          <w:rStyle w:val="19"/>
          <w:rFonts w:eastAsia="仿宋_GB2312"/>
          <w:sz w:val="30"/>
          <w:szCs w:val="30"/>
        </w:rPr>
        <w:t>5、做强多元美食新餐饮</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_Toc74756870 \h </w:instrText>
      </w:r>
      <w:r>
        <w:rPr>
          <w:rFonts w:eastAsia="仿宋_GB2312"/>
          <w:sz w:val="30"/>
          <w:szCs w:val="30"/>
        </w:rPr>
        <w:fldChar w:fldCharType="separate"/>
      </w:r>
      <w:r>
        <w:rPr>
          <w:rFonts w:eastAsia="仿宋_GB2312"/>
          <w:sz w:val="30"/>
          <w:szCs w:val="30"/>
        </w:rPr>
        <w:t>17</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"_Toc74756871" </w:instrText>
      </w:r>
      <w:r>
        <w:fldChar w:fldCharType="separate"/>
      </w:r>
      <w:r>
        <w:rPr>
          <w:rStyle w:val="19"/>
          <w:rFonts w:eastAsia="仿宋_GB2312"/>
          <w:sz w:val="30"/>
          <w:szCs w:val="30"/>
        </w:rPr>
        <w:t>6、营造舒心消费新环境</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_Toc74756871 \h </w:instrText>
      </w:r>
      <w:r>
        <w:rPr>
          <w:rFonts w:eastAsia="仿宋_GB2312"/>
          <w:sz w:val="30"/>
          <w:szCs w:val="30"/>
        </w:rPr>
        <w:fldChar w:fldCharType="separate"/>
      </w:r>
      <w:r>
        <w:rPr>
          <w:rFonts w:eastAsia="仿宋_GB2312"/>
          <w:sz w:val="30"/>
          <w:szCs w:val="30"/>
        </w:rPr>
        <w:t>18</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"_Toc74756872" </w:instrText>
      </w:r>
      <w:r>
        <w:fldChar w:fldCharType="separate"/>
      </w:r>
      <w:r>
        <w:rPr>
          <w:rStyle w:val="19"/>
          <w:rFonts w:eastAsia="仿宋_GB2312"/>
          <w:kern w:val="0"/>
          <w:sz w:val="30"/>
          <w:szCs w:val="30"/>
        </w:rPr>
        <w:t>（二）高水平打造开放型经济发展标杆</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_Toc74756872 \h </w:instrText>
      </w:r>
      <w:r>
        <w:rPr>
          <w:rFonts w:eastAsia="仿宋_GB2312"/>
          <w:sz w:val="30"/>
          <w:szCs w:val="30"/>
        </w:rPr>
        <w:fldChar w:fldCharType="separate"/>
      </w:r>
      <w:r>
        <w:rPr>
          <w:rFonts w:eastAsia="仿宋_GB2312"/>
          <w:sz w:val="30"/>
          <w:szCs w:val="30"/>
        </w:rPr>
        <w:t>19</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"_Toc74756873" </w:instrText>
      </w:r>
      <w:r>
        <w:fldChar w:fldCharType="separate"/>
      </w:r>
      <w:r>
        <w:rPr>
          <w:rStyle w:val="19"/>
          <w:rFonts w:eastAsia="仿宋_GB2312"/>
          <w:sz w:val="30"/>
          <w:szCs w:val="30"/>
        </w:rPr>
        <w:t>1、推动外贸提质增效</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_Toc74756873 \h </w:instrText>
      </w:r>
      <w:r>
        <w:rPr>
          <w:rFonts w:eastAsia="仿宋_GB2312"/>
          <w:sz w:val="30"/>
          <w:szCs w:val="30"/>
        </w:rPr>
        <w:fldChar w:fldCharType="separate"/>
      </w:r>
      <w:r>
        <w:rPr>
          <w:rFonts w:eastAsia="仿宋_GB2312"/>
          <w:sz w:val="30"/>
          <w:szCs w:val="30"/>
        </w:rPr>
        <w:t>19</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"_Toc74756874" </w:instrText>
      </w:r>
      <w:r>
        <w:fldChar w:fldCharType="separate"/>
      </w:r>
      <w:r>
        <w:rPr>
          <w:rStyle w:val="19"/>
          <w:rFonts w:eastAsia="仿宋_GB2312"/>
          <w:sz w:val="30"/>
          <w:szCs w:val="30"/>
        </w:rPr>
        <w:t>2、创新拓展服务贸易</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_Toc74756874 \h </w:instrText>
      </w:r>
      <w:r>
        <w:rPr>
          <w:rFonts w:eastAsia="仿宋_GB2312"/>
          <w:sz w:val="30"/>
          <w:szCs w:val="30"/>
        </w:rPr>
        <w:fldChar w:fldCharType="separate"/>
      </w:r>
      <w:r>
        <w:rPr>
          <w:rFonts w:eastAsia="仿宋_GB2312"/>
          <w:sz w:val="30"/>
          <w:szCs w:val="30"/>
        </w:rPr>
        <w:t>20</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"_Toc74756875" </w:instrText>
      </w:r>
      <w:r>
        <w:fldChar w:fldCharType="separate"/>
      </w:r>
      <w:r>
        <w:rPr>
          <w:rStyle w:val="19"/>
          <w:rFonts w:eastAsia="仿宋_GB2312"/>
          <w:sz w:val="30"/>
          <w:szCs w:val="30"/>
        </w:rPr>
        <w:t>3、提升对外开放水平</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_Toc74756875 \h </w:instrText>
      </w:r>
      <w:r>
        <w:rPr>
          <w:rFonts w:eastAsia="仿宋_GB2312"/>
          <w:sz w:val="30"/>
          <w:szCs w:val="30"/>
        </w:rPr>
        <w:fldChar w:fldCharType="separate"/>
      </w:r>
      <w:r>
        <w:rPr>
          <w:rFonts w:eastAsia="仿宋_GB2312"/>
          <w:sz w:val="30"/>
          <w:szCs w:val="30"/>
        </w:rPr>
        <w:t>21</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"_Toc74756876" </w:instrText>
      </w:r>
      <w:r>
        <w:fldChar w:fldCharType="separate"/>
      </w:r>
      <w:r>
        <w:rPr>
          <w:rStyle w:val="19"/>
          <w:rFonts w:eastAsia="仿宋_GB2312"/>
          <w:sz w:val="30"/>
          <w:szCs w:val="30"/>
        </w:rPr>
        <w:t>4、加强对外投资合作</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_Toc74756876 \h </w:instrText>
      </w:r>
      <w:r>
        <w:rPr>
          <w:rFonts w:eastAsia="仿宋_GB2312"/>
          <w:sz w:val="30"/>
          <w:szCs w:val="30"/>
        </w:rPr>
        <w:fldChar w:fldCharType="separate"/>
      </w:r>
      <w:r>
        <w:rPr>
          <w:rFonts w:eastAsia="仿宋_GB2312"/>
          <w:sz w:val="30"/>
          <w:szCs w:val="30"/>
        </w:rPr>
        <w:t>22</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"_Toc74756877" </w:instrText>
      </w:r>
      <w:r>
        <w:fldChar w:fldCharType="separate"/>
      </w:r>
      <w:r>
        <w:rPr>
          <w:rStyle w:val="19"/>
          <w:rFonts w:eastAsia="仿宋_GB2312"/>
          <w:sz w:val="30"/>
          <w:szCs w:val="30"/>
        </w:rPr>
        <w:t>5、推动开发区改革突破</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_Toc74756877 \h </w:instrText>
      </w:r>
      <w:r>
        <w:rPr>
          <w:rFonts w:eastAsia="仿宋_GB2312"/>
          <w:sz w:val="30"/>
          <w:szCs w:val="30"/>
        </w:rPr>
        <w:fldChar w:fldCharType="separate"/>
      </w:r>
      <w:r>
        <w:rPr>
          <w:rFonts w:eastAsia="仿宋_GB2312"/>
          <w:sz w:val="30"/>
          <w:szCs w:val="30"/>
        </w:rPr>
        <w:t>23</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"_Toc74756878" </w:instrText>
      </w:r>
      <w:r>
        <w:fldChar w:fldCharType="separate"/>
      </w:r>
      <w:r>
        <w:rPr>
          <w:rStyle w:val="19"/>
          <w:rFonts w:eastAsia="仿宋_GB2312"/>
          <w:kern w:val="0"/>
          <w:sz w:val="30"/>
          <w:szCs w:val="30"/>
        </w:rPr>
        <w:t>（三）高水平建设区域国际会展城市</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_Toc74756878 \h </w:instrText>
      </w:r>
      <w:r>
        <w:rPr>
          <w:rFonts w:eastAsia="仿宋_GB2312"/>
          <w:sz w:val="30"/>
          <w:szCs w:val="30"/>
        </w:rPr>
        <w:fldChar w:fldCharType="separate"/>
      </w:r>
      <w:r>
        <w:rPr>
          <w:rFonts w:eastAsia="仿宋_GB2312"/>
          <w:sz w:val="30"/>
          <w:szCs w:val="30"/>
        </w:rPr>
        <w:t>23</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"_Toc74756879" </w:instrText>
      </w:r>
      <w:r>
        <w:fldChar w:fldCharType="separate"/>
      </w:r>
      <w:r>
        <w:rPr>
          <w:rStyle w:val="19"/>
          <w:rFonts w:eastAsia="仿宋_GB2312"/>
          <w:sz w:val="30"/>
          <w:szCs w:val="30"/>
        </w:rPr>
        <w:t>1、加强会展设施建设</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_Toc74756879 \h </w:instrText>
      </w:r>
      <w:r>
        <w:rPr>
          <w:rFonts w:eastAsia="仿宋_GB2312"/>
          <w:sz w:val="30"/>
          <w:szCs w:val="30"/>
        </w:rPr>
        <w:fldChar w:fldCharType="separate"/>
      </w:r>
      <w:r>
        <w:rPr>
          <w:rFonts w:eastAsia="仿宋_GB2312"/>
          <w:sz w:val="30"/>
          <w:szCs w:val="30"/>
        </w:rPr>
        <w:t>24</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"_Toc74756880" </w:instrText>
      </w:r>
      <w:r>
        <w:fldChar w:fldCharType="separate"/>
      </w:r>
      <w:r>
        <w:rPr>
          <w:rStyle w:val="19"/>
          <w:rFonts w:eastAsia="仿宋_GB2312"/>
          <w:sz w:val="30"/>
          <w:szCs w:val="30"/>
        </w:rPr>
        <w:t>2、发展国际专业会展</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_Toc74756880 \h </w:instrText>
      </w:r>
      <w:r>
        <w:rPr>
          <w:rFonts w:eastAsia="仿宋_GB2312"/>
          <w:sz w:val="30"/>
          <w:szCs w:val="30"/>
        </w:rPr>
        <w:fldChar w:fldCharType="separate"/>
      </w:r>
      <w:r>
        <w:rPr>
          <w:rFonts w:eastAsia="仿宋_GB2312"/>
          <w:sz w:val="30"/>
          <w:szCs w:val="30"/>
        </w:rPr>
        <w:t>24</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"_Toc74756881" </w:instrText>
      </w:r>
      <w:r>
        <w:fldChar w:fldCharType="separate"/>
      </w:r>
      <w:r>
        <w:rPr>
          <w:rStyle w:val="19"/>
          <w:rFonts w:eastAsia="仿宋_GB2312"/>
          <w:sz w:val="30"/>
          <w:szCs w:val="30"/>
        </w:rPr>
        <w:t>3、推动市场力量办展</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_Toc74756881 \h </w:instrText>
      </w:r>
      <w:r>
        <w:rPr>
          <w:rFonts w:eastAsia="仿宋_GB2312"/>
          <w:sz w:val="30"/>
          <w:szCs w:val="30"/>
        </w:rPr>
        <w:fldChar w:fldCharType="separate"/>
      </w:r>
      <w:r>
        <w:rPr>
          <w:rFonts w:eastAsia="仿宋_GB2312"/>
          <w:sz w:val="30"/>
          <w:szCs w:val="30"/>
        </w:rPr>
        <w:t>25</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"_Toc74756882" </w:instrText>
      </w:r>
      <w:r>
        <w:fldChar w:fldCharType="separate"/>
      </w:r>
      <w:r>
        <w:rPr>
          <w:rStyle w:val="19"/>
          <w:rFonts w:eastAsia="仿宋_GB2312"/>
          <w:sz w:val="30"/>
          <w:szCs w:val="30"/>
        </w:rPr>
        <w:t>4、推动会展融合创新</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_Toc74756882 \h </w:instrText>
      </w:r>
      <w:r>
        <w:rPr>
          <w:rFonts w:eastAsia="仿宋_GB2312"/>
          <w:sz w:val="30"/>
          <w:szCs w:val="30"/>
        </w:rPr>
        <w:fldChar w:fldCharType="separate"/>
      </w:r>
      <w:r>
        <w:rPr>
          <w:rFonts w:eastAsia="仿宋_GB2312"/>
          <w:sz w:val="30"/>
          <w:szCs w:val="30"/>
        </w:rPr>
        <w:t>26</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"_Toc74756883" </w:instrText>
      </w:r>
      <w:r>
        <w:fldChar w:fldCharType="separate"/>
      </w:r>
      <w:r>
        <w:rPr>
          <w:rStyle w:val="19"/>
          <w:rFonts w:eastAsia="仿宋_GB2312"/>
          <w:sz w:val="30"/>
          <w:szCs w:val="30"/>
        </w:rPr>
        <w:t>5、打造会议新目的地</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_Toc74756883 \h </w:instrText>
      </w:r>
      <w:r>
        <w:rPr>
          <w:rFonts w:eastAsia="仿宋_GB2312"/>
          <w:sz w:val="30"/>
          <w:szCs w:val="30"/>
        </w:rPr>
        <w:fldChar w:fldCharType="separate"/>
      </w:r>
      <w:r>
        <w:rPr>
          <w:rFonts w:eastAsia="仿宋_GB2312"/>
          <w:sz w:val="30"/>
          <w:szCs w:val="30"/>
        </w:rPr>
        <w:t>27</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"_Toc74756884" </w:instrText>
      </w:r>
      <w:r>
        <w:fldChar w:fldCharType="separate"/>
      </w:r>
      <w:r>
        <w:rPr>
          <w:rStyle w:val="19"/>
          <w:rFonts w:eastAsia="仿宋_GB2312"/>
          <w:kern w:val="0"/>
          <w:sz w:val="30"/>
          <w:szCs w:val="30"/>
        </w:rPr>
        <w:t>（四）高水平推进数字商务全面创新</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_Toc74756884 \h </w:instrText>
      </w:r>
      <w:r>
        <w:rPr>
          <w:rFonts w:eastAsia="仿宋_GB2312"/>
          <w:sz w:val="30"/>
          <w:szCs w:val="30"/>
        </w:rPr>
        <w:fldChar w:fldCharType="separate"/>
      </w:r>
      <w:r>
        <w:rPr>
          <w:rFonts w:eastAsia="仿宋_GB2312"/>
          <w:sz w:val="30"/>
          <w:szCs w:val="30"/>
        </w:rPr>
        <w:t>28</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"_Toc74756885" </w:instrText>
      </w:r>
      <w:r>
        <w:fldChar w:fldCharType="separate"/>
      </w:r>
      <w:r>
        <w:rPr>
          <w:rStyle w:val="19"/>
          <w:rFonts w:eastAsia="仿宋_GB2312"/>
          <w:sz w:val="30"/>
          <w:szCs w:val="30"/>
        </w:rPr>
        <w:t>1、深化电子商务发展</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_Toc74756885 \h </w:instrText>
      </w:r>
      <w:r>
        <w:rPr>
          <w:rFonts w:eastAsia="仿宋_GB2312"/>
          <w:sz w:val="30"/>
          <w:szCs w:val="30"/>
        </w:rPr>
        <w:fldChar w:fldCharType="separate"/>
      </w:r>
      <w:r>
        <w:rPr>
          <w:rFonts w:eastAsia="仿宋_GB2312"/>
          <w:sz w:val="30"/>
          <w:szCs w:val="30"/>
        </w:rPr>
        <w:t>28</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"_Toc74756886" </w:instrText>
      </w:r>
      <w:r>
        <w:fldChar w:fldCharType="separate"/>
      </w:r>
      <w:r>
        <w:rPr>
          <w:rStyle w:val="19"/>
          <w:rFonts w:eastAsia="仿宋_GB2312"/>
          <w:sz w:val="30"/>
          <w:szCs w:val="30"/>
        </w:rPr>
        <w:t>2、发展数字生活新服务</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_Toc74756886 \h </w:instrText>
      </w:r>
      <w:r>
        <w:rPr>
          <w:rFonts w:eastAsia="仿宋_GB2312"/>
          <w:sz w:val="30"/>
          <w:szCs w:val="30"/>
        </w:rPr>
        <w:fldChar w:fldCharType="separate"/>
      </w:r>
      <w:r>
        <w:rPr>
          <w:rFonts w:eastAsia="仿宋_GB2312"/>
          <w:sz w:val="30"/>
          <w:szCs w:val="30"/>
        </w:rPr>
        <w:t>29</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"_Toc74756887" </w:instrText>
      </w:r>
      <w:r>
        <w:fldChar w:fldCharType="separate"/>
      </w:r>
      <w:r>
        <w:rPr>
          <w:rStyle w:val="19"/>
          <w:rFonts w:eastAsia="仿宋_GB2312"/>
          <w:sz w:val="30"/>
          <w:szCs w:val="30"/>
        </w:rPr>
        <w:t>3、推动商务数字化转型</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_Toc74756887 \h </w:instrText>
      </w:r>
      <w:r>
        <w:rPr>
          <w:rFonts w:eastAsia="仿宋_GB2312"/>
          <w:sz w:val="30"/>
          <w:szCs w:val="30"/>
        </w:rPr>
        <w:fldChar w:fldCharType="separate"/>
      </w:r>
      <w:r>
        <w:rPr>
          <w:rFonts w:eastAsia="仿宋_GB2312"/>
          <w:sz w:val="30"/>
          <w:szCs w:val="30"/>
        </w:rPr>
        <w:t>29</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"_Toc74756888" </w:instrText>
      </w:r>
      <w:r>
        <w:fldChar w:fldCharType="separate"/>
      </w:r>
      <w:r>
        <w:rPr>
          <w:rStyle w:val="19"/>
          <w:rFonts w:eastAsia="仿宋_GB2312"/>
          <w:kern w:val="0"/>
          <w:sz w:val="30"/>
          <w:szCs w:val="30"/>
        </w:rPr>
        <w:t>（五）高水平建设现代流通体系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_Toc74756888 \h </w:instrText>
      </w:r>
      <w:r>
        <w:rPr>
          <w:rFonts w:eastAsia="仿宋_GB2312"/>
          <w:sz w:val="30"/>
          <w:szCs w:val="30"/>
        </w:rPr>
        <w:fldChar w:fldCharType="separate"/>
      </w:r>
      <w:r>
        <w:rPr>
          <w:rFonts w:eastAsia="仿宋_GB2312"/>
          <w:sz w:val="30"/>
          <w:szCs w:val="30"/>
        </w:rPr>
        <w:t>30</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"_Toc74756889" </w:instrText>
      </w:r>
      <w:r>
        <w:fldChar w:fldCharType="separate"/>
      </w:r>
      <w:r>
        <w:rPr>
          <w:rStyle w:val="19"/>
          <w:rFonts w:eastAsia="仿宋_GB2312"/>
          <w:sz w:val="30"/>
          <w:szCs w:val="30"/>
        </w:rPr>
        <w:t>1、发展现代商品市场</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_Toc74756889 \h </w:instrText>
      </w:r>
      <w:r>
        <w:rPr>
          <w:rFonts w:eastAsia="仿宋_GB2312"/>
          <w:sz w:val="30"/>
          <w:szCs w:val="30"/>
        </w:rPr>
        <w:fldChar w:fldCharType="separate"/>
      </w:r>
      <w:r>
        <w:rPr>
          <w:rFonts w:eastAsia="仿宋_GB2312"/>
          <w:sz w:val="30"/>
          <w:szCs w:val="30"/>
        </w:rPr>
        <w:t>30</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"_Toc74756890" </w:instrText>
      </w:r>
      <w:r>
        <w:fldChar w:fldCharType="separate"/>
      </w:r>
      <w:r>
        <w:rPr>
          <w:rStyle w:val="19"/>
          <w:rFonts w:eastAsia="仿宋_GB2312"/>
          <w:sz w:val="30"/>
          <w:szCs w:val="30"/>
        </w:rPr>
        <w:t>2、建设物流基础设施</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_Toc74756890 \h </w:instrText>
      </w:r>
      <w:r>
        <w:rPr>
          <w:rFonts w:eastAsia="仿宋_GB2312"/>
          <w:sz w:val="30"/>
          <w:szCs w:val="30"/>
        </w:rPr>
        <w:fldChar w:fldCharType="separate"/>
      </w:r>
      <w:r>
        <w:rPr>
          <w:rFonts w:eastAsia="仿宋_GB2312"/>
          <w:sz w:val="30"/>
          <w:szCs w:val="30"/>
        </w:rPr>
        <w:t>31</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"_Toc74756891" </w:instrText>
      </w:r>
      <w:r>
        <w:fldChar w:fldCharType="separate"/>
      </w:r>
      <w:r>
        <w:rPr>
          <w:rStyle w:val="19"/>
          <w:rFonts w:eastAsia="仿宋_GB2312"/>
          <w:sz w:val="30"/>
          <w:szCs w:val="30"/>
        </w:rPr>
        <w:t>3、提升货运配送能力</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_Toc74756891 \h </w:instrText>
      </w:r>
      <w:r>
        <w:rPr>
          <w:rFonts w:eastAsia="仿宋_GB2312"/>
          <w:sz w:val="30"/>
          <w:szCs w:val="30"/>
        </w:rPr>
        <w:fldChar w:fldCharType="separate"/>
      </w:r>
      <w:r>
        <w:rPr>
          <w:rFonts w:eastAsia="仿宋_GB2312"/>
          <w:sz w:val="30"/>
          <w:szCs w:val="30"/>
        </w:rPr>
        <w:t>32</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"_Toc74756892" </w:instrText>
      </w:r>
      <w:r>
        <w:fldChar w:fldCharType="separate"/>
      </w:r>
      <w:r>
        <w:rPr>
          <w:rStyle w:val="19"/>
          <w:rFonts w:eastAsia="仿宋_GB2312"/>
          <w:sz w:val="30"/>
          <w:szCs w:val="30"/>
        </w:rPr>
        <w:t>4、做强供应链服务</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_Toc74756892 \h </w:instrText>
      </w:r>
      <w:r>
        <w:rPr>
          <w:rFonts w:eastAsia="仿宋_GB2312"/>
          <w:sz w:val="30"/>
          <w:szCs w:val="30"/>
        </w:rPr>
        <w:fldChar w:fldCharType="separate"/>
      </w:r>
      <w:r>
        <w:rPr>
          <w:rFonts w:eastAsia="仿宋_GB2312"/>
          <w:sz w:val="30"/>
          <w:szCs w:val="30"/>
        </w:rPr>
        <w:t>33</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"_Toc74756893" </w:instrText>
      </w:r>
      <w:r>
        <w:fldChar w:fldCharType="separate"/>
      </w:r>
      <w:r>
        <w:rPr>
          <w:rStyle w:val="19"/>
          <w:rFonts w:eastAsia="仿宋_GB2312"/>
          <w:sz w:val="30"/>
          <w:szCs w:val="30"/>
        </w:rPr>
        <w:t>5、推动流通业态创新</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_Toc74756893 \h </w:instrText>
      </w:r>
      <w:r>
        <w:rPr>
          <w:rFonts w:eastAsia="仿宋_GB2312"/>
          <w:sz w:val="30"/>
          <w:szCs w:val="30"/>
        </w:rPr>
        <w:fldChar w:fldCharType="separate"/>
      </w:r>
      <w:r>
        <w:rPr>
          <w:rFonts w:eastAsia="仿宋_GB2312"/>
          <w:sz w:val="30"/>
          <w:szCs w:val="30"/>
        </w:rPr>
        <w:t>34</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"_Toc74756894" </w:instrText>
      </w:r>
      <w:r>
        <w:fldChar w:fldCharType="separate"/>
      </w:r>
      <w:r>
        <w:rPr>
          <w:rStyle w:val="19"/>
          <w:rFonts w:eastAsia="仿宋_GB2312"/>
          <w:kern w:val="0"/>
          <w:sz w:val="30"/>
          <w:szCs w:val="30"/>
        </w:rPr>
        <w:t>（六）高水平构建一流商务营商环境</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_Toc74756894 \h </w:instrText>
      </w:r>
      <w:r>
        <w:rPr>
          <w:rFonts w:eastAsia="仿宋_GB2312"/>
          <w:sz w:val="30"/>
          <w:szCs w:val="30"/>
        </w:rPr>
        <w:fldChar w:fldCharType="separate"/>
      </w:r>
      <w:r>
        <w:rPr>
          <w:rFonts w:eastAsia="仿宋_GB2312"/>
          <w:sz w:val="30"/>
          <w:szCs w:val="30"/>
        </w:rPr>
        <w:t>34</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"_Toc74756895" </w:instrText>
      </w:r>
      <w:r>
        <w:fldChar w:fldCharType="separate"/>
      </w:r>
      <w:r>
        <w:rPr>
          <w:rStyle w:val="19"/>
          <w:rFonts w:eastAsia="仿宋_GB2312"/>
          <w:sz w:val="30"/>
          <w:szCs w:val="30"/>
        </w:rPr>
        <w:t>1、推动市场化改革</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_Toc74756895 \h </w:instrText>
      </w:r>
      <w:r>
        <w:rPr>
          <w:rFonts w:eastAsia="仿宋_GB2312"/>
          <w:sz w:val="30"/>
          <w:szCs w:val="30"/>
        </w:rPr>
        <w:fldChar w:fldCharType="separate"/>
      </w:r>
      <w:r>
        <w:rPr>
          <w:rFonts w:eastAsia="仿宋_GB2312"/>
          <w:sz w:val="30"/>
          <w:szCs w:val="30"/>
        </w:rPr>
        <w:t>34</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"_Toc74756896" </w:instrText>
      </w:r>
      <w:r>
        <w:fldChar w:fldCharType="separate"/>
      </w:r>
      <w:r>
        <w:rPr>
          <w:rStyle w:val="19"/>
          <w:rFonts w:eastAsia="仿宋_GB2312"/>
          <w:sz w:val="30"/>
          <w:szCs w:val="30"/>
        </w:rPr>
        <w:t>2、创新便利化举措</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_Toc74756896 \h </w:instrText>
      </w:r>
      <w:r>
        <w:rPr>
          <w:rFonts w:eastAsia="仿宋_GB2312"/>
          <w:sz w:val="30"/>
          <w:szCs w:val="30"/>
        </w:rPr>
        <w:fldChar w:fldCharType="separate"/>
      </w:r>
      <w:r>
        <w:rPr>
          <w:rFonts w:eastAsia="仿宋_GB2312"/>
          <w:sz w:val="30"/>
          <w:szCs w:val="30"/>
        </w:rPr>
        <w:t>35</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"_Toc74756897" </w:instrText>
      </w:r>
      <w:r>
        <w:fldChar w:fldCharType="separate"/>
      </w:r>
      <w:r>
        <w:rPr>
          <w:rStyle w:val="19"/>
          <w:rFonts w:eastAsia="仿宋_GB2312"/>
          <w:sz w:val="30"/>
          <w:szCs w:val="30"/>
        </w:rPr>
        <w:t>3、落实国际化规则</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_Toc74756897 \h </w:instrText>
      </w:r>
      <w:r>
        <w:rPr>
          <w:rFonts w:eastAsia="仿宋_GB2312"/>
          <w:sz w:val="30"/>
          <w:szCs w:val="30"/>
        </w:rPr>
        <w:fldChar w:fldCharType="separate"/>
      </w:r>
      <w:r>
        <w:rPr>
          <w:rFonts w:eastAsia="仿宋_GB2312"/>
          <w:sz w:val="30"/>
          <w:szCs w:val="30"/>
        </w:rPr>
        <w:t>35</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"_Toc74756898" </w:instrText>
      </w:r>
      <w:r>
        <w:fldChar w:fldCharType="separate"/>
      </w:r>
      <w:r>
        <w:rPr>
          <w:rStyle w:val="19"/>
          <w:rFonts w:eastAsia="仿宋_GB2312"/>
          <w:sz w:val="30"/>
          <w:szCs w:val="30"/>
        </w:rPr>
        <w:t>4、完善法治化体系</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_Toc74756898 \h </w:instrText>
      </w:r>
      <w:r>
        <w:rPr>
          <w:rFonts w:eastAsia="仿宋_GB2312"/>
          <w:sz w:val="30"/>
          <w:szCs w:val="30"/>
        </w:rPr>
        <w:fldChar w:fldCharType="separate"/>
      </w:r>
      <w:r>
        <w:rPr>
          <w:rFonts w:eastAsia="仿宋_GB2312"/>
          <w:sz w:val="30"/>
          <w:szCs w:val="30"/>
        </w:rPr>
        <w:t>36</w:t>
      </w:r>
      <w:r>
        <w:rPr>
          <w:rFonts w:eastAsia="仿宋_GB2312"/>
          <w:sz w:val="30"/>
          <w:szCs w:val="30"/>
        </w:rPr>
        <w:fldChar w:fldCharType="end"/>
      </w:r>
      <w:r>
        <w:rPr>
          <w:rFonts w:eastAsia="仿宋_GB2312"/>
          <w:sz w:val="30"/>
          <w:szCs w:val="30"/>
        </w:rPr>
        <w:fldChar w:fldCharType="end"/>
      </w:r>
    </w:p>
    <w:p>
      <w:pPr>
        <w:pStyle w:val="11"/>
        <w:tabs>
          <w:tab w:val="right" w:leader="dot" w:pos="8296"/>
        </w:tabs>
        <w:rPr>
          <w:rFonts w:eastAsia="仿宋_GB2312"/>
          <w:sz w:val="30"/>
          <w:szCs w:val="30"/>
        </w:rPr>
      </w:pPr>
      <w:r>
        <w:fldChar w:fldCharType="begin"/>
      </w:r>
      <w:r>
        <w:instrText xml:space="preserve"> HYPERLINK \l "_Toc74756899" </w:instrText>
      </w:r>
      <w:r>
        <w:fldChar w:fldCharType="separate"/>
      </w:r>
      <w:r>
        <w:rPr>
          <w:rStyle w:val="19"/>
          <w:rFonts w:eastAsia="仿宋_GB2312"/>
          <w:sz w:val="30"/>
          <w:szCs w:val="30"/>
        </w:rPr>
        <w:t>四、重大工程</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_Toc74756899 \h </w:instrText>
      </w:r>
      <w:r>
        <w:rPr>
          <w:rFonts w:eastAsia="仿宋_GB2312"/>
          <w:sz w:val="30"/>
          <w:szCs w:val="30"/>
        </w:rPr>
        <w:fldChar w:fldCharType="separate"/>
      </w:r>
      <w:r>
        <w:rPr>
          <w:rFonts w:eastAsia="仿宋_GB2312"/>
          <w:sz w:val="30"/>
          <w:szCs w:val="30"/>
        </w:rPr>
        <w:t>36</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"_Toc74756900" </w:instrText>
      </w:r>
      <w:r>
        <w:fldChar w:fldCharType="separate"/>
      </w:r>
      <w:r>
        <w:rPr>
          <w:rStyle w:val="19"/>
          <w:rFonts w:eastAsia="仿宋_GB2312"/>
          <w:kern w:val="0"/>
          <w:sz w:val="30"/>
          <w:szCs w:val="30"/>
        </w:rPr>
        <w:t>（一）重大开放平台建设工程</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_Toc74756900 \h </w:instrText>
      </w:r>
      <w:r>
        <w:rPr>
          <w:rFonts w:eastAsia="仿宋_GB2312"/>
          <w:sz w:val="30"/>
          <w:szCs w:val="30"/>
        </w:rPr>
        <w:fldChar w:fldCharType="separate"/>
      </w:r>
      <w:r>
        <w:rPr>
          <w:rFonts w:eastAsia="仿宋_GB2312"/>
          <w:sz w:val="30"/>
          <w:szCs w:val="30"/>
        </w:rPr>
        <w:t>36</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"_Toc74756901" </w:instrText>
      </w:r>
      <w:r>
        <w:fldChar w:fldCharType="separate"/>
      </w:r>
      <w:r>
        <w:rPr>
          <w:rStyle w:val="19"/>
          <w:rFonts w:eastAsia="仿宋_GB2312"/>
          <w:sz w:val="30"/>
          <w:szCs w:val="30"/>
        </w:rPr>
        <w:t>1、建设中国（温州）华商华侨综合发展先行区</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_Toc74756901 \h </w:instrText>
      </w:r>
      <w:r>
        <w:rPr>
          <w:rFonts w:eastAsia="仿宋_GB2312"/>
          <w:sz w:val="30"/>
          <w:szCs w:val="30"/>
        </w:rPr>
        <w:fldChar w:fldCharType="separate"/>
      </w:r>
      <w:r>
        <w:rPr>
          <w:rFonts w:eastAsia="仿宋_GB2312"/>
          <w:sz w:val="30"/>
          <w:szCs w:val="30"/>
        </w:rPr>
        <w:t>36</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"_Toc74756902" </w:instrText>
      </w:r>
      <w:r>
        <w:fldChar w:fldCharType="separate"/>
      </w:r>
      <w:r>
        <w:rPr>
          <w:rStyle w:val="19"/>
          <w:rFonts w:eastAsia="仿宋_GB2312"/>
          <w:sz w:val="30"/>
          <w:szCs w:val="30"/>
        </w:rPr>
        <w:t>2、建设浙江自由贸易试验区温州联动创新区</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_Toc74756902 \h </w:instrText>
      </w:r>
      <w:r>
        <w:rPr>
          <w:rFonts w:eastAsia="仿宋_GB2312"/>
          <w:sz w:val="30"/>
          <w:szCs w:val="30"/>
        </w:rPr>
        <w:fldChar w:fldCharType="separate"/>
      </w:r>
      <w:r>
        <w:rPr>
          <w:rFonts w:eastAsia="仿宋_GB2312"/>
          <w:sz w:val="30"/>
          <w:szCs w:val="30"/>
        </w:rPr>
        <w:t>37</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"_Toc74756903" </w:instrText>
      </w:r>
      <w:r>
        <w:fldChar w:fldCharType="separate"/>
      </w:r>
      <w:r>
        <w:rPr>
          <w:rStyle w:val="19"/>
          <w:rFonts w:eastAsia="仿宋_GB2312"/>
          <w:sz w:val="30"/>
          <w:szCs w:val="30"/>
        </w:rPr>
        <w:t>3、建设温州综合保税区</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_Toc74756903 \h </w:instrText>
      </w:r>
      <w:r>
        <w:rPr>
          <w:rFonts w:eastAsia="仿宋_GB2312"/>
          <w:sz w:val="30"/>
          <w:szCs w:val="30"/>
        </w:rPr>
        <w:fldChar w:fldCharType="separate"/>
      </w:r>
      <w:r>
        <w:rPr>
          <w:rFonts w:eastAsia="仿宋_GB2312"/>
          <w:sz w:val="30"/>
          <w:szCs w:val="30"/>
        </w:rPr>
        <w:t>37</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"_Toc74756904" </w:instrText>
      </w:r>
      <w:r>
        <w:fldChar w:fldCharType="separate"/>
      </w:r>
      <w:r>
        <w:rPr>
          <w:rStyle w:val="19"/>
          <w:rFonts w:eastAsia="仿宋_GB2312"/>
          <w:sz w:val="30"/>
          <w:szCs w:val="30"/>
        </w:rPr>
        <w:t>4、建设中国（温州）跨境电子商务综合试验区</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_Toc74756904 \h </w:instrText>
      </w:r>
      <w:r>
        <w:rPr>
          <w:rFonts w:eastAsia="仿宋_GB2312"/>
          <w:sz w:val="30"/>
          <w:szCs w:val="30"/>
        </w:rPr>
        <w:fldChar w:fldCharType="separate"/>
      </w:r>
      <w:r>
        <w:rPr>
          <w:rFonts w:eastAsia="仿宋_GB2312"/>
          <w:sz w:val="30"/>
          <w:szCs w:val="30"/>
        </w:rPr>
        <w:t>38</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"_Toc74756905" </w:instrText>
      </w:r>
      <w:r>
        <w:fldChar w:fldCharType="separate"/>
      </w:r>
      <w:r>
        <w:rPr>
          <w:rStyle w:val="19"/>
          <w:rFonts w:eastAsia="仿宋_GB2312"/>
          <w:kern w:val="0"/>
          <w:sz w:val="30"/>
          <w:szCs w:val="30"/>
        </w:rPr>
        <w:t>（二）强大国内市场开发工程</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_Toc74756905 \h </w:instrText>
      </w:r>
      <w:r>
        <w:rPr>
          <w:rFonts w:eastAsia="仿宋_GB2312"/>
          <w:sz w:val="30"/>
          <w:szCs w:val="30"/>
        </w:rPr>
        <w:fldChar w:fldCharType="separate"/>
      </w:r>
      <w:r>
        <w:rPr>
          <w:rFonts w:eastAsia="仿宋_GB2312"/>
          <w:sz w:val="30"/>
          <w:szCs w:val="30"/>
        </w:rPr>
        <w:t>38</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"_Toc74756906" </w:instrText>
      </w:r>
      <w:r>
        <w:fldChar w:fldCharType="separate"/>
      </w:r>
      <w:r>
        <w:rPr>
          <w:rStyle w:val="19"/>
          <w:rFonts w:eastAsia="仿宋_GB2312"/>
          <w:sz w:val="30"/>
          <w:szCs w:val="30"/>
        </w:rPr>
        <w:t>1、建设高能拓市平台</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_Toc74756906 \h </w:instrText>
      </w:r>
      <w:r>
        <w:rPr>
          <w:rFonts w:eastAsia="仿宋_GB2312"/>
          <w:sz w:val="30"/>
          <w:szCs w:val="30"/>
        </w:rPr>
        <w:fldChar w:fldCharType="separate"/>
      </w:r>
      <w:r>
        <w:rPr>
          <w:rFonts w:eastAsia="仿宋_GB2312"/>
          <w:sz w:val="30"/>
          <w:szCs w:val="30"/>
        </w:rPr>
        <w:t>38</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"_Toc74756907" </w:instrText>
      </w:r>
      <w:r>
        <w:fldChar w:fldCharType="separate"/>
      </w:r>
      <w:r>
        <w:rPr>
          <w:rStyle w:val="19"/>
          <w:rFonts w:eastAsia="仿宋_GB2312"/>
          <w:sz w:val="30"/>
          <w:szCs w:val="30"/>
        </w:rPr>
        <w:t>2、激活农村潜力市场</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_Toc74756907 \h </w:instrText>
      </w:r>
      <w:r>
        <w:rPr>
          <w:rFonts w:eastAsia="仿宋_GB2312"/>
          <w:sz w:val="30"/>
          <w:szCs w:val="30"/>
        </w:rPr>
        <w:fldChar w:fldCharType="separate"/>
      </w:r>
      <w:r>
        <w:rPr>
          <w:rFonts w:eastAsia="仿宋_GB2312"/>
          <w:sz w:val="30"/>
          <w:szCs w:val="30"/>
        </w:rPr>
        <w:t>39</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"_Toc74756908" </w:instrText>
      </w:r>
      <w:r>
        <w:fldChar w:fldCharType="separate"/>
      </w:r>
      <w:r>
        <w:rPr>
          <w:rStyle w:val="19"/>
          <w:rFonts w:eastAsia="仿宋_GB2312"/>
          <w:sz w:val="30"/>
          <w:szCs w:val="30"/>
        </w:rPr>
        <w:t>3、深挖城区社区市场</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_Toc74756908 \h </w:instrText>
      </w:r>
      <w:r>
        <w:rPr>
          <w:rFonts w:eastAsia="仿宋_GB2312"/>
          <w:sz w:val="30"/>
          <w:szCs w:val="30"/>
        </w:rPr>
        <w:fldChar w:fldCharType="separate"/>
      </w:r>
      <w:r>
        <w:rPr>
          <w:rFonts w:eastAsia="仿宋_GB2312"/>
          <w:sz w:val="30"/>
          <w:szCs w:val="30"/>
        </w:rPr>
        <w:t>39</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"_Toc74756909" </w:instrText>
      </w:r>
      <w:r>
        <w:fldChar w:fldCharType="separate"/>
      </w:r>
      <w:r>
        <w:rPr>
          <w:rStyle w:val="19"/>
          <w:rFonts w:eastAsia="仿宋_GB2312"/>
          <w:kern w:val="0"/>
          <w:sz w:val="30"/>
          <w:szCs w:val="30"/>
        </w:rPr>
        <w:t>（三）国内国际双循环工程</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_Toc74756909 \h </w:instrText>
      </w:r>
      <w:r>
        <w:rPr>
          <w:rFonts w:eastAsia="仿宋_GB2312"/>
          <w:sz w:val="30"/>
          <w:szCs w:val="30"/>
        </w:rPr>
        <w:fldChar w:fldCharType="separate"/>
      </w:r>
      <w:r>
        <w:rPr>
          <w:rFonts w:eastAsia="仿宋_GB2312"/>
          <w:sz w:val="30"/>
          <w:szCs w:val="30"/>
        </w:rPr>
        <w:t>40</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"_Toc74756910" </w:instrText>
      </w:r>
      <w:r>
        <w:fldChar w:fldCharType="separate"/>
      </w:r>
      <w:r>
        <w:rPr>
          <w:rStyle w:val="19"/>
          <w:rFonts w:eastAsia="仿宋_GB2312"/>
          <w:sz w:val="30"/>
          <w:szCs w:val="30"/>
        </w:rPr>
        <w:t>1、推动国内国际双循环</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_Toc74756910 \h </w:instrText>
      </w:r>
      <w:r>
        <w:rPr>
          <w:rFonts w:eastAsia="仿宋_GB2312"/>
          <w:sz w:val="30"/>
          <w:szCs w:val="30"/>
        </w:rPr>
        <w:fldChar w:fldCharType="separate"/>
      </w:r>
      <w:r>
        <w:rPr>
          <w:rFonts w:eastAsia="仿宋_GB2312"/>
          <w:sz w:val="30"/>
          <w:szCs w:val="30"/>
        </w:rPr>
        <w:t>40</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"_Toc74756911" </w:instrText>
      </w:r>
      <w:r>
        <w:fldChar w:fldCharType="separate"/>
      </w:r>
      <w:r>
        <w:rPr>
          <w:rStyle w:val="19"/>
          <w:rFonts w:eastAsia="仿宋_GB2312"/>
          <w:sz w:val="30"/>
          <w:szCs w:val="30"/>
        </w:rPr>
        <w:t>2、推动质量品牌双提升</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_Toc74756911 \h </w:instrText>
      </w:r>
      <w:r>
        <w:rPr>
          <w:rFonts w:eastAsia="仿宋_GB2312"/>
          <w:sz w:val="30"/>
          <w:szCs w:val="30"/>
        </w:rPr>
        <w:fldChar w:fldCharType="separate"/>
      </w:r>
      <w:r>
        <w:rPr>
          <w:rFonts w:eastAsia="仿宋_GB2312"/>
          <w:sz w:val="30"/>
          <w:szCs w:val="30"/>
        </w:rPr>
        <w:t>40</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"_Toc74756912" </w:instrText>
      </w:r>
      <w:r>
        <w:fldChar w:fldCharType="separate"/>
      </w:r>
      <w:r>
        <w:rPr>
          <w:rStyle w:val="19"/>
          <w:rFonts w:eastAsia="仿宋_GB2312"/>
          <w:kern w:val="0"/>
          <w:sz w:val="30"/>
          <w:szCs w:val="30"/>
        </w:rPr>
        <w:t>（四）国际化商业街区建设工程</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_Toc74756912 \h </w:instrText>
      </w:r>
      <w:r>
        <w:rPr>
          <w:rFonts w:eastAsia="仿宋_GB2312"/>
          <w:sz w:val="30"/>
          <w:szCs w:val="30"/>
        </w:rPr>
        <w:fldChar w:fldCharType="separate"/>
      </w:r>
      <w:r>
        <w:rPr>
          <w:rFonts w:eastAsia="仿宋_GB2312"/>
          <w:sz w:val="30"/>
          <w:szCs w:val="30"/>
        </w:rPr>
        <w:t>41</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"_Toc74756913" </w:instrText>
      </w:r>
      <w:r>
        <w:fldChar w:fldCharType="separate"/>
      </w:r>
      <w:r>
        <w:rPr>
          <w:rStyle w:val="19"/>
          <w:rFonts w:eastAsia="仿宋_GB2312"/>
          <w:sz w:val="30"/>
          <w:szCs w:val="30"/>
        </w:rPr>
        <w:t>1、地标商圈建设工程</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_Toc74756913 \h </w:instrText>
      </w:r>
      <w:r>
        <w:rPr>
          <w:rFonts w:eastAsia="仿宋_GB2312"/>
          <w:sz w:val="30"/>
          <w:szCs w:val="30"/>
        </w:rPr>
        <w:fldChar w:fldCharType="separate"/>
      </w:r>
      <w:r>
        <w:rPr>
          <w:rFonts w:eastAsia="仿宋_GB2312"/>
          <w:sz w:val="30"/>
          <w:szCs w:val="30"/>
        </w:rPr>
        <w:t>41</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"_Toc74756914" </w:instrText>
      </w:r>
      <w:r>
        <w:fldChar w:fldCharType="separate"/>
      </w:r>
      <w:r>
        <w:rPr>
          <w:rStyle w:val="19"/>
          <w:rFonts w:eastAsia="仿宋_GB2312"/>
          <w:sz w:val="30"/>
          <w:szCs w:val="30"/>
        </w:rPr>
        <w:t>2、特色街区建设工程</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_Toc74756914 \h </w:instrText>
      </w:r>
      <w:r>
        <w:rPr>
          <w:rFonts w:eastAsia="仿宋_GB2312"/>
          <w:sz w:val="30"/>
          <w:szCs w:val="30"/>
        </w:rPr>
        <w:fldChar w:fldCharType="separate"/>
      </w:r>
      <w:r>
        <w:rPr>
          <w:rFonts w:eastAsia="仿宋_GB2312"/>
          <w:sz w:val="30"/>
          <w:szCs w:val="30"/>
        </w:rPr>
        <w:t>42</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"_Toc74756915" </w:instrText>
      </w:r>
      <w:r>
        <w:fldChar w:fldCharType="separate"/>
      </w:r>
      <w:r>
        <w:rPr>
          <w:rStyle w:val="19"/>
          <w:rFonts w:eastAsia="仿宋_GB2312"/>
          <w:sz w:val="30"/>
          <w:szCs w:val="30"/>
        </w:rPr>
        <w:t>3、月光经济建设工程</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_Toc74756915 \h </w:instrText>
      </w:r>
      <w:r>
        <w:rPr>
          <w:rFonts w:eastAsia="仿宋_GB2312"/>
          <w:sz w:val="30"/>
          <w:szCs w:val="30"/>
        </w:rPr>
        <w:fldChar w:fldCharType="separate"/>
      </w:r>
      <w:r>
        <w:rPr>
          <w:rFonts w:eastAsia="仿宋_GB2312"/>
          <w:sz w:val="30"/>
          <w:szCs w:val="30"/>
        </w:rPr>
        <w:t>42</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"_Toc74756916" </w:instrText>
      </w:r>
      <w:r>
        <w:fldChar w:fldCharType="separate"/>
      </w:r>
      <w:r>
        <w:rPr>
          <w:rStyle w:val="19"/>
          <w:rFonts w:eastAsia="仿宋_GB2312"/>
          <w:sz w:val="30"/>
          <w:szCs w:val="30"/>
        </w:rPr>
        <w:t>4、智慧商圈建设工程</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_Toc74756916 \h </w:instrText>
      </w:r>
      <w:r>
        <w:rPr>
          <w:rFonts w:eastAsia="仿宋_GB2312"/>
          <w:sz w:val="30"/>
          <w:szCs w:val="30"/>
        </w:rPr>
        <w:fldChar w:fldCharType="separate"/>
      </w:r>
      <w:r>
        <w:rPr>
          <w:rFonts w:eastAsia="仿宋_GB2312"/>
          <w:sz w:val="30"/>
          <w:szCs w:val="30"/>
        </w:rPr>
        <w:t>43</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"_Toc74756917" </w:instrText>
      </w:r>
      <w:r>
        <w:fldChar w:fldCharType="separate"/>
      </w:r>
      <w:r>
        <w:rPr>
          <w:rStyle w:val="19"/>
          <w:rFonts w:eastAsia="仿宋_GB2312"/>
          <w:kern w:val="0"/>
          <w:sz w:val="30"/>
          <w:szCs w:val="30"/>
        </w:rPr>
        <w:t>（五）商务活力激发工程</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_Toc74756917 \h </w:instrText>
      </w:r>
      <w:r>
        <w:rPr>
          <w:rFonts w:eastAsia="仿宋_GB2312"/>
          <w:sz w:val="30"/>
          <w:szCs w:val="30"/>
        </w:rPr>
        <w:fldChar w:fldCharType="separate"/>
      </w:r>
      <w:r>
        <w:rPr>
          <w:rFonts w:eastAsia="仿宋_GB2312"/>
          <w:sz w:val="30"/>
          <w:szCs w:val="30"/>
        </w:rPr>
        <w:t>43</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"_Toc74756918" </w:instrText>
      </w:r>
      <w:r>
        <w:fldChar w:fldCharType="separate"/>
      </w:r>
      <w:r>
        <w:rPr>
          <w:rStyle w:val="19"/>
          <w:rFonts w:eastAsia="仿宋_GB2312"/>
          <w:sz w:val="30"/>
          <w:szCs w:val="30"/>
        </w:rPr>
        <w:t>1、推动主体强商</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_Toc74756918 \h </w:instrText>
      </w:r>
      <w:r>
        <w:rPr>
          <w:rFonts w:eastAsia="仿宋_GB2312"/>
          <w:sz w:val="30"/>
          <w:szCs w:val="30"/>
        </w:rPr>
        <w:fldChar w:fldCharType="separate"/>
      </w:r>
      <w:r>
        <w:rPr>
          <w:rFonts w:eastAsia="仿宋_GB2312"/>
          <w:sz w:val="30"/>
          <w:szCs w:val="30"/>
        </w:rPr>
        <w:t>43</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"_Toc74756919" </w:instrText>
      </w:r>
      <w:r>
        <w:fldChar w:fldCharType="separate"/>
      </w:r>
      <w:r>
        <w:rPr>
          <w:rStyle w:val="19"/>
          <w:rFonts w:eastAsia="仿宋_GB2312"/>
          <w:sz w:val="30"/>
          <w:szCs w:val="30"/>
        </w:rPr>
        <w:t>2、着力人才强商</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_Toc74756919 \h </w:instrText>
      </w:r>
      <w:r>
        <w:rPr>
          <w:rFonts w:eastAsia="仿宋_GB2312"/>
          <w:sz w:val="30"/>
          <w:szCs w:val="30"/>
        </w:rPr>
        <w:fldChar w:fldCharType="separate"/>
      </w:r>
      <w:r>
        <w:rPr>
          <w:rFonts w:eastAsia="仿宋_GB2312"/>
          <w:sz w:val="30"/>
          <w:szCs w:val="30"/>
        </w:rPr>
        <w:t>44</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"_Toc74756920" </w:instrText>
      </w:r>
      <w:r>
        <w:fldChar w:fldCharType="separate"/>
      </w:r>
      <w:r>
        <w:rPr>
          <w:rStyle w:val="19"/>
          <w:rFonts w:eastAsia="仿宋_GB2312"/>
          <w:sz w:val="30"/>
          <w:szCs w:val="30"/>
        </w:rPr>
        <w:t>3、发展活动强商</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_Toc74756920 \h </w:instrText>
      </w:r>
      <w:r>
        <w:rPr>
          <w:rFonts w:eastAsia="仿宋_GB2312"/>
          <w:sz w:val="30"/>
          <w:szCs w:val="30"/>
        </w:rPr>
        <w:fldChar w:fldCharType="separate"/>
      </w:r>
      <w:r>
        <w:rPr>
          <w:rFonts w:eastAsia="仿宋_GB2312"/>
          <w:sz w:val="30"/>
          <w:szCs w:val="30"/>
        </w:rPr>
        <w:t>44</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"_Toc74756921" </w:instrText>
      </w:r>
      <w:r>
        <w:fldChar w:fldCharType="separate"/>
      </w:r>
      <w:r>
        <w:rPr>
          <w:rStyle w:val="19"/>
          <w:rFonts w:eastAsia="仿宋_GB2312"/>
          <w:kern w:val="0"/>
          <w:sz w:val="30"/>
          <w:szCs w:val="30"/>
        </w:rPr>
        <w:t>（六）商贸新基建工程</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_Toc74756921 \h </w:instrText>
      </w:r>
      <w:r>
        <w:rPr>
          <w:rFonts w:eastAsia="仿宋_GB2312"/>
          <w:sz w:val="30"/>
          <w:szCs w:val="30"/>
        </w:rPr>
        <w:fldChar w:fldCharType="separate"/>
      </w:r>
      <w:r>
        <w:rPr>
          <w:rFonts w:eastAsia="仿宋_GB2312"/>
          <w:sz w:val="30"/>
          <w:szCs w:val="30"/>
        </w:rPr>
        <w:t>44</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"_Toc74756922" </w:instrText>
      </w:r>
      <w:r>
        <w:fldChar w:fldCharType="separate"/>
      </w:r>
      <w:r>
        <w:rPr>
          <w:rStyle w:val="19"/>
          <w:rFonts w:eastAsia="仿宋_GB2312"/>
          <w:sz w:val="30"/>
          <w:szCs w:val="30"/>
        </w:rPr>
        <w:t>1、新消费基础设施建设</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_Toc74756922 \h </w:instrText>
      </w:r>
      <w:r>
        <w:rPr>
          <w:rFonts w:eastAsia="仿宋_GB2312"/>
          <w:sz w:val="30"/>
          <w:szCs w:val="30"/>
        </w:rPr>
        <w:fldChar w:fldCharType="separate"/>
      </w:r>
      <w:r>
        <w:rPr>
          <w:rFonts w:eastAsia="仿宋_GB2312"/>
          <w:sz w:val="30"/>
          <w:szCs w:val="30"/>
        </w:rPr>
        <w:t>44</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"_Toc74756923" </w:instrText>
      </w:r>
      <w:r>
        <w:fldChar w:fldCharType="separate"/>
      </w:r>
      <w:r>
        <w:rPr>
          <w:rStyle w:val="19"/>
          <w:rFonts w:eastAsia="仿宋_GB2312"/>
          <w:sz w:val="30"/>
          <w:szCs w:val="30"/>
        </w:rPr>
        <w:t>2、新物流基础设施建设</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_Toc74756923 \h </w:instrText>
      </w:r>
      <w:r>
        <w:rPr>
          <w:rFonts w:eastAsia="仿宋_GB2312"/>
          <w:sz w:val="30"/>
          <w:szCs w:val="30"/>
        </w:rPr>
        <w:fldChar w:fldCharType="separate"/>
      </w:r>
      <w:r>
        <w:rPr>
          <w:rFonts w:eastAsia="仿宋_GB2312"/>
          <w:sz w:val="30"/>
          <w:szCs w:val="30"/>
        </w:rPr>
        <w:t>45</w:t>
      </w:r>
      <w:r>
        <w:rPr>
          <w:rFonts w:eastAsia="仿宋_GB2312"/>
          <w:sz w:val="30"/>
          <w:szCs w:val="30"/>
        </w:rPr>
        <w:fldChar w:fldCharType="end"/>
      </w:r>
      <w:r>
        <w:rPr>
          <w:rFonts w:eastAsia="仿宋_GB2312"/>
          <w:sz w:val="30"/>
          <w:szCs w:val="30"/>
        </w:rPr>
        <w:fldChar w:fldCharType="end"/>
      </w:r>
    </w:p>
    <w:p>
      <w:pPr>
        <w:pStyle w:val="7"/>
        <w:tabs>
          <w:tab w:val="right" w:leader="dot" w:pos="8296"/>
        </w:tabs>
        <w:rPr>
          <w:rFonts w:eastAsia="仿宋_GB2312"/>
          <w:sz w:val="30"/>
          <w:szCs w:val="30"/>
        </w:rPr>
      </w:pPr>
      <w:r>
        <w:fldChar w:fldCharType="begin"/>
      </w:r>
      <w:r>
        <w:instrText xml:space="preserve"> HYPERLINK \l "_Toc74756924" </w:instrText>
      </w:r>
      <w:r>
        <w:fldChar w:fldCharType="separate"/>
      </w:r>
      <w:r>
        <w:rPr>
          <w:rStyle w:val="19"/>
          <w:rFonts w:eastAsia="仿宋_GB2312"/>
          <w:sz w:val="30"/>
          <w:szCs w:val="30"/>
        </w:rPr>
        <w:t>3、商务大数据平台建设</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_Toc74756924 \h </w:instrText>
      </w:r>
      <w:r>
        <w:rPr>
          <w:rFonts w:eastAsia="仿宋_GB2312"/>
          <w:sz w:val="30"/>
          <w:szCs w:val="30"/>
        </w:rPr>
        <w:fldChar w:fldCharType="separate"/>
      </w:r>
      <w:r>
        <w:rPr>
          <w:rFonts w:eastAsia="仿宋_GB2312"/>
          <w:sz w:val="30"/>
          <w:szCs w:val="30"/>
        </w:rPr>
        <w:t>45</w:t>
      </w:r>
      <w:r>
        <w:rPr>
          <w:rFonts w:eastAsia="仿宋_GB2312"/>
          <w:sz w:val="30"/>
          <w:szCs w:val="30"/>
        </w:rPr>
        <w:fldChar w:fldCharType="end"/>
      </w:r>
      <w:r>
        <w:rPr>
          <w:rFonts w:eastAsia="仿宋_GB2312"/>
          <w:sz w:val="30"/>
          <w:szCs w:val="30"/>
        </w:rPr>
        <w:fldChar w:fldCharType="end"/>
      </w:r>
    </w:p>
    <w:p>
      <w:pPr>
        <w:pStyle w:val="11"/>
        <w:tabs>
          <w:tab w:val="right" w:leader="dot" w:pos="8296"/>
        </w:tabs>
        <w:rPr>
          <w:rFonts w:eastAsia="仿宋_GB2312"/>
          <w:sz w:val="30"/>
          <w:szCs w:val="30"/>
        </w:rPr>
      </w:pPr>
      <w:r>
        <w:fldChar w:fldCharType="begin"/>
      </w:r>
      <w:r>
        <w:instrText xml:space="preserve"> HYPERLINK \l "_Toc74756925" </w:instrText>
      </w:r>
      <w:r>
        <w:fldChar w:fldCharType="separate"/>
      </w:r>
      <w:r>
        <w:rPr>
          <w:rStyle w:val="19"/>
          <w:rFonts w:eastAsia="仿宋_GB2312"/>
          <w:sz w:val="30"/>
          <w:szCs w:val="30"/>
        </w:rPr>
        <w:t>五、保障措施</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_Toc74756925 \h </w:instrText>
      </w:r>
      <w:r>
        <w:rPr>
          <w:rFonts w:eastAsia="仿宋_GB2312"/>
          <w:sz w:val="30"/>
          <w:szCs w:val="30"/>
        </w:rPr>
        <w:fldChar w:fldCharType="separate"/>
      </w:r>
      <w:r>
        <w:rPr>
          <w:rFonts w:eastAsia="仿宋_GB2312"/>
          <w:sz w:val="30"/>
          <w:szCs w:val="30"/>
        </w:rPr>
        <w:t>45</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"_Toc74756926" </w:instrText>
      </w:r>
      <w:r>
        <w:fldChar w:fldCharType="separate"/>
      </w:r>
      <w:r>
        <w:rPr>
          <w:rStyle w:val="19"/>
          <w:rFonts w:eastAsia="仿宋_GB2312"/>
          <w:kern w:val="0"/>
          <w:sz w:val="30"/>
          <w:szCs w:val="30"/>
        </w:rPr>
        <w:t>（一）组织保障</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_Toc74756926 \h </w:instrText>
      </w:r>
      <w:r>
        <w:rPr>
          <w:rFonts w:eastAsia="仿宋_GB2312"/>
          <w:sz w:val="30"/>
          <w:szCs w:val="30"/>
        </w:rPr>
        <w:fldChar w:fldCharType="separate"/>
      </w:r>
      <w:r>
        <w:rPr>
          <w:rFonts w:eastAsia="仿宋_GB2312"/>
          <w:sz w:val="30"/>
          <w:szCs w:val="30"/>
        </w:rPr>
        <w:t>45</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"_Toc74756927" </w:instrText>
      </w:r>
      <w:r>
        <w:fldChar w:fldCharType="separate"/>
      </w:r>
      <w:r>
        <w:rPr>
          <w:rStyle w:val="19"/>
          <w:rFonts w:eastAsia="仿宋_GB2312"/>
          <w:kern w:val="0"/>
          <w:sz w:val="30"/>
          <w:szCs w:val="30"/>
        </w:rPr>
        <w:t>（二）财税保障</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_Toc74756927 \h </w:instrText>
      </w:r>
      <w:r>
        <w:rPr>
          <w:rFonts w:eastAsia="仿宋_GB2312"/>
          <w:sz w:val="30"/>
          <w:szCs w:val="30"/>
        </w:rPr>
        <w:fldChar w:fldCharType="separate"/>
      </w:r>
      <w:r>
        <w:rPr>
          <w:rFonts w:eastAsia="仿宋_GB2312"/>
          <w:sz w:val="30"/>
          <w:szCs w:val="30"/>
        </w:rPr>
        <w:t>46</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"_Toc74756928" </w:instrText>
      </w:r>
      <w:r>
        <w:fldChar w:fldCharType="separate"/>
      </w:r>
      <w:r>
        <w:rPr>
          <w:rStyle w:val="19"/>
          <w:rFonts w:eastAsia="仿宋_GB2312"/>
          <w:kern w:val="0"/>
          <w:sz w:val="30"/>
          <w:szCs w:val="30"/>
        </w:rPr>
        <w:t>（三）空间保障</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_Toc74756928 \h </w:instrText>
      </w:r>
      <w:r>
        <w:rPr>
          <w:rFonts w:eastAsia="仿宋_GB2312"/>
          <w:sz w:val="30"/>
          <w:szCs w:val="30"/>
        </w:rPr>
        <w:fldChar w:fldCharType="separate"/>
      </w:r>
      <w:r>
        <w:rPr>
          <w:rFonts w:eastAsia="仿宋_GB2312"/>
          <w:sz w:val="30"/>
          <w:szCs w:val="30"/>
        </w:rPr>
        <w:t>46</w:t>
      </w:r>
      <w:r>
        <w:rPr>
          <w:rFonts w:eastAsia="仿宋_GB2312"/>
          <w:sz w:val="30"/>
          <w:szCs w:val="30"/>
        </w:rPr>
        <w:fldChar w:fldCharType="end"/>
      </w:r>
      <w:r>
        <w:rPr>
          <w:rFonts w:eastAsia="仿宋_GB2312"/>
          <w:sz w:val="30"/>
          <w:szCs w:val="30"/>
        </w:rPr>
        <w:fldChar w:fldCharType="end"/>
      </w:r>
    </w:p>
    <w:p>
      <w:pPr>
        <w:pStyle w:val="12"/>
        <w:tabs>
          <w:tab w:val="right" w:leader="dot" w:pos="8296"/>
        </w:tabs>
        <w:rPr>
          <w:rFonts w:eastAsia="仿宋_GB2312"/>
          <w:sz w:val="30"/>
          <w:szCs w:val="30"/>
        </w:rPr>
      </w:pPr>
      <w:r>
        <w:fldChar w:fldCharType="begin"/>
      </w:r>
      <w:r>
        <w:instrText xml:space="preserve"> HYPERLINK \l "_Toc74756929" </w:instrText>
      </w:r>
      <w:r>
        <w:fldChar w:fldCharType="separate"/>
      </w:r>
      <w:r>
        <w:rPr>
          <w:rStyle w:val="19"/>
          <w:rFonts w:eastAsia="仿宋_GB2312"/>
          <w:kern w:val="0"/>
          <w:sz w:val="30"/>
          <w:szCs w:val="30"/>
        </w:rPr>
        <w:t>（四）政策保障</w:t>
      </w:r>
      <w:r>
        <w:rPr>
          <w:rFonts w:eastAsia="仿宋_GB2312"/>
          <w:sz w:val="30"/>
          <w:szCs w:val="30"/>
        </w:rPr>
        <w:tab/>
      </w:r>
      <w:r>
        <w:rPr>
          <w:rFonts w:eastAsia="仿宋_GB2312"/>
          <w:sz w:val="30"/>
          <w:szCs w:val="30"/>
        </w:rPr>
        <w:fldChar w:fldCharType="begin"/>
      </w:r>
      <w:r>
        <w:rPr>
          <w:rFonts w:eastAsia="仿宋_GB2312"/>
          <w:sz w:val="30"/>
          <w:szCs w:val="30"/>
        </w:rPr>
        <w:instrText xml:space="preserve"> PAGEREF _Toc74756929 \h </w:instrText>
      </w:r>
      <w:r>
        <w:rPr>
          <w:rFonts w:eastAsia="仿宋_GB2312"/>
          <w:sz w:val="30"/>
          <w:szCs w:val="30"/>
        </w:rPr>
        <w:fldChar w:fldCharType="separate"/>
      </w:r>
      <w:r>
        <w:rPr>
          <w:rFonts w:eastAsia="仿宋_GB2312"/>
          <w:sz w:val="30"/>
          <w:szCs w:val="30"/>
        </w:rPr>
        <w:t>47</w:t>
      </w:r>
      <w:r>
        <w:rPr>
          <w:rFonts w:eastAsia="仿宋_GB2312"/>
          <w:sz w:val="30"/>
          <w:szCs w:val="30"/>
        </w:rPr>
        <w:fldChar w:fldCharType="end"/>
      </w:r>
      <w:r>
        <w:rPr>
          <w:rFonts w:eastAsia="仿宋_GB2312"/>
          <w:sz w:val="30"/>
          <w:szCs w:val="30"/>
        </w:rPr>
        <w:fldChar w:fldCharType="end"/>
      </w:r>
    </w:p>
    <w:p>
      <w:pPr>
        <w:rPr>
          <w:color w:val="FF0000"/>
        </w:rPr>
      </w:pPr>
      <w:r>
        <w:rPr>
          <w:rFonts w:eastAsia="仿宋_GB2312"/>
          <w:color w:val="FF0000"/>
          <w:sz w:val="30"/>
          <w:szCs w:val="30"/>
          <w:lang w:val="zh-CN"/>
        </w:rPr>
        <w:fldChar w:fldCharType="end"/>
      </w:r>
    </w:p>
    <w:p>
      <w:pPr>
        <w:adjustRightInd w:val="0"/>
        <w:snapToGrid w:val="0"/>
        <w:spacing w:line="360" w:lineRule="auto"/>
        <w:ind w:firstLine="600" w:firstLineChars="200"/>
        <w:rPr>
          <w:rFonts w:ascii="仿宋_GB2312" w:hAnsi="黑体" w:eastAsia="仿宋_GB2312"/>
          <w:color w:val="FF0000"/>
          <w:sz w:val="30"/>
          <w:szCs w:val="30"/>
        </w:rPr>
      </w:pPr>
    </w:p>
    <w:p>
      <w:pPr>
        <w:tabs>
          <w:tab w:val="left" w:pos="840"/>
        </w:tabs>
        <w:adjustRightInd w:val="0"/>
        <w:snapToGrid w:val="0"/>
        <w:spacing w:before="156" w:beforeLines="50" w:after="156" w:afterLines="50" w:line="360" w:lineRule="auto"/>
        <w:outlineLvl w:val="0"/>
        <w:rPr>
          <w:rFonts w:ascii="黑体" w:hAnsi="黑体" w:eastAsia="黑体"/>
          <w:color w:val="FF0000"/>
          <w:sz w:val="36"/>
          <w:szCs w:val="36"/>
        </w:rPr>
        <w:sectPr>
          <w:footerReference r:id="rId3" w:type="default"/>
          <w:pgSz w:w="11906" w:h="16838"/>
          <w:pgMar w:top="1440" w:right="1800" w:bottom="1440" w:left="1800" w:header="851" w:footer="992" w:gutter="0"/>
          <w:cols w:space="720" w:num="1"/>
          <w:docGrid w:type="lines" w:linePitch="312" w:charSpace="0"/>
        </w:sectPr>
      </w:pPr>
    </w:p>
    <w:p>
      <w:pPr>
        <w:tabs>
          <w:tab w:val="left" w:pos="840"/>
        </w:tabs>
        <w:adjustRightInd w:val="0"/>
        <w:snapToGrid w:val="0"/>
        <w:spacing w:before="156" w:beforeLines="50" w:after="156" w:afterLines="50" w:line="360" w:lineRule="auto"/>
        <w:jc w:val="center"/>
        <w:outlineLvl w:val="0"/>
        <w:rPr>
          <w:rFonts w:ascii="黑体" w:hAnsi="黑体" w:eastAsia="黑体"/>
          <w:sz w:val="36"/>
          <w:szCs w:val="36"/>
        </w:rPr>
      </w:pPr>
      <w:bookmarkStart w:id="1" w:name="_Toc74756850"/>
      <w:r>
        <w:rPr>
          <w:rFonts w:hint="eastAsia" w:ascii="黑体" w:hAnsi="黑体" w:eastAsia="黑体"/>
          <w:sz w:val="36"/>
          <w:szCs w:val="36"/>
        </w:rPr>
        <w:t>前 言</w:t>
      </w:r>
      <w:bookmarkEnd w:id="0"/>
      <w:bookmarkEnd w:id="1"/>
    </w:p>
    <w:p>
      <w:pPr>
        <w:adjustRightInd w:val="0"/>
        <w:snapToGrid w:val="0"/>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在当前国际政治与经济形势复杂多变，国内商贸流通产业供给侧改革大力推进，以及中央全面推进以国内大循环为主体、国内国际双循环相互促进的新发展格局背景下，强调消费、流通、贸易、投资、对外开放与合作等商务发展工作在国民经济中的基础性地位，把建设现代消费体系、流通体系、服务体系作为一项重要战略任务来抓，构建以商为内核、以服务为导向的国民经济体系，意义重大而深远。</w:t>
      </w:r>
    </w:p>
    <w:p>
      <w:pPr>
        <w:adjustRightInd w:val="0"/>
        <w:snapToGrid w:val="0"/>
        <w:spacing w:line="560" w:lineRule="exact"/>
        <w:ind w:firstLine="600" w:firstLineChars="200"/>
        <w:rPr>
          <w:rFonts w:ascii="仿宋_GB2312" w:hAnsi="黑体" w:eastAsia="仿宋_GB2312"/>
          <w:sz w:val="30"/>
          <w:szCs w:val="30"/>
        </w:rPr>
      </w:pPr>
      <w:r>
        <w:rPr>
          <w:rFonts w:hint="eastAsia" w:ascii="仿宋_GB2312" w:hAnsi="黑体" w:eastAsia="仿宋_GB2312"/>
          <w:sz w:val="30"/>
          <w:szCs w:val="30"/>
        </w:rPr>
        <w:t>根本上看，“十四五”将是中华民族发展崛起的关键性历史时期。在开放经济创新发展、产业经济持续提升、交通区位不断优化、生态优势日益突出的大环境下，温州被赋予了重大战略使命，“五城五高地”建设全面加速。在此条件下，温州商务迫切需要进行战略性升级，通过核心消费载体建设和消费品质提升、产业商贸激活强化与产贸联动发展，以及综合保税区、跨境电子商务综合试验区、“3+12”产业平台等一批重大发展载体建设，在此基础上有机融合数字化技术与营商环境创新优化，形成以技术与制度驱动的商务发展格局，成为温州商务发展“十四五”期间的重大历史使命。</w:t>
      </w:r>
    </w:p>
    <w:p>
      <w:pPr>
        <w:adjustRightInd w:val="0"/>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鉴于此，根据《浙江省商务高质量发展“十四五”规划》、《温州市国民经济和社会发展第十四个五年规划和二O三五年远景目标纲要》等文件精神，编制《温州市商务发展“十四五”规划》，</w:t>
      </w:r>
      <w:r>
        <w:rPr>
          <w:rFonts w:hint="eastAsia" w:ascii="仿宋_GB2312" w:hAnsi="黑体" w:eastAsia="仿宋_GB2312"/>
          <w:sz w:val="30"/>
          <w:szCs w:val="30"/>
        </w:rPr>
        <w:t>通过深入的调查研究和专业</w:t>
      </w:r>
      <w:r>
        <w:rPr>
          <w:rFonts w:hint="eastAsia" w:ascii="仿宋_GB2312" w:eastAsia="仿宋_GB2312"/>
          <w:sz w:val="30"/>
          <w:szCs w:val="30"/>
        </w:rPr>
        <w:t>、创新的规划设计，既明确未来温州市商务发展的总体战略，又提出全市商务领域不同业态发展重点与思路、重大项目建设指引等重要问题的解决方案，具有重要的现实意义。</w:t>
      </w:r>
    </w:p>
    <w:p>
      <w:pPr>
        <w:adjustRightInd w:val="0"/>
        <w:snapToGrid w:val="0"/>
        <w:spacing w:line="560" w:lineRule="exact"/>
        <w:ind w:firstLine="600" w:firstLineChars="200"/>
        <w:rPr>
          <w:rFonts w:ascii="仿宋_GB2312" w:hAnsi="黑体" w:eastAsia="仿宋_GB2312"/>
          <w:sz w:val="30"/>
          <w:szCs w:val="30"/>
        </w:rPr>
      </w:pPr>
      <w:r>
        <w:rPr>
          <w:rFonts w:ascii="仿宋_GB2312" w:eastAsia="仿宋_GB2312"/>
          <w:sz w:val="30"/>
          <w:szCs w:val="30"/>
        </w:rPr>
        <w:t>本规划涉及范围</w:t>
      </w:r>
      <w:r>
        <w:rPr>
          <w:rFonts w:hint="eastAsia" w:ascii="仿宋_GB2312" w:eastAsia="仿宋_GB2312"/>
          <w:sz w:val="30"/>
          <w:szCs w:val="30"/>
        </w:rPr>
        <w:t>为温州市</w:t>
      </w:r>
      <w:r>
        <w:rPr>
          <w:rFonts w:ascii="仿宋_GB2312" w:eastAsia="仿宋_GB2312"/>
          <w:sz w:val="30"/>
          <w:szCs w:val="30"/>
        </w:rPr>
        <w:t>行政</w:t>
      </w:r>
      <w:r>
        <w:rPr>
          <w:rFonts w:hint="eastAsia" w:ascii="仿宋_GB2312" w:eastAsia="仿宋_GB2312"/>
          <w:sz w:val="30"/>
          <w:szCs w:val="30"/>
        </w:rPr>
        <w:t>辖区范围</w:t>
      </w:r>
      <w:r>
        <w:rPr>
          <w:rFonts w:ascii="仿宋_GB2312" w:hAnsi="黑体" w:eastAsia="仿宋_GB2312"/>
          <w:sz w:val="30"/>
          <w:szCs w:val="30"/>
        </w:rPr>
        <w:t>。</w:t>
      </w:r>
    </w:p>
    <w:p>
      <w:pPr>
        <w:adjustRightInd w:val="0"/>
        <w:snapToGrid w:val="0"/>
        <w:spacing w:line="560" w:lineRule="exact"/>
        <w:ind w:firstLine="600" w:firstLineChars="200"/>
        <w:rPr>
          <w:rFonts w:ascii="仿宋_GB2312" w:hAnsi="黑体" w:eastAsia="仿宋_GB2312"/>
          <w:sz w:val="30"/>
          <w:szCs w:val="30"/>
        </w:rPr>
      </w:pPr>
      <w:r>
        <w:rPr>
          <w:rFonts w:ascii="仿宋_GB2312" w:eastAsia="仿宋_GB2312"/>
          <w:sz w:val="30"/>
          <w:szCs w:val="30"/>
        </w:rPr>
        <w:t>本规划涉及年限为</w:t>
      </w:r>
      <w:r>
        <w:rPr>
          <w:rFonts w:ascii="仿宋_GB2312" w:hAnsi="黑体" w:eastAsia="仿宋_GB2312"/>
          <w:sz w:val="30"/>
          <w:szCs w:val="30"/>
        </w:rPr>
        <w:t>20</w:t>
      </w:r>
      <w:r>
        <w:rPr>
          <w:rFonts w:hint="eastAsia" w:ascii="仿宋_GB2312" w:hAnsi="黑体" w:eastAsia="仿宋_GB2312"/>
          <w:sz w:val="30"/>
          <w:szCs w:val="30"/>
        </w:rPr>
        <w:t>21</w:t>
      </w:r>
      <w:r>
        <w:rPr>
          <w:rFonts w:ascii="仿宋_GB2312" w:hAnsi="黑体" w:eastAsia="仿宋_GB2312"/>
          <w:sz w:val="30"/>
          <w:szCs w:val="30"/>
        </w:rPr>
        <w:t>-2025年。</w:t>
      </w:r>
    </w:p>
    <w:p>
      <w:pPr>
        <w:spacing w:before="156" w:beforeLines="50" w:line="580" w:lineRule="exact"/>
        <w:outlineLvl w:val="0"/>
        <w:rPr>
          <w:rFonts w:ascii="楷体_GB2312" w:hAnsi="楷体_GB2312" w:eastAsia="楷体_GB2312" w:cs="楷体_GB2312"/>
          <w:b/>
          <w:sz w:val="32"/>
          <w:szCs w:val="32"/>
        </w:rPr>
      </w:pPr>
      <w:r>
        <w:rPr>
          <w:rFonts w:ascii="黑体" w:hAnsi="黑体" w:eastAsia="黑体"/>
          <w:color w:val="FF0000"/>
          <w:sz w:val="36"/>
          <w:szCs w:val="36"/>
        </w:rPr>
        <w:br w:type="page"/>
      </w:r>
      <w:bookmarkStart w:id="2" w:name="_Toc36376524"/>
      <w:bookmarkStart w:id="3" w:name="_Toc74756851"/>
      <w:r>
        <w:rPr>
          <w:rFonts w:hint="eastAsia" w:ascii="楷体_GB2312" w:hAnsi="楷体_GB2312" w:eastAsia="楷体_GB2312" w:cs="楷体_GB2312"/>
          <w:b/>
          <w:sz w:val="32"/>
          <w:szCs w:val="32"/>
        </w:rPr>
        <w:t>一、发展</w:t>
      </w:r>
      <w:bookmarkEnd w:id="2"/>
      <w:r>
        <w:rPr>
          <w:rFonts w:hint="eastAsia" w:ascii="楷体_GB2312" w:hAnsi="楷体_GB2312" w:eastAsia="楷体_GB2312" w:cs="楷体_GB2312"/>
          <w:b/>
          <w:sz w:val="32"/>
          <w:szCs w:val="32"/>
        </w:rPr>
        <w:t>基础与发展环境</w:t>
      </w:r>
      <w:bookmarkEnd w:id="3"/>
    </w:p>
    <w:p>
      <w:pPr>
        <w:adjustRightInd w:val="0"/>
        <w:snapToGrid w:val="0"/>
        <w:spacing w:before="156" w:beforeLines="50" w:after="156" w:afterLines="50" w:line="560" w:lineRule="exact"/>
        <w:ind w:firstLine="643" w:firstLineChars="200"/>
        <w:outlineLvl w:val="1"/>
        <w:rPr>
          <w:rFonts w:ascii="仿宋_GB2312" w:hAnsi="仿宋_GB2312" w:eastAsia="仿宋_GB2312" w:cs="仿宋_GB2312"/>
          <w:b/>
          <w:bCs/>
          <w:kern w:val="0"/>
          <w:sz w:val="32"/>
          <w:szCs w:val="32"/>
        </w:rPr>
      </w:pPr>
      <w:bookmarkStart w:id="4" w:name="_Toc74756852"/>
      <w:bookmarkStart w:id="5" w:name="_Toc36376525"/>
      <w:r>
        <w:rPr>
          <w:rFonts w:hint="eastAsia" w:ascii="仿宋_GB2312" w:hAnsi="仿宋_GB2312" w:eastAsia="仿宋_GB2312" w:cs="仿宋_GB2312"/>
          <w:b/>
          <w:bCs/>
          <w:kern w:val="0"/>
          <w:sz w:val="32"/>
          <w:szCs w:val="32"/>
        </w:rPr>
        <w:t>（一）发展成就</w:t>
      </w:r>
      <w:bookmarkEnd w:id="4"/>
    </w:p>
    <w:p>
      <w:pPr>
        <w:spacing w:line="560" w:lineRule="exact"/>
        <w:ind w:firstLine="600" w:firstLineChars="200"/>
        <w:rPr>
          <w:rFonts w:ascii="仿宋_GB2312" w:eastAsia="仿宋_GB2312"/>
          <w:sz w:val="30"/>
          <w:szCs w:val="30"/>
        </w:rPr>
      </w:pPr>
      <w:r>
        <w:rPr>
          <w:rFonts w:hint="eastAsia" w:ascii="仿宋_GB2312" w:eastAsia="仿宋_GB2312"/>
          <w:sz w:val="30"/>
          <w:szCs w:val="30"/>
        </w:rPr>
        <w:t>“十三五”期间，温州着力商务发展环境优化，商业基础设施逐步完善、消费规模稳步增长、电子商务攀升快速、贸易结构持续优化、双向投资取得显著成效。</w:t>
      </w:r>
    </w:p>
    <w:p>
      <w:pPr>
        <w:spacing w:line="560" w:lineRule="exact"/>
        <w:ind w:firstLine="602" w:firstLineChars="200"/>
        <w:outlineLvl w:val="2"/>
        <w:rPr>
          <w:rFonts w:ascii="楷体" w:hAnsi="楷体" w:eastAsia="楷体"/>
          <w:b/>
          <w:sz w:val="30"/>
          <w:szCs w:val="30"/>
        </w:rPr>
      </w:pPr>
      <w:bookmarkStart w:id="6" w:name="_Toc74756853"/>
      <w:r>
        <w:rPr>
          <w:rFonts w:hint="eastAsia" w:ascii="楷体" w:hAnsi="楷体" w:eastAsia="楷体"/>
          <w:b/>
          <w:sz w:val="30"/>
          <w:szCs w:val="30"/>
        </w:rPr>
        <w:t>1、商业基础设施与网点建设不断完善</w:t>
      </w:r>
      <w:bookmarkEnd w:id="6"/>
    </w:p>
    <w:p>
      <w:pPr>
        <w:spacing w:line="560" w:lineRule="exact"/>
        <w:ind w:firstLine="600" w:firstLineChars="200"/>
        <w:rPr>
          <w:rFonts w:ascii="仿宋_GB2312" w:eastAsia="仿宋_GB2312"/>
          <w:sz w:val="30"/>
          <w:szCs w:val="30"/>
        </w:rPr>
      </w:pPr>
      <w:r>
        <w:rPr>
          <w:rFonts w:hint="eastAsia" w:ascii="仿宋_GB2312" w:eastAsia="仿宋_GB2312"/>
          <w:sz w:val="30"/>
          <w:szCs w:val="30"/>
        </w:rPr>
        <w:t>“十三五”期间，温州城市商业基础设施建设加速，2016-20</w:t>
      </w:r>
      <w:r>
        <w:rPr>
          <w:rFonts w:ascii="仿宋_GB2312" w:eastAsia="仿宋_GB2312"/>
          <w:sz w:val="30"/>
          <w:szCs w:val="30"/>
        </w:rPr>
        <w:t>20</w:t>
      </w:r>
      <w:r>
        <w:rPr>
          <w:rFonts w:hint="eastAsia" w:ascii="仿宋_GB2312" w:eastAsia="仿宋_GB2312"/>
          <w:sz w:val="30"/>
          <w:szCs w:val="30"/>
        </w:rPr>
        <w:t>年，全市商贸投资额超过</w:t>
      </w:r>
      <w:r>
        <w:rPr>
          <w:rFonts w:ascii="仿宋_GB2312" w:eastAsia="仿宋_GB2312"/>
          <w:sz w:val="30"/>
          <w:szCs w:val="30"/>
        </w:rPr>
        <w:t>500</w:t>
      </w:r>
      <w:r>
        <w:rPr>
          <w:rFonts w:hint="eastAsia" w:ascii="仿宋_GB2312" w:eastAsia="仿宋_GB2312"/>
          <w:sz w:val="30"/>
          <w:szCs w:val="30"/>
        </w:rPr>
        <w:t>亿元。核心商圈日益突出，五马-大南千亿级商圈实力和能级日渐增强，商业网点数量提升快速。大型商业载体数量明显增加，2020年，全市共有营业面积4万平米以上购物中心（商业综合体）21个，总营业面积182.5万平米，其中，营业面积10万平方米以上购物中心（商业综合体）7个。产品市场发展日益集聚，截止2020年，全市共有商品市场436家，其中农贸市场291家，专业市场130家，温州大象城、瞿溪国际真皮大世界等一批大型现代化专业市场加快涌现。</w:t>
      </w:r>
    </w:p>
    <w:p>
      <w:pPr>
        <w:spacing w:line="560" w:lineRule="exact"/>
        <w:ind w:firstLine="602" w:firstLineChars="200"/>
        <w:outlineLvl w:val="2"/>
        <w:rPr>
          <w:rFonts w:ascii="楷体" w:hAnsi="楷体" w:eastAsia="楷体"/>
          <w:b/>
          <w:sz w:val="30"/>
          <w:szCs w:val="30"/>
        </w:rPr>
      </w:pPr>
      <w:bookmarkStart w:id="7" w:name="_Toc74756854"/>
      <w:r>
        <w:rPr>
          <w:rFonts w:hint="eastAsia" w:ascii="楷体" w:hAnsi="楷体" w:eastAsia="楷体"/>
          <w:b/>
          <w:sz w:val="30"/>
          <w:szCs w:val="30"/>
        </w:rPr>
        <w:t>2、消费市场规模与亮点建设稳步提升</w:t>
      </w:r>
      <w:bookmarkEnd w:id="7"/>
    </w:p>
    <w:p>
      <w:pPr>
        <w:spacing w:line="560" w:lineRule="exact"/>
        <w:ind w:firstLine="600" w:firstLineChars="200"/>
        <w:rPr>
          <w:rFonts w:ascii="仿宋_GB2312" w:eastAsia="仿宋_GB2312"/>
          <w:sz w:val="30"/>
          <w:szCs w:val="30"/>
        </w:rPr>
      </w:pPr>
      <w:r>
        <w:rPr>
          <w:rFonts w:hint="eastAsia" w:ascii="仿宋_GB2312" w:eastAsia="仿宋_GB2312"/>
          <w:sz w:val="30"/>
          <w:szCs w:val="30"/>
        </w:rPr>
        <w:t>“十三五”期间，温州消费市场规模持续扩大。20</w:t>
      </w:r>
      <w:r>
        <w:rPr>
          <w:rFonts w:ascii="仿宋_GB2312" w:eastAsia="仿宋_GB2312"/>
          <w:sz w:val="30"/>
          <w:szCs w:val="30"/>
        </w:rPr>
        <w:t>20</w:t>
      </w:r>
      <w:r>
        <w:rPr>
          <w:rFonts w:hint="eastAsia" w:ascii="仿宋_GB2312" w:eastAsia="仿宋_GB2312"/>
          <w:sz w:val="30"/>
          <w:szCs w:val="30"/>
        </w:rPr>
        <w:t>年实现社会消费品零售总额</w:t>
      </w:r>
      <w:r>
        <w:rPr>
          <w:rFonts w:ascii="仿宋_GB2312" w:eastAsia="仿宋_GB2312"/>
          <w:sz w:val="30"/>
          <w:szCs w:val="30"/>
        </w:rPr>
        <w:t>3494.8</w:t>
      </w:r>
      <w:r>
        <w:rPr>
          <w:rFonts w:hint="eastAsia" w:ascii="仿宋_GB2312" w:eastAsia="仿宋_GB2312"/>
          <w:sz w:val="30"/>
          <w:szCs w:val="30"/>
        </w:rPr>
        <w:t>亿元，是“十二五”期末的1.3倍，近五年年均增长</w:t>
      </w:r>
      <w:r>
        <w:rPr>
          <w:rFonts w:ascii="仿宋_GB2312" w:eastAsia="仿宋_GB2312"/>
          <w:sz w:val="30"/>
          <w:szCs w:val="30"/>
        </w:rPr>
        <w:t>5.5</w:t>
      </w:r>
      <w:r>
        <w:rPr>
          <w:rFonts w:hint="eastAsia" w:ascii="仿宋_GB2312" w:eastAsia="仿宋_GB2312"/>
          <w:sz w:val="30"/>
          <w:szCs w:val="30"/>
        </w:rPr>
        <w:t>%。其中，限上批零业销售额</w:t>
      </w:r>
      <w:r>
        <w:rPr>
          <w:rFonts w:ascii="仿宋_GB2312" w:eastAsia="仿宋_GB2312"/>
          <w:sz w:val="30"/>
          <w:szCs w:val="30"/>
        </w:rPr>
        <w:t>7476.9</w:t>
      </w:r>
      <w:r>
        <w:rPr>
          <w:rFonts w:hint="eastAsia" w:ascii="仿宋_GB2312" w:eastAsia="仿宋_GB2312"/>
          <w:sz w:val="30"/>
          <w:szCs w:val="30"/>
        </w:rPr>
        <w:t>亿元，限上住宿餐饮业营业额8</w:t>
      </w:r>
      <w:r>
        <w:rPr>
          <w:rFonts w:ascii="仿宋_GB2312" w:eastAsia="仿宋_GB2312"/>
          <w:sz w:val="30"/>
          <w:szCs w:val="30"/>
        </w:rPr>
        <w:t>4.5</w:t>
      </w:r>
      <w:r>
        <w:rPr>
          <w:rFonts w:hint="eastAsia" w:ascii="仿宋_GB2312" w:eastAsia="仿宋_GB2312"/>
          <w:sz w:val="30"/>
          <w:szCs w:val="30"/>
        </w:rPr>
        <w:t>亿元，分别是“十二五”期末的</w:t>
      </w:r>
      <w:r>
        <w:rPr>
          <w:rFonts w:ascii="仿宋_GB2312" w:eastAsia="仿宋_GB2312"/>
          <w:sz w:val="30"/>
          <w:szCs w:val="30"/>
        </w:rPr>
        <w:t>2.7</w:t>
      </w:r>
      <w:r>
        <w:rPr>
          <w:rFonts w:hint="eastAsia" w:ascii="仿宋_GB2312" w:eastAsia="仿宋_GB2312"/>
          <w:sz w:val="30"/>
          <w:szCs w:val="30"/>
        </w:rPr>
        <w:t>倍、1</w:t>
      </w:r>
      <w:r>
        <w:rPr>
          <w:rFonts w:ascii="仿宋_GB2312" w:eastAsia="仿宋_GB2312"/>
          <w:sz w:val="30"/>
          <w:szCs w:val="30"/>
        </w:rPr>
        <w:t>.1</w:t>
      </w:r>
      <w:r>
        <w:rPr>
          <w:rFonts w:hint="eastAsia" w:ascii="仿宋_GB2312" w:eastAsia="仿宋_GB2312"/>
          <w:sz w:val="30"/>
          <w:szCs w:val="30"/>
        </w:rPr>
        <w:t>倍，年均增长</w:t>
      </w:r>
      <w:r>
        <w:rPr>
          <w:rFonts w:ascii="仿宋_GB2312" w:eastAsia="仿宋_GB2312"/>
          <w:sz w:val="30"/>
          <w:szCs w:val="30"/>
        </w:rPr>
        <w:t>22.4%</w:t>
      </w:r>
      <w:r>
        <w:rPr>
          <w:rFonts w:hint="eastAsia" w:ascii="仿宋_GB2312" w:eastAsia="仿宋_GB2312"/>
          <w:sz w:val="30"/>
          <w:szCs w:val="30"/>
        </w:rPr>
        <w:t>、</w:t>
      </w:r>
      <w:r>
        <w:rPr>
          <w:rFonts w:ascii="仿宋_GB2312" w:eastAsia="仿宋_GB2312"/>
          <w:sz w:val="30"/>
          <w:szCs w:val="30"/>
        </w:rPr>
        <w:t>2.5%</w:t>
      </w:r>
      <w:r>
        <w:rPr>
          <w:rFonts w:hint="eastAsia" w:ascii="仿宋_GB2312" w:eastAsia="仿宋_GB2312"/>
          <w:sz w:val="30"/>
          <w:szCs w:val="30"/>
        </w:rPr>
        <w:t>。随着消费规模的提升，商贸主体有效培育，截止2</w:t>
      </w:r>
      <w:r>
        <w:rPr>
          <w:rFonts w:ascii="仿宋_GB2312" w:eastAsia="仿宋_GB2312"/>
          <w:sz w:val="30"/>
          <w:szCs w:val="30"/>
        </w:rPr>
        <w:t>020</w:t>
      </w:r>
      <w:r>
        <w:rPr>
          <w:rFonts w:hint="eastAsia" w:ascii="仿宋_GB2312" w:eastAsia="仿宋_GB2312"/>
          <w:sz w:val="30"/>
          <w:szCs w:val="30"/>
        </w:rPr>
        <w:t>年底全市限额以上贸易企业为3210家。高品质步行街、月光经济等消费促进平台建设取得明显成效，五马-禅街、瑞安忠义街入选浙江省高品质步行街试点，鹿城区、瓯海区入选省级夜间经济试点城市，瑞安市入选省级夜间经济培育城市。</w:t>
      </w:r>
    </w:p>
    <w:p>
      <w:pPr>
        <w:spacing w:line="560" w:lineRule="exact"/>
        <w:ind w:firstLine="602" w:firstLineChars="200"/>
        <w:outlineLvl w:val="2"/>
        <w:rPr>
          <w:rFonts w:ascii="楷体" w:hAnsi="楷体" w:eastAsia="楷体"/>
          <w:b/>
          <w:sz w:val="30"/>
          <w:szCs w:val="30"/>
        </w:rPr>
      </w:pPr>
      <w:bookmarkStart w:id="8" w:name="_Toc74756855"/>
      <w:r>
        <w:rPr>
          <w:rFonts w:hint="eastAsia" w:ascii="楷体" w:hAnsi="楷体" w:eastAsia="楷体"/>
          <w:b/>
          <w:sz w:val="30"/>
          <w:szCs w:val="30"/>
        </w:rPr>
        <w:t>3、电子商务与跨境电商双线快速攀升</w:t>
      </w:r>
      <w:bookmarkEnd w:id="8"/>
    </w:p>
    <w:p>
      <w:pPr>
        <w:spacing w:line="560" w:lineRule="exact"/>
        <w:ind w:firstLine="600" w:firstLineChars="200"/>
        <w:rPr>
          <w:rFonts w:ascii="仿宋_GB2312" w:eastAsia="仿宋_GB2312"/>
          <w:sz w:val="30"/>
          <w:szCs w:val="30"/>
        </w:rPr>
      </w:pPr>
      <w:r>
        <w:rPr>
          <w:rFonts w:hint="eastAsia" w:ascii="仿宋_GB2312" w:eastAsia="仿宋_GB2312"/>
          <w:sz w:val="30"/>
          <w:szCs w:val="30"/>
        </w:rPr>
        <w:t>“十三五”期间，温州电子商务产业获得蓬勃发展。20</w:t>
      </w:r>
      <w:r>
        <w:rPr>
          <w:rFonts w:ascii="仿宋_GB2312" w:eastAsia="仿宋_GB2312"/>
          <w:sz w:val="30"/>
          <w:szCs w:val="30"/>
        </w:rPr>
        <w:t>20</w:t>
      </w:r>
      <w:r>
        <w:rPr>
          <w:rFonts w:hint="eastAsia" w:ascii="仿宋_GB2312" w:eastAsia="仿宋_GB2312"/>
          <w:sz w:val="30"/>
          <w:szCs w:val="30"/>
        </w:rPr>
        <w:t>年，全市实现网络零售额2</w:t>
      </w:r>
      <w:r>
        <w:rPr>
          <w:rFonts w:ascii="仿宋_GB2312" w:eastAsia="仿宋_GB2312"/>
          <w:sz w:val="30"/>
          <w:szCs w:val="30"/>
        </w:rPr>
        <w:t>030.2</w:t>
      </w:r>
      <w:r>
        <w:rPr>
          <w:rFonts w:hint="eastAsia" w:ascii="仿宋_GB2312" w:eastAsia="仿宋_GB2312"/>
          <w:sz w:val="30"/>
          <w:szCs w:val="30"/>
        </w:rPr>
        <w:t>亿元，是“十二五”期末的2.4倍，近五年年均增长19.3%，全市居民网络消费额与活跃网络零售网店总数均居全省第3。截止2</w:t>
      </w:r>
      <w:r>
        <w:rPr>
          <w:rFonts w:ascii="仿宋_GB2312" w:eastAsia="仿宋_GB2312"/>
          <w:sz w:val="30"/>
          <w:szCs w:val="30"/>
        </w:rPr>
        <w:t>020</w:t>
      </w:r>
      <w:r>
        <w:rPr>
          <w:rFonts w:hint="eastAsia" w:ascii="仿宋_GB2312" w:eastAsia="仿宋_GB2312"/>
          <w:sz w:val="30"/>
          <w:szCs w:val="30"/>
        </w:rPr>
        <w:t>年底，全市29家电商园区被列入省级电商产业基地名录，329个村荣获全国淘宝村称号，淘宝村总量居全国地市级及以上城市第2位，43个镇荣获全国淘宝镇称号，淘宝镇总量居全国地市级及以上城市第6位。跨境电子商务发展取得重要突破，瓯海眼镜、鹿城鞋类、永嘉教玩具等9个产业11个集群项目获省跨境电商产业集群试点，行业总量、项目总量均居全省首位。中国（温州）跨境电子商务综合试验区成功获批，20</w:t>
      </w:r>
      <w:r>
        <w:rPr>
          <w:rFonts w:ascii="仿宋_GB2312" w:eastAsia="仿宋_GB2312"/>
          <w:sz w:val="30"/>
          <w:szCs w:val="30"/>
        </w:rPr>
        <w:t>20</w:t>
      </w:r>
      <w:r>
        <w:rPr>
          <w:rFonts w:hint="eastAsia" w:ascii="仿宋_GB2312" w:eastAsia="仿宋_GB2312"/>
          <w:sz w:val="30"/>
          <w:szCs w:val="30"/>
        </w:rPr>
        <w:t>年，跨境网络零售出口</w:t>
      </w:r>
      <w:r>
        <w:rPr>
          <w:rFonts w:ascii="仿宋_GB2312" w:eastAsia="仿宋_GB2312"/>
          <w:sz w:val="30"/>
          <w:szCs w:val="30"/>
        </w:rPr>
        <w:t>101.6</w:t>
      </w:r>
      <w:r>
        <w:rPr>
          <w:rFonts w:hint="eastAsia" w:ascii="仿宋_GB2312" w:eastAsia="仿宋_GB2312"/>
          <w:sz w:val="30"/>
          <w:szCs w:val="30"/>
        </w:rPr>
        <w:t>亿元，同比增长3</w:t>
      </w:r>
      <w:r>
        <w:rPr>
          <w:rFonts w:ascii="仿宋_GB2312" w:eastAsia="仿宋_GB2312"/>
          <w:sz w:val="30"/>
          <w:szCs w:val="30"/>
        </w:rPr>
        <w:t>8.8</w:t>
      </w:r>
      <w:r>
        <w:rPr>
          <w:rFonts w:hint="eastAsia" w:ascii="仿宋_GB2312" w:eastAsia="仿宋_GB2312"/>
          <w:sz w:val="30"/>
          <w:szCs w:val="30"/>
        </w:rPr>
        <w:t>%，跨境活跃网店达11281多家。</w:t>
      </w:r>
    </w:p>
    <w:p>
      <w:pPr>
        <w:spacing w:line="560" w:lineRule="exact"/>
        <w:ind w:firstLine="602" w:firstLineChars="200"/>
        <w:outlineLvl w:val="2"/>
        <w:rPr>
          <w:rFonts w:ascii="楷体" w:hAnsi="楷体" w:eastAsia="楷体"/>
          <w:b/>
          <w:sz w:val="30"/>
          <w:szCs w:val="30"/>
        </w:rPr>
      </w:pPr>
      <w:bookmarkStart w:id="9" w:name="_Toc74756856"/>
      <w:r>
        <w:rPr>
          <w:rFonts w:hint="eastAsia" w:ascii="楷体" w:hAnsi="楷体" w:eastAsia="楷体"/>
          <w:b/>
          <w:sz w:val="30"/>
          <w:szCs w:val="30"/>
        </w:rPr>
        <w:t>4、对外贸易与开放平台创新突破并存</w:t>
      </w:r>
      <w:bookmarkEnd w:id="9"/>
    </w:p>
    <w:p>
      <w:pPr>
        <w:spacing w:line="560" w:lineRule="exact"/>
        <w:ind w:firstLine="600" w:firstLineChars="200"/>
        <w:rPr>
          <w:rFonts w:ascii="仿宋_GB2312" w:eastAsia="仿宋_GB2312"/>
          <w:sz w:val="30"/>
          <w:szCs w:val="30"/>
        </w:rPr>
      </w:pPr>
      <w:r>
        <w:rPr>
          <w:rFonts w:hint="eastAsia" w:ascii="仿宋_GB2312" w:eastAsia="仿宋_GB2312"/>
          <w:sz w:val="30"/>
          <w:szCs w:val="30"/>
        </w:rPr>
        <w:t>“十三五”期间，</w:t>
      </w:r>
      <w:r>
        <w:rPr>
          <w:rFonts w:hint="eastAsia" w:ascii="Calibri" w:hAnsi="Calibri" w:eastAsia="仿宋_GB2312"/>
          <w:sz w:val="30"/>
          <w:szCs w:val="30"/>
        </w:rPr>
        <w:t>温州外贸实现高速增长。</w:t>
      </w:r>
      <w:r>
        <w:rPr>
          <w:rFonts w:hint="eastAsia" w:ascii="仿宋_GB2312" w:eastAsia="仿宋_GB2312"/>
          <w:sz w:val="30"/>
          <w:szCs w:val="30"/>
        </w:rPr>
        <w:t>20</w:t>
      </w:r>
      <w:r>
        <w:rPr>
          <w:rFonts w:ascii="仿宋_GB2312" w:eastAsia="仿宋_GB2312"/>
          <w:sz w:val="30"/>
          <w:szCs w:val="30"/>
        </w:rPr>
        <w:t>20</w:t>
      </w:r>
      <w:r>
        <w:rPr>
          <w:rFonts w:hint="eastAsia" w:ascii="仿宋_GB2312" w:eastAsia="仿宋_GB2312"/>
          <w:sz w:val="30"/>
          <w:szCs w:val="30"/>
        </w:rPr>
        <w:t>年，全市货物进出口总额2</w:t>
      </w:r>
      <w:r>
        <w:rPr>
          <w:rFonts w:ascii="仿宋_GB2312" w:eastAsia="仿宋_GB2312"/>
          <w:sz w:val="30"/>
          <w:szCs w:val="30"/>
        </w:rPr>
        <w:t>189.7</w:t>
      </w:r>
      <w:r>
        <w:rPr>
          <w:rFonts w:hint="eastAsia" w:ascii="仿宋_GB2312" w:eastAsia="仿宋_GB2312"/>
          <w:sz w:val="30"/>
          <w:szCs w:val="30"/>
        </w:rPr>
        <w:t>亿元，其中进口3</w:t>
      </w:r>
      <w:r>
        <w:rPr>
          <w:rFonts w:ascii="仿宋_GB2312" w:eastAsia="仿宋_GB2312"/>
          <w:sz w:val="30"/>
          <w:szCs w:val="30"/>
        </w:rPr>
        <w:t>11.7</w:t>
      </w:r>
      <w:r>
        <w:rPr>
          <w:rFonts w:hint="eastAsia" w:ascii="仿宋_GB2312" w:eastAsia="仿宋_GB2312"/>
          <w:sz w:val="30"/>
          <w:szCs w:val="30"/>
        </w:rPr>
        <w:t>亿元，出口1</w:t>
      </w:r>
      <w:r>
        <w:rPr>
          <w:rFonts w:ascii="仿宋_GB2312" w:eastAsia="仿宋_GB2312"/>
          <w:sz w:val="30"/>
          <w:szCs w:val="30"/>
        </w:rPr>
        <w:t>878.1</w:t>
      </w:r>
      <w:r>
        <w:rPr>
          <w:rFonts w:hint="eastAsia" w:ascii="仿宋_GB2312" w:eastAsia="仿宋_GB2312"/>
          <w:sz w:val="30"/>
          <w:szCs w:val="30"/>
        </w:rPr>
        <w:t>亿元，分别为“十二五”期末的1.</w:t>
      </w:r>
      <w:r>
        <w:rPr>
          <w:rFonts w:ascii="仿宋_GB2312" w:eastAsia="仿宋_GB2312"/>
          <w:sz w:val="30"/>
          <w:szCs w:val="30"/>
        </w:rPr>
        <w:t>8</w:t>
      </w:r>
      <w:r>
        <w:rPr>
          <w:rFonts w:hint="eastAsia" w:ascii="仿宋_GB2312" w:eastAsia="仿宋_GB2312"/>
          <w:sz w:val="30"/>
          <w:szCs w:val="30"/>
        </w:rPr>
        <w:t>倍、</w:t>
      </w:r>
      <w:r>
        <w:rPr>
          <w:rFonts w:ascii="仿宋_GB2312" w:eastAsia="仿宋_GB2312"/>
          <w:sz w:val="30"/>
          <w:szCs w:val="30"/>
        </w:rPr>
        <w:t>2.1</w:t>
      </w:r>
      <w:r>
        <w:rPr>
          <w:rFonts w:hint="eastAsia" w:ascii="仿宋_GB2312" w:eastAsia="仿宋_GB2312"/>
          <w:sz w:val="30"/>
          <w:szCs w:val="30"/>
        </w:rPr>
        <w:t>倍和1.</w:t>
      </w:r>
      <w:r>
        <w:rPr>
          <w:rFonts w:ascii="仿宋_GB2312" w:eastAsia="仿宋_GB2312"/>
          <w:sz w:val="30"/>
          <w:szCs w:val="30"/>
        </w:rPr>
        <w:t>8</w:t>
      </w:r>
      <w:r>
        <w:rPr>
          <w:rFonts w:hint="eastAsia" w:ascii="仿宋_GB2312" w:eastAsia="仿宋_GB2312"/>
          <w:sz w:val="30"/>
          <w:szCs w:val="30"/>
        </w:rPr>
        <w:t>倍，年均增长达到12.6%、16.3%、12.1%。“一带一路”进出口表现尤为突出，2020年货物进出口总额1007.</w:t>
      </w:r>
      <w:r>
        <w:rPr>
          <w:rFonts w:ascii="仿宋_GB2312" w:eastAsia="仿宋_GB2312"/>
          <w:sz w:val="30"/>
          <w:szCs w:val="30"/>
        </w:rPr>
        <w:t>5</w:t>
      </w:r>
      <w:r>
        <w:rPr>
          <w:rFonts w:hint="eastAsia" w:ascii="仿宋_GB2312" w:eastAsia="仿宋_GB2312"/>
          <w:sz w:val="30"/>
          <w:szCs w:val="30"/>
        </w:rPr>
        <w:t>亿元，其中进口159.3亿元，出口848.1亿元，“十三五”以来年均增长分别达到2</w:t>
      </w:r>
      <w:r>
        <w:rPr>
          <w:rFonts w:ascii="仿宋_GB2312" w:eastAsia="仿宋_GB2312"/>
          <w:sz w:val="30"/>
          <w:szCs w:val="30"/>
        </w:rPr>
        <w:t>1.0</w:t>
      </w:r>
      <w:r>
        <w:rPr>
          <w:rFonts w:hint="eastAsia" w:ascii="仿宋_GB2312" w:eastAsia="仿宋_GB2312"/>
          <w:sz w:val="30"/>
          <w:szCs w:val="30"/>
        </w:rPr>
        <w:t>%、44.4%、18.2%。高新技术产品出口发展快速，2020年机电高新技术产品出口919.0亿元，为“十二五”期末的2</w:t>
      </w:r>
      <w:r>
        <w:rPr>
          <w:rFonts w:ascii="仿宋_GB2312" w:eastAsia="仿宋_GB2312"/>
          <w:sz w:val="30"/>
          <w:szCs w:val="30"/>
        </w:rPr>
        <w:t>.0</w:t>
      </w:r>
      <w:r>
        <w:rPr>
          <w:rFonts w:hint="eastAsia" w:ascii="仿宋_GB2312" w:eastAsia="仿宋_GB2312"/>
          <w:sz w:val="30"/>
          <w:szCs w:val="30"/>
        </w:rPr>
        <w:t>倍，年均增长1</w:t>
      </w:r>
      <w:r>
        <w:rPr>
          <w:rFonts w:ascii="仿宋_GB2312" w:eastAsia="仿宋_GB2312"/>
          <w:sz w:val="30"/>
          <w:szCs w:val="30"/>
        </w:rPr>
        <w:t>4</w:t>
      </w:r>
      <w:r>
        <w:rPr>
          <w:rFonts w:hint="eastAsia" w:ascii="仿宋_GB2312" w:eastAsia="仿宋_GB2312"/>
          <w:sz w:val="30"/>
          <w:szCs w:val="30"/>
        </w:rPr>
        <w:t>.</w:t>
      </w:r>
      <w:r>
        <w:rPr>
          <w:rFonts w:ascii="仿宋_GB2312" w:eastAsia="仿宋_GB2312"/>
          <w:sz w:val="30"/>
          <w:szCs w:val="30"/>
        </w:rPr>
        <w:t>9</w:t>
      </w:r>
      <w:r>
        <w:rPr>
          <w:rFonts w:hint="eastAsia" w:ascii="仿宋_GB2312" w:eastAsia="仿宋_GB2312"/>
          <w:sz w:val="30"/>
          <w:szCs w:val="30"/>
        </w:rPr>
        <w:t>%。对外开放平台建设成效显著，中国（温州）华商华侨综合发展先行区、温州综合保税区、浙江自贸区温州联动创新区、市场采购贸易方式等平台夯实打造，新增省级经济开发区3个，“3+1”高能级平台建设加快推进，全球商品贸易港、温州进口展、国家外贸转型基地等典型项目取得重要进展。</w:t>
      </w:r>
    </w:p>
    <w:p>
      <w:pPr>
        <w:spacing w:line="560" w:lineRule="exact"/>
        <w:ind w:firstLine="602" w:firstLineChars="200"/>
        <w:outlineLvl w:val="2"/>
        <w:rPr>
          <w:rFonts w:ascii="楷体" w:hAnsi="楷体" w:eastAsia="楷体"/>
          <w:b/>
          <w:sz w:val="30"/>
          <w:szCs w:val="30"/>
        </w:rPr>
      </w:pPr>
      <w:bookmarkStart w:id="10" w:name="_Toc74756857"/>
      <w:r>
        <w:rPr>
          <w:rFonts w:hint="eastAsia" w:ascii="楷体" w:hAnsi="楷体" w:eastAsia="楷体"/>
          <w:b/>
          <w:sz w:val="30"/>
          <w:szCs w:val="30"/>
        </w:rPr>
        <w:t>5、对外投资与国际合作影响持续扩大</w:t>
      </w:r>
      <w:bookmarkEnd w:id="10"/>
    </w:p>
    <w:p>
      <w:pPr>
        <w:spacing w:line="560" w:lineRule="exact"/>
        <w:ind w:firstLine="600" w:firstLineChars="200"/>
        <w:rPr>
          <w:rFonts w:ascii="仿宋_GB2312" w:eastAsia="仿宋_GB2312"/>
          <w:strike/>
          <w:color w:val="FF0000"/>
          <w:sz w:val="30"/>
          <w:szCs w:val="30"/>
        </w:rPr>
      </w:pPr>
      <w:r>
        <w:rPr>
          <w:rFonts w:hint="eastAsia" w:ascii="仿宋_GB2312" w:eastAsia="仿宋_GB2312"/>
          <w:sz w:val="30"/>
          <w:szCs w:val="30"/>
        </w:rPr>
        <w:t>“十三五”期间，全市对外投资呈现快速发展态势。2016-20</w:t>
      </w:r>
      <w:r>
        <w:rPr>
          <w:rFonts w:ascii="仿宋_GB2312" w:eastAsia="仿宋_GB2312"/>
          <w:sz w:val="30"/>
          <w:szCs w:val="30"/>
        </w:rPr>
        <w:t>20</w:t>
      </w:r>
      <w:r>
        <w:rPr>
          <w:rFonts w:hint="eastAsia" w:ascii="仿宋_GB2312" w:eastAsia="仿宋_GB2312"/>
          <w:sz w:val="30"/>
          <w:szCs w:val="30"/>
        </w:rPr>
        <w:t>年，全市新批境外投资企业125家，中方投资额26.7亿美元，超出“十三五”规划目标67%。项目平均投资规模为1923万美元，超出“十二五”同期规模78%。全市国际经济合作保持稳定增长态势，实现营业额5.16亿美元，超出“十二五”期间累计营业额59.3%。境外经贸合作区发展快速，全市新增2家省级境外经贸合作区，累计建成境外园区6家，总规划建设面积超过35平方公里，其中国家级园区3家，省级园区3家，是全国拥有国家级境外园区最多的地级市。</w:t>
      </w:r>
    </w:p>
    <w:p>
      <w:pPr>
        <w:adjustRightInd w:val="0"/>
        <w:snapToGrid w:val="0"/>
        <w:spacing w:before="156" w:beforeLines="50" w:after="156" w:afterLines="50" w:line="560" w:lineRule="exact"/>
        <w:ind w:firstLine="643" w:firstLineChars="200"/>
        <w:outlineLvl w:val="1"/>
        <w:rPr>
          <w:rFonts w:ascii="仿宋_GB2312" w:hAnsi="仿宋_GB2312" w:eastAsia="仿宋_GB2312" w:cs="仿宋_GB2312"/>
          <w:b/>
          <w:bCs/>
          <w:kern w:val="0"/>
          <w:sz w:val="32"/>
          <w:szCs w:val="32"/>
        </w:rPr>
      </w:pPr>
      <w:bookmarkStart w:id="11" w:name="_Toc74756858"/>
      <w:r>
        <w:rPr>
          <w:rFonts w:hint="eastAsia" w:ascii="仿宋_GB2312" w:hAnsi="仿宋_GB2312" w:eastAsia="仿宋_GB2312" w:cs="仿宋_GB2312"/>
          <w:b/>
          <w:bCs/>
          <w:kern w:val="0"/>
          <w:sz w:val="32"/>
          <w:szCs w:val="32"/>
        </w:rPr>
        <w:t>（二）存在问题</w:t>
      </w:r>
      <w:bookmarkEnd w:id="11"/>
    </w:p>
    <w:p>
      <w:pPr>
        <w:spacing w:line="560" w:lineRule="exact"/>
        <w:ind w:firstLine="600" w:firstLineChars="200"/>
        <w:rPr>
          <w:rFonts w:ascii="仿宋_GB2312" w:eastAsia="仿宋_GB2312"/>
          <w:sz w:val="30"/>
          <w:szCs w:val="30"/>
        </w:rPr>
      </w:pPr>
      <w:r>
        <w:rPr>
          <w:rFonts w:hint="eastAsia" w:ascii="仿宋_GB2312" w:eastAsia="仿宋_GB2312"/>
          <w:sz w:val="30"/>
          <w:szCs w:val="30"/>
        </w:rPr>
        <w:t>“十三五”时期，尽管温州商务发展质量和效益取得较大成绩，但仍存</w:t>
      </w:r>
      <w:bookmarkStart w:id="12" w:name="_Hlk44662758"/>
      <w:r>
        <w:rPr>
          <w:rFonts w:hint="eastAsia" w:ascii="仿宋_GB2312" w:eastAsia="仿宋_GB2312"/>
          <w:sz w:val="30"/>
          <w:szCs w:val="30"/>
        </w:rPr>
        <w:t>在一系列突出矛盾和问题。一是消费发展动能有待提升，消费人口与消费能力亟待扩容提升，消费产业结构性滞后问题突出，新型消费业态供给不足；二是商务产业创新仍然停留在初级阶段，连锁经营等现代商贸流通形态占比偏小，数字商务还停留在简单的网商交易为主，“互联网+”带来的技术创新、商业模式创新、业态创新、产品创新等联动发展局面尚未形成；三是商务重大产业平台、开放平台、创新平台尚待做实做强，核心驱动作用亟待发挥，商务细分领域行业龙头企业缺失现象较大范围内存在，总部型项目存量少、招引难，平台型企业数量少、影响有限；四是商务发展硬件设施老化缺位现象明显，空间制约、硬件制约发展瓶颈突出，物流场站、仓储等设施亟待加强；</w:t>
      </w:r>
      <w:bookmarkEnd w:id="12"/>
      <w:r>
        <w:rPr>
          <w:rFonts w:hint="eastAsia" w:ascii="仿宋_GB2312" w:eastAsia="仿宋_GB2312"/>
          <w:sz w:val="30"/>
          <w:szCs w:val="30"/>
        </w:rPr>
        <w:t>五是要素资源配置不足，金融资源改革优势未能有效发挥，中高端人才吸引留存难度加大，大数据等新兴资源难以有效集聚借力。</w:t>
      </w:r>
    </w:p>
    <w:p>
      <w:pPr>
        <w:adjustRightInd w:val="0"/>
        <w:snapToGrid w:val="0"/>
        <w:spacing w:before="156" w:beforeLines="50" w:after="156" w:afterLines="50" w:line="560" w:lineRule="exact"/>
        <w:ind w:firstLine="643" w:firstLineChars="200"/>
        <w:outlineLvl w:val="1"/>
        <w:rPr>
          <w:rFonts w:ascii="仿宋_GB2312" w:hAnsi="仿宋_GB2312" w:eastAsia="仿宋_GB2312" w:cs="仿宋_GB2312"/>
          <w:b/>
          <w:bCs/>
          <w:kern w:val="0"/>
          <w:sz w:val="32"/>
          <w:szCs w:val="32"/>
        </w:rPr>
      </w:pPr>
      <w:bookmarkStart w:id="13" w:name="_Toc74756859"/>
      <w:r>
        <w:rPr>
          <w:rFonts w:hint="eastAsia" w:ascii="仿宋_GB2312" w:hAnsi="仿宋_GB2312" w:eastAsia="仿宋_GB2312" w:cs="仿宋_GB2312"/>
          <w:b/>
          <w:bCs/>
          <w:kern w:val="0"/>
          <w:sz w:val="32"/>
          <w:szCs w:val="32"/>
        </w:rPr>
        <w:t>（三）面临形势</w:t>
      </w:r>
      <w:bookmarkEnd w:id="13"/>
    </w:p>
    <w:p>
      <w:pPr>
        <w:spacing w:line="560" w:lineRule="exact"/>
        <w:ind w:firstLine="602" w:firstLineChars="200"/>
        <w:rPr>
          <w:rFonts w:ascii="仿宋_GB2312" w:eastAsia="仿宋_GB2312"/>
          <w:sz w:val="30"/>
          <w:szCs w:val="30"/>
        </w:rPr>
      </w:pPr>
      <w:r>
        <w:rPr>
          <w:rFonts w:hint="eastAsia" w:eastAsia="楷体_GB2312"/>
          <w:b/>
          <w:sz w:val="30"/>
          <w:szCs w:val="30"/>
        </w:rPr>
        <w:t>从国际看，</w:t>
      </w:r>
      <w:r>
        <w:rPr>
          <w:rFonts w:hint="eastAsia" w:ascii="仿宋_GB2312" w:eastAsia="仿宋_GB2312"/>
          <w:sz w:val="30"/>
          <w:szCs w:val="30"/>
        </w:rPr>
        <w:t>近年来国际形势日趋复杂，地区冲突不断升级，黑天鹅、灰犀牛事件迭出，贸易保护主义、单边主义、民粹主义等逆全球化暗流涌动，世界经济重心、世界政治格局、全球化进程、科技与产业、全球治理、世界秩序等面临前所未有大变革，世界处于百年未有之大变局。在此环境下，国际贸易摩擦持续升级，特别是中美贸易摩擦从关税向科技领域蔓延呈愈演愈烈之势，加之新冠肺炎疫情潜在的中长期影响，对世界经济供给侧和需求端产生了前所未有的双向冲击，全球市场需求疲软态势将维持较长一段时间，货物贸易面临较大压力。国际贸易投资规则面临重塑，欧美等国家地区对外资审查趋严，对外投资面临产业与政策限制瓶颈，贸易投资保护主义加剧，中高端制造业向发达国家回流，中低端制造业向发展中国家转移趋势加大。信息化进入以5G为主要标志的新技术突破期，新技术、新模式、新业态创新不断涌现，新一代信息技术在商务发展各领域各环节应用持续深化拓展，商务数字化与数字商务特征越来越明显。</w:t>
      </w:r>
    </w:p>
    <w:p>
      <w:pPr>
        <w:spacing w:line="560" w:lineRule="exact"/>
        <w:ind w:firstLine="602" w:firstLineChars="200"/>
        <w:rPr>
          <w:rFonts w:ascii="仿宋_GB2312" w:eastAsia="仿宋_GB2312"/>
          <w:sz w:val="30"/>
          <w:szCs w:val="30"/>
        </w:rPr>
      </w:pPr>
      <w:r>
        <w:rPr>
          <w:rFonts w:hint="eastAsia" w:eastAsia="楷体_GB2312"/>
          <w:b/>
          <w:sz w:val="30"/>
          <w:szCs w:val="30"/>
        </w:rPr>
        <w:t>从国内看，</w:t>
      </w:r>
      <w:r>
        <w:rPr>
          <w:rFonts w:hint="eastAsia" w:ascii="仿宋_GB2312" w:eastAsia="仿宋_GB2312"/>
          <w:sz w:val="30"/>
          <w:szCs w:val="30"/>
        </w:rPr>
        <w:t>“十四五”是我国开启全面建设社会主义现代化国家新征程的第一个五年，经济长期向好基本面没有改变，发展前景依然广阔。畅通中国经济循环重要性日益突出，现代流通体系建设将作为党和政府的一项重要战略任务来抓，现代流通体系硬件和软件建设首当其冲。中国经济向以国内大循环为主体进行转变，强大国内市场建设成为关键突破口，围绕国内市场建设的要素市场化改革、消费促进、收入增长将深入推进。消费结构升级步伐加快，消费品质化、特色化、精细化特征日趋明显，消费动能加快转变，消费成为拉动国民经济增长的第一驱动力。新一代信息技术创新与应用对流通与消费产业发展产生深刻影响，新技术、新业态、新模式将加快推进。“碳达峰”“碳中和”国际承诺对经济发展提出新要求，绿色商务发展引来新机遇。更大范围、更广领域、更多层次的高水平对外开放格局加速构建，“一带一路”、自贸试验区、综合保税区、跨境电子商务试验区等平台高质量发展迫在眉睫。</w:t>
      </w:r>
    </w:p>
    <w:p>
      <w:pPr>
        <w:spacing w:line="560" w:lineRule="exact"/>
        <w:ind w:firstLine="602" w:firstLineChars="200"/>
        <w:rPr>
          <w:rFonts w:ascii="仿宋_GB2312" w:eastAsia="仿宋_GB2312"/>
          <w:sz w:val="30"/>
          <w:szCs w:val="30"/>
        </w:rPr>
      </w:pPr>
      <w:r>
        <w:rPr>
          <w:rFonts w:hint="eastAsia" w:eastAsia="楷体_GB2312"/>
          <w:b/>
          <w:sz w:val="30"/>
          <w:szCs w:val="30"/>
        </w:rPr>
        <w:t>从区域看，</w:t>
      </w:r>
      <w:r>
        <w:rPr>
          <w:rFonts w:hint="eastAsia" w:ascii="仿宋_GB2312" w:eastAsia="仿宋_GB2312"/>
          <w:sz w:val="30"/>
          <w:szCs w:val="30"/>
        </w:rPr>
        <w:t>“十四五”时期，既是长三角区域一体化持续深入推进期，粤闽浙沿海城市群战略提升期，更是浙江省第二个“高水平”建设的开篇之期</w:t>
      </w:r>
      <w:r>
        <w:rPr>
          <w:rFonts w:hint="eastAsia" w:eastAsia="楷体_GB2312"/>
          <w:b/>
          <w:sz w:val="30"/>
          <w:szCs w:val="30"/>
        </w:rPr>
        <w:t>，</w:t>
      </w:r>
      <w:r>
        <w:rPr>
          <w:rFonts w:hint="eastAsia" w:ascii="仿宋_GB2312" w:eastAsia="仿宋_GB2312"/>
          <w:sz w:val="30"/>
          <w:szCs w:val="30"/>
        </w:rPr>
        <w:t>区域经济发展将处于从工业化后期向后工业化时期转变的关键阶段，区域商务发展迫切需要新目标、新定位、新理念、新思路。尤其是围绕“重要窗口”建设的全面推进，以浙江自贸试验区扩区、综合保税区、跨境电子商务综试区等建设为依托，新型国际贸易中心、国际航运与物流枢纽、数字经济发展示范区将高质量打造，投资贸易自由化便利化举措将创新出台，营商环境必然持续优化。消费能力进一步提升，全省人均收入向2万美元攀升，高品质步行街、夜间经济、智慧商圈等建设加快推进落地。</w:t>
      </w:r>
    </w:p>
    <w:p>
      <w:pPr>
        <w:spacing w:line="560" w:lineRule="exact"/>
        <w:ind w:firstLine="602" w:firstLineChars="200"/>
        <w:rPr>
          <w:rFonts w:ascii="仿宋_GB2312" w:eastAsia="仿宋_GB2312"/>
          <w:sz w:val="30"/>
          <w:szCs w:val="30"/>
        </w:rPr>
      </w:pPr>
      <w:r>
        <w:rPr>
          <w:rFonts w:hint="eastAsia" w:eastAsia="楷体_GB2312"/>
          <w:b/>
          <w:sz w:val="30"/>
          <w:szCs w:val="30"/>
        </w:rPr>
        <w:t>从市内看，</w:t>
      </w:r>
      <w:r>
        <w:rPr>
          <w:rFonts w:hint="eastAsia" w:ascii="仿宋_GB2312" w:eastAsia="仿宋_GB2312"/>
          <w:sz w:val="30"/>
          <w:szCs w:val="30"/>
        </w:rPr>
        <w:t>“十四五”时期是温州全面开启社会主义现代化建设新征程，加快建设“我国东南沿海重要商贸城市和区域中心城市、全国性综合交通枢纽”的重要历史机遇期，更是温州迈向万亿级地区生产总值、千亿级地方财政收入、千万级常住人口新台阶的关键时期。温州作为全国综合交通枢纽城市和东南沿海区域中心城市的地位进一步强化，城市空间形态向都市区经济、湾区经济提升发展，都市区协同融合、城乡融合发展进入全面加速期。政府、经济、社会等各领域的一批重量级改革试点全面推进，可充分激发市场主体活力的现代市场体系加快构建。平台建设重要性更为突出，中国（温州）华商华侨综合发展先行区、自贸区温州联动创新区、温州综合保税区、中国（温州）跨境电子商务综合试验区等一批重大开放平台将高质量推进。</w:t>
      </w:r>
    </w:p>
    <w:p>
      <w:pPr>
        <w:spacing w:before="156" w:beforeLines="50" w:line="580" w:lineRule="exact"/>
        <w:outlineLvl w:val="0"/>
        <w:rPr>
          <w:rFonts w:ascii="楷体_GB2312" w:hAnsi="楷体_GB2312" w:eastAsia="楷体_GB2312" w:cs="楷体_GB2312"/>
          <w:b/>
          <w:sz w:val="32"/>
          <w:szCs w:val="32"/>
        </w:rPr>
      </w:pPr>
      <w:bookmarkStart w:id="14" w:name="_Toc74756860"/>
      <w:r>
        <w:rPr>
          <w:rFonts w:hint="eastAsia" w:ascii="楷体_GB2312" w:hAnsi="楷体_GB2312" w:eastAsia="楷体_GB2312" w:cs="楷体_GB2312"/>
          <w:b/>
          <w:sz w:val="32"/>
          <w:szCs w:val="32"/>
        </w:rPr>
        <w:t>二、指导思想、发展原则与目标</w:t>
      </w:r>
      <w:bookmarkEnd w:id="14"/>
    </w:p>
    <w:p>
      <w:pPr>
        <w:adjustRightInd w:val="0"/>
        <w:snapToGrid w:val="0"/>
        <w:spacing w:before="156" w:beforeLines="50" w:after="156" w:afterLines="50" w:line="560" w:lineRule="exact"/>
        <w:ind w:firstLine="643" w:firstLineChars="200"/>
        <w:outlineLvl w:val="1"/>
        <w:rPr>
          <w:rFonts w:ascii="仿宋_GB2312" w:hAnsi="仿宋_GB2312" w:eastAsia="仿宋_GB2312" w:cs="仿宋_GB2312"/>
          <w:b/>
          <w:bCs/>
          <w:kern w:val="0"/>
          <w:sz w:val="32"/>
          <w:szCs w:val="32"/>
        </w:rPr>
      </w:pPr>
      <w:bookmarkStart w:id="15" w:name="_Toc74756861"/>
      <w:r>
        <w:rPr>
          <w:rFonts w:hint="eastAsia" w:ascii="仿宋_GB2312" w:hAnsi="仿宋_GB2312" w:eastAsia="仿宋_GB2312" w:cs="仿宋_GB2312"/>
          <w:b/>
          <w:bCs/>
          <w:kern w:val="0"/>
          <w:sz w:val="32"/>
          <w:szCs w:val="32"/>
        </w:rPr>
        <w:t>（一）指导思想</w:t>
      </w:r>
      <w:bookmarkEnd w:id="15"/>
    </w:p>
    <w:p>
      <w:pPr>
        <w:spacing w:line="560" w:lineRule="exact"/>
        <w:ind w:firstLine="600" w:firstLineChars="200"/>
        <w:rPr>
          <w:rFonts w:ascii="仿宋_GB2312" w:eastAsia="仿宋_GB2312"/>
          <w:sz w:val="30"/>
          <w:szCs w:val="30"/>
        </w:rPr>
      </w:pPr>
      <w:r>
        <w:rPr>
          <w:rFonts w:hint="eastAsia" w:ascii="仿宋_GB2312" w:eastAsia="仿宋_GB2312"/>
          <w:sz w:val="30"/>
          <w:szCs w:val="30"/>
        </w:rPr>
        <w:t>高举习近平新时代中国特色社会主义思想伟大旗帜，深入贯彻党的十九大和十九届二中、三中、四中、五中全会精神，全面落实省委省政府和市委决策部署，统筹推进“五位一体”总体布局，协调推进“四个全面”战略布局，坚持党的全面领导，坚持以人民为中心，坚持新发展理念，坚持深化改革开放，坚持系统观念，以推动高质量发展为主题，以改革创新为根本动力，围绕“五城五高地”建设，聚焦新消费高地与改革开放标杆城市打造，以“四大平台”为依托全面深化开放，以构建国内大循环为主体，国内国际双循环发展格局为主线，深化商务供给侧结构性改革，全面提升商务发展质量和效益，优化商务发展要素资源配置能力，完善商务发展生态体系，高水平建设商务“六大任务”，高质量推进商务“六项工程”，在新征程上奋力续写好新时代温州商务发展史，为“做强第三极、建好南大门”贡献商务力量。</w:t>
      </w:r>
    </w:p>
    <w:p>
      <w:pPr>
        <w:spacing w:line="560" w:lineRule="exact"/>
        <w:ind w:firstLine="602" w:firstLineChars="200"/>
        <w:rPr>
          <w:rFonts w:ascii="仿宋_GB2312" w:eastAsia="仿宋_GB2312"/>
          <w:b/>
          <w:sz w:val="30"/>
          <w:szCs w:val="30"/>
        </w:rPr>
      </w:pPr>
      <w:r>
        <w:rPr>
          <w:rFonts w:hint="eastAsia" w:ascii="仿宋_GB2312" w:eastAsia="仿宋_GB2312"/>
          <w:b/>
          <w:sz w:val="30"/>
          <w:szCs w:val="30"/>
        </w:rPr>
        <w:t>——全面做大消费空间，打造高品质新消费高地。</w:t>
      </w:r>
      <w:r>
        <w:rPr>
          <w:rFonts w:hint="eastAsia" w:ascii="仿宋_GB2312" w:eastAsia="仿宋_GB2312"/>
          <w:sz w:val="30"/>
          <w:szCs w:val="30"/>
        </w:rPr>
        <w:t>以高端商业综合体项目引进为突破口，以时尚化、文创化、数字化、品质化为导向，做大温州鞋服、眼镜、箱包等特色时尚消费平台，创新发展服务消费，推进中心城区国际化水平商圈建设，全面提升消费辐射能力。推进县市级重点商圈能级提升与特色打造，做优做大城市消费空间。发展镇街级现代化商业中心，构建连锁化、品质化的乡村消费商业网点，提升发展乡村消费。</w:t>
      </w:r>
    </w:p>
    <w:p>
      <w:pPr>
        <w:spacing w:line="560" w:lineRule="exact"/>
        <w:ind w:firstLine="602" w:firstLineChars="200"/>
        <w:rPr>
          <w:rFonts w:ascii="仿宋_GB2312" w:eastAsia="仿宋_GB2312"/>
          <w:b/>
          <w:sz w:val="30"/>
          <w:szCs w:val="30"/>
        </w:rPr>
      </w:pPr>
      <w:r>
        <w:rPr>
          <w:rFonts w:hint="eastAsia" w:ascii="仿宋_GB2312" w:eastAsia="仿宋_GB2312"/>
          <w:b/>
          <w:sz w:val="30"/>
          <w:szCs w:val="30"/>
        </w:rPr>
        <w:t>——全面畅通流通链条，打造双向循环三大通道。</w:t>
      </w:r>
      <w:r>
        <w:rPr>
          <w:rFonts w:hint="eastAsia" w:ascii="仿宋_GB2312" w:eastAsia="仿宋_GB2312"/>
          <w:sz w:val="30"/>
          <w:szCs w:val="30"/>
        </w:rPr>
        <w:t>以现代供应链建设为核心，依托侨商优势，加强具备国际流通能力市场主体的培育与引进，加强以销带产型深度合作产业链建设，发展一批全球市场企业，构建联动内外市场的产品、品牌、渠道与服务体系，高水平建设侨商特色国内与国际双循环体系。以商业基础设施、商业产品、商业主体、商业平台为重点，加强城市与农村商业服务网络互通共享，高水平建设山海特色城市与农村双循环体系。围绕产品创新、服务创新等供给侧创新，以及载体创新、业态创新、渠道创新、活动创新等消费促进创新两大主线，高水平建设时尚特色产业与消费双循环体系。</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——全面做实重大平台，打造对外开放强大枢纽。</w:t>
      </w:r>
      <w:r>
        <w:rPr>
          <w:rFonts w:hint="eastAsia" w:ascii="仿宋_GB2312" w:eastAsia="仿宋_GB2312"/>
          <w:sz w:val="30"/>
          <w:szCs w:val="30"/>
        </w:rPr>
        <w:t>紧紧抓住国家新一轮对外开放重大历史契机，加强顶层设计与科学谋划，全力争创浙江自由贸易试验区温州片区。全面做强中国（温州）华商华侨综合发展先行区、温州综合保税区、中国（温州）跨境电子商务综合试验区等重大对外开放平台能级，高规格、高标准建设乐清湾港区、状元岙港区、温州机场、温州铁路口岸等重大对外开放基础设施，集中资源配置，以瓯洞一体化为桥头堡，全面打造标志性、战略性改革开放大平台。</w:t>
      </w:r>
    </w:p>
    <w:p>
      <w:pPr>
        <w:spacing w:line="560" w:lineRule="exact"/>
        <w:ind w:firstLine="602" w:firstLineChars="200"/>
        <w:rPr>
          <w:rFonts w:ascii="仿宋_GB2312" w:eastAsia="仿宋_GB2312"/>
          <w:b/>
          <w:sz w:val="30"/>
          <w:szCs w:val="30"/>
        </w:rPr>
      </w:pPr>
      <w:r>
        <w:rPr>
          <w:rFonts w:hint="eastAsia" w:ascii="仿宋_GB2312" w:eastAsia="仿宋_GB2312"/>
          <w:b/>
          <w:sz w:val="30"/>
          <w:szCs w:val="30"/>
        </w:rPr>
        <w:t>——全面改革创新突破，打造商务发展温州制度。</w:t>
      </w:r>
      <w:r>
        <w:rPr>
          <w:rFonts w:hint="eastAsia" w:ascii="仿宋_GB2312" w:eastAsia="仿宋_GB2312"/>
          <w:sz w:val="30"/>
          <w:szCs w:val="30"/>
        </w:rPr>
        <w:t>全面推动温州制度创新突破，走在前列。以数字化改革为总基调，以“两个健康”建设为依托，全面深化与市场化改革，建设统一高效的温州大市场，强化制度性对接合作，积极参与区域与国内大市场建设。以侨商特色为突破口，争取外商投资、对外贸易等先行先试资格，围绕服务贸易、金融服务、港口物流、跨境电商、海关特殊监管区域等领域，发展一批极具吸引力的创新性制度。切实推动产权制度改革与产权保护，打造公开、公平、公正的发展环境。</w:t>
      </w:r>
    </w:p>
    <w:p>
      <w:pPr>
        <w:adjustRightInd w:val="0"/>
        <w:snapToGrid w:val="0"/>
        <w:spacing w:before="156" w:beforeLines="50" w:after="156" w:afterLines="50" w:line="560" w:lineRule="exact"/>
        <w:ind w:firstLine="643" w:firstLineChars="200"/>
        <w:outlineLvl w:val="1"/>
        <w:rPr>
          <w:rFonts w:ascii="仿宋_GB2312" w:hAnsi="仿宋_GB2312" w:eastAsia="仿宋_GB2312" w:cs="仿宋_GB2312"/>
          <w:b/>
          <w:bCs/>
          <w:kern w:val="0"/>
          <w:sz w:val="32"/>
          <w:szCs w:val="32"/>
        </w:rPr>
      </w:pPr>
      <w:bookmarkStart w:id="16" w:name="_Toc74756862"/>
      <w:r>
        <w:rPr>
          <w:rFonts w:hint="eastAsia" w:ascii="仿宋_GB2312" w:hAnsi="仿宋_GB2312" w:eastAsia="仿宋_GB2312" w:cs="仿宋_GB2312"/>
          <w:b/>
          <w:bCs/>
          <w:kern w:val="0"/>
          <w:sz w:val="32"/>
          <w:szCs w:val="32"/>
        </w:rPr>
        <w:t>（二）发展原则</w:t>
      </w:r>
      <w:bookmarkEnd w:id="16"/>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——坚持健康发展。</w:t>
      </w:r>
      <w:r>
        <w:rPr>
          <w:rFonts w:hint="eastAsia" w:ascii="仿宋_GB2312" w:eastAsia="仿宋_GB2312"/>
          <w:sz w:val="30"/>
          <w:szCs w:val="30"/>
        </w:rPr>
        <w:t>深入“两个健康”建设，围绕民营企业家健康成长和民营经济健康发展两大主题，强化商务领域先行先试、探索创新，加快推出一批走在全国前列的引领性举措、重大性举措，全面提升商务发展营商环境的健康化水平，充分发挥民营经济在商务发展中的主导作用。</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——坚持创新发展。</w:t>
      </w:r>
      <w:r>
        <w:rPr>
          <w:rFonts w:hint="eastAsia" w:ascii="仿宋_GB2312" w:eastAsia="仿宋_GB2312"/>
          <w:sz w:val="30"/>
          <w:szCs w:val="30"/>
        </w:rPr>
        <w:t>始终把创新摆在商务发展的核心位置，以制度创新、技术创新、管理创新、商业模式创新、开放创新、合作创新作为驱动商务高质量发展的主动力，加快传统商业创新升级、推动商务新模式新业态发展、提升进出口产品科技含量、构建对外开放创新平台。</w:t>
      </w:r>
    </w:p>
    <w:p>
      <w:pPr>
        <w:spacing w:line="560" w:lineRule="exact"/>
        <w:ind w:firstLine="602" w:firstLineChars="200"/>
        <w:rPr>
          <w:rFonts w:ascii="仿宋_GB2312" w:eastAsia="仿宋_GB2312"/>
          <w:b/>
          <w:sz w:val="30"/>
          <w:szCs w:val="30"/>
        </w:rPr>
      </w:pPr>
      <w:r>
        <w:rPr>
          <w:rFonts w:hint="eastAsia" w:ascii="仿宋_GB2312" w:eastAsia="仿宋_GB2312"/>
          <w:b/>
          <w:sz w:val="30"/>
          <w:szCs w:val="30"/>
        </w:rPr>
        <w:t>——坚持融合发展。</w:t>
      </w:r>
      <w:r>
        <w:rPr>
          <w:rFonts w:hint="eastAsia" w:ascii="仿宋_GB2312" w:eastAsia="仿宋_GB2312"/>
          <w:sz w:val="30"/>
          <w:szCs w:val="30"/>
        </w:rPr>
        <w:t>推进商务发展与人工智能、大数据、云计算等新一代信息技术的融合发展，全面提升商务数字化水平。深化服务与产品融合、城市与乡村融合、内贸与外贸融合、线上与线下融合、商业与文化旅游融合，构建多元有机融合、内涵丰富新颖的商务发展新局面。</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——坚持开放发展。</w:t>
      </w:r>
      <w:r>
        <w:rPr>
          <w:rFonts w:hint="eastAsia" w:ascii="仿宋_GB2312" w:eastAsia="仿宋_GB2312"/>
          <w:sz w:val="30"/>
          <w:szCs w:val="30"/>
        </w:rPr>
        <w:t>强力推进进一步扩大对外开放工作，积极融合国家战略部署，构建更高水平开放型经济新体制、推动合作共赢的开放体系建设。全面提升与长三角区域一体化重要城市的开放合作水平，打破区域壁垒推动人才、资本、技术、项目等资源的流动与高效配置。</w:t>
      </w:r>
    </w:p>
    <w:p>
      <w:pPr>
        <w:spacing w:line="560" w:lineRule="exact"/>
        <w:ind w:firstLine="602" w:firstLineChars="200"/>
        <w:rPr>
          <w:rFonts w:ascii="仿宋_GB2312" w:eastAsia="仿宋_GB2312"/>
          <w:sz w:val="30"/>
          <w:szCs w:val="30"/>
        </w:rPr>
      </w:pPr>
      <w:r>
        <w:rPr>
          <w:rFonts w:hint="eastAsia" w:ascii="仿宋_GB2312" w:eastAsia="仿宋_GB2312"/>
          <w:b/>
          <w:sz w:val="30"/>
          <w:szCs w:val="30"/>
        </w:rPr>
        <w:t>——坚持质量发展。</w:t>
      </w:r>
      <w:r>
        <w:rPr>
          <w:rFonts w:hint="eastAsia" w:ascii="仿宋_GB2312" w:eastAsia="仿宋_GB2312"/>
          <w:sz w:val="30"/>
          <w:szCs w:val="30"/>
        </w:rPr>
        <w:t>必须将深化供给侧改革作为商务发展的核心工作进行推动，注重品牌、商誉与温州商务国际形象建设，提升消费服务主体水平，发展高品质消费产品，构建现代化流通体系，推动高质量对外贸易，招引优质外资合资项目，发展更高层次对外合作。</w:t>
      </w:r>
    </w:p>
    <w:p>
      <w:pPr>
        <w:adjustRightInd w:val="0"/>
        <w:snapToGrid w:val="0"/>
        <w:spacing w:before="156" w:beforeLines="50" w:after="156" w:afterLines="50" w:line="560" w:lineRule="exact"/>
        <w:ind w:firstLine="643" w:firstLineChars="200"/>
        <w:outlineLvl w:val="1"/>
        <w:rPr>
          <w:rFonts w:ascii="仿宋_GB2312" w:hAnsi="仿宋_GB2312" w:eastAsia="仿宋_GB2312" w:cs="仿宋_GB2312"/>
          <w:b/>
          <w:bCs/>
          <w:kern w:val="0"/>
          <w:sz w:val="32"/>
          <w:szCs w:val="32"/>
        </w:rPr>
      </w:pPr>
      <w:bookmarkStart w:id="17" w:name="_Toc74756863"/>
      <w:r>
        <w:rPr>
          <w:rFonts w:hint="eastAsia" w:ascii="仿宋_GB2312" w:hAnsi="仿宋_GB2312" w:eastAsia="仿宋_GB2312" w:cs="仿宋_GB2312"/>
          <w:b/>
          <w:bCs/>
          <w:kern w:val="0"/>
          <w:sz w:val="32"/>
          <w:szCs w:val="32"/>
        </w:rPr>
        <w:t>（三）发展目标</w:t>
      </w:r>
      <w:bookmarkEnd w:id="17"/>
    </w:p>
    <w:p>
      <w:pPr>
        <w:spacing w:line="560" w:lineRule="exact"/>
        <w:ind w:firstLine="600" w:firstLineChars="200"/>
        <w:rPr>
          <w:rFonts w:ascii="仿宋_GB2312" w:eastAsia="仿宋_GB2312"/>
          <w:sz w:val="30"/>
          <w:szCs w:val="30"/>
        </w:rPr>
      </w:pPr>
      <w:r>
        <w:rPr>
          <w:rFonts w:hint="eastAsia" w:ascii="仿宋_GB2312" w:eastAsia="仿宋_GB2312"/>
          <w:sz w:val="30"/>
          <w:szCs w:val="30"/>
        </w:rPr>
        <w:t>充分利用温州产业、时尚、活力、经商优势，持续推动商务经济发展的品质化、优势化发展，高水平建设区域性新消费高地，打造开放型经济发展标杆，建设区域国际会展城市，推进数字商务全面创新，建设现代流通体系，构建一流营商环境，成为全国商务领域“两个健康”示范标杆。到“十四五”末，预期</w:t>
      </w:r>
      <w:r>
        <w:rPr>
          <w:rFonts w:ascii="仿宋_GB2312" w:eastAsia="仿宋_GB2312"/>
          <w:sz w:val="30"/>
          <w:szCs w:val="30"/>
        </w:rPr>
        <w:t>实现以下主要目标：</w:t>
      </w:r>
    </w:p>
    <w:p>
      <w:pPr>
        <w:spacing w:line="560" w:lineRule="exact"/>
        <w:ind w:firstLine="602" w:firstLineChars="200"/>
        <w:rPr>
          <w:rFonts w:ascii="仿宋_GB2312" w:hAnsi="DengXian" w:eastAsia="仿宋_GB2312"/>
          <w:color w:val="FF0000"/>
          <w:sz w:val="30"/>
          <w:szCs w:val="30"/>
        </w:rPr>
      </w:pPr>
      <w:r>
        <w:rPr>
          <w:rFonts w:hint="eastAsia" w:ascii="仿宋_GB2312" w:hAnsi="DengXian" w:eastAsia="仿宋_GB2312"/>
          <w:b/>
          <w:sz w:val="30"/>
          <w:szCs w:val="30"/>
        </w:rPr>
        <w:t>——新型消费能级明显提升。</w:t>
      </w:r>
      <w:r>
        <w:rPr>
          <w:rFonts w:hint="eastAsia" w:ascii="仿宋_GB2312" w:hAnsi="DengXian" w:eastAsia="仿宋_GB2312"/>
          <w:sz w:val="30"/>
          <w:szCs w:val="30"/>
        </w:rPr>
        <w:t>到</w:t>
      </w:r>
      <w:r>
        <w:rPr>
          <w:rFonts w:ascii="仿宋_GB2312" w:hAnsi="DengXian" w:eastAsia="仿宋_GB2312"/>
          <w:sz w:val="30"/>
          <w:szCs w:val="30"/>
        </w:rPr>
        <w:t>2025年，实现</w:t>
      </w:r>
      <w:r>
        <w:rPr>
          <w:rFonts w:hint="eastAsia" w:ascii="仿宋_GB2312" w:hAnsi="DengXian" w:eastAsia="仿宋_GB2312"/>
          <w:sz w:val="30"/>
          <w:szCs w:val="30"/>
        </w:rPr>
        <w:t>社会消费品零售总额</w:t>
      </w:r>
      <w:r>
        <w:rPr>
          <w:rFonts w:ascii="仿宋_GB2312" w:hAnsi="DengXian" w:eastAsia="仿宋_GB2312"/>
          <w:sz w:val="30"/>
          <w:szCs w:val="30"/>
        </w:rPr>
        <w:t>5000亿元</w:t>
      </w:r>
      <w:r>
        <w:rPr>
          <w:rFonts w:hint="eastAsia" w:ascii="仿宋_GB2312" w:hAnsi="DengXian" w:eastAsia="仿宋_GB2312"/>
          <w:sz w:val="30"/>
          <w:szCs w:val="30"/>
        </w:rPr>
        <w:t>，成为拉动经济增长的重要动力。实现网络零售额2980</w:t>
      </w:r>
      <w:r>
        <w:rPr>
          <w:rFonts w:ascii="仿宋_GB2312" w:hAnsi="DengXian" w:eastAsia="仿宋_GB2312"/>
          <w:sz w:val="30"/>
          <w:szCs w:val="30"/>
        </w:rPr>
        <w:t>亿元</w:t>
      </w:r>
      <w:r>
        <w:rPr>
          <w:rFonts w:hint="eastAsia" w:ascii="仿宋_GB2312" w:hAnsi="DengXian" w:eastAsia="仿宋_GB2312"/>
          <w:sz w:val="30"/>
          <w:szCs w:val="30"/>
        </w:rPr>
        <w:t>，全渠道发展成为普遍形态</w:t>
      </w:r>
      <w:r>
        <w:rPr>
          <w:rFonts w:ascii="仿宋_GB2312" w:hAnsi="DengXian" w:eastAsia="仿宋_GB2312"/>
          <w:sz w:val="30"/>
          <w:szCs w:val="30"/>
        </w:rPr>
        <w:t>。</w:t>
      </w:r>
      <w:r>
        <w:rPr>
          <w:rFonts w:hint="eastAsia" w:ascii="仿宋_GB2312" w:hAnsi="DengXian" w:eastAsia="仿宋_GB2312"/>
          <w:sz w:val="30"/>
          <w:szCs w:val="30"/>
        </w:rPr>
        <w:t>累计建成4万</w:t>
      </w:r>
      <w:r>
        <w:rPr>
          <w:rFonts w:ascii="仿宋_GB2312" w:hAnsi="DengXian" w:eastAsia="仿宋_GB2312"/>
          <w:sz w:val="30"/>
          <w:szCs w:val="30"/>
        </w:rPr>
        <w:t>平米</w:t>
      </w:r>
      <w:r>
        <w:rPr>
          <w:rFonts w:hint="eastAsia" w:ascii="仿宋_GB2312" w:hAnsi="DengXian" w:eastAsia="仿宋_GB2312"/>
          <w:sz w:val="30"/>
          <w:szCs w:val="30"/>
        </w:rPr>
        <w:t>及</w:t>
      </w:r>
      <w:r>
        <w:rPr>
          <w:rFonts w:ascii="仿宋_GB2312" w:hAnsi="DengXian" w:eastAsia="仿宋_GB2312"/>
          <w:sz w:val="30"/>
          <w:szCs w:val="30"/>
        </w:rPr>
        <w:t>以上购物中心</w:t>
      </w:r>
      <w:r>
        <w:rPr>
          <w:rFonts w:hint="eastAsia" w:ascii="仿宋_GB2312" w:hAnsi="DengXian" w:eastAsia="仿宋_GB2312"/>
          <w:sz w:val="30"/>
          <w:szCs w:val="30"/>
        </w:rPr>
        <w:t>（商业综合体）</w:t>
      </w:r>
      <w:r>
        <w:rPr>
          <w:rFonts w:ascii="仿宋_GB2312" w:hAnsi="DengXian" w:eastAsia="仿宋_GB2312"/>
          <w:sz w:val="30"/>
          <w:szCs w:val="30"/>
        </w:rPr>
        <w:t>30个</w:t>
      </w:r>
      <w:r>
        <w:rPr>
          <w:rFonts w:hint="eastAsia" w:ascii="仿宋_GB2312" w:hAnsi="DengXian" w:eastAsia="仿宋_GB2312"/>
          <w:sz w:val="30"/>
          <w:szCs w:val="30"/>
        </w:rPr>
        <w:t>，城市新商圈新业态的影响力与辐射力显著提升。商品交易市场改造提升取得明显成效，特色优势产品集散功能全面加强。</w:t>
      </w:r>
    </w:p>
    <w:p>
      <w:pPr>
        <w:spacing w:line="560" w:lineRule="exact"/>
        <w:ind w:firstLine="602" w:firstLineChars="200"/>
        <w:rPr>
          <w:rFonts w:ascii="仿宋_GB2312" w:hAnsi="DengXian" w:eastAsia="仿宋_GB2312"/>
          <w:sz w:val="30"/>
          <w:szCs w:val="30"/>
        </w:rPr>
      </w:pPr>
      <w:r>
        <w:rPr>
          <w:rFonts w:hint="eastAsia" w:ascii="仿宋_GB2312" w:hAnsi="DengXian" w:eastAsia="仿宋_GB2312"/>
          <w:b/>
          <w:sz w:val="30"/>
          <w:szCs w:val="30"/>
        </w:rPr>
        <w:t>——现代流通体系构建完善。</w:t>
      </w:r>
      <w:r>
        <w:rPr>
          <w:rFonts w:hint="eastAsia" w:ascii="仿宋_GB2312" w:hAnsi="DengXian" w:eastAsia="仿宋_GB2312"/>
          <w:sz w:val="30"/>
          <w:szCs w:val="30"/>
        </w:rPr>
        <w:t>到2025年，基本建成瓯海潘桥物流园区、瑞安江南物流园区、瓯江口综保物流园区、乐清湾港区物流园区、温州机场航空物流园区，全面打造商贸服务型国家物流枢纽。港口货运、航空货运、高铁货运能力明显增强，省重点流通企业达到20家，温州港年货物吞吐量突破</w:t>
      </w:r>
      <w:r>
        <w:rPr>
          <w:rFonts w:ascii="仿宋_GB2312" w:hAnsi="DengXian" w:eastAsia="仿宋_GB2312"/>
          <w:sz w:val="30"/>
          <w:szCs w:val="30"/>
        </w:rPr>
        <w:t>1</w:t>
      </w:r>
      <w:r>
        <w:rPr>
          <w:rFonts w:hint="eastAsia" w:ascii="仿宋_GB2312" w:hAnsi="DengXian" w:eastAsia="仿宋_GB2312"/>
          <w:sz w:val="30"/>
          <w:szCs w:val="30"/>
        </w:rPr>
        <w:t>亿吨，集装箱吞吐量突破200万标箱，流通枢纽功能大幅增强。</w:t>
      </w:r>
    </w:p>
    <w:p>
      <w:pPr>
        <w:spacing w:line="560" w:lineRule="exact"/>
        <w:ind w:firstLine="602" w:firstLineChars="200"/>
        <w:rPr>
          <w:rFonts w:ascii="仿宋_GB2312" w:hAnsi="DengXian" w:eastAsia="仿宋_GB2312"/>
          <w:sz w:val="30"/>
          <w:szCs w:val="30"/>
        </w:rPr>
      </w:pPr>
      <w:r>
        <w:rPr>
          <w:rFonts w:hint="eastAsia" w:ascii="仿宋_GB2312" w:hAnsi="DengXian" w:eastAsia="仿宋_GB2312"/>
          <w:b/>
          <w:sz w:val="30"/>
          <w:szCs w:val="30"/>
        </w:rPr>
        <w:t>——开放型经济水平显著提升。</w:t>
      </w:r>
      <w:r>
        <w:rPr>
          <w:rFonts w:hint="eastAsia" w:ascii="仿宋_GB2312" w:hAnsi="DengXian" w:eastAsia="仿宋_GB2312"/>
          <w:sz w:val="30"/>
          <w:szCs w:val="30"/>
        </w:rPr>
        <w:t>到2025年，货物贸易实现进出口总额</w:t>
      </w:r>
      <w:r>
        <w:rPr>
          <w:rFonts w:ascii="仿宋_GB2312" w:hAnsi="DengXian" w:eastAsia="仿宋_GB2312"/>
          <w:sz w:val="30"/>
          <w:szCs w:val="30"/>
        </w:rPr>
        <w:t>3000</w:t>
      </w:r>
      <w:r>
        <w:rPr>
          <w:rFonts w:hint="eastAsia" w:ascii="仿宋_GB2312" w:hAnsi="DengXian" w:eastAsia="仿宋_GB2312"/>
          <w:sz w:val="30"/>
          <w:szCs w:val="30"/>
        </w:rPr>
        <w:t>亿元，服务贸易进出口总额10</w:t>
      </w:r>
      <w:r>
        <w:rPr>
          <w:rFonts w:ascii="仿宋_GB2312" w:hAnsi="DengXian" w:eastAsia="仿宋_GB2312"/>
          <w:sz w:val="30"/>
          <w:szCs w:val="30"/>
        </w:rPr>
        <w:t>6</w:t>
      </w:r>
      <w:r>
        <w:rPr>
          <w:rFonts w:hint="eastAsia" w:ascii="仿宋_GB2312" w:hAnsi="DengXian" w:eastAsia="仿宋_GB2312"/>
          <w:sz w:val="30"/>
          <w:szCs w:val="30"/>
        </w:rPr>
        <w:t>亿元，跨境网络零售出口190亿元以上。在“一带一路”沿线累计建成4个国家级境外经贸合作园和2个省级境外经贸合作园，确保境外经贸合作区发展水平始终走在全国前列。累计境外直接投资备案额26亿美元，跨国投资经营质量和效益显著提高。</w:t>
      </w:r>
      <w:r>
        <w:rPr>
          <w:rFonts w:ascii="仿宋_GB2312" w:hAnsi="DengXian" w:eastAsia="仿宋_GB2312"/>
          <w:sz w:val="30"/>
          <w:szCs w:val="30"/>
        </w:rPr>
        <w:t xml:space="preserve"> </w:t>
      </w:r>
    </w:p>
    <w:p>
      <w:pPr>
        <w:spacing w:line="560" w:lineRule="exact"/>
        <w:ind w:firstLine="602" w:firstLineChars="200"/>
        <w:rPr>
          <w:rFonts w:ascii="仿宋_GB2312" w:hAnsi="DengXian" w:eastAsia="仿宋_GB2312"/>
          <w:sz w:val="30"/>
          <w:szCs w:val="30"/>
        </w:rPr>
      </w:pPr>
      <w:r>
        <w:rPr>
          <w:rFonts w:hint="eastAsia" w:ascii="仿宋_GB2312" w:hAnsi="DengXian" w:eastAsia="仿宋_GB2312"/>
          <w:b/>
          <w:sz w:val="30"/>
          <w:szCs w:val="30"/>
        </w:rPr>
        <w:t>——国内国际双循环体系有效形成。</w:t>
      </w:r>
      <w:r>
        <w:rPr>
          <w:rFonts w:hint="eastAsia" w:ascii="仿宋_GB2312" w:hAnsi="DengXian" w:eastAsia="仿宋_GB2312"/>
          <w:sz w:val="30"/>
          <w:szCs w:val="30"/>
        </w:rPr>
        <w:t>到</w:t>
      </w:r>
      <w:r>
        <w:rPr>
          <w:rFonts w:ascii="仿宋_GB2312" w:hAnsi="DengXian" w:eastAsia="仿宋_GB2312"/>
          <w:sz w:val="30"/>
          <w:szCs w:val="30"/>
        </w:rPr>
        <w:t>2025年，</w:t>
      </w:r>
      <w:r>
        <w:rPr>
          <w:rFonts w:hint="eastAsia" w:ascii="仿宋_GB2312" w:hAnsi="DengXian" w:eastAsia="仿宋_GB2312"/>
          <w:sz w:val="30"/>
          <w:szCs w:val="30"/>
        </w:rPr>
        <w:t>争取温州进入新一轮浙江自贸试验区扩区实施范围，双循环重大平台建设取得突破性进展。依托供给侧结构性改革，着力提升国际化产业链与供应链建设，国家级供应链创新与应用试点城市创建成功。培育100家内外贸融合型企业，国内国际两个市场实现进一步有效打通。在投资、贸易、金融等领域积极探索自由化便利化程度更高的规则和制度安排，国际化、法治化、便利化的营商环境打造形成，各种生产要素、各种优质资源在市场规律下顺畅运转，绿色商务发展进入新阶段。</w:t>
      </w:r>
    </w:p>
    <w:p>
      <w:pPr>
        <w:spacing w:before="156" w:beforeLines="50" w:after="156" w:afterLines="50" w:line="560" w:lineRule="exact"/>
        <w:jc w:val="center"/>
        <w:rPr>
          <w:rFonts w:ascii="仿宋_GB2312" w:hAnsi="DengXian" w:eastAsia="仿宋_GB2312"/>
          <w:sz w:val="30"/>
          <w:szCs w:val="30"/>
        </w:rPr>
      </w:pPr>
      <w:r>
        <w:rPr>
          <w:rFonts w:hint="eastAsia" w:ascii="黑体" w:hAnsi="黑体" w:eastAsia="黑体"/>
          <w:color w:val="000000"/>
          <w:sz w:val="28"/>
          <w:szCs w:val="28"/>
        </w:rPr>
        <w:t xml:space="preserve">表1 </w:t>
      </w:r>
      <w:r>
        <w:rPr>
          <w:rFonts w:ascii="黑体" w:hAnsi="黑体" w:eastAsia="黑体"/>
          <w:color w:val="000000"/>
          <w:sz w:val="28"/>
          <w:szCs w:val="28"/>
        </w:rPr>
        <w:t>“</w:t>
      </w:r>
      <w:r>
        <w:rPr>
          <w:rFonts w:hint="eastAsia" w:ascii="黑体" w:hAnsi="黑体" w:eastAsia="黑体"/>
          <w:color w:val="000000"/>
          <w:sz w:val="28"/>
          <w:szCs w:val="28"/>
        </w:rPr>
        <w:t>十四五</w:t>
      </w:r>
      <w:r>
        <w:rPr>
          <w:rFonts w:ascii="黑体" w:hAnsi="黑体" w:eastAsia="黑体"/>
          <w:color w:val="000000"/>
          <w:sz w:val="28"/>
          <w:szCs w:val="28"/>
        </w:rPr>
        <w:t>”</w:t>
      </w:r>
      <w:r>
        <w:rPr>
          <w:rFonts w:hint="eastAsia" w:ascii="黑体" w:hAnsi="黑体" w:eastAsia="黑体"/>
          <w:color w:val="000000"/>
          <w:sz w:val="28"/>
          <w:szCs w:val="28"/>
        </w:rPr>
        <w:t>时期温州市商务发展目标指标体系</w:t>
      </w:r>
    </w:p>
    <w:tbl>
      <w:tblPr>
        <w:tblStyle w:val="15"/>
        <w:tblW w:w="0" w:type="auto"/>
        <w:jc w:val="center"/>
        <w:tblLayout w:type="fixed"/>
        <w:tblCellMar>
          <w:top w:w="0" w:type="dxa"/>
          <w:left w:w="108" w:type="dxa"/>
          <w:bottom w:w="0" w:type="dxa"/>
          <w:right w:w="108" w:type="dxa"/>
        </w:tblCellMar>
      </w:tblPr>
      <w:tblGrid>
        <w:gridCol w:w="1423"/>
        <w:gridCol w:w="2541"/>
        <w:gridCol w:w="993"/>
        <w:gridCol w:w="1701"/>
        <w:gridCol w:w="1490"/>
      </w:tblGrid>
      <w:tr>
        <w:tblPrEx>
          <w:tblCellMar>
            <w:top w:w="0" w:type="dxa"/>
            <w:left w:w="108" w:type="dxa"/>
            <w:bottom w:w="0" w:type="dxa"/>
            <w:right w:w="108" w:type="dxa"/>
          </w:tblCellMar>
        </w:tblPrEx>
        <w:trPr>
          <w:trHeight w:val="20" w:hRule="atLeast"/>
          <w:tblHeader/>
          <w:jc w:val="center"/>
        </w:trPr>
        <w:tc>
          <w:tcPr>
            <w:tcW w:w="14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黑体" w:eastAsia="仿宋_GB2312" w:cs="宋体"/>
                <w:b/>
                <w:color w:val="000000"/>
                <w:kern w:val="0"/>
                <w:sz w:val="20"/>
              </w:rPr>
            </w:pPr>
            <w:r>
              <w:rPr>
                <w:rFonts w:hint="eastAsia" w:ascii="仿宋_GB2312" w:hAnsi="黑体" w:eastAsia="仿宋_GB2312" w:cs="宋体"/>
                <w:b/>
                <w:color w:val="000000"/>
                <w:kern w:val="0"/>
                <w:sz w:val="20"/>
              </w:rPr>
              <w:t>类别</w:t>
            </w:r>
          </w:p>
        </w:tc>
        <w:tc>
          <w:tcPr>
            <w:tcW w:w="2541" w:type="dxa"/>
            <w:tcBorders>
              <w:top w:val="single" w:color="auto" w:sz="4" w:space="0"/>
              <w:left w:val="single" w:color="auto" w:sz="4" w:space="0"/>
              <w:bottom w:val="single" w:color="000000" w:sz="4" w:space="0"/>
              <w:right w:val="single" w:color="000000" w:sz="4" w:space="0"/>
            </w:tcBorders>
            <w:vAlign w:val="center"/>
          </w:tcPr>
          <w:p>
            <w:pPr>
              <w:widowControl/>
              <w:jc w:val="center"/>
              <w:rPr>
                <w:rFonts w:ascii="仿宋_GB2312" w:hAnsi="黑体" w:eastAsia="仿宋_GB2312" w:cs="宋体"/>
                <w:b/>
                <w:color w:val="000000"/>
                <w:kern w:val="0"/>
                <w:sz w:val="20"/>
              </w:rPr>
            </w:pPr>
            <w:r>
              <w:rPr>
                <w:rFonts w:hint="eastAsia" w:ascii="仿宋_GB2312" w:hAnsi="黑体" w:eastAsia="仿宋_GB2312" w:cs="宋体"/>
                <w:b/>
                <w:color w:val="000000"/>
                <w:kern w:val="0"/>
                <w:sz w:val="20"/>
              </w:rPr>
              <w:t>指标名称</w:t>
            </w:r>
          </w:p>
        </w:tc>
        <w:tc>
          <w:tcPr>
            <w:tcW w:w="993"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黑体" w:eastAsia="仿宋_GB2312" w:cs="宋体"/>
                <w:b/>
                <w:color w:val="000000"/>
                <w:kern w:val="0"/>
                <w:sz w:val="20"/>
              </w:rPr>
            </w:pPr>
            <w:r>
              <w:rPr>
                <w:rFonts w:hint="eastAsia" w:ascii="仿宋_GB2312" w:hAnsi="黑体" w:eastAsia="仿宋_GB2312" w:cs="宋体"/>
                <w:b/>
                <w:color w:val="000000"/>
                <w:kern w:val="0"/>
                <w:sz w:val="20"/>
              </w:rPr>
              <w:t>单位</w:t>
            </w:r>
          </w:p>
        </w:tc>
        <w:tc>
          <w:tcPr>
            <w:tcW w:w="1701" w:type="dxa"/>
            <w:tcBorders>
              <w:top w:val="single" w:color="auto" w:sz="4" w:space="0"/>
              <w:left w:val="single" w:color="000000" w:sz="4" w:space="0"/>
              <w:right w:val="single" w:color="auto" w:sz="4" w:space="0"/>
            </w:tcBorders>
            <w:vAlign w:val="center"/>
          </w:tcPr>
          <w:p>
            <w:pPr>
              <w:widowControl/>
              <w:jc w:val="center"/>
              <w:rPr>
                <w:rFonts w:ascii="仿宋_GB2312" w:hAnsi="黑体" w:eastAsia="仿宋_GB2312" w:cs="宋体"/>
                <w:b/>
                <w:color w:val="000000"/>
                <w:kern w:val="0"/>
                <w:sz w:val="20"/>
              </w:rPr>
            </w:pPr>
            <w:r>
              <w:rPr>
                <w:rFonts w:hint="eastAsia" w:ascii="仿宋_GB2312" w:hAnsi="黑体" w:eastAsia="仿宋_GB2312" w:cs="宋体"/>
                <w:b/>
                <w:color w:val="000000"/>
                <w:kern w:val="0"/>
                <w:sz w:val="20"/>
              </w:rPr>
              <w:t>20</w:t>
            </w:r>
            <w:r>
              <w:rPr>
                <w:rFonts w:ascii="仿宋_GB2312" w:hAnsi="黑体" w:eastAsia="仿宋_GB2312" w:cs="宋体"/>
                <w:b/>
                <w:color w:val="000000"/>
                <w:kern w:val="0"/>
                <w:sz w:val="20"/>
              </w:rPr>
              <w:t>20</w:t>
            </w:r>
            <w:r>
              <w:rPr>
                <w:rFonts w:hint="eastAsia" w:ascii="仿宋_GB2312" w:hAnsi="黑体" w:eastAsia="仿宋_GB2312" w:cs="宋体"/>
                <w:b/>
                <w:color w:val="000000"/>
                <w:kern w:val="0"/>
                <w:sz w:val="20"/>
              </w:rPr>
              <w:t>年</w:t>
            </w:r>
          </w:p>
          <w:p>
            <w:pPr>
              <w:widowControl/>
              <w:jc w:val="center"/>
              <w:rPr>
                <w:rFonts w:ascii="仿宋_GB2312" w:hAnsi="黑体" w:eastAsia="仿宋_GB2312" w:cs="宋体"/>
                <w:b/>
                <w:color w:val="000000"/>
                <w:kern w:val="0"/>
                <w:sz w:val="20"/>
              </w:rPr>
            </w:pPr>
            <w:r>
              <w:rPr>
                <w:rFonts w:hint="eastAsia" w:ascii="仿宋_GB2312" w:hAnsi="黑体" w:eastAsia="仿宋_GB2312" w:cs="宋体"/>
                <w:b/>
                <w:color w:val="000000"/>
                <w:kern w:val="0"/>
                <w:sz w:val="20"/>
              </w:rPr>
              <w:t>现状值</w:t>
            </w:r>
          </w:p>
        </w:tc>
        <w:tc>
          <w:tcPr>
            <w:tcW w:w="1490" w:type="dxa"/>
            <w:tcBorders>
              <w:top w:val="single" w:color="auto" w:sz="4" w:space="0"/>
              <w:left w:val="single" w:color="000000" w:sz="4" w:space="0"/>
              <w:right w:val="single" w:color="auto" w:sz="4" w:space="0"/>
            </w:tcBorders>
            <w:vAlign w:val="center"/>
          </w:tcPr>
          <w:p>
            <w:pPr>
              <w:widowControl/>
              <w:jc w:val="center"/>
              <w:rPr>
                <w:rFonts w:ascii="仿宋_GB2312" w:hAnsi="黑体" w:eastAsia="仿宋_GB2312" w:cs="宋体"/>
                <w:b/>
                <w:color w:val="000000"/>
                <w:kern w:val="0"/>
                <w:sz w:val="20"/>
              </w:rPr>
            </w:pPr>
            <w:r>
              <w:rPr>
                <w:rFonts w:hint="eastAsia" w:ascii="仿宋_GB2312" w:hAnsi="黑体" w:eastAsia="仿宋_GB2312" w:cs="宋体"/>
                <w:b/>
                <w:color w:val="000000"/>
                <w:kern w:val="0"/>
                <w:sz w:val="20"/>
              </w:rPr>
              <w:t>2025年</w:t>
            </w:r>
          </w:p>
          <w:p>
            <w:pPr>
              <w:widowControl/>
              <w:jc w:val="center"/>
              <w:rPr>
                <w:rFonts w:ascii="仿宋_GB2312" w:hAnsi="黑体" w:eastAsia="仿宋_GB2312" w:cs="宋体"/>
                <w:b/>
                <w:color w:val="000000"/>
                <w:kern w:val="0"/>
                <w:sz w:val="20"/>
              </w:rPr>
            </w:pPr>
            <w:r>
              <w:rPr>
                <w:rFonts w:hint="eastAsia" w:ascii="仿宋_GB2312" w:hAnsi="黑体" w:eastAsia="仿宋_GB2312" w:cs="宋体"/>
                <w:b/>
                <w:color w:val="000000"/>
                <w:kern w:val="0"/>
                <w:sz w:val="20"/>
              </w:rPr>
              <w:t>目标值</w:t>
            </w:r>
          </w:p>
        </w:tc>
      </w:tr>
      <w:tr>
        <w:tblPrEx>
          <w:tblCellMar>
            <w:top w:w="0" w:type="dxa"/>
            <w:left w:w="108" w:type="dxa"/>
            <w:bottom w:w="0" w:type="dxa"/>
            <w:right w:w="108" w:type="dxa"/>
          </w:tblCellMar>
        </w:tblPrEx>
        <w:trPr>
          <w:trHeight w:val="20" w:hRule="atLeast"/>
          <w:jc w:val="center"/>
        </w:trPr>
        <w:tc>
          <w:tcPr>
            <w:tcW w:w="1423"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商贸流通</w:t>
            </w:r>
          </w:p>
        </w:tc>
        <w:tc>
          <w:tcPr>
            <w:tcW w:w="2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社会消费品零售总额</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sz w:val="20"/>
              </w:rPr>
              <w:t>亿元</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0"/>
              </w:rPr>
            </w:pPr>
            <w:r>
              <w:rPr>
                <w:rFonts w:hint="eastAsia" w:ascii="仿宋_GB2312" w:eastAsia="仿宋_GB2312"/>
                <w:color w:val="000000"/>
                <w:kern w:val="0"/>
                <w:sz w:val="20"/>
              </w:rPr>
              <w:t>3</w:t>
            </w:r>
            <w:r>
              <w:rPr>
                <w:rFonts w:ascii="仿宋_GB2312" w:eastAsia="仿宋_GB2312"/>
                <w:color w:val="000000"/>
                <w:kern w:val="0"/>
                <w:sz w:val="20"/>
              </w:rPr>
              <w:t>497.8</w:t>
            </w:r>
          </w:p>
        </w:tc>
        <w:tc>
          <w:tcPr>
            <w:tcW w:w="149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0"/>
              </w:rPr>
            </w:pPr>
            <w:r>
              <w:rPr>
                <w:rFonts w:ascii="仿宋_GB2312" w:eastAsia="仿宋_GB2312"/>
                <w:kern w:val="0"/>
                <w:sz w:val="20"/>
              </w:rPr>
              <w:t>5000</w:t>
            </w:r>
          </w:p>
        </w:tc>
      </w:tr>
      <w:tr>
        <w:tblPrEx>
          <w:tblCellMar>
            <w:top w:w="0" w:type="dxa"/>
            <w:left w:w="108" w:type="dxa"/>
            <w:bottom w:w="0" w:type="dxa"/>
            <w:right w:w="108" w:type="dxa"/>
          </w:tblCellMar>
        </w:tblPrEx>
        <w:trPr>
          <w:trHeight w:val="20" w:hRule="atLeast"/>
          <w:jc w:val="center"/>
        </w:trPr>
        <w:tc>
          <w:tcPr>
            <w:tcW w:w="1423" w:type="dxa"/>
            <w:vMerge w:val="continue"/>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p>
        </w:tc>
        <w:tc>
          <w:tcPr>
            <w:tcW w:w="2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kern w:val="0"/>
                <w:sz w:val="20"/>
              </w:rPr>
              <w:t>网络零售额</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sz w:val="20"/>
              </w:rPr>
            </w:pPr>
            <w:r>
              <w:rPr>
                <w:rFonts w:hint="eastAsia" w:ascii="仿宋_GB2312" w:hAnsi="宋体" w:eastAsia="仿宋_GB2312"/>
                <w:sz w:val="20"/>
              </w:rPr>
              <w:t>亿元</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0"/>
              </w:rPr>
            </w:pPr>
            <w:r>
              <w:rPr>
                <w:rFonts w:ascii="仿宋_GB2312" w:eastAsia="仿宋_GB2312"/>
                <w:kern w:val="0"/>
                <w:sz w:val="20"/>
              </w:rPr>
              <w:t>2030.2</w:t>
            </w:r>
          </w:p>
        </w:tc>
        <w:tc>
          <w:tcPr>
            <w:tcW w:w="149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0"/>
              </w:rPr>
            </w:pPr>
            <w:r>
              <w:rPr>
                <w:rFonts w:hint="eastAsia" w:ascii="仿宋_GB2312" w:eastAsia="仿宋_GB2312"/>
                <w:kern w:val="0"/>
                <w:sz w:val="20"/>
              </w:rPr>
              <w:t>2980</w:t>
            </w:r>
          </w:p>
        </w:tc>
      </w:tr>
      <w:tr>
        <w:tblPrEx>
          <w:tblCellMar>
            <w:top w:w="0" w:type="dxa"/>
            <w:left w:w="108" w:type="dxa"/>
            <w:bottom w:w="0" w:type="dxa"/>
            <w:right w:w="108" w:type="dxa"/>
          </w:tblCellMar>
        </w:tblPrEx>
        <w:trPr>
          <w:trHeight w:val="371" w:hRule="atLeast"/>
          <w:jc w:val="center"/>
        </w:trPr>
        <w:tc>
          <w:tcPr>
            <w:tcW w:w="1423"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p>
        </w:tc>
        <w:tc>
          <w:tcPr>
            <w:tcW w:w="2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省重点流通企业</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sz w:val="20"/>
              </w:rPr>
            </w:pPr>
            <w:r>
              <w:rPr>
                <w:rFonts w:hint="eastAsia" w:ascii="仿宋_GB2312" w:hAnsi="宋体" w:eastAsia="仿宋_GB2312"/>
                <w:sz w:val="20"/>
              </w:rPr>
              <w:t>家</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0"/>
                <w:highlight w:val="yellow"/>
              </w:rPr>
            </w:pPr>
            <w:r>
              <w:rPr>
                <w:rFonts w:hint="eastAsia" w:ascii="仿宋_GB2312" w:eastAsia="仿宋_GB2312"/>
                <w:color w:val="000000"/>
                <w:kern w:val="0"/>
                <w:sz w:val="20"/>
              </w:rPr>
              <w:t>1</w:t>
            </w:r>
            <w:r>
              <w:rPr>
                <w:rFonts w:ascii="仿宋_GB2312" w:eastAsia="仿宋_GB2312"/>
                <w:color w:val="000000"/>
                <w:kern w:val="0"/>
                <w:sz w:val="20"/>
              </w:rPr>
              <w:t>3</w:t>
            </w:r>
          </w:p>
        </w:tc>
        <w:tc>
          <w:tcPr>
            <w:tcW w:w="149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0"/>
              </w:rPr>
            </w:pPr>
            <w:r>
              <w:rPr>
                <w:rFonts w:hint="eastAsia" w:ascii="仿宋_GB2312" w:eastAsia="仿宋_GB2312"/>
                <w:kern w:val="0"/>
                <w:sz w:val="20"/>
              </w:rPr>
              <w:t>20</w:t>
            </w:r>
          </w:p>
        </w:tc>
      </w:tr>
      <w:tr>
        <w:tblPrEx>
          <w:tblCellMar>
            <w:top w:w="0" w:type="dxa"/>
            <w:left w:w="108" w:type="dxa"/>
            <w:bottom w:w="0" w:type="dxa"/>
            <w:right w:w="108" w:type="dxa"/>
          </w:tblCellMar>
        </w:tblPrEx>
        <w:trPr>
          <w:trHeight w:val="20" w:hRule="atLeast"/>
          <w:jc w:val="center"/>
        </w:trPr>
        <w:tc>
          <w:tcPr>
            <w:tcW w:w="1423"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p>
        </w:tc>
        <w:tc>
          <w:tcPr>
            <w:tcW w:w="2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温州港年集装箱吞吐量</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sz w:val="20"/>
              </w:rPr>
            </w:pPr>
            <w:r>
              <w:rPr>
                <w:rFonts w:hint="eastAsia" w:ascii="仿宋_GB2312" w:hAnsi="宋体" w:eastAsia="仿宋_GB2312"/>
                <w:sz w:val="20"/>
              </w:rPr>
              <w:t>万标箱</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0"/>
              </w:rPr>
            </w:pPr>
            <w:r>
              <w:rPr>
                <w:rFonts w:ascii="仿宋_GB2312" w:eastAsia="仿宋_GB2312"/>
                <w:color w:val="000000"/>
                <w:kern w:val="0"/>
                <w:sz w:val="20"/>
              </w:rPr>
              <w:t>101.1</w:t>
            </w:r>
          </w:p>
        </w:tc>
        <w:tc>
          <w:tcPr>
            <w:tcW w:w="149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0"/>
              </w:rPr>
            </w:pPr>
            <w:r>
              <w:rPr>
                <w:rFonts w:ascii="仿宋_GB2312" w:eastAsia="仿宋_GB2312"/>
                <w:kern w:val="0"/>
                <w:sz w:val="20"/>
              </w:rPr>
              <w:t>200</w:t>
            </w:r>
          </w:p>
        </w:tc>
      </w:tr>
      <w:tr>
        <w:tblPrEx>
          <w:tblCellMar>
            <w:top w:w="0" w:type="dxa"/>
            <w:left w:w="108" w:type="dxa"/>
            <w:bottom w:w="0" w:type="dxa"/>
            <w:right w:w="108" w:type="dxa"/>
          </w:tblCellMar>
        </w:tblPrEx>
        <w:trPr>
          <w:trHeight w:val="20" w:hRule="atLeast"/>
          <w:jc w:val="center"/>
        </w:trPr>
        <w:tc>
          <w:tcPr>
            <w:tcW w:w="1423" w:type="dxa"/>
            <w:vMerge w:val="restart"/>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对外贸易</w:t>
            </w:r>
          </w:p>
        </w:tc>
        <w:tc>
          <w:tcPr>
            <w:tcW w:w="2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kern w:val="0"/>
                <w:sz w:val="20"/>
              </w:rPr>
              <w:t>货物贸易进出口</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sz w:val="20"/>
              </w:rPr>
            </w:pPr>
            <w:r>
              <w:rPr>
                <w:rFonts w:hint="eastAsia" w:ascii="仿宋_GB2312" w:hAnsi="宋体" w:eastAsia="仿宋_GB2312"/>
                <w:sz w:val="20"/>
              </w:rPr>
              <w:t>亿元</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0"/>
              </w:rPr>
            </w:pPr>
            <w:r>
              <w:rPr>
                <w:rFonts w:ascii="仿宋_GB2312" w:eastAsia="仿宋_GB2312"/>
                <w:kern w:val="0"/>
                <w:sz w:val="20"/>
              </w:rPr>
              <w:t>2189.7</w:t>
            </w:r>
          </w:p>
        </w:tc>
        <w:tc>
          <w:tcPr>
            <w:tcW w:w="149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0"/>
              </w:rPr>
            </w:pPr>
            <w:r>
              <w:rPr>
                <w:rFonts w:ascii="仿宋_GB2312" w:eastAsia="仿宋_GB2312"/>
                <w:kern w:val="0"/>
                <w:sz w:val="20"/>
              </w:rPr>
              <w:t>3000</w:t>
            </w:r>
          </w:p>
        </w:tc>
      </w:tr>
      <w:tr>
        <w:tblPrEx>
          <w:tblCellMar>
            <w:top w:w="0" w:type="dxa"/>
            <w:left w:w="108" w:type="dxa"/>
            <w:bottom w:w="0" w:type="dxa"/>
            <w:right w:w="108" w:type="dxa"/>
          </w:tblCellMar>
        </w:tblPrEx>
        <w:trPr>
          <w:trHeight w:val="20" w:hRule="atLeast"/>
          <w:jc w:val="center"/>
        </w:trPr>
        <w:tc>
          <w:tcPr>
            <w:tcW w:w="1423"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p>
        </w:tc>
        <w:tc>
          <w:tcPr>
            <w:tcW w:w="2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kern w:val="0"/>
                <w:sz w:val="20"/>
              </w:rPr>
              <w:t>货物贸易出口</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sz w:val="20"/>
              </w:rPr>
            </w:pPr>
            <w:r>
              <w:rPr>
                <w:rFonts w:hint="eastAsia" w:ascii="仿宋_GB2312" w:hAnsi="宋体" w:eastAsia="仿宋_GB2312"/>
                <w:sz w:val="20"/>
              </w:rPr>
              <w:t>亿元</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0"/>
              </w:rPr>
            </w:pPr>
            <w:r>
              <w:rPr>
                <w:rFonts w:ascii="仿宋_GB2312" w:eastAsia="仿宋_GB2312"/>
                <w:kern w:val="0"/>
                <w:sz w:val="20"/>
              </w:rPr>
              <w:t>1878</w:t>
            </w:r>
          </w:p>
        </w:tc>
        <w:tc>
          <w:tcPr>
            <w:tcW w:w="149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0"/>
              </w:rPr>
            </w:pPr>
            <w:r>
              <w:rPr>
                <w:rFonts w:hint="eastAsia" w:ascii="仿宋_GB2312" w:eastAsia="仿宋_GB2312"/>
                <w:kern w:val="0"/>
                <w:sz w:val="20"/>
              </w:rPr>
              <w:t>2</w:t>
            </w:r>
            <w:r>
              <w:rPr>
                <w:rFonts w:ascii="仿宋_GB2312" w:eastAsia="仿宋_GB2312"/>
                <w:kern w:val="0"/>
                <w:sz w:val="20"/>
              </w:rPr>
              <w:t>500</w:t>
            </w:r>
          </w:p>
        </w:tc>
      </w:tr>
      <w:tr>
        <w:tblPrEx>
          <w:tblCellMar>
            <w:top w:w="0" w:type="dxa"/>
            <w:left w:w="108" w:type="dxa"/>
            <w:bottom w:w="0" w:type="dxa"/>
            <w:right w:w="108" w:type="dxa"/>
          </w:tblCellMar>
        </w:tblPrEx>
        <w:trPr>
          <w:trHeight w:val="20" w:hRule="atLeast"/>
          <w:jc w:val="center"/>
        </w:trPr>
        <w:tc>
          <w:tcPr>
            <w:tcW w:w="1423"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p>
        </w:tc>
        <w:tc>
          <w:tcPr>
            <w:tcW w:w="2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kern w:val="0"/>
                <w:sz w:val="20"/>
              </w:rPr>
              <w:t>货物贸易进口</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sz w:val="20"/>
              </w:rPr>
            </w:pPr>
            <w:r>
              <w:rPr>
                <w:rFonts w:hint="eastAsia" w:ascii="仿宋_GB2312" w:hAnsi="宋体" w:eastAsia="仿宋_GB2312"/>
                <w:sz w:val="20"/>
              </w:rPr>
              <w:t>亿元</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0"/>
              </w:rPr>
            </w:pPr>
            <w:r>
              <w:rPr>
                <w:rFonts w:ascii="仿宋_GB2312" w:eastAsia="仿宋_GB2312"/>
                <w:kern w:val="0"/>
                <w:sz w:val="20"/>
              </w:rPr>
              <w:t>311.7</w:t>
            </w:r>
          </w:p>
        </w:tc>
        <w:tc>
          <w:tcPr>
            <w:tcW w:w="149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0"/>
              </w:rPr>
            </w:pPr>
            <w:r>
              <w:rPr>
                <w:rFonts w:ascii="仿宋_GB2312" w:eastAsia="仿宋_GB2312"/>
                <w:kern w:val="0"/>
                <w:sz w:val="20"/>
              </w:rPr>
              <w:t>500</w:t>
            </w:r>
          </w:p>
        </w:tc>
      </w:tr>
      <w:tr>
        <w:tblPrEx>
          <w:tblCellMar>
            <w:top w:w="0" w:type="dxa"/>
            <w:left w:w="108" w:type="dxa"/>
            <w:bottom w:w="0" w:type="dxa"/>
            <w:right w:w="108" w:type="dxa"/>
          </w:tblCellMar>
        </w:tblPrEx>
        <w:trPr>
          <w:trHeight w:val="20" w:hRule="atLeast"/>
          <w:jc w:val="center"/>
        </w:trPr>
        <w:tc>
          <w:tcPr>
            <w:tcW w:w="1423" w:type="dxa"/>
            <w:vMerge w:val="continue"/>
            <w:tcBorders>
              <w:left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p>
        </w:tc>
        <w:tc>
          <w:tcPr>
            <w:tcW w:w="2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kern w:val="0"/>
                <w:sz w:val="20"/>
              </w:rPr>
              <w:t>服务贸易进出口额</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sz w:val="20"/>
              </w:rPr>
            </w:pPr>
            <w:r>
              <w:rPr>
                <w:rFonts w:hint="eastAsia" w:ascii="仿宋_GB2312" w:hAnsi="宋体" w:eastAsia="仿宋_GB2312"/>
                <w:sz w:val="20"/>
              </w:rPr>
              <w:t>亿元</w:t>
            </w:r>
            <w:r>
              <w:rPr>
                <w:rFonts w:ascii="仿宋_GB2312" w:hAnsi="宋体" w:eastAsia="仿宋_GB2312" w:cs="宋体"/>
                <w:kern w:val="0"/>
                <w:sz w:val="20"/>
              </w:rPr>
              <w:t xml:space="preserve"> </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0"/>
              </w:rPr>
            </w:pPr>
            <w:r>
              <w:rPr>
                <w:rFonts w:ascii="仿宋_GB2312" w:eastAsia="仿宋_GB2312"/>
                <w:kern w:val="0"/>
                <w:sz w:val="20"/>
              </w:rPr>
              <w:t>83.4</w:t>
            </w:r>
          </w:p>
        </w:tc>
        <w:tc>
          <w:tcPr>
            <w:tcW w:w="149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0"/>
              </w:rPr>
            </w:pPr>
            <w:r>
              <w:rPr>
                <w:rFonts w:ascii="仿宋_GB2312" w:eastAsia="仿宋_GB2312"/>
                <w:kern w:val="0"/>
                <w:sz w:val="20"/>
              </w:rPr>
              <w:t>106</w:t>
            </w:r>
          </w:p>
        </w:tc>
      </w:tr>
      <w:tr>
        <w:tblPrEx>
          <w:tblCellMar>
            <w:top w:w="0" w:type="dxa"/>
            <w:left w:w="108" w:type="dxa"/>
            <w:bottom w:w="0" w:type="dxa"/>
            <w:right w:w="108" w:type="dxa"/>
          </w:tblCellMar>
        </w:tblPrEx>
        <w:trPr>
          <w:trHeight w:val="20" w:hRule="atLeast"/>
          <w:jc w:val="center"/>
        </w:trPr>
        <w:tc>
          <w:tcPr>
            <w:tcW w:w="1423"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p>
        </w:tc>
        <w:tc>
          <w:tcPr>
            <w:tcW w:w="2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离岸外包执行额</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sz w:val="20"/>
              </w:rPr>
            </w:pPr>
            <w:r>
              <w:rPr>
                <w:rFonts w:hint="eastAsia" w:ascii="仿宋_GB2312" w:hAnsi="宋体" w:eastAsia="仿宋_GB2312"/>
                <w:sz w:val="20"/>
              </w:rPr>
              <w:t>亿美元</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olor w:val="000000"/>
                <w:kern w:val="0"/>
                <w:sz w:val="20"/>
              </w:rPr>
            </w:pPr>
            <w:r>
              <w:rPr>
                <w:rFonts w:hint="eastAsia" w:ascii="仿宋_GB2312" w:eastAsia="仿宋_GB2312"/>
                <w:kern w:val="0"/>
                <w:sz w:val="20"/>
              </w:rPr>
              <w:t>2.2</w:t>
            </w:r>
          </w:p>
        </w:tc>
        <w:tc>
          <w:tcPr>
            <w:tcW w:w="149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kern w:val="0"/>
                <w:sz w:val="20"/>
              </w:rPr>
            </w:pPr>
            <w:r>
              <w:rPr>
                <w:rFonts w:hint="eastAsia" w:ascii="仿宋_GB2312" w:eastAsia="仿宋_GB2312"/>
                <w:kern w:val="0"/>
                <w:sz w:val="20"/>
              </w:rPr>
              <w:t>2.6</w:t>
            </w:r>
          </w:p>
        </w:tc>
      </w:tr>
      <w:tr>
        <w:tblPrEx>
          <w:tblCellMar>
            <w:top w:w="0" w:type="dxa"/>
            <w:left w:w="108" w:type="dxa"/>
            <w:bottom w:w="0" w:type="dxa"/>
            <w:right w:w="108" w:type="dxa"/>
          </w:tblCellMar>
        </w:tblPrEx>
        <w:trPr>
          <w:trHeight w:val="445" w:hRule="atLeast"/>
          <w:jc w:val="center"/>
        </w:trPr>
        <w:tc>
          <w:tcPr>
            <w:tcW w:w="14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对外投资</w:t>
            </w:r>
          </w:p>
        </w:tc>
        <w:tc>
          <w:tcPr>
            <w:tcW w:w="2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rPr>
            </w:pPr>
            <w:r>
              <w:rPr>
                <w:rFonts w:hint="eastAsia" w:ascii="仿宋_GB2312" w:hAnsi="宋体" w:eastAsia="仿宋_GB2312" w:cs="宋体"/>
                <w:kern w:val="0"/>
                <w:sz w:val="20"/>
              </w:rPr>
              <w:t>对外直接投资备案额</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rPr>
            </w:pPr>
            <w:r>
              <w:rPr>
                <w:rFonts w:hint="eastAsia" w:ascii="仿宋_GB2312" w:hAnsi="宋体" w:eastAsia="仿宋_GB2312"/>
                <w:sz w:val="20"/>
              </w:rPr>
              <w:t>亿美元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0"/>
              </w:rPr>
            </w:pPr>
            <w:r>
              <w:rPr>
                <w:rFonts w:hint="eastAsia" w:ascii="仿宋_GB2312" w:eastAsia="仿宋_GB2312"/>
                <w:kern w:val="0"/>
                <w:sz w:val="20"/>
              </w:rPr>
              <w:t>2</w:t>
            </w:r>
            <w:r>
              <w:rPr>
                <w:rFonts w:ascii="仿宋_GB2312" w:eastAsia="仿宋_GB2312"/>
                <w:kern w:val="0"/>
                <w:sz w:val="20"/>
              </w:rPr>
              <w:t>.9</w:t>
            </w:r>
          </w:p>
        </w:tc>
        <w:tc>
          <w:tcPr>
            <w:tcW w:w="14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0"/>
              </w:rPr>
            </w:pPr>
            <w:r>
              <w:rPr>
                <w:rFonts w:ascii="仿宋_GB2312" w:eastAsia="仿宋_GB2312"/>
                <w:kern w:val="0"/>
                <w:sz w:val="20"/>
              </w:rPr>
              <w:t>[26]</w:t>
            </w:r>
          </w:p>
        </w:tc>
      </w:tr>
      <w:tr>
        <w:tblPrEx>
          <w:tblCellMar>
            <w:top w:w="0" w:type="dxa"/>
            <w:left w:w="108" w:type="dxa"/>
            <w:bottom w:w="0" w:type="dxa"/>
            <w:right w:w="108" w:type="dxa"/>
          </w:tblCellMar>
        </w:tblPrEx>
        <w:trPr>
          <w:trHeight w:val="445" w:hRule="atLeast"/>
          <w:jc w:val="center"/>
        </w:trPr>
        <w:tc>
          <w:tcPr>
            <w:tcW w:w="142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对外开放</w:t>
            </w:r>
          </w:p>
        </w:tc>
        <w:tc>
          <w:tcPr>
            <w:tcW w:w="2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综合保税区货物贸易进出口额年均增速</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0"/>
              </w:rPr>
            </w:pPr>
            <w:r>
              <w:rPr>
                <w:rFonts w:hint="eastAsia" w:ascii="仿宋_GB2312" w:eastAsia="仿宋_GB2312"/>
                <w:kern w:val="0"/>
                <w:sz w:val="20"/>
              </w:rPr>
              <w:t>-</w:t>
            </w:r>
            <w:r>
              <w:rPr>
                <w:rFonts w:ascii="仿宋_GB2312" w:eastAsia="仿宋_GB2312"/>
                <w:kern w:val="0"/>
                <w:sz w:val="20"/>
              </w:rPr>
              <w:t>-</w:t>
            </w:r>
          </w:p>
        </w:tc>
        <w:tc>
          <w:tcPr>
            <w:tcW w:w="14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0"/>
              </w:rPr>
            </w:pPr>
            <w:r>
              <w:rPr>
                <w:rFonts w:hint="eastAsia" w:ascii="仿宋_GB2312" w:eastAsia="仿宋_GB2312"/>
                <w:kern w:val="0"/>
                <w:sz w:val="20"/>
              </w:rPr>
              <w:t>8</w:t>
            </w:r>
            <w:r>
              <w:rPr>
                <w:rFonts w:ascii="仿宋_GB2312" w:eastAsia="仿宋_GB2312"/>
                <w:kern w:val="0"/>
                <w:sz w:val="20"/>
              </w:rPr>
              <w:t>%</w:t>
            </w:r>
          </w:p>
        </w:tc>
      </w:tr>
      <w:tr>
        <w:tblPrEx>
          <w:tblCellMar>
            <w:top w:w="0" w:type="dxa"/>
            <w:left w:w="108" w:type="dxa"/>
            <w:bottom w:w="0" w:type="dxa"/>
            <w:right w:w="108" w:type="dxa"/>
          </w:tblCellMar>
        </w:tblPrEx>
        <w:trPr>
          <w:trHeight w:val="445" w:hRule="atLeast"/>
          <w:jc w:val="center"/>
        </w:trPr>
        <w:tc>
          <w:tcPr>
            <w:tcW w:w="142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p>
        </w:tc>
        <w:tc>
          <w:tcPr>
            <w:tcW w:w="2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kern w:val="0"/>
                <w:sz w:val="20"/>
              </w:rPr>
              <w:t>一带一路进出口</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sz w:val="20"/>
              </w:rPr>
              <w:t>亿元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0"/>
                <w:highlight w:val="yellow"/>
              </w:rPr>
            </w:pPr>
            <w:r>
              <w:rPr>
                <w:rFonts w:hint="eastAsia" w:ascii="仿宋_GB2312" w:eastAsia="仿宋_GB2312"/>
                <w:kern w:val="0"/>
                <w:sz w:val="20"/>
              </w:rPr>
              <w:t>1007.5</w:t>
            </w:r>
          </w:p>
        </w:tc>
        <w:tc>
          <w:tcPr>
            <w:tcW w:w="14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0"/>
                <w:highlight w:val="yellow"/>
              </w:rPr>
            </w:pPr>
            <w:r>
              <w:rPr>
                <w:rFonts w:hint="eastAsia" w:ascii="仿宋_GB2312" w:eastAsia="仿宋_GB2312"/>
                <w:kern w:val="0"/>
                <w:sz w:val="20"/>
              </w:rPr>
              <w:t>1413</w:t>
            </w:r>
          </w:p>
        </w:tc>
      </w:tr>
      <w:tr>
        <w:tblPrEx>
          <w:tblCellMar>
            <w:top w:w="0" w:type="dxa"/>
            <w:left w:w="108" w:type="dxa"/>
            <w:bottom w:w="0" w:type="dxa"/>
            <w:right w:w="108" w:type="dxa"/>
          </w:tblCellMar>
        </w:tblPrEx>
        <w:trPr>
          <w:trHeight w:val="445" w:hRule="atLeast"/>
          <w:jc w:val="center"/>
        </w:trPr>
        <w:tc>
          <w:tcPr>
            <w:tcW w:w="142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p>
        </w:tc>
        <w:tc>
          <w:tcPr>
            <w:tcW w:w="2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0"/>
              </w:rPr>
            </w:pPr>
            <w:r>
              <w:rPr>
                <w:rFonts w:hint="eastAsia" w:ascii="仿宋_GB2312" w:hAnsi="宋体" w:eastAsia="仿宋_GB2312" w:cs="宋体"/>
                <w:kern w:val="0"/>
                <w:sz w:val="20"/>
              </w:rPr>
              <w:t>跨境网络零售出口额</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sz w:val="20"/>
              </w:rPr>
            </w:pPr>
            <w:r>
              <w:rPr>
                <w:rFonts w:hint="eastAsia" w:ascii="仿宋_GB2312" w:hAnsi="宋体" w:eastAsia="仿宋_GB2312"/>
                <w:sz w:val="20"/>
              </w:rPr>
              <w:t>亿元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0"/>
              </w:rPr>
            </w:pPr>
            <w:r>
              <w:rPr>
                <w:rFonts w:ascii="仿宋_GB2312" w:eastAsia="仿宋_GB2312"/>
                <w:kern w:val="0"/>
                <w:sz w:val="20"/>
              </w:rPr>
              <w:t>101.6</w:t>
            </w:r>
          </w:p>
        </w:tc>
        <w:tc>
          <w:tcPr>
            <w:tcW w:w="14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kern w:val="0"/>
                <w:sz w:val="20"/>
              </w:rPr>
            </w:pPr>
            <w:r>
              <w:rPr>
                <w:rFonts w:hint="eastAsia" w:ascii="仿宋_GB2312" w:eastAsia="仿宋_GB2312"/>
                <w:kern w:val="0"/>
                <w:sz w:val="20"/>
              </w:rPr>
              <w:t>190</w:t>
            </w:r>
          </w:p>
        </w:tc>
      </w:tr>
      <w:tr>
        <w:tblPrEx>
          <w:tblCellMar>
            <w:top w:w="0" w:type="dxa"/>
            <w:left w:w="108" w:type="dxa"/>
            <w:bottom w:w="0" w:type="dxa"/>
            <w:right w:w="108" w:type="dxa"/>
          </w:tblCellMar>
        </w:tblPrEx>
        <w:trPr>
          <w:trHeight w:val="445" w:hRule="atLeast"/>
          <w:jc w:val="center"/>
        </w:trPr>
        <w:tc>
          <w:tcPr>
            <w:tcW w:w="8148" w:type="dxa"/>
            <w:gridSpan w:val="5"/>
            <w:tcBorders>
              <w:top w:val="single" w:color="auto" w:sz="4" w:space="0"/>
            </w:tcBorders>
            <w:vAlign w:val="center"/>
          </w:tcPr>
          <w:p>
            <w:pPr>
              <w:widowControl/>
              <w:rPr>
                <w:rFonts w:ascii="仿宋_GB2312" w:hAnsi="仿宋_GB2312" w:eastAsia="仿宋_GB2312"/>
                <w:kern w:val="0"/>
                <w:sz w:val="18"/>
                <w:szCs w:val="18"/>
              </w:rPr>
            </w:pPr>
            <w:r>
              <w:rPr>
                <w:rFonts w:ascii="仿宋_GB2312" w:hAnsi="仿宋_GB2312" w:eastAsia="仿宋_GB2312" w:cs="Ü´_¶'3"/>
                <w:kern w:val="0"/>
                <w:sz w:val="18"/>
                <w:szCs w:val="18"/>
              </w:rPr>
              <w:t>注：[ ]内数据为五年累计数</w:t>
            </w:r>
          </w:p>
        </w:tc>
      </w:tr>
    </w:tbl>
    <w:p>
      <w:pPr>
        <w:spacing w:before="156" w:beforeLines="50" w:line="580" w:lineRule="exact"/>
        <w:outlineLvl w:val="0"/>
        <w:rPr>
          <w:rFonts w:ascii="楷体_GB2312" w:hAnsi="楷体_GB2312" w:eastAsia="楷体_GB2312" w:cs="楷体_GB2312"/>
          <w:b/>
          <w:sz w:val="32"/>
          <w:szCs w:val="32"/>
        </w:rPr>
      </w:pPr>
      <w:bookmarkStart w:id="18" w:name="_Toc74756864"/>
      <w:r>
        <w:rPr>
          <w:rFonts w:hint="eastAsia" w:ascii="楷体_GB2312" w:hAnsi="楷体_GB2312" w:eastAsia="楷体_GB2312" w:cs="楷体_GB2312"/>
          <w:b/>
          <w:sz w:val="32"/>
          <w:szCs w:val="32"/>
        </w:rPr>
        <w:t>三、主要任务</w:t>
      </w:r>
      <w:bookmarkEnd w:id="18"/>
    </w:p>
    <w:p>
      <w:pPr>
        <w:adjustRightInd w:val="0"/>
        <w:snapToGrid w:val="0"/>
        <w:spacing w:before="156" w:beforeLines="50" w:after="156" w:afterLines="50" w:line="560" w:lineRule="exact"/>
        <w:ind w:firstLine="643" w:firstLineChars="200"/>
        <w:outlineLvl w:val="1"/>
        <w:rPr>
          <w:rFonts w:ascii="仿宋_GB2312" w:hAnsi="仿宋_GB2312" w:eastAsia="仿宋_GB2312" w:cs="仿宋_GB2312"/>
          <w:b/>
          <w:bCs/>
          <w:kern w:val="0"/>
          <w:sz w:val="32"/>
          <w:szCs w:val="32"/>
        </w:rPr>
      </w:pPr>
      <w:bookmarkStart w:id="19" w:name="_Toc74756865"/>
      <w:r>
        <w:rPr>
          <w:rFonts w:hint="eastAsia" w:ascii="仿宋_GB2312" w:hAnsi="仿宋_GB2312" w:eastAsia="仿宋_GB2312" w:cs="仿宋_GB2312"/>
          <w:b/>
          <w:bCs/>
          <w:kern w:val="0"/>
          <w:sz w:val="32"/>
          <w:szCs w:val="32"/>
        </w:rPr>
        <w:t>（一）高水平建设区域性新消费高地</w:t>
      </w:r>
      <w:bookmarkEnd w:id="19"/>
    </w:p>
    <w:p>
      <w:pPr>
        <w:spacing w:line="560" w:lineRule="exact"/>
        <w:ind w:firstLine="600" w:firstLineChars="200"/>
        <w:rPr>
          <w:rFonts w:ascii="仿宋_GB2312" w:hAnsi="DengXian" w:eastAsia="仿宋_GB2312"/>
          <w:sz w:val="30"/>
          <w:szCs w:val="30"/>
        </w:rPr>
      </w:pPr>
      <w:r>
        <w:rPr>
          <w:rFonts w:hint="eastAsia" w:ascii="仿宋_GB2312" w:hAnsi="DengXian" w:eastAsia="仿宋_GB2312"/>
          <w:sz w:val="30"/>
          <w:szCs w:val="30"/>
        </w:rPr>
        <w:t>围绕区域性新消费高地建设，优化城市商业新布局，发展品质消费新载体，做大特色消费新业态，推动商贸服务新模式，做强多元美食新餐饮、营造舒心消费新环境。</w:t>
      </w:r>
    </w:p>
    <w:p>
      <w:pPr>
        <w:spacing w:line="560" w:lineRule="exact"/>
        <w:ind w:firstLine="602" w:firstLineChars="200"/>
        <w:outlineLvl w:val="2"/>
        <w:rPr>
          <w:rFonts w:ascii="楷体" w:hAnsi="楷体" w:eastAsia="楷体"/>
          <w:b/>
          <w:sz w:val="30"/>
          <w:szCs w:val="30"/>
        </w:rPr>
      </w:pPr>
      <w:bookmarkStart w:id="20" w:name="_Toc74756866"/>
      <w:r>
        <w:rPr>
          <w:rFonts w:hint="eastAsia" w:ascii="楷体" w:hAnsi="楷体" w:eastAsia="楷体"/>
          <w:b/>
          <w:sz w:val="30"/>
          <w:szCs w:val="30"/>
        </w:rPr>
        <w:t>1、优化城市商业新布局</w:t>
      </w:r>
      <w:bookmarkEnd w:id="20"/>
    </w:p>
    <w:p>
      <w:pPr>
        <w:spacing w:line="560" w:lineRule="exact"/>
        <w:ind w:firstLine="600" w:firstLineChars="200"/>
        <w:rPr>
          <w:rFonts w:ascii="仿宋_GB2312" w:hAnsi="DengXian" w:eastAsia="仿宋_GB2312"/>
          <w:sz w:val="30"/>
          <w:szCs w:val="30"/>
        </w:rPr>
      </w:pPr>
      <w:r>
        <w:rPr>
          <w:rFonts w:hint="eastAsia" w:ascii="仿宋_GB2312" w:hAnsi="DengXian" w:eastAsia="仿宋_GB2312"/>
          <w:sz w:val="30"/>
          <w:szCs w:val="30"/>
        </w:rPr>
        <w:t>加强顶层设计，以全市统筹发展、区域协同发展为理念，加快全市商业网点</w:t>
      </w:r>
      <w:r>
        <w:rPr>
          <w:rFonts w:hint="eastAsia" w:ascii="仿宋_GB2312" w:eastAsia="仿宋_GB2312"/>
          <w:sz w:val="30"/>
          <w:szCs w:val="30"/>
        </w:rPr>
        <w:t>布局</w:t>
      </w:r>
      <w:r>
        <w:rPr>
          <w:rFonts w:hint="eastAsia" w:ascii="仿宋_GB2312" w:hAnsi="DengXian" w:eastAsia="仿宋_GB2312"/>
          <w:sz w:val="30"/>
          <w:szCs w:val="30"/>
        </w:rPr>
        <w:t>专项规划编制，实现与温州国土空间规划与城市总体规划的衔接融入。围绕“一主一副两极多节点”都市区发展格局，优化推动市级商业、区级商业、街镇商业、社区商业的建设布局，</w:t>
      </w:r>
      <w:r>
        <w:rPr>
          <w:rFonts w:hint="eastAsia" w:ascii="仿宋_GB2312" w:eastAsia="仿宋_GB2312"/>
          <w:sz w:val="30"/>
          <w:szCs w:val="30"/>
        </w:rPr>
        <w:t>构建</w:t>
      </w:r>
      <w:r>
        <w:rPr>
          <w:rFonts w:hint="eastAsia" w:ascii="仿宋_GB2312" w:hAnsi="DengXian" w:eastAsia="仿宋_GB2312"/>
          <w:sz w:val="30"/>
          <w:szCs w:val="30"/>
        </w:rPr>
        <w:t>形成以“市级+区级+街道+社区”为内涵的四级商业网点体系，科学推进购物中心（商业综合体）、规模超市、专业市场、规模酒店、社区邻里中心等大中型商业设施的布局发展。高品质推进都市区东部、西部、南部等新兴区域的商业布局。</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专栏1</w:t>
            </w:r>
            <w:r>
              <w:rPr>
                <w:rFonts w:ascii="仿宋_GB2312" w:hAnsi="宋体" w:eastAsia="仿宋_GB2312" w:cs="黑体"/>
                <w:b/>
                <w:color w:val="000000"/>
                <w:sz w:val="28"/>
                <w:szCs w:val="28"/>
              </w:rPr>
              <w:t xml:space="preserve"> </w:t>
            </w:r>
            <w:r>
              <w:rPr>
                <w:rFonts w:hint="eastAsia" w:ascii="仿宋_GB2312" w:hAnsi="宋体" w:eastAsia="仿宋_GB2312" w:cs="黑体"/>
                <w:b/>
                <w:color w:val="000000"/>
                <w:sz w:val="28"/>
                <w:szCs w:val="28"/>
              </w:rPr>
              <w:t>城市商业新布局建设专项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1.建设核心商业街区。</w:t>
            </w:r>
            <w:r>
              <w:rPr>
                <w:rFonts w:hint="eastAsia" w:ascii="仿宋_GB2312" w:hAnsi="仿宋" w:eastAsia="仿宋_GB2312" w:cs="仿宋"/>
                <w:bCs/>
                <w:color w:val="000000"/>
                <w:sz w:val="24"/>
                <w:szCs w:val="24"/>
                <w:shd w:val="clear" w:color="080000" w:fill="FFFFFF"/>
              </w:rPr>
              <w:t>以鹿城、龙湾、瓯海等主城区为重点，以五马-大南、瓯海中心区、龙湾中心区等区块为依托，充实高端消费资源、注入新型消费业态、强化品质消费发展，建设三大高能级消费中心，打造若干高品质核心商业街区。</w:t>
            </w:r>
          </w:p>
          <w:p>
            <w:pPr>
              <w:spacing w:line="400" w:lineRule="exact"/>
              <w:ind w:firstLine="482" w:firstLineChars="200"/>
              <w:jc w:val="left"/>
              <w:rPr>
                <w:rFonts w:ascii="仿宋_GB2312" w:hAnsi="DengXian" w:eastAsia="仿宋_GB2312"/>
                <w:color w:val="FF0000"/>
                <w:sz w:val="24"/>
                <w:szCs w:val="24"/>
              </w:rPr>
            </w:pPr>
            <w:r>
              <w:rPr>
                <w:rFonts w:hint="eastAsia" w:ascii="仿宋_GB2312" w:hAnsi="仿宋" w:eastAsia="仿宋_GB2312" w:cs="仿宋"/>
                <w:b/>
                <w:bCs/>
                <w:color w:val="000000"/>
                <w:sz w:val="24"/>
                <w:szCs w:val="24"/>
                <w:shd w:val="clear" w:color="080000" w:fill="FFFFFF"/>
              </w:rPr>
              <w:t>2.建设区域商业中心。</w:t>
            </w:r>
            <w:r>
              <w:rPr>
                <w:rFonts w:hint="eastAsia" w:ascii="仿宋_GB2312" w:hAnsi="DengXian" w:eastAsia="仿宋_GB2312"/>
                <w:sz w:val="24"/>
                <w:szCs w:val="24"/>
              </w:rPr>
              <w:t>以瑞安、乐清、永嘉、洞头等区域为重点，以融入温州大都市为导向，注重消费时尚与新兴业态发展，围绕高端商业综合体发展，建设都市圈区域商业中心。以平阳、苍南、龙港等区域为重点，注重品质提升与业态丰富，围绕中高端商业综合体建设，建设都市副中心区域商业中心。以文成、泰顺等区域为重点，围绕旅游度假、康养体育、本地生活等主题，建设县城特色区域商业中心。</w:t>
            </w:r>
          </w:p>
          <w:p>
            <w:pPr>
              <w:spacing w:line="400" w:lineRule="exact"/>
              <w:ind w:firstLine="482" w:firstLineChars="200"/>
              <w:jc w:val="left"/>
              <w:rPr>
                <w:rFonts w:ascii="仿宋_GB2312" w:hAnsi="仿宋" w:eastAsia="仿宋_GB2312" w:cs="仿宋"/>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3.建设社区邻里中心。</w:t>
            </w:r>
            <w:r>
              <w:rPr>
                <w:rFonts w:hint="eastAsia" w:ascii="仿宋_GB2312" w:hAnsi="仿宋" w:eastAsia="仿宋_GB2312" w:cs="仿宋"/>
                <w:color w:val="000000"/>
                <w:sz w:val="24"/>
                <w:szCs w:val="24"/>
                <w:shd w:val="clear" w:color="080000" w:fill="FFFFFF"/>
              </w:rPr>
              <w:t>以标准化、半公益化、服务化为导向，加快社区邻里中心的统一规划与布局，结合不同区域的人口结构、产业载体与物业资源，发展生活型、办公型、交通枢纽型等多种类型的社区邻里中心，强化购物、娱乐、运动、文化等多种消费业态的融合，以一站式、短距离服务为导向，营造社区商业消费新场景。</w:t>
            </w:r>
          </w:p>
          <w:p>
            <w:pPr>
              <w:spacing w:line="400" w:lineRule="exact"/>
              <w:ind w:firstLine="482" w:firstLineChars="200"/>
              <w:jc w:val="left"/>
              <w:rPr>
                <w:rFonts w:ascii="仿宋_GB2312" w:hAnsi="仿宋" w:eastAsia="仿宋_GB2312" w:cs="仿宋"/>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4. 建设新兴商业中心。</w:t>
            </w:r>
            <w:r>
              <w:rPr>
                <w:rFonts w:hint="eastAsia" w:ascii="仿宋_GB2312" w:hAnsi="仿宋" w:eastAsia="仿宋_GB2312" w:cs="仿宋"/>
                <w:color w:val="000000"/>
                <w:sz w:val="24"/>
                <w:szCs w:val="24"/>
                <w:shd w:val="clear" w:color="080000" w:fill="FFFFFF"/>
              </w:rPr>
              <w:t>提升整体意识，强化区区合作对接，以重大商业项目集聚发展，公共配套设施提升为重点，大力推动温州西部新城商业中心建设，全面助力温州都市区能级提升。以温州东部综合交通枢纽、瓯海南部新区等城市新兴区域建设为依托，强化高端城市商业综合体、免税商店、进口商品集散、开放型商业布局，打造东部、南部等高能级商业中心。</w:t>
            </w:r>
          </w:p>
        </w:tc>
      </w:tr>
    </w:tbl>
    <w:p>
      <w:pPr>
        <w:spacing w:line="560" w:lineRule="exact"/>
        <w:ind w:firstLine="602" w:firstLineChars="200"/>
        <w:outlineLvl w:val="2"/>
        <w:rPr>
          <w:rFonts w:ascii="楷体" w:hAnsi="楷体" w:eastAsia="楷体"/>
          <w:b/>
          <w:sz w:val="30"/>
          <w:szCs w:val="30"/>
        </w:rPr>
      </w:pPr>
      <w:bookmarkStart w:id="21" w:name="_Toc74756867"/>
      <w:r>
        <w:rPr>
          <w:rFonts w:hint="eastAsia" w:ascii="楷体" w:hAnsi="楷体" w:eastAsia="楷体"/>
          <w:b/>
          <w:sz w:val="30"/>
          <w:szCs w:val="30"/>
        </w:rPr>
        <w:t>2、发展品质消费新载体</w:t>
      </w:r>
      <w:bookmarkEnd w:id="21"/>
    </w:p>
    <w:p>
      <w:pPr>
        <w:spacing w:line="560" w:lineRule="exact"/>
        <w:ind w:firstLine="600" w:firstLineChars="200"/>
        <w:rPr>
          <w:rFonts w:ascii="仿宋_GB2312" w:hAnsi="DengXian" w:eastAsia="仿宋_GB2312"/>
          <w:sz w:val="30"/>
          <w:szCs w:val="30"/>
        </w:rPr>
      </w:pPr>
      <w:r>
        <w:rPr>
          <w:rFonts w:hint="eastAsia" w:ascii="仿宋_GB2312" w:hAnsi="DengXian" w:eastAsia="仿宋_GB2312"/>
          <w:sz w:val="30"/>
          <w:szCs w:val="30"/>
        </w:rPr>
        <w:t>以“大建大美”深化建设为依托，加强中心城区中高端消费能力人口的集聚，以国际化、时尚化、品牌化为引领，高水平建设若干旗舰型商业</w:t>
      </w:r>
      <w:r>
        <w:rPr>
          <w:rFonts w:hint="eastAsia" w:ascii="仿宋_GB2312" w:eastAsia="仿宋_GB2312"/>
          <w:sz w:val="30"/>
          <w:szCs w:val="30"/>
        </w:rPr>
        <w:t>项目</w:t>
      </w:r>
      <w:r>
        <w:rPr>
          <w:rFonts w:hint="eastAsia" w:ascii="仿宋_GB2312" w:hAnsi="DengXian" w:eastAsia="仿宋_GB2312"/>
          <w:sz w:val="30"/>
          <w:szCs w:val="30"/>
        </w:rPr>
        <w:t>，支持品牌特色商业项目的片区性集聚，构建形成优势商业叠加放大效应，推动低端项目出清。以优质优价为引领，高标准打造温州鞋服、眼镜、箱包等特色产品现代化消费空间，做优零售体验，做大零售市场。以娱乐化、社交化为引领，围绕大型现代化场馆建设与赛演活动组织，推动大型文艺演出、高水平球赛的常态化发展，打造区域性文化体育消费引领地。</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专栏2</w:t>
            </w:r>
            <w:r>
              <w:rPr>
                <w:rFonts w:ascii="仿宋_GB2312" w:hAnsi="宋体" w:eastAsia="仿宋_GB2312" w:cs="黑体"/>
                <w:b/>
                <w:color w:val="000000"/>
                <w:sz w:val="28"/>
                <w:szCs w:val="28"/>
              </w:rPr>
              <w:t xml:space="preserve"> </w:t>
            </w:r>
            <w:r>
              <w:rPr>
                <w:rFonts w:hint="eastAsia" w:ascii="仿宋_GB2312" w:hAnsi="宋体" w:eastAsia="仿宋_GB2312" w:cs="黑体"/>
                <w:b/>
                <w:color w:val="000000"/>
                <w:sz w:val="28"/>
                <w:szCs w:val="28"/>
              </w:rPr>
              <w:t>品质消费新载体建设专项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1.建设旗舰型商业项目。</w:t>
            </w:r>
            <w:r>
              <w:rPr>
                <w:rFonts w:hint="eastAsia" w:ascii="仿宋_GB2312" w:hAnsi="仿宋" w:eastAsia="仿宋_GB2312" w:cs="仿宋"/>
                <w:bCs/>
                <w:color w:val="000000"/>
                <w:sz w:val="24"/>
                <w:szCs w:val="24"/>
                <w:shd w:val="clear" w:color="080000" w:fill="FFFFFF"/>
              </w:rPr>
              <w:t>围绕三大市级消费中心，鼓励国内外高端购物中心（商业综合体）运营商的落地，发展若干标志性、标杆式、旗舰型商业项目。支持国内外知名品牌在温州设立全国性和区域性的品牌首店、旗舰店，打造国内外中高端品牌集成地。</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w:t>
            </w:r>
            <w:r>
              <w:rPr>
                <w:rFonts w:ascii="仿宋_GB2312" w:hAnsi="仿宋" w:eastAsia="仿宋_GB2312" w:cs="仿宋"/>
                <w:b/>
                <w:bCs/>
                <w:color w:val="000000"/>
                <w:sz w:val="24"/>
                <w:szCs w:val="24"/>
                <w:shd w:val="clear" w:color="080000" w:fill="FFFFFF"/>
              </w:rPr>
              <w:t>.</w:t>
            </w:r>
            <w:r>
              <w:rPr>
                <w:rFonts w:hint="eastAsia" w:ascii="仿宋_GB2312" w:hAnsi="仿宋" w:eastAsia="仿宋_GB2312" w:cs="仿宋"/>
                <w:b/>
                <w:bCs/>
                <w:color w:val="000000"/>
                <w:sz w:val="24"/>
                <w:szCs w:val="24"/>
                <w:shd w:val="clear" w:color="080000" w:fill="FFFFFF"/>
              </w:rPr>
              <w:t>建设国际品质特色街区。</w:t>
            </w:r>
            <w:r>
              <w:rPr>
                <w:rFonts w:hint="eastAsia" w:ascii="仿宋_GB2312" w:hAnsi="仿宋" w:eastAsia="仿宋_GB2312" w:cs="仿宋"/>
                <w:bCs/>
                <w:color w:val="000000"/>
                <w:sz w:val="24"/>
                <w:szCs w:val="24"/>
                <w:shd w:val="clear" w:color="080000" w:fill="FFFFFF"/>
              </w:rPr>
              <w:t>围绕五马街、梧田老街等特色街区，提升软硬件设施建设，强化国际化、本地化品质业态导入，发展若干深度融合温州历史文化与产业特色的高品质街区。</w:t>
            </w:r>
          </w:p>
          <w:p>
            <w:pPr>
              <w:spacing w:line="400" w:lineRule="exact"/>
              <w:ind w:firstLine="482" w:firstLineChars="200"/>
              <w:jc w:val="left"/>
              <w:rPr>
                <w:rFonts w:ascii="仿宋_GB2312" w:hAnsi="DengXian" w:eastAsia="仿宋_GB2312"/>
                <w:sz w:val="24"/>
                <w:szCs w:val="24"/>
              </w:rPr>
            </w:pPr>
            <w:r>
              <w:rPr>
                <w:rFonts w:ascii="仿宋_GB2312" w:hAnsi="仿宋" w:eastAsia="仿宋_GB2312" w:cs="仿宋"/>
                <w:b/>
                <w:bCs/>
                <w:color w:val="000000"/>
                <w:sz w:val="24"/>
                <w:szCs w:val="24"/>
                <w:shd w:val="clear" w:color="080000" w:fill="FFFFFF"/>
              </w:rPr>
              <w:t>3</w:t>
            </w:r>
            <w:r>
              <w:rPr>
                <w:rFonts w:hint="eastAsia" w:ascii="仿宋_GB2312" w:hAnsi="仿宋" w:eastAsia="仿宋_GB2312" w:cs="仿宋"/>
                <w:b/>
                <w:bCs/>
                <w:color w:val="000000"/>
                <w:sz w:val="24"/>
                <w:szCs w:val="24"/>
                <w:shd w:val="clear" w:color="080000" w:fill="FFFFFF"/>
              </w:rPr>
              <w:t>.建设温州名品消费载体。</w:t>
            </w:r>
            <w:r>
              <w:rPr>
                <w:rFonts w:hint="eastAsia" w:ascii="仿宋_GB2312" w:hAnsi="DengXian" w:eastAsia="仿宋_GB2312"/>
                <w:sz w:val="24"/>
                <w:szCs w:val="24"/>
              </w:rPr>
              <w:t>围绕温州鞋服、眼镜、电器、箱包等特色名品，依托步行街建设与专业街建设，以“固定+临时”的形式，发展多种形式的温州名品特色街，以价格、质量、品牌、旅游多要素联动，形成对消费人群的强大虹吸效应。</w:t>
            </w:r>
          </w:p>
        </w:tc>
      </w:tr>
    </w:tbl>
    <w:p>
      <w:pPr>
        <w:spacing w:line="560" w:lineRule="exact"/>
        <w:ind w:firstLine="602" w:firstLineChars="200"/>
        <w:outlineLvl w:val="2"/>
        <w:rPr>
          <w:rFonts w:ascii="楷体" w:hAnsi="楷体" w:eastAsia="楷体"/>
          <w:b/>
          <w:sz w:val="30"/>
          <w:szCs w:val="30"/>
        </w:rPr>
      </w:pPr>
      <w:bookmarkStart w:id="22" w:name="_Toc74756868"/>
      <w:r>
        <w:rPr>
          <w:rFonts w:hint="eastAsia" w:ascii="楷体" w:hAnsi="楷体" w:eastAsia="楷体"/>
          <w:b/>
          <w:sz w:val="30"/>
          <w:szCs w:val="30"/>
        </w:rPr>
        <w:t>3、做大特色消费新业态</w:t>
      </w:r>
      <w:bookmarkEnd w:id="22"/>
    </w:p>
    <w:p>
      <w:pPr>
        <w:spacing w:line="560" w:lineRule="exact"/>
        <w:ind w:firstLine="600" w:firstLineChars="200"/>
        <w:rPr>
          <w:rFonts w:ascii="仿宋_GB2312" w:eastAsia="仿宋_GB2312"/>
          <w:sz w:val="30"/>
          <w:szCs w:val="30"/>
        </w:rPr>
      </w:pPr>
      <w:r>
        <w:rPr>
          <w:rFonts w:hint="eastAsia" w:ascii="仿宋_GB2312" w:eastAsia="仿宋_GB2312"/>
          <w:sz w:val="30"/>
          <w:szCs w:val="30"/>
        </w:rPr>
        <w:t>大力发展信息消费，围绕中高端移动通信终端、可穿戴设备、数字家庭产品等新型信息产品，以及虚拟现实、增强现实、智能网联新能源汽车、智能服务机器人等前沿信息产品，着力建设一批数字消费中心、品牌体验店。积极发展健康消费，围绕健康生活类家电、保健品、营养品、健康餐、运动手环、健康监测等产品，创新在线健康服务业态，打造线上线下融合型健康消费模式。推动旅游、文化与创意消费发展，建设文旅特色商业街区，强化文旅创意特色商品品牌化、系列化开发，推动文旅创意产品店铺的连锁化、品质化、数字化发展。推动月光经济发展，做大文化、旅游、演艺、健身等月光消费。</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专栏3</w:t>
            </w:r>
            <w:r>
              <w:rPr>
                <w:rFonts w:ascii="仿宋_GB2312" w:hAnsi="宋体" w:eastAsia="仿宋_GB2312" w:cs="黑体"/>
                <w:b/>
                <w:color w:val="000000"/>
                <w:sz w:val="28"/>
                <w:szCs w:val="28"/>
              </w:rPr>
              <w:t xml:space="preserve"> </w:t>
            </w:r>
            <w:r>
              <w:rPr>
                <w:rFonts w:hint="eastAsia" w:ascii="仿宋_GB2312" w:hAnsi="宋体" w:eastAsia="仿宋_GB2312" w:cs="黑体"/>
                <w:b/>
                <w:color w:val="000000"/>
                <w:sz w:val="28"/>
                <w:szCs w:val="28"/>
              </w:rPr>
              <w:t>特色消费新业态发展专项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1.建设品牌体验中心。</w:t>
            </w:r>
            <w:r>
              <w:rPr>
                <w:rFonts w:hint="eastAsia" w:ascii="仿宋_GB2312" w:hAnsi="DengXian" w:eastAsia="仿宋_GB2312"/>
                <w:sz w:val="24"/>
                <w:szCs w:val="24"/>
              </w:rPr>
              <w:t>围绕信息消费、健康消费等新兴消费领域，依托大型商业载体、特色商业街区，推动建设一批品牌体验中心，构建形成线上线下相融合的消费方式。</w:t>
            </w:r>
          </w:p>
          <w:p>
            <w:pPr>
              <w:spacing w:line="400" w:lineRule="exact"/>
              <w:ind w:firstLine="482" w:firstLineChars="200"/>
              <w:jc w:val="left"/>
              <w:rPr>
                <w:rFonts w:ascii="仿宋_GB2312" w:hAnsi="DengXian" w:eastAsia="仿宋_GB2312"/>
                <w:sz w:val="24"/>
                <w:szCs w:val="24"/>
              </w:rPr>
            </w:pPr>
            <w:r>
              <w:rPr>
                <w:rFonts w:hint="eastAsia" w:ascii="仿宋_GB2312" w:hAnsi="仿宋" w:eastAsia="仿宋_GB2312" w:cs="仿宋"/>
                <w:b/>
                <w:bCs/>
                <w:color w:val="000000"/>
                <w:sz w:val="24"/>
                <w:szCs w:val="24"/>
                <w:shd w:val="clear" w:color="080000" w:fill="FFFFFF"/>
              </w:rPr>
              <w:t>2.建设在线消费平台。</w:t>
            </w:r>
            <w:r>
              <w:rPr>
                <w:rFonts w:hint="eastAsia" w:ascii="仿宋_GB2312" w:hAnsi="DengXian" w:eastAsia="仿宋_GB2312"/>
                <w:sz w:val="24"/>
                <w:szCs w:val="24"/>
              </w:rPr>
              <w:t>围绕服务本地生活、特色制造、本地商业等领域，强化本地优质产品与消费需求的精准对接，建设温州云购物、温州名品直销、温州生活等平台，高水平推进新零售标杆城市建设。</w:t>
            </w:r>
          </w:p>
          <w:p>
            <w:pPr>
              <w:spacing w:line="400" w:lineRule="exact"/>
              <w:ind w:firstLine="482" w:firstLineChars="200"/>
              <w:jc w:val="left"/>
              <w:rPr>
                <w:rFonts w:ascii="仿宋_GB2312" w:hAnsi="DengXian" w:eastAsia="仿宋_GB2312"/>
                <w:sz w:val="24"/>
                <w:szCs w:val="24"/>
              </w:rPr>
            </w:pPr>
            <w:r>
              <w:rPr>
                <w:rFonts w:hint="eastAsia" w:ascii="仿宋_GB2312" w:hAnsi="仿宋" w:eastAsia="仿宋_GB2312" w:cs="仿宋"/>
                <w:b/>
                <w:bCs/>
                <w:color w:val="000000"/>
                <w:sz w:val="24"/>
                <w:szCs w:val="24"/>
                <w:shd w:val="clear" w:color="080000" w:fill="FFFFFF"/>
              </w:rPr>
              <w:t>3.开发文旅创意商品。</w:t>
            </w:r>
            <w:r>
              <w:rPr>
                <w:rFonts w:hint="eastAsia" w:ascii="仿宋_GB2312" w:hAnsi="DengXian" w:eastAsia="仿宋_GB2312"/>
                <w:sz w:val="24"/>
                <w:szCs w:val="24"/>
              </w:rPr>
              <w:t>以瓯越文化与现代创意为引领，以精品化、体验化为导向，以“本地特色主体+外部优质主体”相协同的方式，结合温州非遗技艺，开发一批文旅创意商品。</w:t>
            </w:r>
          </w:p>
          <w:p>
            <w:pPr>
              <w:spacing w:line="400" w:lineRule="exact"/>
              <w:ind w:firstLine="482" w:firstLineChars="200"/>
              <w:jc w:val="left"/>
              <w:rPr>
                <w:rFonts w:ascii="仿宋_GB2312" w:hAnsi="DengXian" w:eastAsia="仿宋_GB2312"/>
                <w:sz w:val="24"/>
                <w:szCs w:val="24"/>
              </w:rPr>
            </w:pPr>
            <w:r>
              <w:rPr>
                <w:rFonts w:hint="eastAsia" w:ascii="仿宋_GB2312" w:hAnsi="仿宋" w:eastAsia="仿宋_GB2312" w:cs="仿宋"/>
                <w:b/>
                <w:bCs/>
                <w:color w:val="000000"/>
                <w:sz w:val="24"/>
                <w:szCs w:val="24"/>
                <w:shd w:val="clear" w:color="080000" w:fill="FFFFFF"/>
              </w:rPr>
              <w:t>4.建设新消费孵化器。</w:t>
            </w:r>
            <w:r>
              <w:rPr>
                <w:rFonts w:hint="eastAsia" w:ascii="仿宋_GB2312" w:hAnsi="DengXian" w:eastAsia="仿宋_GB2312"/>
                <w:sz w:val="24"/>
                <w:szCs w:val="24"/>
              </w:rPr>
              <w:t>推动信息、健康、商文旅、绿色等新兴消费业态的孵化发展，出台新消费扶持计划，建立新消费孵化器，强化外部新消费初创企业与创业团队引入，高水平提供资源对接、品牌营销、技术支持、应用推广等服务，着力培育一批新消费运营主体。</w:t>
            </w:r>
          </w:p>
          <w:p>
            <w:pPr>
              <w:spacing w:line="400" w:lineRule="exact"/>
              <w:ind w:firstLine="482" w:firstLineChars="200"/>
              <w:jc w:val="left"/>
              <w:rPr>
                <w:rFonts w:ascii="仿宋_GB2312" w:hAnsi="DengXian" w:eastAsia="仿宋_GB2312"/>
                <w:sz w:val="24"/>
                <w:szCs w:val="24"/>
              </w:rPr>
            </w:pPr>
            <w:r>
              <w:rPr>
                <w:rFonts w:hint="eastAsia" w:ascii="仿宋_GB2312" w:hAnsi="仿宋" w:eastAsia="仿宋_GB2312" w:cs="仿宋"/>
                <w:b/>
                <w:bCs/>
                <w:color w:val="000000"/>
                <w:sz w:val="24"/>
                <w:szCs w:val="24"/>
                <w:shd w:val="clear" w:color="080000" w:fill="FFFFFF"/>
              </w:rPr>
              <w:t>5.推动商旅文融合。</w:t>
            </w:r>
            <w:r>
              <w:rPr>
                <w:rFonts w:hint="eastAsia" w:ascii="仿宋_GB2312" w:hAnsi="DengXian" w:eastAsia="仿宋_GB2312"/>
                <w:sz w:val="24"/>
                <w:szCs w:val="24"/>
              </w:rPr>
              <w:t>支持艺术、文化、旅游、体育、健康、餐饮、娱乐、购物等多业态深度融合，以多业态复合店、多业态集成消费中心等形式，推动新型复合消费业态发展。</w:t>
            </w:r>
          </w:p>
        </w:tc>
      </w:tr>
    </w:tbl>
    <w:p>
      <w:pPr>
        <w:spacing w:line="560" w:lineRule="exact"/>
        <w:ind w:firstLine="602" w:firstLineChars="200"/>
        <w:outlineLvl w:val="2"/>
        <w:rPr>
          <w:rFonts w:ascii="楷体" w:hAnsi="楷体" w:eastAsia="楷体"/>
          <w:b/>
          <w:sz w:val="30"/>
          <w:szCs w:val="30"/>
        </w:rPr>
      </w:pPr>
      <w:bookmarkStart w:id="23" w:name="_Toc74756869"/>
      <w:r>
        <w:rPr>
          <w:rFonts w:hint="eastAsia" w:ascii="楷体" w:hAnsi="楷体" w:eastAsia="楷体"/>
          <w:b/>
          <w:sz w:val="30"/>
          <w:szCs w:val="30"/>
        </w:rPr>
        <w:t>4、发展商贸服务新模式</w:t>
      </w:r>
      <w:bookmarkEnd w:id="23"/>
    </w:p>
    <w:p>
      <w:pPr>
        <w:spacing w:line="560" w:lineRule="exact"/>
        <w:ind w:firstLine="600" w:firstLineChars="200"/>
        <w:rPr>
          <w:rFonts w:ascii="仿宋_GB2312" w:eastAsia="仿宋_GB2312"/>
          <w:sz w:val="30"/>
          <w:szCs w:val="30"/>
        </w:rPr>
      </w:pPr>
      <w:r>
        <w:rPr>
          <w:rFonts w:hint="eastAsia" w:ascii="仿宋_GB2312" w:eastAsia="仿宋_GB2312"/>
          <w:sz w:val="30"/>
          <w:szCs w:val="30"/>
        </w:rPr>
        <w:t>支持新技术、新模式、新业态发展，创新发展知识密集型、技术密集型、平台辐射型、产业垂直链型商贸服务业态，加强新兴商贸服务主体培育，壮大发展一批新兴商贸服务标杆性企业。推动家政、</w:t>
      </w:r>
      <w:r>
        <w:rPr>
          <w:rFonts w:hint="eastAsia" w:ascii="仿宋_GB2312" w:hAnsi="DengXian" w:eastAsia="仿宋_GB2312"/>
          <w:sz w:val="30"/>
          <w:szCs w:val="30"/>
        </w:rPr>
        <w:t>住宿</w:t>
      </w:r>
      <w:r>
        <w:rPr>
          <w:rFonts w:hint="eastAsia" w:ascii="仿宋_GB2312" w:eastAsia="仿宋_GB2312"/>
          <w:sz w:val="30"/>
          <w:szCs w:val="30"/>
        </w:rPr>
        <w:t>、养老等商贸服务业高品质发展，加强连锁化、品牌化、特色化经营。创新推动农资、农产品商贸服务，积极发展拍卖等交易类型。以专业化、规范化、网络化发展为导向，推动再生资源、二手车等旧货行业商贸服务模式创新，支持以成品油为核心的综合性便民消费功能区建设。</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专栏4</w:t>
            </w:r>
            <w:r>
              <w:rPr>
                <w:rFonts w:ascii="仿宋_GB2312" w:hAnsi="宋体" w:eastAsia="仿宋_GB2312" w:cs="黑体"/>
                <w:b/>
                <w:color w:val="000000"/>
                <w:sz w:val="28"/>
                <w:szCs w:val="28"/>
              </w:rPr>
              <w:t xml:space="preserve"> </w:t>
            </w:r>
            <w:r>
              <w:rPr>
                <w:rFonts w:hint="eastAsia" w:ascii="仿宋_GB2312" w:hAnsi="宋体" w:eastAsia="仿宋_GB2312" w:cs="黑体"/>
                <w:b/>
                <w:color w:val="000000"/>
                <w:sz w:val="28"/>
                <w:szCs w:val="28"/>
              </w:rPr>
              <w:t>商贸服务新模式专项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b/>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1.发展新兴商贸服务。</w:t>
            </w:r>
            <w:r>
              <w:rPr>
                <w:rFonts w:hint="eastAsia" w:ascii="仿宋_GB2312" w:hAnsi="DengXian" w:eastAsia="仿宋_GB2312"/>
                <w:sz w:val="24"/>
                <w:szCs w:val="24"/>
              </w:rPr>
              <w:t>大力推动优质楼宇物业的建设与中高端楼宇服务发展，累计培育税收亿元楼宇6</w:t>
            </w:r>
            <w:r>
              <w:rPr>
                <w:rFonts w:ascii="仿宋_GB2312" w:hAnsi="DengXian" w:eastAsia="仿宋_GB2312"/>
                <w:sz w:val="24"/>
                <w:szCs w:val="24"/>
              </w:rPr>
              <w:t>0</w:t>
            </w:r>
            <w:r>
              <w:rPr>
                <w:rFonts w:hint="eastAsia" w:ascii="仿宋_GB2312" w:hAnsi="DengXian" w:eastAsia="仿宋_GB2312"/>
                <w:sz w:val="24"/>
                <w:szCs w:val="24"/>
              </w:rPr>
              <w:t>幢。围绕原材料采购、资源共享、设计、商务中介、金融等领域，发展一批平台型的商贸服务企业。</w:t>
            </w:r>
          </w:p>
          <w:p>
            <w:pPr>
              <w:spacing w:line="400" w:lineRule="exact"/>
              <w:ind w:firstLine="482" w:firstLineChars="200"/>
              <w:jc w:val="left"/>
              <w:rPr>
                <w:rFonts w:ascii="仿宋_GB2312" w:hAnsi="仿宋" w:eastAsia="仿宋_GB2312" w:cs="仿宋"/>
                <w:b/>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2.提升酒店业品牌。</w:t>
            </w:r>
            <w:r>
              <w:rPr>
                <w:rFonts w:hint="eastAsia" w:ascii="仿宋_GB2312" w:hAnsi="DengXian" w:eastAsia="仿宋_GB2312"/>
                <w:sz w:val="24"/>
                <w:szCs w:val="24"/>
              </w:rPr>
              <w:t>充分利用温州丰富的山海自然资源，引入国内外知名酒店连锁集团，建设一批主题酒店、度假酒店、文化酒店。推动现有城市酒店的有机更新与改造提升，以雅高、希尔顿、凯悦、万豪和温德姆等集团酒店子品牌为重点，发展一批高品质商务旅游酒店。</w:t>
            </w:r>
          </w:p>
        </w:tc>
      </w:tr>
    </w:tbl>
    <w:p>
      <w:pPr>
        <w:spacing w:line="560" w:lineRule="exact"/>
        <w:ind w:firstLine="602" w:firstLineChars="200"/>
        <w:outlineLvl w:val="2"/>
        <w:rPr>
          <w:rFonts w:ascii="楷体" w:hAnsi="楷体" w:eastAsia="楷体"/>
          <w:b/>
          <w:sz w:val="30"/>
          <w:szCs w:val="30"/>
        </w:rPr>
      </w:pPr>
      <w:bookmarkStart w:id="24" w:name="_Toc74756870"/>
      <w:r>
        <w:rPr>
          <w:rFonts w:hint="eastAsia" w:ascii="楷体" w:hAnsi="楷体" w:eastAsia="楷体"/>
          <w:b/>
          <w:sz w:val="30"/>
          <w:szCs w:val="30"/>
        </w:rPr>
        <w:t>5、做强多元美食新餐饮</w:t>
      </w:r>
      <w:bookmarkEnd w:id="24"/>
    </w:p>
    <w:p>
      <w:pPr>
        <w:spacing w:line="560" w:lineRule="exact"/>
        <w:ind w:firstLine="600" w:firstLineChars="200"/>
        <w:rPr>
          <w:rFonts w:ascii="仿宋_GB2312" w:eastAsia="仿宋_GB2312"/>
          <w:sz w:val="30"/>
          <w:szCs w:val="30"/>
        </w:rPr>
      </w:pPr>
      <w:r>
        <w:rPr>
          <w:rFonts w:hint="eastAsia" w:ascii="仿宋_GB2312" w:eastAsia="仿宋_GB2312"/>
          <w:sz w:val="30"/>
          <w:szCs w:val="30"/>
        </w:rPr>
        <w:t>以优质原材料与精细烹饪技艺为基础，以海鲜菜、江河小水产、山货农家菜为重点，提升凝练“瓯菜”菜系与鲜明特色，发展一批经典性、地标性的菜品，全面做强温州菜影响力，以鲜美为特色打响“瓯菜”品牌。加强国际特色餐饮发展，发挥进口食材优势，做强进口餐饮美食体验，打造“全球美食在温州”品牌。以品牌化、品质化为导向，推动温州特色自选式快餐发展，强化自选快餐与瓯菜特色的融合创新，支持温州特色快餐“走出去”。强化现代餐饮企业管理模式与经营理念的应用推广，壮大瓯菜知名餐饮企业，支持连锁化餐饮名店在全市的布局发展，创新发展创意餐饮、文化餐饮等新兴复合业态，推动餐饮供应链服务平台发展，培育餐饮企业现代营销能力，全面提升餐饮业现代化水平。支持外卖餐饮品质化发展，推动绿色餐饮普及。支持各县（市、区）集聚发展特色鲜明的美食街区，打造优质的本地食材供应链。</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专栏5</w:t>
            </w:r>
            <w:r>
              <w:rPr>
                <w:rFonts w:ascii="仿宋_GB2312" w:hAnsi="宋体" w:eastAsia="仿宋_GB2312" w:cs="黑体"/>
                <w:b/>
                <w:color w:val="000000"/>
                <w:sz w:val="28"/>
                <w:szCs w:val="28"/>
              </w:rPr>
              <w:t xml:space="preserve"> </w:t>
            </w:r>
            <w:r>
              <w:rPr>
                <w:rFonts w:hint="eastAsia" w:ascii="仿宋_GB2312" w:hAnsi="宋体" w:eastAsia="仿宋_GB2312" w:cs="黑体"/>
                <w:b/>
                <w:color w:val="000000"/>
                <w:sz w:val="28"/>
                <w:szCs w:val="28"/>
              </w:rPr>
              <w:t>瓯菜美食新餐饮发展专项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b/>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 做强瓯菜特色品牌。</w:t>
            </w:r>
            <w:r>
              <w:rPr>
                <w:rFonts w:hint="eastAsia" w:ascii="仿宋_GB2312" w:hAnsi="DengXian" w:eastAsia="仿宋_GB2312"/>
                <w:sz w:val="24"/>
                <w:szCs w:val="24"/>
              </w:rPr>
              <w:t>以海鲜菜、牛肉菜等为重点，加强瓯菜特色菜品开发，构建瓯菜美食现代化宣传营销体系，推动特色食材进行中国国家地理标志产品认证，建设2条以上高品质的美食街区，做实做优瓯菜特色品牌。</w:t>
            </w:r>
          </w:p>
          <w:p>
            <w:pPr>
              <w:spacing w:line="400" w:lineRule="exact"/>
              <w:ind w:firstLine="482" w:firstLineChars="200"/>
              <w:jc w:val="left"/>
              <w:rPr>
                <w:rFonts w:ascii="仿宋_GB2312" w:hAnsi="仿宋" w:eastAsia="仿宋_GB2312" w:cs="仿宋"/>
                <w:b/>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2.做深全球美食体验。</w:t>
            </w:r>
            <w:r>
              <w:rPr>
                <w:rFonts w:hint="eastAsia" w:ascii="仿宋_GB2312" w:hAnsi="DengXian" w:eastAsia="仿宋_GB2312"/>
                <w:sz w:val="24"/>
                <w:szCs w:val="24"/>
              </w:rPr>
              <w:t>依托浙南闽北赣东进口商品集散中心，围绕全球商品贸易港、肯恩小镇等外籍人士集聚区，以及人口密集的成熟商业区，建设1条以上进口美食特色街区，发展地道全球餐饮。</w:t>
            </w:r>
          </w:p>
          <w:p>
            <w:pPr>
              <w:spacing w:line="400" w:lineRule="exact"/>
              <w:ind w:firstLine="482" w:firstLineChars="200"/>
              <w:jc w:val="left"/>
              <w:rPr>
                <w:rFonts w:ascii="仿宋_GB2312" w:hAnsi="DengXian" w:eastAsia="仿宋_GB2312"/>
                <w:sz w:val="24"/>
                <w:szCs w:val="24"/>
              </w:rPr>
            </w:pPr>
            <w:r>
              <w:rPr>
                <w:rFonts w:hint="eastAsia" w:ascii="仿宋_GB2312" w:hAnsi="仿宋" w:eastAsia="仿宋_GB2312" w:cs="仿宋"/>
                <w:b/>
                <w:bCs/>
                <w:color w:val="000000"/>
                <w:sz w:val="24"/>
                <w:szCs w:val="24"/>
                <w:shd w:val="clear" w:color="080000" w:fill="FFFFFF"/>
              </w:rPr>
              <w:t>3.推广温州特色快餐。</w:t>
            </w:r>
            <w:r>
              <w:rPr>
                <w:rFonts w:hint="eastAsia" w:ascii="仿宋_GB2312" w:hAnsi="DengXian" w:eastAsia="仿宋_GB2312"/>
                <w:sz w:val="24"/>
                <w:szCs w:val="24"/>
              </w:rPr>
              <w:t>推动温州特色快餐企业的做大做强，围绕民生餐、外卖餐、工作餐、学生餐等领域，支持其在市内外连锁化布点，以地道食材、标准化工艺为导向，推广发展瓯菜快餐品牌。</w:t>
            </w:r>
          </w:p>
          <w:p>
            <w:pPr>
              <w:spacing w:line="400" w:lineRule="exact"/>
              <w:ind w:firstLine="482" w:firstLineChars="200"/>
              <w:jc w:val="left"/>
              <w:rPr>
                <w:rFonts w:ascii="仿宋_GB2312" w:hAnsi="DengXian" w:eastAsia="仿宋_GB2312"/>
                <w:sz w:val="24"/>
                <w:szCs w:val="24"/>
              </w:rPr>
            </w:pPr>
            <w:r>
              <w:rPr>
                <w:rFonts w:hint="eastAsia" w:ascii="仿宋_GB2312" w:hAnsi="仿宋" w:eastAsia="仿宋_GB2312" w:cs="仿宋"/>
                <w:b/>
                <w:bCs/>
                <w:color w:val="000000"/>
                <w:sz w:val="24"/>
                <w:szCs w:val="24"/>
                <w:shd w:val="clear" w:color="080000" w:fill="FFFFFF"/>
              </w:rPr>
              <w:t>4. 提升温州特色小吃。</w:t>
            </w:r>
            <w:r>
              <w:rPr>
                <w:rFonts w:hint="eastAsia" w:ascii="仿宋_GB2312" w:hAnsi="仿宋" w:eastAsia="仿宋_GB2312" w:cs="仿宋"/>
                <w:color w:val="000000"/>
                <w:sz w:val="24"/>
                <w:szCs w:val="24"/>
                <w:shd w:val="clear" w:color="080000" w:fill="FFFFFF"/>
              </w:rPr>
              <w:t>梳理温州特色小吃名录，以品质化为导向，</w:t>
            </w:r>
            <w:r>
              <w:rPr>
                <w:rFonts w:hint="eastAsia" w:ascii="仿宋_GB2312" w:hAnsi="DengXian" w:eastAsia="仿宋_GB2312"/>
                <w:sz w:val="24"/>
                <w:szCs w:val="24"/>
              </w:rPr>
              <w:t>推动温州特色小吃名店评选。以商业硬件设施、现代服务、健康消费导向为重点，推动温州特色小吃提升发展，建立温州特色小吃街区，挂牌10条“温州美食”街区。</w:t>
            </w:r>
          </w:p>
          <w:p>
            <w:pPr>
              <w:spacing w:line="400" w:lineRule="exact"/>
              <w:ind w:firstLine="482" w:firstLineChars="200"/>
              <w:jc w:val="left"/>
              <w:rPr>
                <w:rFonts w:ascii="仿宋_GB2312" w:hAnsi="DengXian" w:eastAsia="仿宋_GB2312"/>
                <w:sz w:val="24"/>
                <w:szCs w:val="24"/>
              </w:rPr>
            </w:pPr>
            <w:r>
              <w:rPr>
                <w:rFonts w:hint="eastAsia" w:ascii="仿宋_GB2312" w:hAnsi="DengXian" w:eastAsia="仿宋_GB2312"/>
                <w:b/>
                <w:bCs/>
                <w:sz w:val="24"/>
                <w:szCs w:val="24"/>
              </w:rPr>
              <w:t>5</w:t>
            </w:r>
            <w:r>
              <w:rPr>
                <w:rFonts w:ascii="仿宋_GB2312" w:hAnsi="DengXian" w:eastAsia="仿宋_GB2312"/>
                <w:b/>
                <w:bCs/>
                <w:sz w:val="24"/>
                <w:szCs w:val="24"/>
              </w:rPr>
              <w:t xml:space="preserve">. </w:t>
            </w:r>
            <w:r>
              <w:rPr>
                <w:rFonts w:hint="eastAsia" w:ascii="仿宋_GB2312" w:hAnsi="DengXian" w:eastAsia="仿宋_GB2312"/>
                <w:b/>
                <w:bCs/>
                <w:sz w:val="24"/>
                <w:szCs w:val="24"/>
              </w:rPr>
              <w:t>支持老字号餐饮企业发展。</w:t>
            </w:r>
            <w:r>
              <w:rPr>
                <w:rFonts w:hint="eastAsia" w:ascii="仿宋_GB2312" w:hAnsi="DengXian" w:eastAsia="仿宋_GB2312"/>
                <w:sz w:val="24"/>
                <w:szCs w:val="24"/>
              </w:rPr>
              <w:t>加大餐饮行业老字号培育力度，推动温州酒家等餐饮老字号创新发展，加强连锁化经营水平，支持老字号发展品质化餐饮子品牌，做精做优温州海鲜菜、牛肉菜等特色优势。</w:t>
            </w:r>
          </w:p>
          <w:p>
            <w:pPr>
              <w:spacing w:line="400" w:lineRule="exact"/>
              <w:ind w:firstLine="482" w:firstLineChars="200"/>
              <w:jc w:val="left"/>
              <w:rPr>
                <w:rFonts w:ascii="仿宋_GB2312" w:hAnsi="DengXian" w:eastAsia="仿宋_GB2312"/>
                <w:sz w:val="24"/>
                <w:szCs w:val="24"/>
              </w:rPr>
            </w:pPr>
            <w:r>
              <w:rPr>
                <w:rFonts w:hint="eastAsia" w:ascii="仿宋_GB2312" w:hAnsi="DengXian" w:eastAsia="仿宋_GB2312"/>
                <w:b/>
                <w:bCs/>
                <w:sz w:val="24"/>
                <w:szCs w:val="24"/>
              </w:rPr>
              <w:t>6</w:t>
            </w:r>
            <w:r>
              <w:rPr>
                <w:rFonts w:ascii="仿宋_GB2312" w:hAnsi="DengXian" w:eastAsia="仿宋_GB2312"/>
                <w:b/>
                <w:bCs/>
                <w:sz w:val="24"/>
                <w:szCs w:val="24"/>
              </w:rPr>
              <w:t xml:space="preserve">. </w:t>
            </w:r>
            <w:r>
              <w:rPr>
                <w:rFonts w:hint="eastAsia" w:ascii="仿宋_GB2312" w:hAnsi="DengXian" w:eastAsia="仿宋_GB2312"/>
                <w:b/>
                <w:bCs/>
                <w:sz w:val="24"/>
                <w:szCs w:val="24"/>
              </w:rPr>
              <w:t>加强现代化餐饮企业培育。</w:t>
            </w:r>
            <w:r>
              <w:rPr>
                <w:rFonts w:hint="eastAsia" w:ascii="仿宋_GB2312" w:hAnsi="DengXian" w:eastAsia="仿宋_GB2312"/>
                <w:sz w:val="24"/>
                <w:szCs w:val="24"/>
              </w:rPr>
              <w:t>推动传统餐饮企业改造升级，培育1</w:t>
            </w:r>
            <w:r>
              <w:rPr>
                <w:rFonts w:ascii="仿宋_GB2312" w:hAnsi="DengXian" w:eastAsia="仿宋_GB2312"/>
                <w:sz w:val="24"/>
                <w:szCs w:val="24"/>
              </w:rPr>
              <w:t>00</w:t>
            </w:r>
            <w:r>
              <w:rPr>
                <w:rFonts w:hint="eastAsia" w:ascii="仿宋_GB2312" w:hAnsi="DengXian" w:eastAsia="仿宋_GB2312"/>
                <w:sz w:val="24"/>
                <w:szCs w:val="24"/>
              </w:rPr>
              <w:t>家具备产业化、规模化、标准化特征的现代餐饮企业，发展2</w:t>
            </w:r>
            <w:r>
              <w:rPr>
                <w:rFonts w:ascii="仿宋_GB2312" w:hAnsi="DengXian" w:eastAsia="仿宋_GB2312"/>
                <w:sz w:val="24"/>
                <w:szCs w:val="24"/>
              </w:rPr>
              <w:t>00</w:t>
            </w:r>
            <w:r>
              <w:rPr>
                <w:rFonts w:hint="eastAsia" w:ascii="仿宋_GB2312" w:hAnsi="DengXian" w:eastAsia="仿宋_GB2312"/>
                <w:sz w:val="24"/>
                <w:szCs w:val="24"/>
              </w:rPr>
              <w:t>家融合美食、历史、文化、技术等元素的高品质餐厅、主题餐厅。</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color w:val="000000"/>
                <w:sz w:val="24"/>
                <w:szCs w:val="24"/>
                <w:shd w:val="clear" w:color="080000" w:fill="FFFFFF"/>
              </w:rPr>
              <w:t>7</w:t>
            </w:r>
            <w:r>
              <w:rPr>
                <w:rFonts w:ascii="仿宋_GB2312" w:hAnsi="仿宋" w:eastAsia="仿宋_GB2312" w:cs="仿宋"/>
                <w:b/>
                <w:color w:val="000000"/>
                <w:sz w:val="24"/>
                <w:szCs w:val="24"/>
                <w:shd w:val="clear" w:color="080000" w:fill="FFFFFF"/>
              </w:rPr>
              <w:t xml:space="preserve">. </w:t>
            </w:r>
            <w:r>
              <w:rPr>
                <w:rFonts w:hint="eastAsia" w:ascii="仿宋_GB2312" w:hAnsi="仿宋" w:eastAsia="仿宋_GB2312" w:cs="仿宋"/>
                <w:b/>
                <w:color w:val="000000"/>
                <w:sz w:val="24"/>
                <w:szCs w:val="24"/>
                <w:shd w:val="clear" w:color="080000" w:fill="FFFFFF"/>
              </w:rPr>
              <w:t>构建餐饮产业化服务平台。</w:t>
            </w:r>
            <w:r>
              <w:rPr>
                <w:rFonts w:hint="eastAsia" w:ascii="仿宋_GB2312" w:hAnsi="DengXian" w:eastAsia="仿宋_GB2312"/>
                <w:sz w:val="24"/>
                <w:szCs w:val="24"/>
              </w:rPr>
              <w:t>推动食材集中采购、中央厨房、统一配送等现代餐饮服务产业服务体系构建，培育</w:t>
            </w:r>
            <w:r>
              <w:rPr>
                <w:rFonts w:ascii="仿宋_GB2312" w:hAnsi="DengXian" w:eastAsia="仿宋_GB2312"/>
                <w:sz w:val="24"/>
                <w:szCs w:val="24"/>
              </w:rPr>
              <w:t>3</w:t>
            </w:r>
            <w:r>
              <w:rPr>
                <w:rFonts w:hint="eastAsia" w:ascii="仿宋_GB2312" w:hAnsi="DengXian" w:eastAsia="仿宋_GB2312"/>
                <w:sz w:val="24"/>
                <w:szCs w:val="24"/>
              </w:rPr>
              <w:t>家以上限上餐饮B</w:t>
            </w:r>
            <w:r>
              <w:rPr>
                <w:rFonts w:ascii="仿宋_GB2312" w:hAnsi="DengXian" w:eastAsia="仿宋_GB2312"/>
                <w:sz w:val="24"/>
                <w:szCs w:val="24"/>
              </w:rPr>
              <w:t>2B</w:t>
            </w:r>
            <w:r>
              <w:rPr>
                <w:rFonts w:hint="eastAsia" w:ascii="仿宋_GB2312" w:hAnsi="DengXian" w:eastAsia="仿宋_GB2312"/>
                <w:sz w:val="24"/>
                <w:szCs w:val="24"/>
              </w:rPr>
              <w:t>平台企业，全面提升餐饮业产业服务水平。</w:t>
            </w:r>
          </w:p>
        </w:tc>
      </w:tr>
    </w:tbl>
    <w:p>
      <w:pPr>
        <w:spacing w:line="560" w:lineRule="exact"/>
        <w:ind w:firstLine="602" w:firstLineChars="200"/>
        <w:outlineLvl w:val="2"/>
        <w:rPr>
          <w:rFonts w:ascii="楷体" w:hAnsi="楷体" w:eastAsia="楷体"/>
          <w:b/>
          <w:sz w:val="30"/>
          <w:szCs w:val="30"/>
        </w:rPr>
      </w:pPr>
      <w:bookmarkStart w:id="25" w:name="_Toc74756871"/>
      <w:r>
        <w:rPr>
          <w:rFonts w:hint="eastAsia" w:ascii="楷体" w:hAnsi="楷体" w:eastAsia="楷体"/>
          <w:b/>
          <w:sz w:val="30"/>
          <w:szCs w:val="30"/>
        </w:rPr>
        <w:t>6、营造舒心消费新环境</w:t>
      </w:r>
      <w:bookmarkEnd w:id="25"/>
    </w:p>
    <w:p>
      <w:pPr>
        <w:spacing w:line="560" w:lineRule="exact"/>
        <w:ind w:firstLine="600" w:firstLineChars="200"/>
        <w:rPr>
          <w:rFonts w:ascii="仿宋_GB2312" w:eastAsia="仿宋_GB2312"/>
          <w:sz w:val="30"/>
          <w:szCs w:val="30"/>
        </w:rPr>
      </w:pPr>
      <w:r>
        <w:rPr>
          <w:rFonts w:hint="eastAsia" w:ascii="仿宋_GB2312" w:eastAsia="仿宋_GB2312"/>
          <w:sz w:val="30"/>
          <w:szCs w:val="30"/>
        </w:rPr>
        <w:t>加大监管执法力度、消费维权力度、社会共治力度，构建放心消费的长效机制。加强单用途商业预付卡管理，建立单用途卡发卡行业和企业风险监测机制，提升商业预付卡风险管控水平。推进家政诚信建设，建立完善家政企业和家政服务员的信用档案。争取市内免税店设立审批权限，探索试行市内免税店购物直接退税政策，加强退税店布局发展。加强智能化消费设施设备的使用，提升消费便利化水平。</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专栏6</w:t>
            </w:r>
            <w:r>
              <w:rPr>
                <w:rFonts w:ascii="仿宋_GB2312" w:hAnsi="宋体" w:eastAsia="仿宋_GB2312" w:cs="黑体"/>
                <w:b/>
                <w:color w:val="000000"/>
                <w:sz w:val="28"/>
                <w:szCs w:val="28"/>
              </w:rPr>
              <w:t xml:space="preserve"> </w:t>
            </w:r>
            <w:r>
              <w:rPr>
                <w:rFonts w:hint="eastAsia" w:ascii="仿宋_GB2312" w:hAnsi="宋体" w:eastAsia="仿宋_GB2312" w:cs="黑体"/>
                <w:b/>
                <w:color w:val="000000"/>
                <w:sz w:val="28"/>
                <w:szCs w:val="28"/>
              </w:rPr>
              <w:t>舒心消费新环境建设专项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DengXian" w:eastAsia="仿宋_GB2312"/>
                <w:sz w:val="24"/>
                <w:szCs w:val="24"/>
              </w:rPr>
            </w:pPr>
            <w:r>
              <w:rPr>
                <w:rFonts w:hint="eastAsia" w:ascii="仿宋_GB2312" w:hAnsi="仿宋" w:eastAsia="仿宋_GB2312" w:cs="仿宋"/>
                <w:b/>
                <w:bCs/>
                <w:color w:val="000000"/>
                <w:sz w:val="24"/>
                <w:szCs w:val="24"/>
                <w:shd w:val="clear" w:color="080000" w:fill="FFFFFF"/>
              </w:rPr>
              <w:t>1. 推广放心消费场所。</w:t>
            </w:r>
            <w:r>
              <w:rPr>
                <w:rFonts w:hint="eastAsia" w:ascii="仿宋_GB2312" w:hAnsi="DengXian" w:eastAsia="仿宋_GB2312"/>
                <w:sz w:val="24"/>
                <w:szCs w:val="24"/>
              </w:rPr>
              <w:t>实施标准化战略，推动消费产品和服务标准制定，鼓励行业协会制定产品和服务标准体系，开展百货、旅游、汽车、家电维修、家具、超市等重点行业服务标准化示范建设，打造一批放心消费示范企业与场所。推动消费信用体系建设，推动基于互联网技术的“一店一码”“一码通”等消费体验评价服务。</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 建设智慧消费场景。</w:t>
            </w:r>
            <w:r>
              <w:rPr>
                <w:rFonts w:hint="eastAsia" w:ascii="仿宋_GB2312" w:hAnsi="仿宋" w:eastAsia="仿宋_GB2312" w:cs="仿宋"/>
                <w:bCs/>
                <w:color w:val="000000"/>
                <w:sz w:val="24"/>
                <w:szCs w:val="24"/>
                <w:shd w:val="clear" w:color="080000" w:fill="FFFFFF"/>
              </w:rPr>
              <w:t>推动五马街、雁荡山等重要商圈、旅游景点、文体场所智能化消费技术的融合发展，强化VA/AR、大数据等新兴技术与设施设备的应用，推动智能化商圈、智慧化景区发展示范。</w:t>
            </w:r>
          </w:p>
          <w:p>
            <w:pPr>
              <w:spacing w:line="400" w:lineRule="exact"/>
              <w:ind w:firstLine="482" w:firstLineChars="200"/>
              <w:jc w:val="left"/>
              <w:rPr>
                <w:rFonts w:ascii="仿宋_GB2312" w:hAnsi="仿宋" w:eastAsia="仿宋_GB2312" w:cs="仿宋"/>
                <w:b/>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3. 发展免税退税业态。</w:t>
            </w:r>
            <w:r>
              <w:rPr>
                <w:rFonts w:hint="eastAsia" w:ascii="仿宋_GB2312" w:hAnsi="仿宋" w:eastAsia="仿宋_GB2312" w:cs="仿宋"/>
                <w:bCs/>
                <w:color w:val="000000"/>
                <w:sz w:val="24"/>
                <w:szCs w:val="24"/>
                <w:shd w:val="clear" w:color="080000" w:fill="FFFFFF"/>
              </w:rPr>
              <w:t>积极申报市内免税店资格，建立与中免等主体的深度合作，在全市范围内合理布局一批免税店、退税店，推动离境退税口岸的扩大化，实现“即买即退”服务。</w:t>
            </w:r>
          </w:p>
        </w:tc>
      </w:tr>
    </w:tbl>
    <w:p>
      <w:pPr>
        <w:adjustRightInd w:val="0"/>
        <w:snapToGrid w:val="0"/>
        <w:spacing w:before="156" w:beforeLines="50" w:after="156" w:afterLines="50" w:line="560" w:lineRule="exact"/>
        <w:ind w:firstLine="643" w:firstLineChars="200"/>
        <w:outlineLvl w:val="1"/>
        <w:rPr>
          <w:rFonts w:ascii="仿宋_GB2312" w:hAnsi="仿宋_GB2312" w:eastAsia="仿宋_GB2312" w:cs="仿宋_GB2312"/>
          <w:b/>
          <w:bCs/>
          <w:kern w:val="0"/>
          <w:sz w:val="32"/>
          <w:szCs w:val="32"/>
        </w:rPr>
      </w:pPr>
      <w:bookmarkStart w:id="26" w:name="_Toc74756872"/>
      <w:r>
        <w:rPr>
          <w:rFonts w:hint="eastAsia" w:ascii="仿宋_GB2312" w:hAnsi="仿宋_GB2312" w:eastAsia="仿宋_GB2312" w:cs="仿宋_GB2312"/>
          <w:b/>
          <w:bCs/>
          <w:kern w:val="0"/>
          <w:sz w:val="32"/>
          <w:szCs w:val="32"/>
        </w:rPr>
        <w:t>（二）高水平打造开放型经济发展标杆</w:t>
      </w:r>
      <w:bookmarkEnd w:id="26"/>
    </w:p>
    <w:p>
      <w:pPr>
        <w:spacing w:line="560" w:lineRule="exact"/>
        <w:ind w:firstLine="600" w:firstLineChars="200"/>
        <w:rPr>
          <w:rFonts w:ascii="仿宋_GB2312" w:eastAsia="仿宋_GB2312"/>
          <w:sz w:val="30"/>
          <w:szCs w:val="30"/>
        </w:rPr>
      </w:pPr>
      <w:r>
        <w:rPr>
          <w:rFonts w:hint="eastAsia" w:ascii="仿宋_GB2312" w:eastAsia="仿宋_GB2312"/>
          <w:sz w:val="30"/>
          <w:szCs w:val="30"/>
        </w:rPr>
        <w:t>围绕开放型经济发展标杆建设，聚焦开放型经济发展，推动外贸提质增效，创新拓展服务贸易，提升对外开放水平，加强对外投资合作，推动开发区改革突破。</w:t>
      </w:r>
    </w:p>
    <w:p>
      <w:pPr>
        <w:spacing w:line="560" w:lineRule="exact"/>
        <w:ind w:firstLine="602" w:firstLineChars="200"/>
        <w:outlineLvl w:val="2"/>
        <w:rPr>
          <w:rFonts w:ascii="楷体" w:hAnsi="楷体" w:eastAsia="楷体"/>
          <w:b/>
          <w:sz w:val="30"/>
          <w:szCs w:val="30"/>
        </w:rPr>
      </w:pPr>
      <w:bookmarkStart w:id="27" w:name="_Toc74756873"/>
      <w:r>
        <w:rPr>
          <w:rFonts w:hint="eastAsia" w:ascii="楷体" w:hAnsi="楷体" w:eastAsia="楷体"/>
          <w:b/>
          <w:sz w:val="30"/>
          <w:szCs w:val="30"/>
        </w:rPr>
        <w:t>1、推动外贸提质增效</w:t>
      </w:r>
      <w:bookmarkEnd w:id="27"/>
    </w:p>
    <w:p>
      <w:pPr>
        <w:spacing w:line="560" w:lineRule="exact"/>
        <w:ind w:firstLine="600" w:firstLineChars="200"/>
        <w:rPr>
          <w:rFonts w:ascii="仿宋_GB2312" w:eastAsia="仿宋_GB2312"/>
          <w:sz w:val="30"/>
          <w:szCs w:val="30"/>
        </w:rPr>
      </w:pPr>
      <w:r>
        <w:rPr>
          <w:rFonts w:hint="eastAsia" w:ascii="仿宋_GB2312" w:eastAsia="仿宋_GB2312"/>
          <w:sz w:val="30"/>
          <w:szCs w:val="30"/>
        </w:rPr>
        <w:t>稳步做大外贸总量，扎实推进外贸高质量发展，着力增强以质量、技术、品牌为核心的国际竞争力，全面提升中高端鞋服、眼镜、电器、智能装备产品出口比例。加强侨贸优势发挥，深化目的地市场研究，巩固扩大欧美等传统市场，加快拓展“一带一路”沿线国家市场空间，着力开拓区域全面经济伙伴关系协定(RCEP)相关国家市场，布局建设海外展贸中心、营销服务网络、海外专场展会等各类贸易</w:t>
      </w:r>
      <w:r>
        <w:rPr>
          <w:rFonts w:hint="eastAsia" w:ascii="仿宋_GB2312" w:hAnsi="DengXian" w:eastAsia="仿宋_GB2312"/>
          <w:sz w:val="30"/>
          <w:szCs w:val="30"/>
        </w:rPr>
        <w:t>平台</w:t>
      </w:r>
      <w:r>
        <w:rPr>
          <w:rFonts w:hint="eastAsia" w:ascii="仿宋_GB2312" w:eastAsia="仿宋_GB2312"/>
          <w:sz w:val="30"/>
          <w:szCs w:val="30"/>
        </w:rPr>
        <w:t>。推动新型外贸平台发展，推动市场采购贸易方式试点、外贸综合服务企业、海外仓等外贸新业态发展，以平台化、数字化等方式壮大发展外贸新业态。高水平建设浙南闽北赣东进口商品集散中心，构建与国际优质进口服务商、供应商等主体的高级别合作机制，做强优质进口商品集散服务。支持外贸新渠道开拓，全面推动“义新欧”等贸易通道建设，高质量打造一批国家级、省级外贸转型升级基地。推动对外贸易产业链和供应链高质量发展，建立重点外贸产业链供应链综合服务平台，支持与全球先进国家与优质企业构建深度合作网络。</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w:t>
            </w:r>
            <w:r>
              <w:rPr>
                <w:rFonts w:ascii="仿宋_GB2312" w:hAnsi="宋体" w:eastAsia="仿宋_GB2312" w:cs="黑体"/>
                <w:b/>
                <w:color w:val="000000"/>
                <w:sz w:val="28"/>
                <w:szCs w:val="28"/>
              </w:rPr>
              <w:t xml:space="preserve">7 </w:t>
            </w:r>
            <w:r>
              <w:rPr>
                <w:rFonts w:hint="eastAsia" w:ascii="仿宋_GB2312" w:hAnsi="宋体" w:eastAsia="仿宋_GB2312" w:cs="黑体"/>
                <w:b/>
                <w:color w:val="000000"/>
                <w:sz w:val="28"/>
                <w:szCs w:val="28"/>
              </w:rPr>
              <w:t>外贸提质增效专项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 推动市场采购贸易方式壮大</w:t>
            </w:r>
            <w:r>
              <w:rPr>
                <w:rFonts w:hint="eastAsia" w:ascii="仿宋_GB2312" w:hAnsi="仿宋" w:eastAsia="仿宋_GB2312" w:cs="仿宋"/>
                <w:bCs/>
                <w:color w:val="000000"/>
                <w:sz w:val="24"/>
                <w:szCs w:val="24"/>
                <w:shd w:val="clear" w:color="080000" w:fill="FFFFFF"/>
              </w:rPr>
              <w:t>。加快市场基础设施和组货基地建设，深化全域联动，加快市场采购贸易与跨境电商、义新欧、外贸综合服务、第三批优势平台融合发展，推动港口、侨贸与市场采购贸易相对接，完善市场采购贸易外汇管理措施，提高市场主体收结汇便利性，规范货值申报，优化通关环境，推动市场采购贸易试点高质量发展</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 建设浙南闽北赣东进口商品集散中心。</w:t>
            </w:r>
            <w:r>
              <w:rPr>
                <w:rFonts w:hint="eastAsia" w:ascii="仿宋_GB2312" w:hAnsi="仿宋" w:eastAsia="仿宋_GB2312" w:cs="仿宋"/>
                <w:bCs/>
                <w:color w:val="000000"/>
                <w:sz w:val="24"/>
                <w:szCs w:val="24"/>
                <w:shd w:val="clear" w:color="080000" w:fill="FFFFFF"/>
              </w:rPr>
              <w:t>推进“一中心一基地多平台”建设，加快建设以瓯海区为核心的进口商品集聚区，建设全球商品贸易港、瑞安侨贸小镇、文成欧陆风情街、瓯江口综合保税区等进口平台。扩大装备和资源型产品进口，推进生产资料保税仓建设，探索建设保税商品展示中心。高水平办好浙江（温州）进口消费品博览会，积极参与中国国际进口博览会，加强进口品牌商品引进，着力开展特色经营，推进线上线下融合发展。支持培育侨贸特色进口商品商业街区，促进消费提升。</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3. 推动外贸集聚区建设。</w:t>
            </w:r>
            <w:r>
              <w:rPr>
                <w:rFonts w:hint="eastAsia" w:ascii="仿宋_GB2312" w:hAnsi="仿宋" w:eastAsia="仿宋_GB2312" w:cs="仿宋"/>
                <w:bCs/>
                <w:color w:val="000000"/>
                <w:sz w:val="24"/>
                <w:szCs w:val="24"/>
                <w:shd w:val="clear" w:color="080000" w:fill="FFFFFF"/>
              </w:rPr>
              <w:t>依托进口贸易促进创新示范区、外贸综合服务平台、国家级外贸转型升级基地、省级外贸转型升级示范试点等平台建设，加强进出口主体培育，推动产品升级、技术升级、制度创新，支持重点进口、出口产业平台创建，打造一批具有鲜明特色和产业优势的外贸集聚区。</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4. 建设“一带一路”营销网络。</w:t>
            </w:r>
            <w:r>
              <w:rPr>
                <w:rFonts w:hint="eastAsia" w:ascii="仿宋_GB2312" w:hAnsi="仿宋" w:eastAsia="仿宋_GB2312" w:cs="仿宋"/>
                <w:bCs/>
                <w:color w:val="000000"/>
                <w:sz w:val="24"/>
                <w:szCs w:val="24"/>
                <w:shd w:val="clear" w:color="080000" w:fill="FFFFFF"/>
              </w:rPr>
              <w:t>主动适应外贸全球化、多元化、中小型化发展趋势，以品牌和技术为支撑，建设“一带一路”国家产品展示、营销与交易中心，发展合作商业网点，完善国际物流与海外仓等基础设施建设，强化风险管控体系建设，全面深化“一带一路”市场潜力开发。</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5. 提升“义新欧”温州班列平台。</w:t>
            </w:r>
            <w:r>
              <w:rPr>
                <w:rFonts w:hint="eastAsia" w:ascii="仿宋_GB2312" w:hAnsi="仿宋" w:eastAsia="仿宋_GB2312" w:cs="仿宋"/>
                <w:bCs/>
                <w:color w:val="000000"/>
                <w:sz w:val="24"/>
                <w:szCs w:val="24"/>
                <w:shd w:val="clear" w:color="080000" w:fill="FFFFFF"/>
              </w:rPr>
              <w:t>完善温州监管作业场所建设，优化提升通关便利化水平，做强温州铁路口岸。以“政府支持+企业运营”的模式，加强周边货源集聚，依托侨商优势做强海外货源组织，大力发展温州组货直发班列，创新“义新欧+跨境电商”模式，依托班列做强出口，形成进口贸易竞争优势，构建长效市场化发展机制。</w:t>
            </w:r>
          </w:p>
        </w:tc>
      </w:tr>
    </w:tbl>
    <w:p>
      <w:pPr>
        <w:spacing w:line="560" w:lineRule="exact"/>
        <w:ind w:firstLine="602" w:firstLineChars="200"/>
        <w:outlineLvl w:val="2"/>
        <w:rPr>
          <w:rFonts w:ascii="楷体" w:hAnsi="楷体" w:eastAsia="楷体"/>
          <w:b/>
          <w:sz w:val="30"/>
          <w:szCs w:val="30"/>
        </w:rPr>
      </w:pPr>
      <w:bookmarkStart w:id="28" w:name="_Toc74756874"/>
      <w:r>
        <w:rPr>
          <w:rFonts w:ascii="楷体" w:hAnsi="楷体" w:eastAsia="楷体"/>
          <w:b/>
          <w:sz w:val="30"/>
          <w:szCs w:val="30"/>
        </w:rPr>
        <w:t>2</w:t>
      </w:r>
      <w:r>
        <w:rPr>
          <w:rFonts w:hint="eastAsia" w:ascii="楷体" w:hAnsi="楷体" w:eastAsia="楷体"/>
          <w:b/>
          <w:sz w:val="30"/>
          <w:szCs w:val="30"/>
        </w:rPr>
        <w:t>、创新拓展服务贸易</w:t>
      </w:r>
      <w:bookmarkEnd w:id="28"/>
    </w:p>
    <w:p>
      <w:pPr>
        <w:spacing w:line="560" w:lineRule="exact"/>
        <w:ind w:firstLine="600" w:firstLineChars="200"/>
        <w:rPr>
          <w:rFonts w:ascii="楷体" w:hAnsi="楷体" w:eastAsia="楷体"/>
          <w:b/>
          <w:sz w:val="30"/>
          <w:szCs w:val="30"/>
        </w:rPr>
      </w:pPr>
      <w:r>
        <w:rPr>
          <w:rFonts w:hint="eastAsia" w:ascii="仿宋_GB2312" w:eastAsia="仿宋_GB2312"/>
          <w:sz w:val="30"/>
          <w:szCs w:val="30"/>
        </w:rPr>
        <w:t>加强服务贸易重视度，争取省级服务贸易试点，加大教育、卫生、保险等服务贸易领域开放力度，推动服务标准对接、服务资格资质互认。</w:t>
      </w:r>
      <w:r>
        <w:rPr>
          <w:rFonts w:hint="eastAsia" w:ascii="仿宋_GB2312" w:hAnsi="DengXian" w:eastAsia="仿宋_GB2312"/>
          <w:sz w:val="30"/>
          <w:szCs w:val="30"/>
        </w:rPr>
        <w:t>推进</w:t>
      </w:r>
      <w:r>
        <w:rPr>
          <w:rFonts w:hint="eastAsia" w:ascii="仿宋_GB2312" w:eastAsia="仿宋_GB2312"/>
          <w:sz w:val="30"/>
          <w:szCs w:val="30"/>
        </w:rPr>
        <w:t>服务贸易聚集区建设，做大与货物贸易、对外投资相配套的服务贸易业态，创新发展数字化服务贸易，培育发展跨境电子商务、供应链管理、服务外包和云众包、数字贸易等新型服务业态。开拓“一带一路”服务贸易新市场，构建服务贸易新格局。</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w:t>
            </w:r>
            <w:r>
              <w:rPr>
                <w:rFonts w:ascii="仿宋_GB2312" w:hAnsi="宋体" w:eastAsia="仿宋_GB2312" w:cs="黑体"/>
                <w:b/>
                <w:color w:val="000000"/>
                <w:sz w:val="28"/>
                <w:szCs w:val="28"/>
              </w:rPr>
              <w:t xml:space="preserve">8 </w:t>
            </w:r>
            <w:r>
              <w:rPr>
                <w:rFonts w:hint="eastAsia" w:ascii="仿宋_GB2312" w:hAnsi="宋体" w:eastAsia="仿宋_GB2312" w:cs="黑体"/>
                <w:b/>
                <w:color w:val="000000"/>
                <w:sz w:val="28"/>
                <w:szCs w:val="28"/>
              </w:rPr>
              <w:t>服务贸易发展专项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 推动服务贸易示范区建设。</w:t>
            </w:r>
            <w:r>
              <w:rPr>
                <w:rFonts w:hint="eastAsia" w:ascii="仿宋_GB2312" w:hAnsi="仿宋" w:eastAsia="仿宋_GB2312" w:cs="仿宋"/>
                <w:bCs/>
                <w:color w:val="000000"/>
                <w:sz w:val="24"/>
                <w:szCs w:val="24"/>
                <w:shd w:val="clear" w:color="080000" w:fill="FFFFFF"/>
              </w:rPr>
              <w:t>围绕温州综合保税区等载体平台，推动创建服务贸易创新试点城市、服务外包试点城市、国家文化出口基地等试点示范区建设，探索服务贸易开放与便利化措施，支持服务贸易业态创新，引导服务贸易企业集聚化、规模化发展。</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 创建服务外包公共服务平台。</w:t>
            </w:r>
            <w:r>
              <w:rPr>
                <w:rFonts w:hint="eastAsia" w:ascii="仿宋_GB2312" w:hAnsi="仿宋" w:eastAsia="仿宋_GB2312" w:cs="仿宋"/>
                <w:bCs/>
                <w:color w:val="000000"/>
                <w:sz w:val="24"/>
                <w:szCs w:val="24"/>
                <w:shd w:val="clear" w:color="080000" w:fill="FFFFFF"/>
              </w:rPr>
              <w:t>围绕工业设计外包、工程技术外包、信息技术外包等业态，建设服务外包公共服务平台，推动研发设计、数据分析和挖掘、整体解决方案、系统设计服务等高附加值服务发展。</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3. 打造数字贸易示范区。</w:t>
            </w:r>
            <w:r>
              <w:rPr>
                <w:rFonts w:hint="eastAsia" w:ascii="仿宋_GB2312" w:hAnsi="仿宋" w:eastAsia="仿宋_GB2312" w:cs="仿宋"/>
                <w:bCs/>
                <w:color w:val="000000"/>
                <w:sz w:val="24"/>
                <w:szCs w:val="24"/>
                <w:shd w:val="clear" w:color="080000" w:fill="FFFFFF"/>
              </w:rPr>
              <w:t>依托龙湾新型数字贸易港等建设，打造若干以数字贸易为发展重点的服务贸易示范区，搭建一体化数字服务体系，围绕跨境电子商务、数字内容、信息技术等领域，引育数字贸易骨干企业，做大数字贸易产业集群，做强集聚效应。</w:t>
            </w:r>
          </w:p>
        </w:tc>
      </w:tr>
    </w:tbl>
    <w:p>
      <w:pPr>
        <w:spacing w:line="560" w:lineRule="exact"/>
        <w:ind w:firstLine="602" w:firstLineChars="200"/>
        <w:outlineLvl w:val="2"/>
        <w:rPr>
          <w:rFonts w:ascii="楷体" w:hAnsi="楷体" w:eastAsia="楷体"/>
          <w:b/>
          <w:sz w:val="30"/>
          <w:szCs w:val="30"/>
        </w:rPr>
      </w:pPr>
      <w:bookmarkStart w:id="29" w:name="_Toc74756875"/>
      <w:r>
        <w:rPr>
          <w:rFonts w:ascii="楷体" w:hAnsi="楷体" w:eastAsia="楷体"/>
          <w:b/>
          <w:sz w:val="30"/>
          <w:szCs w:val="30"/>
        </w:rPr>
        <w:t>3</w:t>
      </w:r>
      <w:r>
        <w:rPr>
          <w:rFonts w:hint="eastAsia" w:ascii="楷体" w:hAnsi="楷体" w:eastAsia="楷体"/>
          <w:b/>
          <w:sz w:val="30"/>
          <w:szCs w:val="30"/>
        </w:rPr>
        <w:t>、提升对外开放水平</w:t>
      </w:r>
      <w:bookmarkEnd w:id="29"/>
    </w:p>
    <w:p>
      <w:pPr>
        <w:spacing w:line="560" w:lineRule="exact"/>
        <w:ind w:firstLine="600" w:firstLineChars="200"/>
        <w:rPr>
          <w:rFonts w:ascii="仿宋_GB2312" w:eastAsia="仿宋_GB2312"/>
          <w:sz w:val="30"/>
          <w:szCs w:val="30"/>
        </w:rPr>
      </w:pPr>
      <w:r>
        <w:rPr>
          <w:rFonts w:hint="eastAsia" w:ascii="仿宋_GB2312" w:eastAsia="仿宋_GB2312"/>
          <w:sz w:val="30"/>
          <w:szCs w:val="30"/>
        </w:rPr>
        <w:t>加强顶层设计与集中发力，围绕温州华侨华商、浙南闽北赣东等区位特色打造对外开放核心主平台，强化与上位政府与机构的对接水平，主动参与区域性自贸协定、投资协定等国际合作战略体系建设，全面提升主平台能级，形成对外开放优势资源的高效集成。加强资本技术密集产业的对外开放，有序深化</w:t>
      </w:r>
      <w:r>
        <w:rPr>
          <w:rFonts w:ascii="仿宋_GB2312" w:eastAsia="仿宋_GB2312"/>
          <w:sz w:val="30"/>
          <w:szCs w:val="30"/>
        </w:rPr>
        <w:t>“5+5”</w:t>
      </w:r>
      <w:r>
        <w:rPr>
          <w:rFonts w:hint="eastAsia" w:ascii="仿宋_GB2312" w:eastAsia="仿宋_GB2312"/>
          <w:sz w:val="30"/>
          <w:szCs w:val="30"/>
        </w:rPr>
        <w:t>产业领域的对外开放发展水平。围绕西欧、中亚、非洲等区域加强对外开放新通道建设。</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w:t>
            </w:r>
            <w:r>
              <w:rPr>
                <w:rFonts w:ascii="仿宋_GB2312" w:hAnsi="宋体" w:eastAsia="仿宋_GB2312" w:cs="黑体"/>
                <w:b/>
                <w:color w:val="000000"/>
                <w:sz w:val="28"/>
                <w:szCs w:val="28"/>
              </w:rPr>
              <w:t>9</w:t>
            </w:r>
            <w:r>
              <w:rPr>
                <w:rFonts w:hint="eastAsia" w:ascii="仿宋_GB2312" w:hAnsi="宋体" w:eastAsia="仿宋_GB2312" w:cs="黑体"/>
                <w:b/>
                <w:color w:val="000000"/>
                <w:sz w:val="28"/>
                <w:szCs w:val="28"/>
              </w:rPr>
              <w:t xml:space="preserve"> 对外开放提升专项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 建设对外开放重大平台。</w:t>
            </w:r>
            <w:r>
              <w:rPr>
                <w:rFonts w:hint="eastAsia" w:ascii="仿宋_GB2312" w:hAnsi="仿宋" w:eastAsia="仿宋_GB2312" w:cs="仿宋"/>
                <w:bCs/>
                <w:color w:val="000000"/>
                <w:sz w:val="24"/>
                <w:szCs w:val="24"/>
                <w:shd w:val="clear" w:color="080000" w:fill="FFFFFF"/>
              </w:rPr>
              <w:t>以中国（温州）华商华侨综合发展先行区为核心依托，以自由贸易区试验区温州联动创新区、温州综合保税区等平台建设为支撑，形成“1</w:t>
            </w:r>
            <w:r>
              <w:rPr>
                <w:rFonts w:ascii="仿宋_GB2312" w:hAnsi="仿宋" w:eastAsia="仿宋_GB2312" w:cs="仿宋"/>
                <w:bCs/>
                <w:color w:val="000000"/>
                <w:sz w:val="24"/>
                <w:szCs w:val="24"/>
                <w:shd w:val="clear" w:color="080000" w:fill="FFFFFF"/>
              </w:rPr>
              <w:t>+</w:t>
            </w:r>
            <w:r>
              <w:rPr>
                <w:rFonts w:hint="eastAsia" w:ascii="仿宋_GB2312" w:hAnsi="仿宋" w:eastAsia="仿宋_GB2312" w:cs="仿宋"/>
                <w:bCs/>
                <w:color w:val="000000"/>
                <w:sz w:val="24"/>
                <w:szCs w:val="24"/>
                <w:shd w:val="clear" w:color="080000" w:fill="FFFFFF"/>
              </w:rPr>
              <w:t>N”的对外开放平台体系，全面助力温州对外开放高质量发展。</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ascii="仿宋_GB2312" w:hAnsi="仿宋" w:eastAsia="仿宋_GB2312" w:cs="仿宋"/>
                <w:b/>
                <w:bCs/>
                <w:color w:val="000000"/>
                <w:sz w:val="24"/>
                <w:szCs w:val="24"/>
                <w:shd w:val="clear" w:color="080000" w:fill="FFFFFF"/>
              </w:rPr>
              <w:t>2</w:t>
            </w:r>
            <w:r>
              <w:rPr>
                <w:rFonts w:hint="eastAsia" w:ascii="仿宋_GB2312" w:hAnsi="仿宋" w:eastAsia="仿宋_GB2312" w:cs="仿宋"/>
                <w:b/>
                <w:bCs/>
                <w:color w:val="000000"/>
                <w:sz w:val="24"/>
                <w:szCs w:val="24"/>
                <w:shd w:val="clear" w:color="080000" w:fill="FFFFFF"/>
              </w:rPr>
              <w:t>. 深化关键要素开放水平。</w:t>
            </w:r>
            <w:r>
              <w:rPr>
                <w:rFonts w:hint="eastAsia" w:ascii="仿宋_GB2312" w:hAnsi="仿宋" w:eastAsia="仿宋_GB2312" w:cs="仿宋"/>
                <w:bCs/>
                <w:color w:val="000000"/>
                <w:sz w:val="24"/>
                <w:szCs w:val="24"/>
                <w:shd w:val="clear" w:color="080000" w:fill="FFFFFF"/>
              </w:rPr>
              <w:t>围绕“5</w:t>
            </w:r>
            <w:r>
              <w:rPr>
                <w:rFonts w:ascii="仿宋_GB2312" w:hAnsi="仿宋" w:eastAsia="仿宋_GB2312" w:cs="仿宋"/>
                <w:bCs/>
                <w:color w:val="000000"/>
                <w:sz w:val="24"/>
                <w:szCs w:val="24"/>
                <w:shd w:val="clear" w:color="080000" w:fill="FFFFFF"/>
              </w:rPr>
              <w:t>+5</w:t>
            </w:r>
            <w:r>
              <w:rPr>
                <w:rFonts w:hint="eastAsia" w:ascii="仿宋_GB2312" w:hAnsi="仿宋" w:eastAsia="仿宋_GB2312" w:cs="仿宋"/>
                <w:bCs/>
                <w:color w:val="000000"/>
                <w:sz w:val="24"/>
                <w:szCs w:val="24"/>
                <w:shd w:val="clear" w:color="080000" w:fill="FFFFFF"/>
              </w:rPr>
              <w:t>”与现代服务业相关领域，以科技创新要素、高端人才要素、金融要素为重点，引入国际一流科技创新资源，深入开展国际科技创新合作，建设一批国际水平的科研机构，加强大科学装置建设；加大海外人才引进力度，出台系列性海外引才计划，实施以才引才、柔性引才等政策，建设一批国际学校、国际医院和国际人才社区，积极发展国际新友城；加大对国际知名金融机构、上市公司投融资总部的开放程度，推动知名主体落户。</w:t>
            </w:r>
          </w:p>
          <w:p>
            <w:pPr>
              <w:spacing w:line="400" w:lineRule="exact"/>
              <w:ind w:firstLine="482" w:firstLineChars="200"/>
              <w:jc w:val="left"/>
              <w:rPr>
                <w:rFonts w:ascii="仿宋_GB2312" w:hAnsi="仿宋" w:eastAsia="仿宋_GB2312" w:cs="仿宋"/>
                <w:b/>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3</w:t>
            </w:r>
            <w:r>
              <w:rPr>
                <w:rFonts w:ascii="仿宋_GB2312" w:hAnsi="仿宋" w:eastAsia="仿宋_GB2312" w:cs="仿宋"/>
                <w:b/>
                <w:bCs/>
                <w:color w:val="000000"/>
                <w:sz w:val="24"/>
                <w:szCs w:val="24"/>
                <w:shd w:val="clear" w:color="080000" w:fill="FFFFFF"/>
              </w:rPr>
              <w:t xml:space="preserve">. </w:t>
            </w:r>
            <w:r>
              <w:rPr>
                <w:rFonts w:hint="eastAsia" w:ascii="仿宋_GB2312" w:hAnsi="仿宋" w:eastAsia="仿宋_GB2312" w:cs="仿宋"/>
                <w:b/>
                <w:bCs/>
                <w:color w:val="000000"/>
                <w:sz w:val="24"/>
                <w:szCs w:val="24"/>
                <w:shd w:val="clear" w:color="080000" w:fill="FFFFFF"/>
              </w:rPr>
              <w:t>制定对外开放新政策。</w:t>
            </w:r>
            <w:r>
              <w:rPr>
                <w:rFonts w:hint="eastAsia" w:ascii="仿宋_GB2312" w:hAnsi="仿宋" w:eastAsia="仿宋_GB2312" w:cs="仿宋"/>
                <w:bCs/>
                <w:color w:val="000000"/>
                <w:sz w:val="24"/>
                <w:szCs w:val="24"/>
                <w:shd w:val="clear" w:color="080000" w:fill="FFFFFF"/>
              </w:rPr>
              <w:t>围绕促进外资增长、优化外贸发展、强化国际产能精准合作、加强国际人才引智等领域，制定出台一批具有温州特色、突出温州优势的对外开放属地政策。</w:t>
            </w:r>
          </w:p>
        </w:tc>
      </w:tr>
    </w:tbl>
    <w:p>
      <w:pPr>
        <w:spacing w:line="560" w:lineRule="exact"/>
        <w:ind w:firstLine="602" w:firstLineChars="200"/>
        <w:outlineLvl w:val="2"/>
        <w:rPr>
          <w:rFonts w:ascii="楷体" w:hAnsi="楷体" w:eastAsia="楷体"/>
          <w:b/>
          <w:color w:val="000000"/>
          <w:sz w:val="30"/>
          <w:szCs w:val="30"/>
        </w:rPr>
      </w:pPr>
      <w:bookmarkStart w:id="30" w:name="_Toc74756876"/>
      <w:r>
        <w:rPr>
          <w:rFonts w:ascii="楷体" w:hAnsi="楷体" w:eastAsia="楷体"/>
          <w:b/>
          <w:color w:val="000000"/>
          <w:sz w:val="30"/>
          <w:szCs w:val="30"/>
        </w:rPr>
        <w:t>4</w:t>
      </w:r>
      <w:r>
        <w:rPr>
          <w:rFonts w:hint="eastAsia" w:ascii="楷体" w:hAnsi="楷体" w:eastAsia="楷体"/>
          <w:b/>
          <w:color w:val="000000"/>
          <w:sz w:val="30"/>
          <w:szCs w:val="30"/>
        </w:rPr>
        <w:t>、加强对外投资合作</w:t>
      </w:r>
      <w:bookmarkEnd w:id="30"/>
    </w:p>
    <w:p>
      <w:pPr>
        <w:spacing w:line="560" w:lineRule="exact"/>
        <w:ind w:firstLine="600" w:firstLineChars="200"/>
        <w:rPr>
          <w:rFonts w:ascii="仿宋_GB2312" w:eastAsia="仿宋_GB2312"/>
          <w:sz w:val="30"/>
          <w:szCs w:val="30"/>
        </w:rPr>
      </w:pPr>
      <w:r>
        <w:rPr>
          <w:rFonts w:hint="eastAsia" w:ascii="仿宋_GB2312" w:eastAsia="仿宋_GB2312"/>
          <w:color w:val="000000"/>
          <w:sz w:val="30"/>
          <w:szCs w:val="30"/>
        </w:rPr>
        <w:t>全面</w:t>
      </w:r>
      <w:r>
        <w:rPr>
          <w:rFonts w:hint="eastAsia" w:ascii="仿宋_GB2312" w:eastAsia="仿宋_GB2312"/>
          <w:sz w:val="30"/>
          <w:szCs w:val="30"/>
        </w:rPr>
        <w:t>提升对外投资发展水平和质量，深化高端制造、现代信息产业国际精准产能合作，推动优势企业“走出去”，建设温州制造海外生产网络基地，用好全球资源、开发全球市场。推进境外经贸合作区高质量发展，加强国家级、省级境外经贸合作区建设。布局</w:t>
      </w:r>
      <w:r>
        <w:rPr>
          <w:rFonts w:hint="eastAsia" w:ascii="仿宋_GB2312" w:hAnsi="DengXian" w:eastAsia="仿宋_GB2312"/>
          <w:sz w:val="30"/>
          <w:szCs w:val="30"/>
        </w:rPr>
        <w:t>“一带一路”</w:t>
      </w:r>
      <w:r>
        <w:rPr>
          <w:rFonts w:hint="eastAsia" w:ascii="仿宋_GB2312" w:eastAsia="仿宋_GB2312"/>
          <w:sz w:val="30"/>
          <w:szCs w:val="30"/>
        </w:rPr>
        <w:t>沿线国家投资项目，加快与沿线国家部门和重要经贸节点城市等签署经贸合作协议和备忘录，推动跨国并购、投资设厂、境外营销网络建设、对外工程承包等投资合作方式加快发展。推动温州境外外经贸综合服务体系建设，以重点地区为突破点，提升融资、信息咨询、运营、应急管理等服务水平。推动本土跨国经营企业培育，全面提升企业全球范围内资源要素配置能力。</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w:t>
            </w:r>
            <w:r>
              <w:rPr>
                <w:rFonts w:ascii="仿宋_GB2312" w:hAnsi="宋体" w:eastAsia="仿宋_GB2312" w:cs="黑体"/>
                <w:b/>
                <w:color w:val="000000"/>
                <w:sz w:val="28"/>
                <w:szCs w:val="28"/>
              </w:rPr>
              <w:t>10</w:t>
            </w:r>
            <w:r>
              <w:rPr>
                <w:rFonts w:hint="eastAsia" w:ascii="仿宋_GB2312" w:hAnsi="宋体" w:eastAsia="仿宋_GB2312" w:cs="黑体"/>
                <w:b/>
                <w:color w:val="000000"/>
                <w:sz w:val="28"/>
                <w:szCs w:val="28"/>
              </w:rPr>
              <w:t xml:space="preserve"> 对外投资合作提升专项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 开展国际精准产能项目合作。</w:t>
            </w:r>
            <w:r>
              <w:rPr>
                <w:rFonts w:hint="eastAsia" w:ascii="仿宋_GB2312" w:hAnsi="仿宋" w:eastAsia="仿宋_GB2312" w:cs="仿宋"/>
                <w:bCs/>
                <w:color w:val="000000"/>
                <w:sz w:val="24"/>
                <w:szCs w:val="24"/>
                <w:shd w:val="clear" w:color="080000" w:fill="FFFFFF"/>
              </w:rPr>
              <w:t>着力开展工业和信息化全球精准合作，建设若干产业高端、布局合理的全球精准合作平台，瞄准产业未来发展方向，推动实施一批具有全球性、战略性、前瞻性的国际产能合作项目。</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2．推动境外经贸合作区提升。</w:t>
            </w:r>
            <w:r>
              <w:rPr>
                <w:rFonts w:hint="eastAsia" w:ascii="仿宋_GB2312" w:hAnsi="仿宋" w:eastAsia="仿宋_GB2312" w:cs="仿宋"/>
                <w:bCs/>
                <w:color w:val="000000"/>
                <w:sz w:val="24"/>
                <w:szCs w:val="24"/>
                <w:shd w:val="clear" w:color="080000" w:fill="FFFFFF"/>
              </w:rPr>
              <w:t>提升境外经贸合作区建设质量，推动印尼纬达贝工业园等建设成为国家级境外经贸合作区。拓展建设越南龙江、俄罗斯乌苏里斯克、乌兹别克斯坦鹏盛等国家级境外经贸合作区。支持企业在“一带一路”沿线国家投资新建经贸合作区。</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3. 培育对外承包工程企业。</w:t>
            </w:r>
            <w:r>
              <w:rPr>
                <w:rFonts w:hint="eastAsia" w:ascii="仿宋_GB2312" w:hAnsi="仿宋" w:eastAsia="仿宋_GB2312" w:cs="仿宋"/>
                <w:bCs/>
                <w:color w:val="000000"/>
                <w:sz w:val="24"/>
                <w:szCs w:val="24"/>
                <w:shd w:val="clear" w:color="080000" w:fill="FFFFFF"/>
              </w:rPr>
              <w:t>构建与央企、行业领先工程企业的合作，开展联盟拓市。培育一批具有对外承包工程经营资格和能力的企业，鼓励有资质的工程企业积极开展对外承包工程业务，提升对外承包工程经营能力，壮大对外承包工程主体队伍。</w:t>
            </w:r>
          </w:p>
          <w:p>
            <w:pPr>
              <w:spacing w:line="400" w:lineRule="exact"/>
              <w:ind w:firstLine="482" w:firstLineChars="200"/>
              <w:jc w:val="left"/>
              <w:rPr>
                <w:rFonts w:ascii="仿宋_GB2312" w:hAnsi="仿宋" w:eastAsia="仿宋_GB2312" w:cs="仿宋"/>
                <w:b/>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4. 推动跨国公司培育。</w:t>
            </w:r>
            <w:r>
              <w:rPr>
                <w:rFonts w:hint="eastAsia" w:ascii="仿宋_GB2312" w:hAnsi="仿宋" w:eastAsia="仿宋_GB2312" w:cs="仿宋"/>
                <w:bCs/>
                <w:color w:val="000000"/>
                <w:sz w:val="24"/>
                <w:szCs w:val="24"/>
                <w:shd w:val="clear" w:color="080000" w:fill="FFFFFF"/>
              </w:rPr>
              <w:t>完善跨国经营统计监测平台和跨国公司培育库建设，加强培育库对象跟踪与服务，培育具有较强国际竞争力、品牌影响力、全球布局力的领军型本土跨国公司</w:t>
            </w:r>
            <w:r>
              <w:rPr>
                <w:rFonts w:ascii="仿宋_GB2312" w:hAnsi="仿宋" w:eastAsia="仿宋_GB2312" w:cs="仿宋"/>
                <w:bCs/>
                <w:color w:val="000000"/>
                <w:sz w:val="24"/>
                <w:szCs w:val="24"/>
                <w:shd w:val="clear" w:color="080000" w:fill="FFFFFF"/>
              </w:rPr>
              <w:t>2</w:t>
            </w:r>
            <w:r>
              <w:rPr>
                <w:rFonts w:hint="eastAsia" w:ascii="仿宋_GB2312" w:hAnsi="仿宋" w:eastAsia="仿宋_GB2312" w:cs="仿宋"/>
                <w:bCs/>
                <w:color w:val="000000"/>
                <w:sz w:val="24"/>
                <w:szCs w:val="24"/>
                <w:shd w:val="clear" w:color="080000" w:fill="FFFFFF"/>
              </w:rPr>
              <w:t>家。</w:t>
            </w:r>
          </w:p>
        </w:tc>
      </w:tr>
    </w:tbl>
    <w:p>
      <w:pPr>
        <w:spacing w:line="560" w:lineRule="exact"/>
        <w:ind w:firstLine="602" w:firstLineChars="200"/>
        <w:outlineLvl w:val="2"/>
        <w:rPr>
          <w:rFonts w:ascii="楷体" w:hAnsi="楷体" w:eastAsia="楷体"/>
          <w:b/>
          <w:sz w:val="30"/>
          <w:szCs w:val="30"/>
        </w:rPr>
      </w:pPr>
      <w:bookmarkStart w:id="31" w:name="_Toc74756877"/>
      <w:r>
        <w:rPr>
          <w:rFonts w:hint="eastAsia" w:ascii="楷体" w:hAnsi="楷体" w:eastAsia="楷体"/>
          <w:b/>
          <w:sz w:val="30"/>
          <w:szCs w:val="30"/>
        </w:rPr>
        <w:t>5、推动开发区改革突破</w:t>
      </w:r>
      <w:bookmarkEnd w:id="31"/>
    </w:p>
    <w:p>
      <w:pPr>
        <w:spacing w:line="560" w:lineRule="exact"/>
        <w:ind w:firstLine="600" w:firstLineChars="200"/>
        <w:rPr>
          <w:rFonts w:ascii="仿宋_GB2312" w:eastAsia="仿宋_GB2312"/>
          <w:sz w:val="30"/>
          <w:szCs w:val="30"/>
        </w:rPr>
      </w:pPr>
      <w:r>
        <w:rPr>
          <w:rFonts w:hint="eastAsia" w:ascii="仿宋_GB2312" w:eastAsia="仿宋_GB2312"/>
          <w:sz w:val="30"/>
          <w:szCs w:val="30"/>
        </w:rPr>
        <w:t>按照“一个突破、两个提升、四个一批”的要求，聚力系统性重构、创新性变革，深度推进全市开发区（园区）整合提升，强化特色发展、差异化发展，全面做强若干高能级战略平台和高质量骨干平台，突出开发区（园区）经济功能，打造形成独特竞争优势。推动经济开发区（园区）创新提升发展，形成相对集中连片的“一个平台”、管理运行独立权威的“一个主体”、集中统筹协同高效的“一套班子”。完善开发区综合评价机制，建立多元化投资主体建设机制，建立指标分成、税收分享等合作</w:t>
      </w:r>
      <w:r>
        <w:rPr>
          <w:rFonts w:hint="eastAsia" w:ascii="仿宋_GB2312" w:hAnsi="DengXian" w:eastAsia="仿宋_GB2312"/>
          <w:sz w:val="30"/>
          <w:szCs w:val="30"/>
        </w:rPr>
        <w:t>共享</w:t>
      </w:r>
      <w:r>
        <w:rPr>
          <w:rFonts w:hint="eastAsia" w:ascii="仿宋_GB2312" w:eastAsia="仿宋_GB2312"/>
          <w:sz w:val="30"/>
          <w:szCs w:val="30"/>
        </w:rPr>
        <w:t>机制，主动协助做好开发区（园区）有序淘汰撤销工作。建立开发区工作容错免责机制，全面激发干部工作积极性、主动性。加大国家经济开发区、省级经济开发区、省级“美丽园区”、省级国际合作园区等产业平台培育力度。推进开发区跨区域合作，着力国别园区建设。</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w:t>
            </w:r>
            <w:r>
              <w:rPr>
                <w:rFonts w:ascii="仿宋_GB2312" w:hAnsi="宋体" w:eastAsia="仿宋_GB2312" w:cs="黑体"/>
                <w:b/>
                <w:color w:val="000000"/>
                <w:sz w:val="28"/>
                <w:szCs w:val="28"/>
              </w:rPr>
              <w:t>11</w:t>
            </w:r>
            <w:r>
              <w:rPr>
                <w:rFonts w:hint="eastAsia" w:ascii="仿宋_GB2312" w:hAnsi="宋体" w:eastAsia="仿宋_GB2312" w:cs="黑体"/>
                <w:b/>
                <w:color w:val="000000"/>
                <w:sz w:val="28"/>
                <w:szCs w:val="28"/>
              </w:rPr>
              <w:t xml:space="preserve"> 开发区改革突破专项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 建设高能级战略平台</w:t>
            </w:r>
            <w:r>
              <w:rPr>
                <w:rFonts w:hint="eastAsia" w:ascii="仿宋_GB2312" w:hAnsi="仿宋" w:eastAsia="仿宋_GB2312" w:cs="仿宋"/>
                <w:bCs/>
                <w:color w:val="000000"/>
                <w:sz w:val="24"/>
                <w:szCs w:val="24"/>
                <w:shd w:val="clear" w:color="080000" w:fill="FFFFFF"/>
              </w:rPr>
              <w:t>。以资源整合、管理创新为突破口，推动东部产业新区、乐清经济开发区（高新区）、瑞安经济开发区（高新区）创建成为“千亿级规模、百亿级税收”的省级高能级战略平台，加快创建温州海洋经济发展示范区。</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 推动国家级省级开发区创建。</w:t>
            </w:r>
            <w:r>
              <w:rPr>
                <w:rFonts w:hint="eastAsia" w:ascii="仿宋_GB2312" w:hAnsi="仿宋" w:eastAsia="仿宋_GB2312" w:cs="仿宋"/>
                <w:bCs/>
                <w:color w:val="000000"/>
                <w:sz w:val="24"/>
                <w:szCs w:val="24"/>
                <w:shd w:val="clear" w:color="080000" w:fill="FFFFFF"/>
              </w:rPr>
              <w:t>强化连片整合，聚焦做强主导产业，优化管理服务，推动乐清、瑞安等经济开发区创建国家级经济开发区。推动温州韩国产业园等创建高级别国际合作园区。扩大省级以上（含省级）经济开发区国际产业园覆盖面。</w:t>
            </w:r>
          </w:p>
        </w:tc>
      </w:tr>
    </w:tbl>
    <w:p>
      <w:pPr>
        <w:adjustRightInd w:val="0"/>
        <w:snapToGrid w:val="0"/>
        <w:spacing w:before="156" w:beforeLines="50" w:after="156" w:afterLines="50" w:line="560" w:lineRule="exact"/>
        <w:ind w:firstLine="643" w:firstLineChars="200"/>
        <w:outlineLvl w:val="1"/>
        <w:rPr>
          <w:rFonts w:ascii="仿宋_GB2312" w:hAnsi="仿宋_GB2312" w:eastAsia="仿宋_GB2312" w:cs="仿宋_GB2312"/>
          <w:b/>
          <w:bCs/>
          <w:kern w:val="0"/>
          <w:sz w:val="32"/>
          <w:szCs w:val="32"/>
        </w:rPr>
      </w:pPr>
      <w:bookmarkStart w:id="32" w:name="_Toc74756878"/>
      <w:r>
        <w:rPr>
          <w:rFonts w:hint="eastAsia" w:ascii="仿宋_GB2312" w:hAnsi="仿宋_GB2312" w:eastAsia="仿宋_GB2312" w:cs="仿宋_GB2312"/>
          <w:b/>
          <w:bCs/>
          <w:kern w:val="0"/>
          <w:sz w:val="32"/>
          <w:szCs w:val="32"/>
        </w:rPr>
        <w:t>（三）高水平建设区域国际会展城市</w:t>
      </w:r>
      <w:bookmarkEnd w:id="32"/>
    </w:p>
    <w:p>
      <w:pPr>
        <w:spacing w:line="560" w:lineRule="exact"/>
        <w:ind w:firstLine="600" w:firstLineChars="200"/>
        <w:rPr>
          <w:rFonts w:ascii="仿宋_GB2312" w:hAnsi="DengXian" w:eastAsia="仿宋_GB2312"/>
          <w:sz w:val="30"/>
          <w:szCs w:val="30"/>
        </w:rPr>
      </w:pPr>
      <w:r>
        <w:rPr>
          <w:rFonts w:hint="eastAsia" w:ascii="仿宋_GB2312" w:hAnsi="DengXian" w:eastAsia="仿宋_GB2312"/>
          <w:sz w:val="30"/>
          <w:szCs w:val="30"/>
        </w:rPr>
        <w:t>积极融入长三角一体化战略，发挥温州人文、产业和市场等优势，围绕具有区域特色的国际会展城市建设，加强会展设施建设，发展国际专业会展，推动市场力量办展，推动会展跨界发展，打造会议新目的地。</w:t>
      </w:r>
    </w:p>
    <w:p>
      <w:pPr>
        <w:spacing w:line="560" w:lineRule="exact"/>
        <w:ind w:firstLine="602" w:firstLineChars="200"/>
        <w:outlineLvl w:val="2"/>
        <w:rPr>
          <w:rFonts w:ascii="楷体" w:hAnsi="楷体" w:eastAsia="楷体"/>
          <w:b/>
          <w:sz w:val="30"/>
          <w:szCs w:val="30"/>
        </w:rPr>
      </w:pPr>
      <w:bookmarkStart w:id="33" w:name="_Toc74756879"/>
      <w:r>
        <w:rPr>
          <w:rFonts w:hint="eastAsia" w:ascii="楷体" w:hAnsi="楷体" w:eastAsia="楷体"/>
          <w:b/>
          <w:sz w:val="30"/>
          <w:szCs w:val="30"/>
        </w:rPr>
        <w:t>1、加强会展设施建设</w:t>
      </w:r>
      <w:bookmarkEnd w:id="33"/>
    </w:p>
    <w:p>
      <w:pPr>
        <w:spacing w:line="560" w:lineRule="exact"/>
        <w:ind w:firstLine="600" w:firstLineChars="200"/>
        <w:rPr>
          <w:rFonts w:ascii="仿宋_GB2312" w:eastAsia="仿宋_GB2312"/>
          <w:sz w:val="30"/>
          <w:szCs w:val="30"/>
        </w:rPr>
      </w:pPr>
      <w:r>
        <w:rPr>
          <w:rFonts w:hint="eastAsia" w:ascii="仿宋_GB2312" w:eastAsia="仿宋_GB2312"/>
          <w:sz w:val="30"/>
          <w:szCs w:val="30"/>
        </w:rPr>
        <w:t>强化顶层设计与组织建设，加强全市会展空间规划，将会展场馆建设纳入新一轮城市总体规划，高水平推进温州国际博览中心等大型专业会展场馆建设，发展集会议、展览、酒店、商场等功能于一体的会展综合体，完善会展场馆交通配套，实现各区、县（市）物资与人员通勤便利，提升会展场馆周边的住宿、餐饮、娱乐、购物等配套服务设施。各区、县（市）有关专业会展场馆建设的可行性方案应严格论证、统一审批，避免资源闲置和无序竞争。</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w:t>
            </w:r>
            <w:r>
              <w:rPr>
                <w:rFonts w:ascii="仿宋_GB2312" w:hAnsi="宋体" w:eastAsia="仿宋_GB2312" w:cs="黑体"/>
                <w:b/>
                <w:color w:val="000000"/>
                <w:sz w:val="28"/>
                <w:szCs w:val="28"/>
              </w:rPr>
              <w:t xml:space="preserve">12 </w:t>
            </w:r>
            <w:r>
              <w:rPr>
                <w:rFonts w:hint="eastAsia" w:ascii="仿宋_GB2312" w:hAnsi="宋体" w:eastAsia="仿宋_GB2312" w:cs="黑体"/>
                <w:b/>
                <w:color w:val="000000"/>
                <w:sz w:val="28"/>
                <w:szCs w:val="28"/>
              </w:rPr>
              <w:t>会展设施建设专项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1.提升会展硬件设施。</w:t>
            </w:r>
            <w:r>
              <w:rPr>
                <w:rFonts w:hint="eastAsia" w:ascii="仿宋_GB2312" w:hAnsi="仿宋" w:eastAsia="仿宋_GB2312" w:cs="仿宋"/>
                <w:bCs/>
                <w:color w:val="000000"/>
                <w:sz w:val="24"/>
                <w:szCs w:val="24"/>
                <w:shd w:val="clear" w:color="080000" w:fill="FFFFFF"/>
              </w:rPr>
              <w:t>高水平推进温州国际博览中心建设，建设专业化的会展中心，集中加强会展硬件设施，实现覆盖各区、县（市）会展资源，构建形成以新会展中心为“单核”的发展格局。</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2.建立会展软性综合服务平台</w:t>
            </w:r>
            <w:r>
              <w:rPr>
                <w:rFonts w:hint="eastAsia" w:ascii="仿宋_GB2312" w:hAnsi="仿宋" w:eastAsia="仿宋_GB2312" w:cs="仿宋"/>
                <w:b/>
                <w:bCs/>
                <w:sz w:val="24"/>
                <w:szCs w:val="24"/>
                <w:shd w:val="clear" w:color="080000" w:fill="FFFFFF"/>
              </w:rPr>
              <w:t>。</w:t>
            </w:r>
            <w:r>
              <w:rPr>
                <w:rFonts w:hint="eastAsia" w:ascii="仿宋_GB2312" w:hAnsi="仿宋" w:eastAsia="仿宋_GB2312" w:cs="仿宋"/>
                <w:sz w:val="24"/>
                <w:szCs w:val="24"/>
                <w:shd w:val="clear" w:color="080000" w:fill="FFFFFF"/>
              </w:rPr>
              <w:t>设置“一机构，一智库，一基金，一政策”综合服务平台，即设立会展业专门管理机构，进一步加强会展行业协会及专家智库团队的建设，设置会展行业发展扶持基金，制定会展行业扶持政策，持续推进会展业各项平台服务；</w:t>
            </w:r>
            <w:r>
              <w:rPr>
                <w:rFonts w:hint="eastAsia" w:ascii="仿宋_GB2312" w:hAnsi="仿宋" w:eastAsia="仿宋_GB2312" w:cs="仿宋"/>
                <w:bCs/>
                <w:sz w:val="24"/>
                <w:szCs w:val="24"/>
                <w:shd w:val="clear" w:color="080000" w:fill="FFFFFF"/>
              </w:rPr>
              <w:t>确立以政府支持、社会组织协助，市场主导为发展主路径，推动会展业高质量发展。</w:t>
            </w:r>
          </w:p>
        </w:tc>
      </w:tr>
    </w:tbl>
    <w:p>
      <w:pPr>
        <w:spacing w:line="560" w:lineRule="exact"/>
        <w:ind w:firstLine="602" w:firstLineChars="200"/>
        <w:outlineLvl w:val="2"/>
        <w:rPr>
          <w:rFonts w:ascii="楷体" w:hAnsi="楷体" w:eastAsia="楷体"/>
          <w:b/>
          <w:sz w:val="30"/>
          <w:szCs w:val="30"/>
        </w:rPr>
      </w:pPr>
      <w:bookmarkStart w:id="34" w:name="_Toc74756880"/>
      <w:r>
        <w:rPr>
          <w:rFonts w:hint="eastAsia" w:ascii="楷体" w:hAnsi="楷体" w:eastAsia="楷体"/>
          <w:b/>
          <w:sz w:val="30"/>
          <w:szCs w:val="30"/>
        </w:rPr>
        <w:t>2、发展国际专业会展</w:t>
      </w:r>
      <w:bookmarkEnd w:id="34"/>
    </w:p>
    <w:p>
      <w:pPr>
        <w:spacing w:line="560" w:lineRule="exact"/>
        <w:ind w:firstLine="600" w:firstLineChars="200"/>
        <w:rPr>
          <w:rFonts w:ascii="仿宋_GB2312" w:eastAsia="仿宋_GB2312"/>
          <w:sz w:val="30"/>
          <w:szCs w:val="30"/>
        </w:rPr>
      </w:pPr>
      <w:r>
        <w:rPr>
          <w:rFonts w:hint="eastAsia" w:ascii="仿宋_GB2312" w:eastAsia="仿宋_GB2312"/>
          <w:sz w:val="30"/>
          <w:szCs w:val="30"/>
        </w:rPr>
        <w:t>大力发展专业会展业，以市场化、专业化、国际化、品牌化、信息化为导向，以立足温州、辐射全球为原则，聚力高规格专业化展会，高标准打造区域国际会展城市，构建形成以专业展为核心，以消费展、高端会议为辅助的三位一体展会发展格局，全面壮大会展业规模与影响。围绕国际皮革鞋材鞋机展览会等会展活动，发展温州会展金名片，打造一批在国际国内有影响力的品牌展会。激发会展业与产业双向带动效应，提升国际皮革、鞋材、鞋机展览会、国际眼镜展览会、机械装备展览会、进口产品博览会等展会级别。加强与国际高水平会展服务机构的合作，招引与培育高水平会展服务商，大力推动境外办展，提升国际化会展发展水平。</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w:t>
            </w:r>
            <w:r>
              <w:rPr>
                <w:rFonts w:ascii="仿宋_GB2312" w:hAnsi="宋体" w:eastAsia="仿宋_GB2312" w:cs="黑体"/>
                <w:b/>
                <w:color w:val="000000"/>
                <w:sz w:val="28"/>
                <w:szCs w:val="28"/>
              </w:rPr>
              <w:t xml:space="preserve">13 </w:t>
            </w:r>
            <w:r>
              <w:rPr>
                <w:rFonts w:hint="eastAsia" w:ascii="仿宋_GB2312" w:hAnsi="宋体" w:eastAsia="仿宋_GB2312" w:cs="黑体"/>
                <w:b/>
                <w:color w:val="000000"/>
                <w:sz w:val="28"/>
                <w:szCs w:val="28"/>
              </w:rPr>
              <w:t>国际专业会展发展专项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DengXian" w:eastAsia="仿宋_GB2312"/>
                <w:sz w:val="24"/>
                <w:szCs w:val="24"/>
              </w:rPr>
            </w:pPr>
            <w:r>
              <w:rPr>
                <w:rFonts w:hint="eastAsia" w:ascii="仿宋_GB2312" w:hAnsi="仿宋" w:eastAsia="仿宋_GB2312" w:cs="仿宋"/>
                <w:b/>
                <w:bCs/>
                <w:color w:val="000000"/>
                <w:sz w:val="24"/>
                <w:szCs w:val="24"/>
                <w:shd w:val="clear" w:color="080000" w:fill="FFFFFF"/>
              </w:rPr>
              <w:t>1. 发展高等级会展。</w:t>
            </w:r>
            <w:r>
              <w:rPr>
                <w:rFonts w:hint="eastAsia" w:ascii="仿宋_GB2312" w:hAnsi="DengXian" w:eastAsia="仿宋_GB2312"/>
                <w:sz w:val="24"/>
                <w:szCs w:val="24"/>
              </w:rPr>
              <w:t>构建会展业“顶级突破、专业为主”的发展格局，围绕“5</w:t>
            </w:r>
            <w:r>
              <w:rPr>
                <w:rFonts w:ascii="仿宋_GB2312" w:hAnsi="DengXian" w:eastAsia="仿宋_GB2312"/>
                <w:sz w:val="24"/>
                <w:szCs w:val="24"/>
              </w:rPr>
              <w:t>+5</w:t>
            </w:r>
            <w:r>
              <w:rPr>
                <w:rFonts w:hint="eastAsia" w:ascii="仿宋_GB2312" w:hAnsi="DengXian" w:eastAsia="仿宋_GB2312"/>
                <w:sz w:val="24"/>
                <w:szCs w:val="24"/>
              </w:rPr>
              <w:t>”重点产业领域，培育1-2个行业性全球顶级展会，引入1个全球顶级展会。推动重大展会开展UFI认证，发展多个自有品牌高等级展会。</w:t>
            </w:r>
          </w:p>
          <w:p>
            <w:pPr>
              <w:spacing w:line="400" w:lineRule="exact"/>
              <w:ind w:firstLine="482" w:firstLineChars="200"/>
              <w:jc w:val="left"/>
              <w:rPr>
                <w:rFonts w:ascii="仿宋_GB2312" w:hAnsi="仿宋" w:eastAsia="仿宋_GB2312" w:cs="仿宋"/>
                <w:bCs/>
                <w:sz w:val="24"/>
                <w:szCs w:val="24"/>
                <w:shd w:val="clear" w:color="080000" w:fill="FFFFFF"/>
              </w:rPr>
            </w:pPr>
            <w:r>
              <w:rPr>
                <w:rFonts w:hint="eastAsia" w:ascii="仿宋_GB2312" w:hAnsi="仿宋" w:eastAsia="仿宋_GB2312" w:cs="仿宋"/>
                <w:b/>
                <w:bCs/>
                <w:sz w:val="24"/>
                <w:szCs w:val="24"/>
                <w:shd w:val="clear" w:color="080000" w:fill="FFFFFF"/>
              </w:rPr>
              <w:t>2. 推动会展+产业联动。</w:t>
            </w:r>
            <w:r>
              <w:rPr>
                <w:rFonts w:hint="eastAsia" w:ascii="仿宋_GB2312" w:hAnsi="仿宋" w:eastAsia="仿宋_GB2312" w:cs="仿宋"/>
                <w:bCs/>
                <w:sz w:val="24"/>
                <w:szCs w:val="24"/>
                <w:shd w:val="clear" w:color="080000" w:fill="FFFFFF"/>
              </w:rPr>
              <w:t>依托温州“5+5”产业领域，开展“一业一展一会”活动，打造电气（高低压）、鞋革/服装、泵阀、汽车及汽车零部件、数字经济、智能装备、新材料新能源及节能产业链、生命健康以及包括眼镜、印刷包装、教玩具、智能锁等一批具有温州特色的专业品牌展会，形成“一产业一品牌”会展产业发展体系，推动优势产业+展会，实现会展+优势产业的融合，打通产业链、供应链，为产业补链、扩链、强链，带动产业发展。通过产业发展再来反哺相应会展的发展，促进会展业的兴旺。</w:t>
            </w:r>
          </w:p>
          <w:p>
            <w:pPr>
              <w:spacing w:line="400" w:lineRule="exact"/>
              <w:ind w:firstLine="482" w:firstLineChars="200"/>
              <w:jc w:val="left"/>
              <w:rPr>
                <w:rFonts w:ascii="仿宋_GB2312" w:hAnsi="仿宋" w:eastAsia="仿宋_GB2312" w:cs="仿宋"/>
                <w:b/>
                <w:bCs/>
                <w:sz w:val="24"/>
                <w:szCs w:val="24"/>
                <w:shd w:val="clear" w:color="080000" w:fill="FFFFFF"/>
              </w:rPr>
            </w:pPr>
            <w:r>
              <w:rPr>
                <w:rFonts w:ascii="仿宋_GB2312" w:hAnsi="仿宋" w:eastAsia="仿宋_GB2312" w:cs="仿宋"/>
                <w:b/>
                <w:bCs/>
                <w:sz w:val="24"/>
                <w:szCs w:val="24"/>
                <w:shd w:val="clear" w:color="080000" w:fill="FFFFFF"/>
              </w:rPr>
              <w:t>3</w:t>
            </w:r>
            <w:r>
              <w:rPr>
                <w:rFonts w:hint="eastAsia" w:ascii="仿宋_GB2312" w:hAnsi="仿宋" w:eastAsia="仿宋_GB2312" w:cs="仿宋"/>
                <w:b/>
                <w:bCs/>
                <w:sz w:val="24"/>
                <w:szCs w:val="24"/>
                <w:shd w:val="clear" w:color="080000" w:fill="FFFFFF"/>
              </w:rPr>
              <w:t>. 加大国际机构引进。</w:t>
            </w:r>
            <w:r>
              <w:rPr>
                <w:rFonts w:hint="eastAsia" w:ascii="仿宋_GB2312" w:hAnsi="仿宋" w:eastAsia="仿宋_GB2312" w:cs="仿宋"/>
                <w:bCs/>
                <w:sz w:val="24"/>
                <w:szCs w:val="24"/>
                <w:shd w:val="clear" w:color="080000" w:fill="FFFFFF"/>
              </w:rPr>
              <w:t>构建与全球展览业协会（UFI）、国际展览与项目协会（IAEE）等机构的合作，加大全球知名会展机构的招引力度，落地设立若干区域性服务中心。</w:t>
            </w:r>
          </w:p>
          <w:p>
            <w:pPr>
              <w:spacing w:line="400" w:lineRule="exact"/>
              <w:ind w:firstLine="482" w:firstLineChars="200"/>
              <w:jc w:val="left"/>
              <w:rPr>
                <w:rFonts w:ascii="仿宋_GB2312" w:hAnsi="仿宋" w:eastAsia="仿宋_GB2312" w:cs="仿宋"/>
                <w:b/>
                <w:bCs/>
                <w:color w:val="000000"/>
                <w:sz w:val="24"/>
                <w:szCs w:val="24"/>
                <w:shd w:val="clear" w:color="080000" w:fill="FFFFFF"/>
              </w:rPr>
            </w:pPr>
            <w:r>
              <w:rPr>
                <w:rFonts w:ascii="仿宋_GB2312" w:hAnsi="仿宋" w:eastAsia="仿宋_GB2312" w:cs="仿宋"/>
                <w:b/>
                <w:bCs/>
                <w:sz w:val="24"/>
                <w:szCs w:val="24"/>
                <w:shd w:val="clear" w:color="080000" w:fill="FFFFFF"/>
              </w:rPr>
              <w:t>4</w:t>
            </w:r>
            <w:r>
              <w:rPr>
                <w:rFonts w:hint="eastAsia" w:ascii="仿宋_GB2312" w:hAnsi="仿宋" w:eastAsia="仿宋_GB2312" w:cs="仿宋"/>
                <w:b/>
                <w:bCs/>
                <w:sz w:val="24"/>
                <w:szCs w:val="24"/>
                <w:shd w:val="clear" w:color="080000" w:fill="FFFFFF"/>
              </w:rPr>
              <w:t>.</w:t>
            </w:r>
            <w:r>
              <w:rPr>
                <w:rFonts w:ascii="仿宋_GB2312" w:hAnsi="仿宋" w:eastAsia="仿宋_GB2312" w:cs="仿宋"/>
                <w:b/>
                <w:bCs/>
                <w:sz w:val="24"/>
                <w:szCs w:val="24"/>
                <w:shd w:val="clear" w:color="080000" w:fill="FFFFFF"/>
              </w:rPr>
              <w:t xml:space="preserve"> </w:t>
            </w:r>
            <w:r>
              <w:rPr>
                <w:rFonts w:hint="eastAsia" w:ascii="仿宋_GB2312" w:hAnsi="仿宋" w:eastAsia="仿宋_GB2312" w:cs="仿宋"/>
                <w:b/>
                <w:bCs/>
                <w:sz w:val="24"/>
                <w:szCs w:val="24"/>
                <w:shd w:val="clear" w:color="080000" w:fill="FFFFFF"/>
              </w:rPr>
              <w:t>加强温州会展推介。</w:t>
            </w:r>
            <w:r>
              <w:rPr>
                <w:rFonts w:hint="eastAsia" w:ascii="仿宋_GB2312" w:hAnsi="仿宋" w:eastAsia="仿宋_GB2312" w:cs="仿宋"/>
                <w:sz w:val="24"/>
                <w:szCs w:val="24"/>
                <w:shd w:val="clear" w:color="080000" w:fill="FFFFFF"/>
              </w:rPr>
              <w:t>建立统一的温州会展宣传平台，设计温州会展统一形象，加强国内外专题宣传力度，制定支持展会主体开展国际宣传的支持政策，创新发展云推介，建立会展宣传与城市宣传的协同机制</w:t>
            </w:r>
            <w:r>
              <w:rPr>
                <w:rFonts w:hint="eastAsia" w:ascii="仿宋_GB2312" w:hAnsi="仿宋" w:eastAsia="仿宋_GB2312" w:cs="仿宋"/>
                <w:color w:val="000000"/>
                <w:sz w:val="24"/>
                <w:szCs w:val="24"/>
                <w:shd w:val="clear" w:color="080000" w:fill="FFFFFF"/>
              </w:rPr>
              <w:t>。</w:t>
            </w:r>
          </w:p>
        </w:tc>
      </w:tr>
    </w:tbl>
    <w:p>
      <w:pPr>
        <w:spacing w:line="560" w:lineRule="exact"/>
        <w:ind w:firstLine="602" w:firstLineChars="200"/>
        <w:outlineLvl w:val="2"/>
        <w:rPr>
          <w:rFonts w:ascii="楷体" w:hAnsi="楷体" w:eastAsia="楷体"/>
          <w:b/>
          <w:sz w:val="30"/>
          <w:szCs w:val="30"/>
        </w:rPr>
      </w:pPr>
      <w:bookmarkStart w:id="35" w:name="_Toc74756881"/>
      <w:r>
        <w:rPr>
          <w:rFonts w:hint="eastAsia" w:ascii="楷体" w:hAnsi="楷体" w:eastAsia="楷体"/>
          <w:b/>
          <w:sz w:val="30"/>
          <w:szCs w:val="30"/>
        </w:rPr>
        <w:t>3、推动市场力量办展</w:t>
      </w:r>
      <w:bookmarkEnd w:id="35"/>
    </w:p>
    <w:p>
      <w:pPr>
        <w:spacing w:line="560" w:lineRule="exact"/>
        <w:ind w:firstLine="600" w:firstLineChars="200"/>
        <w:rPr>
          <w:rFonts w:ascii="仿宋_GB2312" w:eastAsia="仿宋_GB2312"/>
          <w:sz w:val="30"/>
          <w:szCs w:val="30"/>
        </w:rPr>
      </w:pPr>
      <w:r>
        <w:rPr>
          <w:rFonts w:hint="eastAsia" w:ascii="仿宋_GB2312" w:eastAsia="仿宋_GB2312"/>
          <w:sz w:val="30"/>
          <w:szCs w:val="30"/>
        </w:rPr>
        <w:t>建立会展场所建设、管理与办展服务相独立的发展机制，做好政府在会展业基础设施建设中的关键职能。做强市场化办展机制，构建政府办展退出机制，大力推动市场化主体办展，着力引进培育一批具有专业经验与广泛网络的办展主体。支持本地龙头企业投资发展会展企业，推动本地会展市场主体以兼并、并购、参股等方式组建大型会展服务企业集团。支持各地出台会展业支持政策，加大对会展市场主体在税收、财政、融资政策上的支持力度，培育一批具有品牌效应的市场化会展项目。</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eastAsia="楷体_GB2312"/>
                <w:b/>
                <w:bCs/>
                <w:sz w:val="28"/>
                <w:szCs w:val="28"/>
              </w:rPr>
              <w:t>专栏14 市</w:t>
            </w:r>
            <w:r>
              <w:rPr>
                <w:rFonts w:hint="eastAsia" w:ascii="楷体_GB2312" w:hAnsi="DengXian" w:eastAsia="楷体_GB2312"/>
                <w:b/>
                <w:bCs/>
                <w:sz w:val="28"/>
                <w:szCs w:val="28"/>
              </w:rPr>
              <w:t>场力量办展专项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1、发展市场化龙头会展主体。</w:t>
            </w:r>
            <w:r>
              <w:rPr>
                <w:rFonts w:hint="eastAsia" w:ascii="仿宋_GB2312" w:hAnsi="仿宋" w:eastAsia="仿宋_GB2312" w:cs="仿宋"/>
                <w:color w:val="000000"/>
                <w:sz w:val="24"/>
                <w:szCs w:val="24"/>
                <w:shd w:val="clear" w:color="080000" w:fill="FFFFFF"/>
              </w:rPr>
              <w:t>以外部引进与本地培育为双轮，大力推动服务温州会展产业的市场化主体发展，支持德纳等企业做大做强，力争培育会展上市企业1家，培引年营收5</w:t>
            </w:r>
            <w:r>
              <w:rPr>
                <w:rFonts w:ascii="仿宋_GB2312" w:hAnsi="仿宋" w:eastAsia="仿宋_GB2312" w:cs="仿宋"/>
                <w:color w:val="000000"/>
                <w:sz w:val="24"/>
                <w:szCs w:val="24"/>
                <w:shd w:val="clear" w:color="080000" w:fill="FFFFFF"/>
              </w:rPr>
              <w:t>000</w:t>
            </w:r>
            <w:r>
              <w:rPr>
                <w:rFonts w:hint="eastAsia" w:ascii="仿宋_GB2312" w:hAnsi="仿宋" w:eastAsia="仿宋_GB2312" w:cs="仿宋"/>
                <w:color w:val="000000"/>
                <w:sz w:val="24"/>
                <w:szCs w:val="24"/>
                <w:shd w:val="clear" w:color="080000" w:fill="FFFFFF"/>
              </w:rPr>
              <w:t>万以上市场化会展企业</w:t>
            </w:r>
            <w:r>
              <w:rPr>
                <w:rFonts w:ascii="仿宋_GB2312" w:hAnsi="仿宋" w:eastAsia="仿宋_GB2312" w:cs="仿宋"/>
                <w:color w:val="000000"/>
                <w:sz w:val="24"/>
                <w:szCs w:val="24"/>
                <w:shd w:val="clear" w:color="080000" w:fill="FFFFFF"/>
              </w:rPr>
              <w:t>3</w:t>
            </w:r>
            <w:r>
              <w:rPr>
                <w:rFonts w:hint="eastAsia" w:ascii="仿宋_GB2312" w:hAnsi="仿宋" w:eastAsia="仿宋_GB2312" w:cs="仿宋"/>
                <w:color w:val="000000"/>
                <w:sz w:val="24"/>
                <w:szCs w:val="24"/>
                <w:shd w:val="clear" w:color="080000" w:fill="FFFFFF"/>
              </w:rPr>
              <w:t>家，鼓励各区（县市）培引年营收3</w:t>
            </w:r>
            <w:r>
              <w:rPr>
                <w:rFonts w:ascii="仿宋_GB2312" w:hAnsi="仿宋" w:eastAsia="仿宋_GB2312" w:cs="仿宋"/>
                <w:color w:val="000000"/>
                <w:sz w:val="24"/>
                <w:szCs w:val="24"/>
                <w:shd w:val="clear" w:color="080000" w:fill="FFFFFF"/>
              </w:rPr>
              <w:t>000</w:t>
            </w:r>
            <w:r>
              <w:rPr>
                <w:rFonts w:hint="eastAsia" w:ascii="仿宋_GB2312" w:hAnsi="仿宋" w:eastAsia="仿宋_GB2312" w:cs="仿宋"/>
                <w:color w:val="000000"/>
                <w:sz w:val="24"/>
                <w:szCs w:val="24"/>
                <w:shd w:val="clear" w:color="080000" w:fill="FFFFFF"/>
              </w:rPr>
              <w:t>万以上市场化会展主体1家。</w:t>
            </w:r>
          </w:p>
          <w:p>
            <w:pPr>
              <w:spacing w:line="400" w:lineRule="exact"/>
              <w:ind w:firstLine="482" w:firstLineChars="200"/>
              <w:jc w:val="left"/>
              <w:rPr>
                <w:rFonts w:ascii="仿宋_GB2312" w:hAnsi="DengXian" w:eastAsia="仿宋_GB2312"/>
                <w:sz w:val="24"/>
                <w:szCs w:val="24"/>
              </w:rPr>
            </w:pPr>
            <w:r>
              <w:rPr>
                <w:rFonts w:hint="eastAsia" w:ascii="仿宋_GB2312" w:hAnsi="DengXian" w:eastAsia="仿宋_GB2312"/>
                <w:b/>
                <w:bCs/>
                <w:sz w:val="24"/>
                <w:szCs w:val="24"/>
              </w:rPr>
              <w:t>2、推动市场化品牌会展培育。</w:t>
            </w:r>
            <w:r>
              <w:rPr>
                <w:rFonts w:hint="eastAsia" w:ascii="仿宋_GB2312" w:hAnsi="DengXian" w:eastAsia="仿宋_GB2312"/>
                <w:sz w:val="24"/>
                <w:szCs w:val="24"/>
              </w:rPr>
              <w:t>围绕特色产业、区域优势、新兴领域、历史文化等重点领域，推动市场化品牌会展发展壮大，建立品牌会展认定评级机制，年度评选3个以上品牌展会。建立品牌会展孵化机制，构建平台会展孵化服务平台。</w:t>
            </w:r>
          </w:p>
          <w:p>
            <w:pPr>
              <w:spacing w:line="400" w:lineRule="exact"/>
              <w:ind w:firstLine="482" w:firstLineChars="200"/>
              <w:jc w:val="left"/>
              <w:rPr>
                <w:rFonts w:ascii="仿宋_GB2312" w:hAnsi="DengXian" w:eastAsia="仿宋_GB2312"/>
                <w:sz w:val="24"/>
                <w:szCs w:val="24"/>
              </w:rPr>
            </w:pPr>
            <w:r>
              <w:rPr>
                <w:rFonts w:hint="eastAsia" w:ascii="仿宋_GB2312" w:hAnsi="DengXian" w:eastAsia="仿宋_GB2312"/>
                <w:b/>
                <w:bCs/>
                <w:sz w:val="24"/>
                <w:szCs w:val="24"/>
              </w:rPr>
              <w:t>3、建设会展专业人才队伍。</w:t>
            </w:r>
            <w:r>
              <w:rPr>
                <w:rFonts w:hint="eastAsia" w:ascii="仿宋_GB2312" w:hAnsi="DengXian" w:eastAsia="仿宋_GB2312"/>
                <w:sz w:val="24"/>
                <w:szCs w:val="24"/>
              </w:rPr>
              <w:t>加强高级项目经理等中高端人才引进，推动会展运营管理、会展广告、专业物流等人才的培养与招引，支持在技能认定、职称晋级等方面出台面向会展业专业人才的扶持性政策，新增会展业高级人才100名。鼓励本土高校开设会展专业，为行业发展输送和储备人才。</w:t>
            </w:r>
          </w:p>
          <w:p>
            <w:pPr>
              <w:spacing w:line="400" w:lineRule="exact"/>
              <w:ind w:firstLine="482" w:firstLineChars="200"/>
              <w:jc w:val="left"/>
              <w:rPr>
                <w:rFonts w:ascii="仿宋_GB2312" w:hAnsi="DengXian" w:eastAsia="仿宋_GB2312"/>
                <w:b/>
                <w:bCs/>
                <w:sz w:val="24"/>
                <w:szCs w:val="24"/>
              </w:rPr>
            </w:pPr>
            <w:r>
              <w:rPr>
                <w:rFonts w:hint="eastAsia" w:ascii="仿宋_GB2312" w:hAnsi="DengXian" w:eastAsia="仿宋_GB2312"/>
                <w:b/>
                <w:bCs/>
                <w:sz w:val="24"/>
                <w:szCs w:val="24"/>
              </w:rPr>
              <w:t>4、培育会展产业链。</w:t>
            </w:r>
            <w:r>
              <w:rPr>
                <w:rFonts w:hint="eastAsia" w:ascii="仿宋_GB2312" w:hAnsi="DengXian" w:eastAsia="仿宋_GB2312"/>
                <w:sz w:val="24"/>
                <w:szCs w:val="24"/>
              </w:rPr>
              <w:t>通过举办大型国际会议和展览活动，带动和提升广告设计、建筑施工、旅游、交通运输、酒店及会务服务等相关服务业的发展，逐步形成与会展发展的产业链。</w:t>
            </w:r>
          </w:p>
        </w:tc>
      </w:tr>
    </w:tbl>
    <w:p>
      <w:pPr>
        <w:spacing w:line="560" w:lineRule="exact"/>
        <w:ind w:firstLine="602" w:firstLineChars="200"/>
        <w:outlineLvl w:val="2"/>
        <w:rPr>
          <w:rFonts w:ascii="楷体" w:hAnsi="楷体" w:eastAsia="楷体"/>
          <w:b/>
          <w:sz w:val="30"/>
          <w:szCs w:val="30"/>
        </w:rPr>
      </w:pPr>
      <w:bookmarkStart w:id="36" w:name="_Toc74756882"/>
      <w:r>
        <w:rPr>
          <w:rFonts w:hint="eastAsia" w:ascii="楷体" w:hAnsi="楷体" w:eastAsia="楷体"/>
          <w:b/>
          <w:sz w:val="30"/>
          <w:szCs w:val="30"/>
        </w:rPr>
        <w:t>4、推动会展融合创新</w:t>
      </w:r>
      <w:bookmarkEnd w:id="36"/>
    </w:p>
    <w:p>
      <w:pPr>
        <w:spacing w:line="560" w:lineRule="exact"/>
        <w:ind w:firstLine="600" w:firstLineChars="200"/>
        <w:rPr>
          <w:rFonts w:ascii="仿宋_GB2312" w:eastAsia="仿宋_GB2312"/>
          <w:sz w:val="30"/>
          <w:szCs w:val="30"/>
        </w:rPr>
      </w:pPr>
      <w:r>
        <w:rPr>
          <w:rFonts w:hint="eastAsia" w:ascii="仿宋_GB2312" w:eastAsia="仿宋_GB2312"/>
          <w:sz w:val="30"/>
          <w:szCs w:val="30"/>
        </w:rPr>
        <w:t>以技术融合、人才融合、产业融合、区域融合为导向，推动会展跨界融合发展，构建“会展+N”的服务生态体系。加强大数据、云计算、5G、人工智能、虚拟现实等新一代信息技术在会展行业中的应用，发展会展新模式新业态，创新“云展会”等在线服务模式。围绕展会主题分析确定、参展商精准招引、观展用户行为画像、展会效果评定等领域，发展会展智慧化赋能服务。推动国内国际双循环体系建设与会展业融合发展，构建“线上/线下+国内/国外”的多维度立体式会展触达展现体系。以“两个健康”先行示范区建设为契机，建设会展业健康发展制度高地。</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eastAsia="楷体_GB2312"/>
                <w:b/>
                <w:bCs/>
                <w:sz w:val="28"/>
                <w:szCs w:val="28"/>
              </w:rPr>
              <w:t>专栏15 会</w:t>
            </w:r>
            <w:r>
              <w:rPr>
                <w:rFonts w:hint="eastAsia" w:ascii="楷体_GB2312" w:hAnsi="DengXian" w:eastAsia="楷体_GB2312"/>
                <w:b/>
                <w:bCs/>
                <w:sz w:val="28"/>
                <w:szCs w:val="28"/>
              </w:rPr>
              <w:t>展模式创新专项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1、发展云上会展。</w:t>
            </w:r>
            <w:r>
              <w:rPr>
                <w:rFonts w:hint="eastAsia" w:ascii="仿宋_GB2312" w:hAnsi="仿宋" w:eastAsia="仿宋_GB2312" w:cs="仿宋"/>
                <w:color w:val="000000"/>
                <w:sz w:val="24"/>
                <w:szCs w:val="24"/>
                <w:shd w:val="clear" w:color="080000" w:fill="FFFFFF"/>
              </w:rPr>
              <w:t>依托外部优质解决方案提供商，建设温州云展会中心平台，构建形成集产品展示、主体信用、个性推送、远程洽谈、意向签订等功能为一体的云展会服务平台。推动传统会展项目数字化转型，发展“云展览</w:t>
            </w:r>
            <w:r>
              <w:rPr>
                <w:rFonts w:hint="eastAsia" w:ascii="仿宋_GB2312" w:hAnsi="DengXian" w:eastAsia="仿宋_GB2312"/>
                <w:sz w:val="24"/>
                <w:szCs w:val="24"/>
              </w:rPr>
              <w:t>”“</w:t>
            </w:r>
            <w:r>
              <w:rPr>
                <w:rFonts w:hint="eastAsia" w:ascii="仿宋_GB2312" w:hAnsi="仿宋" w:eastAsia="仿宋_GB2312" w:cs="仿宋"/>
                <w:color w:val="000000"/>
                <w:sz w:val="24"/>
                <w:szCs w:val="24"/>
                <w:shd w:val="clear" w:color="080000" w:fill="FFFFFF"/>
              </w:rPr>
              <w:t>云对接”“云推介”“云洽谈”等多种形式展会，促进线上线下办展融合发展。</w:t>
            </w:r>
          </w:p>
          <w:p>
            <w:pPr>
              <w:spacing w:line="400" w:lineRule="exact"/>
              <w:ind w:firstLine="482" w:firstLineChars="200"/>
              <w:jc w:val="left"/>
              <w:rPr>
                <w:rFonts w:ascii="仿宋_GB2312" w:hAnsi="DengXian" w:eastAsia="仿宋_GB2312"/>
                <w:sz w:val="24"/>
                <w:szCs w:val="24"/>
              </w:rPr>
            </w:pPr>
            <w:r>
              <w:rPr>
                <w:rFonts w:hint="eastAsia" w:ascii="仿宋_GB2312" w:hAnsi="DengXian" w:eastAsia="仿宋_GB2312"/>
                <w:b/>
                <w:bCs/>
                <w:sz w:val="24"/>
                <w:szCs w:val="24"/>
              </w:rPr>
              <w:t>2、建设会展大数据中心。</w:t>
            </w:r>
            <w:r>
              <w:rPr>
                <w:rFonts w:hint="eastAsia" w:ascii="仿宋_GB2312" w:hAnsi="DengXian" w:eastAsia="仿宋_GB2312"/>
                <w:sz w:val="24"/>
                <w:szCs w:val="24"/>
              </w:rPr>
              <w:t>充分利用数字化技术，加强会展全生命周期数据的采集、清洗、存储与分析，建立与外部数据服务商的深度合作，实现温州全市会展发展的系统数字化透视与领导驾驶舱等功能，有效赋能全市会展业精准化招商、营销等能力建设。</w:t>
            </w:r>
          </w:p>
        </w:tc>
      </w:tr>
    </w:tbl>
    <w:p>
      <w:pPr>
        <w:spacing w:line="560" w:lineRule="exact"/>
        <w:ind w:firstLine="602" w:firstLineChars="200"/>
        <w:outlineLvl w:val="2"/>
        <w:rPr>
          <w:rFonts w:ascii="楷体" w:hAnsi="楷体" w:eastAsia="楷体"/>
          <w:b/>
          <w:sz w:val="30"/>
          <w:szCs w:val="30"/>
        </w:rPr>
      </w:pPr>
      <w:bookmarkStart w:id="37" w:name="_Toc74756883"/>
      <w:r>
        <w:rPr>
          <w:rFonts w:hint="eastAsia" w:ascii="楷体" w:hAnsi="楷体" w:eastAsia="楷体"/>
          <w:b/>
          <w:sz w:val="30"/>
          <w:szCs w:val="30"/>
        </w:rPr>
        <w:t>5、打造会议新目的地</w:t>
      </w:r>
      <w:bookmarkEnd w:id="37"/>
    </w:p>
    <w:p>
      <w:pPr>
        <w:spacing w:line="560" w:lineRule="exact"/>
        <w:ind w:firstLine="600" w:firstLineChars="200"/>
        <w:rPr>
          <w:rFonts w:ascii="仿宋_GB2312" w:eastAsia="仿宋_GB2312"/>
          <w:sz w:val="30"/>
          <w:szCs w:val="30"/>
        </w:rPr>
      </w:pPr>
      <w:r>
        <w:rPr>
          <w:rFonts w:hint="eastAsia" w:ascii="仿宋_GB2312" w:eastAsia="仿宋_GB2312"/>
          <w:sz w:val="30"/>
          <w:szCs w:val="30"/>
        </w:rPr>
        <w:t>大力推动会议产业发展，争取引入顶级会议、高端会议、高峰论坛资源，构建形成与全国性学会等会议主办方的良好合作，推介温州城市品牌，提升城市影响力。推动展览与世界青年科学家峰会、世界温州人大会等会议经济集成式发展，通过展示前沿科技成果，举办高峰论坛等活动，加快温州传统产业与新兴产业有机联动。</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eastAsia="楷体_GB2312"/>
                <w:b/>
                <w:bCs/>
                <w:sz w:val="28"/>
                <w:szCs w:val="28"/>
              </w:rPr>
              <w:t>专栏16</w:t>
            </w:r>
            <w:r>
              <w:rPr>
                <w:rFonts w:hint="eastAsia" w:eastAsia="楷体_GB2312"/>
                <w:b/>
                <w:bCs/>
                <w:sz w:val="28"/>
                <w:szCs w:val="28"/>
              </w:rPr>
              <w:t xml:space="preserve">  打造会议新目的地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8296" w:type="dxa"/>
          </w:tcPr>
          <w:p>
            <w:pPr>
              <w:spacing w:line="400" w:lineRule="exact"/>
              <w:ind w:firstLine="482" w:firstLineChars="200"/>
              <w:jc w:val="left"/>
              <w:rPr>
                <w:rFonts w:ascii="仿宋" w:hAnsi="仿宋" w:eastAsia="仿宋" w:cs="仿宋"/>
                <w:sz w:val="24"/>
                <w:szCs w:val="24"/>
              </w:rPr>
            </w:pPr>
            <w:r>
              <w:rPr>
                <w:rFonts w:hint="eastAsia" w:ascii="仿宋" w:hAnsi="仿宋" w:eastAsia="仿宋" w:cs="仿宋"/>
                <w:b/>
                <w:bCs/>
                <w:sz w:val="24"/>
                <w:szCs w:val="24"/>
                <w:shd w:val="clear" w:color="080000" w:fill="FFFFFF"/>
              </w:rPr>
              <w:t>1</w:t>
            </w:r>
            <w:r>
              <w:rPr>
                <w:rFonts w:ascii="仿宋" w:hAnsi="仿宋" w:eastAsia="仿宋" w:cs="仿宋"/>
                <w:b/>
                <w:bCs/>
                <w:sz w:val="24"/>
                <w:szCs w:val="24"/>
                <w:shd w:val="clear" w:color="080000" w:fill="FFFFFF"/>
              </w:rPr>
              <w:t xml:space="preserve">. </w:t>
            </w:r>
            <w:r>
              <w:rPr>
                <w:rFonts w:hint="eastAsia" w:ascii="仿宋" w:hAnsi="仿宋" w:eastAsia="仿宋" w:cs="仿宋"/>
                <w:b/>
                <w:bCs/>
                <w:sz w:val="24"/>
                <w:szCs w:val="24"/>
                <w:shd w:val="clear" w:color="080000" w:fill="FFFFFF"/>
              </w:rPr>
              <w:t>争取顶级峰会落地。</w:t>
            </w:r>
            <w:r>
              <w:rPr>
                <w:rFonts w:hint="eastAsia" w:ascii="仿宋" w:hAnsi="仿宋" w:eastAsia="仿宋" w:cs="仿宋"/>
                <w:sz w:val="24"/>
                <w:szCs w:val="24"/>
              </w:rPr>
              <w:t>全力争取APEC会议、金砖国家峰会、上合组织峰会等顶级规格国际性峰会，构建形成温州城市裂变飞跃式发展契机。</w:t>
            </w:r>
          </w:p>
          <w:p>
            <w:pPr>
              <w:spacing w:line="400" w:lineRule="exact"/>
              <w:ind w:firstLine="482" w:firstLineChars="200"/>
              <w:jc w:val="left"/>
              <w:rPr>
                <w:rFonts w:ascii="仿宋" w:hAnsi="仿宋" w:eastAsia="仿宋" w:cs="仿宋"/>
                <w:sz w:val="24"/>
                <w:szCs w:val="24"/>
              </w:rPr>
            </w:pPr>
            <w:r>
              <w:rPr>
                <w:rFonts w:hint="eastAsia" w:ascii="仿宋" w:hAnsi="仿宋" w:eastAsia="仿宋" w:cs="仿宋"/>
                <w:b/>
                <w:bCs/>
                <w:sz w:val="24"/>
                <w:szCs w:val="24"/>
                <w:shd w:val="clear" w:color="080000" w:fill="FFFFFF"/>
              </w:rPr>
              <w:t>2</w:t>
            </w:r>
            <w:r>
              <w:rPr>
                <w:rFonts w:ascii="仿宋" w:hAnsi="仿宋" w:eastAsia="仿宋" w:cs="仿宋"/>
                <w:b/>
                <w:bCs/>
                <w:sz w:val="24"/>
                <w:szCs w:val="24"/>
                <w:shd w:val="clear" w:color="080000" w:fill="FFFFFF"/>
              </w:rPr>
              <w:t xml:space="preserve">. </w:t>
            </w:r>
            <w:r>
              <w:rPr>
                <w:rFonts w:hint="eastAsia" w:ascii="仿宋" w:hAnsi="仿宋" w:eastAsia="仿宋" w:cs="仿宋"/>
                <w:b/>
                <w:bCs/>
                <w:sz w:val="24"/>
                <w:szCs w:val="24"/>
                <w:shd w:val="clear" w:color="080000" w:fill="FFFFFF"/>
              </w:rPr>
              <w:t>力争世界青年科学家峰会永久落户。</w:t>
            </w:r>
            <w:r>
              <w:rPr>
                <w:rFonts w:hint="eastAsia" w:ascii="仿宋" w:hAnsi="仿宋" w:eastAsia="仿宋" w:cs="仿宋"/>
                <w:sz w:val="24"/>
                <w:szCs w:val="24"/>
              </w:rPr>
              <w:t>世界青年科学家峰会，以“汇聚天下英才，共创美好未来”为主题，推动科学家、企业家、创投家三界融合，</w:t>
            </w:r>
            <w:r>
              <w:rPr>
                <w:rFonts w:hint="eastAsia" w:ascii="仿宋_GB2312" w:hAnsi="DengXian" w:eastAsia="仿宋_GB2312"/>
                <w:sz w:val="24"/>
                <w:szCs w:val="24"/>
              </w:rPr>
              <w:t>实现产学研一体化服务</w:t>
            </w:r>
            <w:r>
              <w:rPr>
                <w:rFonts w:hint="eastAsia" w:ascii="仿宋" w:hAnsi="仿宋" w:eastAsia="仿宋" w:cs="仿宋"/>
                <w:sz w:val="24"/>
                <w:szCs w:val="24"/>
              </w:rPr>
              <w:t>，将峰会打造成为温州以科技创新引领经济社会发展重要窗口和平台，提升会展经济能级。</w:t>
            </w:r>
          </w:p>
          <w:p>
            <w:pPr>
              <w:spacing w:line="400" w:lineRule="exact"/>
              <w:ind w:firstLine="482" w:firstLineChars="200"/>
              <w:jc w:val="left"/>
              <w:rPr>
                <w:rFonts w:ascii="仿宋" w:hAnsi="仿宋" w:eastAsia="仿宋" w:cs="仿宋"/>
                <w:sz w:val="24"/>
                <w:szCs w:val="24"/>
              </w:rPr>
            </w:pPr>
            <w:r>
              <w:rPr>
                <w:rFonts w:ascii="仿宋" w:hAnsi="仿宋" w:eastAsia="仿宋" w:cs="仿宋"/>
                <w:b/>
                <w:bCs/>
                <w:sz w:val="24"/>
                <w:szCs w:val="24"/>
              </w:rPr>
              <w:t xml:space="preserve">3. </w:t>
            </w:r>
            <w:r>
              <w:rPr>
                <w:rFonts w:hint="eastAsia" w:ascii="仿宋" w:hAnsi="仿宋" w:eastAsia="仿宋" w:cs="仿宋"/>
                <w:b/>
                <w:bCs/>
                <w:sz w:val="24"/>
                <w:szCs w:val="24"/>
              </w:rPr>
              <w:t>发展本土产业特色会议。</w:t>
            </w:r>
            <w:r>
              <w:rPr>
                <w:rFonts w:hint="eastAsia" w:ascii="仿宋" w:hAnsi="仿宋" w:eastAsia="仿宋" w:cs="仿宋"/>
                <w:sz w:val="24"/>
                <w:szCs w:val="24"/>
              </w:rPr>
              <w:t>推动世界温州人大会等有影响力的会议与温州产业集成式借势发展，结合温州产业在全国和全球市场占有率的优势，细化行业群体，组织召开以“5</w:t>
            </w:r>
            <w:r>
              <w:rPr>
                <w:rFonts w:ascii="仿宋" w:hAnsi="仿宋" w:eastAsia="仿宋" w:cs="仿宋"/>
                <w:sz w:val="24"/>
                <w:szCs w:val="24"/>
              </w:rPr>
              <w:t>+5</w:t>
            </w:r>
            <w:r>
              <w:rPr>
                <w:rFonts w:hint="eastAsia" w:ascii="仿宋" w:hAnsi="仿宋" w:eastAsia="仿宋" w:cs="仿宋"/>
                <w:sz w:val="24"/>
                <w:szCs w:val="24"/>
              </w:rPr>
              <w:t>”产业领域为重点的各类高层次峰会，升级优势产业与会议业相互促进、和谐共生的格局，探索二者互促共荣的创新模式，进一步做强会展经济。</w:t>
            </w:r>
          </w:p>
          <w:p>
            <w:pPr>
              <w:spacing w:line="400" w:lineRule="exact"/>
              <w:ind w:firstLine="482" w:firstLineChars="200"/>
              <w:jc w:val="left"/>
              <w:rPr>
                <w:rFonts w:ascii="仿宋" w:hAnsi="仿宋" w:eastAsia="仿宋" w:cs="仿宋"/>
                <w:sz w:val="24"/>
                <w:szCs w:val="24"/>
              </w:rPr>
            </w:pPr>
            <w:r>
              <w:rPr>
                <w:rFonts w:ascii="仿宋" w:hAnsi="仿宋" w:eastAsia="仿宋" w:cs="仿宋"/>
                <w:b/>
                <w:bCs/>
                <w:sz w:val="24"/>
                <w:szCs w:val="24"/>
              </w:rPr>
              <w:t>4</w:t>
            </w:r>
            <w:r>
              <w:rPr>
                <w:rFonts w:hint="eastAsia" w:ascii="仿宋" w:hAnsi="仿宋" w:eastAsia="仿宋" w:cs="仿宋"/>
                <w:b/>
                <w:bCs/>
                <w:sz w:val="24"/>
                <w:szCs w:val="24"/>
              </w:rPr>
              <w:t>. 加大国际会议引入。</w:t>
            </w:r>
            <w:r>
              <w:rPr>
                <w:rFonts w:hint="eastAsia" w:ascii="仿宋" w:hAnsi="仿宋" w:eastAsia="仿宋" w:cs="仿宋"/>
                <w:sz w:val="24"/>
                <w:szCs w:val="24"/>
              </w:rPr>
              <w:t>充分发挥温州历史文化、餐饮美食、气候环境等综合优势，建设一批独特魅力的国际会议承办场所，加强与国内外知名机构、行业协会、学会的合作，建立国际会议申办的激励与补偿机制。</w:t>
            </w:r>
          </w:p>
        </w:tc>
      </w:tr>
    </w:tbl>
    <w:p>
      <w:pPr>
        <w:adjustRightInd w:val="0"/>
        <w:snapToGrid w:val="0"/>
        <w:spacing w:before="156" w:beforeLines="50" w:after="156" w:afterLines="50" w:line="560" w:lineRule="exact"/>
        <w:ind w:firstLine="643" w:firstLineChars="200"/>
        <w:outlineLvl w:val="1"/>
        <w:rPr>
          <w:rFonts w:ascii="仿宋_GB2312" w:hAnsi="仿宋_GB2312" w:eastAsia="仿宋_GB2312" w:cs="仿宋_GB2312"/>
          <w:b/>
          <w:bCs/>
          <w:kern w:val="0"/>
          <w:sz w:val="32"/>
          <w:szCs w:val="32"/>
        </w:rPr>
      </w:pPr>
      <w:bookmarkStart w:id="38" w:name="_Toc74756884"/>
      <w:r>
        <w:rPr>
          <w:rFonts w:hint="eastAsia" w:ascii="仿宋_GB2312" w:hAnsi="仿宋_GB2312" w:eastAsia="仿宋_GB2312" w:cs="仿宋_GB2312"/>
          <w:b/>
          <w:bCs/>
          <w:kern w:val="0"/>
          <w:sz w:val="32"/>
          <w:szCs w:val="32"/>
        </w:rPr>
        <w:t>（四）高水平推进数字商务全面创新</w:t>
      </w:r>
      <w:bookmarkEnd w:id="38"/>
    </w:p>
    <w:p>
      <w:pPr>
        <w:spacing w:line="560" w:lineRule="exact"/>
        <w:ind w:firstLine="600" w:firstLineChars="200"/>
        <w:rPr>
          <w:rFonts w:ascii="仿宋_GB2312" w:eastAsia="仿宋_GB2312"/>
          <w:sz w:val="30"/>
          <w:szCs w:val="30"/>
        </w:rPr>
      </w:pPr>
      <w:r>
        <w:rPr>
          <w:rFonts w:hint="eastAsia" w:ascii="仿宋_GB2312" w:eastAsia="仿宋_GB2312"/>
          <w:sz w:val="30"/>
          <w:szCs w:val="30"/>
        </w:rPr>
        <w:t>围绕数字商务全面创新，深化电子商务发展，发展数字服务新生活，加快商务数字化转型。</w:t>
      </w:r>
    </w:p>
    <w:p>
      <w:pPr>
        <w:spacing w:line="560" w:lineRule="exact"/>
        <w:ind w:firstLine="602" w:firstLineChars="200"/>
        <w:outlineLvl w:val="2"/>
        <w:rPr>
          <w:rFonts w:ascii="楷体" w:hAnsi="楷体" w:eastAsia="楷体"/>
          <w:b/>
          <w:sz w:val="30"/>
          <w:szCs w:val="30"/>
        </w:rPr>
      </w:pPr>
      <w:bookmarkStart w:id="39" w:name="_Toc74756885"/>
      <w:r>
        <w:rPr>
          <w:rFonts w:hint="eastAsia" w:ascii="楷体" w:hAnsi="楷体" w:eastAsia="楷体"/>
          <w:b/>
          <w:sz w:val="30"/>
          <w:szCs w:val="30"/>
        </w:rPr>
        <w:t>1、深化电子商务发展</w:t>
      </w:r>
      <w:bookmarkEnd w:id="39"/>
    </w:p>
    <w:p>
      <w:pPr>
        <w:spacing w:line="560" w:lineRule="exact"/>
        <w:ind w:firstLine="600" w:firstLineChars="200"/>
        <w:rPr>
          <w:rFonts w:ascii="楷体" w:hAnsi="楷体" w:eastAsia="楷体"/>
          <w:b/>
          <w:sz w:val="30"/>
          <w:szCs w:val="30"/>
        </w:rPr>
      </w:pPr>
      <w:r>
        <w:rPr>
          <w:rFonts w:hint="eastAsia" w:ascii="仿宋_GB2312" w:eastAsia="仿宋_GB2312"/>
          <w:sz w:val="30"/>
          <w:szCs w:val="30"/>
        </w:rPr>
        <w:t>推动本土电商平台打造，培育形成一批特色鲜明、模式成熟、技术支撑和创新力强的平台型企业。推动电子商务主体以企业资质经营，做大企业规模，做强企业核心竞争力，形成一批重量级电商企业。建设产业大脑电子商务分平台，围绕温州优势制造产业，推动电子商务企业反向衍生发展制造，构建以电子商务为核心驱动力的“研发设计、制造、品牌、销售”一体化产业链建设。大力推动产业电子商务发展，围绕“</w:t>
      </w:r>
      <w:r>
        <w:rPr>
          <w:rFonts w:ascii="仿宋_GB2312" w:eastAsia="仿宋_GB2312"/>
          <w:sz w:val="30"/>
          <w:szCs w:val="30"/>
        </w:rPr>
        <w:t>5+5</w:t>
      </w:r>
      <w:r>
        <w:rPr>
          <w:rFonts w:hint="eastAsia" w:ascii="仿宋_GB2312" w:eastAsia="仿宋_GB2312"/>
          <w:sz w:val="30"/>
          <w:szCs w:val="30"/>
        </w:rPr>
        <w:t>”产业建设若干具备行业或区域影响力的B</w:t>
      </w:r>
      <w:r>
        <w:rPr>
          <w:rFonts w:ascii="仿宋_GB2312" w:eastAsia="仿宋_GB2312"/>
          <w:sz w:val="30"/>
          <w:szCs w:val="30"/>
        </w:rPr>
        <w:t>2B</w:t>
      </w:r>
      <w:r>
        <w:rPr>
          <w:rFonts w:hint="eastAsia" w:ascii="仿宋_GB2312" w:eastAsia="仿宋_GB2312"/>
          <w:sz w:val="30"/>
          <w:szCs w:val="30"/>
        </w:rPr>
        <w:t>综合服务平台。加强引导与支持，推动社交电商、农村电商、直播电商等业态高质量发展。加强电商产业集聚园区载体建设与培育，发展一批高能级载体平台。</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w:t>
            </w:r>
            <w:r>
              <w:rPr>
                <w:rFonts w:ascii="仿宋_GB2312" w:hAnsi="宋体" w:eastAsia="仿宋_GB2312" w:cs="黑体"/>
                <w:b/>
                <w:color w:val="000000"/>
                <w:sz w:val="28"/>
                <w:szCs w:val="28"/>
              </w:rPr>
              <w:t>17</w:t>
            </w:r>
            <w:r>
              <w:rPr>
                <w:rFonts w:hint="eastAsia" w:ascii="仿宋_GB2312" w:hAnsi="宋体" w:eastAsia="仿宋_GB2312" w:cs="黑体"/>
                <w:b/>
                <w:color w:val="000000"/>
                <w:sz w:val="28"/>
                <w:szCs w:val="28"/>
              </w:rPr>
              <w:t xml:space="preserve"> 电子商务深化发展专项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 发展电子商务平台企业。</w:t>
            </w:r>
            <w:r>
              <w:rPr>
                <w:rFonts w:hint="eastAsia" w:ascii="仿宋_GB2312" w:hAnsi="仿宋" w:eastAsia="仿宋_GB2312" w:cs="仿宋"/>
                <w:bCs/>
                <w:color w:val="000000"/>
                <w:sz w:val="24"/>
                <w:szCs w:val="24"/>
                <w:shd w:val="clear" w:color="080000" w:fill="FFFFFF"/>
              </w:rPr>
              <w:t>围绕鞋服等终端产品批发、生产资料交易、生活消费与服务等领域，以供应链、大数据为重点、大力推动本地平台型企业壮大发展，着力引入外部优质流量型、产业型电商平台落地。</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 建设反向定制（C2M）产业基地。</w:t>
            </w:r>
            <w:r>
              <w:rPr>
                <w:rFonts w:hint="eastAsia" w:ascii="仿宋_GB2312" w:hAnsi="仿宋" w:eastAsia="仿宋_GB2312" w:cs="仿宋"/>
                <w:bCs/>
                <w:color w:val="000000"/>
                <w:sz w:val="24"/>
                <w:szCs w:val="24"/>
                <w:shd w:val="clear" w:color="080000" w:fill="FFFFFF"/>
              </w:rPr>
              <w:t>推动大型电子商务卖家主体发展，强化用户研究、研发设计、品牌发展等重点领域突破，大力推动电子商务服务衍生制造模式，建设反向定制产业基地，以以销定产推动供给侧改革。</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3. 推进电商进农村综合示范。</w:t>
            </w:r>
            <w:r>
              <w:rPr>
                <w:rFonts w:hint="eastAsia" w:ascii="仿宋_GB2312" w:hAnsi="仿宋" w:eastAsia="仿宋_GB2312" w:cs="仿宋"/>
                <w:bCs/>
                <w:color w:val="000000"/>
                <w:sz w:val="24"/>
                <w:szCs w:val="24"/>
                <w:shd w:val="clear" w:color="080000" w:fill="FFFFFF"/>
              </w:rPr>
              <w:t>加强系统规划与项目谋划，着力推进平阳、永嘉、瑞安、苍南、文成电子商务进农村综合示范县建设，发展农村电商主体，推进农产品电商品牌培育，完善农村电商物流、冷链等基础设施建设。</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4. 国家电子商务示范基地建设。</w:t>
            </w:r>
            <w:r>
              <w:rPr>
                <w:rFonts w:hint="eastAsia" w:ascii="仿宋_GB2312" w:hAnsi="仿宋" w:eastAsia="仿宋_GB2312" w:cs="仿宋"/>
                <w:bCs/>
                <w:color w:val="000000"/>
                <w:sz w:val="24"/>
                <w:szCs w:val="24"/>
                <w:shd w:val="clear" w:color="080000" w:fill="FFFFFF"/>
              </w:rPr>
              <w:t>以基础设施完善、产业特色明晰、专业服务提升、管理标准规范为导向，推动更多电子商务集聚区申报国家电子商务示范基地。</w:t>
            </w:r>
          </w:p>
        </w:tc>
      </w:tr>
    </w:tbl>
    <w:p>
      <w:pPr>
        <w:spacing w:line="560" w:lineRule="exact"/>
        <w:ind w:firstLine="602" w:firstLineChars="200"/>
        <w:outlineLvl w:val="2"/>
        <w:rPr>
          <w:rFonts w:ascii="楷体" w:hAnsi="楷体" w:eastAsia="楷体"/>
          <w:b/>
          <w:sz w:val="30"/>
          <w:szCs w:val="30"/>
        </w:rPr>
      </w:pPr>
      <w:bookmarkStart w:id="40" w:name="_Toc74756886"/>
      <w:r>
        <w:rPr>
          <w:rFonts w:ascii="楷体" w:hAnsi="楷体" w:eastAsia="楷体"/>
          <w:b/>
          <w:sz w:val="30"/>
          <w:szCs w:val="30"/>
        </w:rPr>
        <w:t>2</w:t>
      </w:r>
      <w:r>
        <w:rPr>
          <w:rFonts w:hint="eastAsia" w:ascii="楷体" w:hAnsi="楷体" w:eastAsia="楷体"/>
          <w:b/>
          <w:sz w:val="30"/>
          <w:szCs w:val="30"/>
        </w:rPr>
        <w:t>、发展数字生活新服务</w:t>
      </w:r>
      <w:bookmarkEnd w:id="40"/>
    </w:p>
    <w:p>
      <w:pPr>
        <w:spacing w:line="560" w:lineRule="exact"/>
        <w:ind w:firstLine="600" w:firstLineChars="200"/>
        <w:rPr>
          <w:rFonts w:ascii="仿宋_GB2312" w:eastAsia="仿宋_GB2312"/>
          <w:sz w:val="30"/>
          <w:szCs w:val="30"/>
        </w:rPr>
      </w:pPr>
      <w:r>
        <w:rPr>
          <w:rFonts w:hint="eastAsia" w:ascii="仿宋_GB2312" w:eastAsia="仿宋_GB2312"/>
          <w:sz w:val="30"/>
          <w:szCs w:val="30"/>
        </w:rPr>
        <w:t>推动森马、一鸣等本土龙头企业开展线上线下双向拓展，丰富数字生活新服务业态。全方位推动商家数字化门店打造，支持零售、批发、餐饮、住宿和其他生活服务业场所进行“人、货、场”数字化改造，推动与第三方优势生活服务类平台的融合发展。加强多部门联动，推动数字教育、数字办公、数字医院、数字出行、数字养老、数字旅游、数字文化、数字菜场等消费场景打造与建设提升。围绕餐饮、住宿、物流、旅游等领域，大力发展无接触式服务，建设“无接触服务”基础设施和支撑平台，逐步形成以“一图两码三平台”为骨干的数字生活新服务生态体系。</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w:t>
            </w:r>
            <w:r>
              <w:rPr>
                <w:rFonts w:ascii="仿宋_GB2312" w:hAnsi="宋体" w:eastAsia="仿宋_GB2312" w:cs="黑体"/>
                <w:b/>
                <w:color w:val="000000"/>
                <w:sz w:val="28"/>
                <w:szCs w:val="28"/>
              </w:rPr>
              <w:t>18</w:t>
            </w:r>
            <w:r>
              <w:rPr>
                <w:rFonts w:hint="eastAsia" w:ascii="仿宋_GB2312" w:hAnsi="宋体" w:eastAsia="仿宋_GB2312" w:cs="黑体"/>
                <w:b/>
                <w:color w:val="000000"/>
                <w:sz w:val="28"/>
                <w:szCs w:val="28"/>
              </w:rPr>
              <w:t xml:space="preserve"> 数字服务新生活发展专项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 推动生活服务主体上云</w:t>
            </w:r>
            <w:r>
              <w:rPr>
                <w:rFonts w:hint="eastAsia" w:ascii="仿宋_GB2312" w:hAnsi="仿宋" w:eastAsia="仿宋_GB2312" w:cs="仿宋"/>
                <w:bCs/>
                <w:color w:val="000000"/>
                <w:sz w:val="24"/>
                <w:szCs w:val="24"/>
                <w:shd w:val="clear" w:color="080000" w:fill="FFFFFF"/>
              </w:rPr>
              <w:t>。加强生活服务商户上线各类平台的指导，为广大小微企业上线进行全方位、多层次的培训，推动服务业企业通过各种平台进行业务上线运行。推动一批</w:t>
            </w:r>
            <w:r>
              <w:rPr>
                <w:rFonts w:ascii="仿宋_GB2312" w:hAnsi="仿宋" w:eastAsia="仿宋_GB2312" w:cs="仿宋"/>
                <w:bCs/>
                <w:color w:val="000000"/>
                <w:sz w:val="24"/>
                <w:szCs w:val="24"/>
                <w:shd w:val="clear" w:color="080000" w:fill="FFFFFF"/>
              </w:rPr>
              <w:t>云端校园</w:t>
            </w:r>
            <w:r>
              <w:rPr>
                <w:rFonts w:hint="eastAsia" w:ascii="仿宋_GB2312" w:hAnsi="仿宋" w:eastAsia="仿宋_GB2312" w:cs="仿宋"/>
                <w:bCs/>
                <w:color w:val="000000"/>
                <w:sz w:val="24"/>
                <w:szCs w:val="24"/>
                <w:shd w:val="clear" w:color="080000" w:fill="FFFFFF"/>
              </w:rPr>
              <w:t>、</w:t>
            </w:r>
            <w:r>
              <w:rPr>
                <w:rFonts w:ascii="仿宋_GB2312" w:hAnsi="仿宋" w:eastAsia="仿宋_GB2312" w:cs="仿宋"/>
                <w:bCs/>
                <w:color w:val="000000"/>
                <w:sz w:val="24"/>
                <w:szCs w:val="24"/>
                <w:shd w:val="clear" w:color="080000" w:fill="FFFFFF"/>
              </w:rPr>
              <w:t>“健康温州”云医院平台</w:t>
            </w:r>
            <w:r>
              <w:rPr>
                <w:rFonts w:hint="eastAsia" w:ascii="仿宋_GB2312" w:hAnsi="仿宋" w:eastAsia="仿宋_GB2312" w:cs="仿宋"/>
                <w:bCs/>
                <w:color w:val="000000"/>
                <w:sz w:val="24"/>
                <w:szCs w:val="24"/>
                <w:shd w:val="clear" w:color="080000" w:fill="FFFFFF"/>
              </w:rPr>
              <w:t>、</w:t>
            </w:r>
            <w:r>
              <w:rPr>
                <w:rFonts w:ascii="仿宋_GB2312" w:hAnsi="仿宋" w:eastAsia="仿宋_GB2312" w:cs="仿宋"/>
                <w:bCs/>
                <w:color w:val="000000"/>
                <w:sz w:val="24"/>
                <w:szCs w:val="24"/>
                <w:shd w:val="clear" w:color="080000" w:fill="FFFFFF"/>
              </w:rPr>
              <w:t>数字生活社区建设</w:t>
            </w:r>
            <w:r>
              <w:rPr>
                <w:rFonts w:hint="eastAsia" w:ascii="仿宋_GB2312" w:hAnsi="仿宋" w:eastAsia="仿宋_GB2312" w:cs="仿宋"/>
                <w:bCs/>
                <w:color w:val="000000"/>
                <w:sz w:val="24"/>
                <w:szCs w:val="24"/>
                <w:shd w:val="clear" w:color="080000" w:fill="FFFFFF"/>
              </w:rPr>
              <w:t>。</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 推动数字生活新服务建设示范。</w:t>
            </w:r>
            <w:r>
              <w:rPr>
                <w:rFonts w:hint="eastAsia" w:ascii="仿宋_GB2312" w:hAnsi="仿宋" w:eastAsia="仿宋_GB2312" w:cs="仿宋"/>
                <w:bCs/>
                <w:color w:val="000000"/>
                <w:sz w:val="24"/>
                <w:szCs w:val="24"/>
                <w:shd w:val="clear" w:color="080000" w:fill="FFFFFF"/>
              </w:rPr>
              <w:t>积极发挥示范试点引领作用，推动数字生活新服务标杆城市、数字生活新服务平台、数字生活新服务示范区、数字生活新服务特色镇创建工作，全面提升温州数字生活新服务发展水平。</w:t>
            </w:r>
          </w:p>
        </w:tc>
      </w:tr>
    </w:tbl>
    <w:p>
      <w:pPr>
        <w:spacing w:line="560" w:lineRule="exact"/>
        <w:ind w:firstLine="602" w:firstLineChars="200"/>
        <w:outlineLvl w:val="2"/>
        <w:rPr>
          <w:rFonts w:ascii="楷体" w:hAnsi="楷体" w:eastAsia="楷体"/>
          <w:b/>
          <w:sz w:val="30"/>
          <w:szCs w:val="30"/>
        </w:rPr>
      </w:pPr>
      <w:bookmarkStart w:id="41" w:name="_Toc74756887"/>
      <w:r>
        <w:rPr>
          <w:rFonts w:ascii="楷体" w:hAnsi="楷体" w:eastAsia="楷体"/>
          <w:b/>
          <w:sz w:val="30"/>
          <w:szCs w:val="30"/>
        </w:rPr>
        <w:t>3</w:t>
      </w:r>
      <w:r>
        <w:rPr>
          <w:rFonts w:hint="eastAsia" w:ascii="楷体" w:hAnsi="楷体" w:eastAsia="楷体"/>
          <w:b/>
          <w:sz w:val="30"/>
          <w:szCs w:val="30"/>
        </w:rPr>
        <w:t>、推动商务数字化转型</w:t>
      </w:r>
      <w:bookmarkEnd w:id="41"/>
    </w:p>
    <w:p>
      <w:pPr>
        <w:spacing w:line="560" w:lineRule="exact"/>
        <w:ind w:firstLine="600" w:firstLineChars="200"/>
        <w:rPr>
          <w:rFonts w:ascii="仿宋_GB2312" w:eastAsia="仿宋_GB2312"/>
          <w:sz w:val="30"/>
          <w:szCs w:val="30"/>
        </w:rPr>
      </w:pPr>
      <w:r>
        <w:rPr>
          <w:rFonts w:hint="eastAsia" w:ascii="仿宋_GB2312" w:eastAsia="仿宋_GB2312"/>
          <w:sz w:val="30"/>
          <w:szCs w:val="30"/>
        </w:rPr>
        <w:t>推动数字商务建设，着力提高商务领域企业的数字化、智能化、融合化发展水平。开展数字商务企业创建，培育一批能够提供数字化服务的企业和创新应用的企业。加强数字商务基础设施建设，推动数据要素市场化发展，构建数字商务公共服务平台，发展数字商务赋能服务，强化数字化产品和服务在商务领域的渗透和</w:t>
      </w:r>
      <w:r>
        <w:rPr>
          <w:rFonts w:hint="eastAsia" w:ascii="仿宋_GB2312" w:hAnsi="DengXian" w:eastAsia="仿宋_GB2312"/>
          <w:sz w:val="30"/>
          <w:szCs w:val="30"/>
        </w:rPr>
        <w:t>应用</w:t>
      </w:r>
      <w:r>
        <w:rPr>
          <w:rFonts w:hint="eastAsia" w:ascii="仿宋_GB2312" w:eastAsia="仿宋_GB2312"/>
          <w:sz w:val="30"/>
          <w:szCs w:val="30"/>
        </w:rPr>
        <w:t>。</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w:t>
            </w:r>
            <w:r>
              <w:rPr>
                <w:rFonts w:ascii="仿宋_GB2312" w:hAnsi="宋体" w:eastAsia="仿宋_GB2312" w:cs="黑体"/>
                <w:b/>
                <w:color w:val="000000"/>
                <w:sz w:val="28"/>
                <w:szCs w:val="28"/>
              </w:rPr>
              <w:t>19</w:t>
            </w:r>
            <w:r>
              <w:rPr>
                <w:rFonts w:hint="eastAsia" w:ascii="仿宋_GB2312" w:hAnsi="宋体" w:eastAsia="仿宋_GB2312" w:cs="黑体"/>
                <w:b/>
                <w:color w:val="000000"/>
                <w:sz w:val="28"/>
                <w:szCs w:val="28"/>
              </w:rPr>
              <w:t xml:space="preserve"> 商务数字化转型专项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 发展数字商务示范企业。</w:t>
            </w:r>
            <w:r>
              <w:rPr>
                <w:rFonts w:hint="eastAsia" w:ascii="仿宋_GB2312" w:hAnsi="仿宋" w:eastAsia="仿宋_GB2312" w:cs="仿宋"/>
                <w:bCs/>
                <w:color w:val="000000"/>
                <w:sz w:val="24"/>
                <w:szCs w:val="24"/>
                <w:shd w:val="clear" w:color="080000" w:fill="FFFFFF"/>
              </w:rPr>
              <w:t>加快商务企业数字化改造、促进新旧动能转化、优化资源配置、提高质量效率，推动国家级、省级、市级数字商务示范企业建设，发展一批标杆性、创新性企业。</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 建设商务数字化公共服务平台。</w:t>
            </w:r>
            <w:r>
              <w:rPr>
                <w:rFonts w:hint="eastAsia" w:ascii="仿宋_GB2312" w:hAnsi="仿宋" w:eastAsia="仿宋_GB2312" w:cs="仿宋"/>
                <w:bCs/>
                <w:color w:val="000000"/>
                <w:sz w:val="24"/>
                <w:szCs w:val="24"/>
                <w:shd w:val="clear" w:color="080000" w:fill="FFFFFF"/>
              </w:rPr>
              <w:t>围绕行业软硬件解决方案、数据集成、数据分析、数据场景应用、供应链管理等服务领域，建设温州市商务数字化公共服务平台，发展自有服务能力，对接外部优势资源，全面赋能中小微商务企业数字化转型。</w:t>
            </w:r>
          </w:p>
        </w:tc>
      </w:tr>
    </w:tbl>
    <w:p>
      <w:pPr>
        <w:adjustRightInd w:val="0"/>
        <w:snapToGrid w:val="0"/>
        <w:spacing w:before="156" w:beforeLines="50" w:after="156" w:afterLines="50" w:line="560" w:lineRule="exact"/>
        <w:ind w:firstLine="643" w:firstLineChars="200"/>
        <w:outlineLvl w:val="1"/>
        <w:rPr>
          <w:rFonts w:ascii="仿宋_GB2312" w:hAnsi="仿宋_GB2312" w:eastAsia="仿宋_GB2312" w:cs="仿宋_GB2312"/>
          <w:b/>
          <w:bCs/>
          <w:kern w:val="0"/>
          <w:sz w:val="32"/>
          <w:szCs w:val="32"/>
        </w:rPr>
      </w:pPr>
      <w:bookmarkStart w:id="42" w:name="_Toc74756888"/>
      <w:r>
        <w:rPr>
          <w:rFonts w:hint="eastAsia" w:ascii="仿宋_GB2312" w:hAnsi="仿宋_GB2312" w:eastAsia="仿宋_GB2312" w:cs="仿宋_GB2312"/>
          <w:b/>
          <w:bCs/>
          <w:kern w:val="0"/>
          <w:sz w:val="32"/>
          <w:szCs w:val="32"/>
        </w:rPr>
        <w:t>（五）高水平建设现代流通体系</w:t>
      </w:r>
      <w:bookmarkEnd w:id="42"/>
    </w:p>
    <w:p>
      <w:pPr>
        <w:spacing w:line="560" w:lineRule="exact"/>
        <w:ind w:firstLine="600" w:firstLineChars="200"/>
        <w:rPr>
          <w:rFonts w:ascii="仿宋_GB2312" w:hAnsi="DengXian" w:eastAsia="仿宋_GB2312"/>
          <w:sz w:val="30"/>
          <w:szCs w:val="30"/>
        </w:rPr>
      </w:pPr>
      <w:r>
        <w:rPr>
          <w:rFonts w:hint="eastAsia" w:ascii="仿宋_GB2312" w:hAnsi="DengXian" w:eastAsia="仿宋_GB2312"/>
          <w:sz w:val="30"/>
          <w:szCs w:val="30"/>
        </w:rPr>
        <w:t>围绕现代流通体系建设，打造现代商品市场，提升物流基础设施，强化货运配送能力，做强供应链服务，推动流通业态创新。</w:t>
      </w:r>
    </w:p>
    <w:p>
      <w:pPr>
        <w:spacing w:line="560" w:lineRule="exact"/>
        <w:ind w:firstLine="602" w:firstLineChars="200"/>
        <w:outlineLvl w:val="2"/>
        <w:rPr>
          <w:rFonts w:ascii="楷体" w:hAnsi="楷体" w:eastAsia="楷体"/>
          <w:b/>
          <w:sz w:val="30"/>
          <w:szCs w:val="30"/>
        </w:rPr>
      </w:pPr>
      <w:bookmarkStart w:id="43" w:name="_Toc74756889"/>
      <w:r>
        <w:rPr>
          <w:rFonts w:hint="eastAsia" w:ascii="楷体" w:hAnsi="楷体" w:eastAsia="楷体"/>
          <w:b/>
          <w:sz w:val="30"/>
          <w:szCs w:val="30"/>
        </w:rPr>
        <w:t>1、发展现代商品市场</w:t>
      </w:r>
      <w:bookmarkEnd w:id="43"/>
    </w:p>
    <w:p>
      <w:pPr>
        <w:spacing w:line="560" w:lineRule="exact"/>
        <w:ind w:firstLine="600" w:firstLineChars="200"/>
        <w:rPr>
          <w:rFonts w:ascii="仿宋_GB2312" w:eastAsia="仿宋_GB2312"/>
          <w:sz w:val="30"/>
          <w:szCs w:val="30"/>
        </w:rPr>
      </w:pPr>
      <w:r>
        <w:rPr>
          <w:rFonts w:hint="eastAsia" w:ascii="仿宋_GB2312" w:eastAsia="仿宋_GB2312"/>
          <w:sz w:val="30"/>
          <w:szCs w:val="30"/>
        </w:rPr>
        <w:t>以专业化、规模化、智慧化为导向，围绕鞋服、眼镜、箱包、进口产品等品类，大力推动现代化专业市场建设，加快传统专业市场转型升级。以集散中心、研发设计中心、品牌营销中心、展示交易中心、价格信息中心、仓储物流中心、旅游购物中心等为重点，全面</w:t>
      </w:r>
      <w:r>
        <w:rPr>
          <w:rFonts w:hint="eastAsia" w:ascii="仿宋_GB2312" w:hAnsi="DengXian" w:eastAsia="仿宋_GB2312"/>
          <w:sz w:val="30"/>
          <w:szCs w:val="30"/>
        </w:rPr>
        <w:t>推动</w:t>
      </w:r>
      <w:r>
        <w:rPr>
          <w:rFonts w:hint="eastAsia" w:ascii="仿宋_GB2312" w:eastAsia="仿宋_GB2312"/>
          <w:sz w:val="30"/>
          <w:szCs w:val="30"/>
        </w:rPr>
        <w:t>专业市场产业服务能力与网络建设，构建专业市场牵引拉动式温州制造升级模式。强化专业市场的市场化运营管理，推动高水平运营服务商引入。优化专业市场发展布局，加快核心城区老旧市场的退出出清。推动农产品批发市场现代集散功能发展，持续提升农贸市场发展品质。</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w:t>
            </w:r>
            <w:r>
              <w:rPr>
                <w:rFonts w:ascii="仿宋_GB2312" w:hAnsi="宋体" w:eastAsia="仿宋_GB2312" w:cs="黑体"/>
                <w:b/>
                <w:color w:val="000000"/>
                <w:sz w:val="28"/>
                <w:szCs w:val="28"/>
              </w:rPr>
              <w:t xml:space="preserve">20 </w:t>
            </w:r>
            <w:r>
              <w:rPr>
                <w:rFonts w:hint="eastAsia" w:ascii="仿宋_GB2312" w:hAnsi="宋体" w:eastAsia="仿宋_GB2312" w:cs="黑体"/>
                <w:b/>
                <w:color w:val="000000"/>
                <w:sz w:val="28"/>
                <w:szCs w:val="28"/>
              </w:rPr>
              <w:t>现代专业市场建设专项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 实施专业市场统一布局。</w:t>
            </w:r>
            <w:r>
              <w:rPr>
                <w:rFonts w:hint="eastAsia" w:ascii="仿宋_GB2312" w:hAnsi="仿宋" w:eastAsia="仿宋_GB2312" w:cs="仿宋"/>
                <w:bCs/>
                <w:color w:val="000000"/>
                <w:sz w:val="24"/>
                <w:szCs w:val="24"/>
                <w:shd w:val="clear" w:color="080000" w:fill="FFFFFF"/>
              </w:rPr>
              <w:t>加强专业市场发展的顶层设计，突出区域发展重点，严控新市场、精减老市场，建立以“龙头市场+专业街”为核心的市场发展空间体系，以市场间兼并、联合、重组等形式，推动“一业一市、一市一地”布局。</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 建设智慧新型专业市场。</w:t>
            </w:r>
            <w:r>
              <w:rPr>
                <w:rFonts w:hint="eastAsia" w:ascii="仿宋_GB2312" w:hAnsi="仿宋" w:eastAsia="仿宋_GB2312" w:cs="仿宋"/>
                <w:bCs/>
                <w:color w:val="000000"/>
                <w:sz w:val="24"/>
                <w:szCs w:val="24"/>
                <w:shd w:val="clear" w:color="080000" w:fill="FFFFFF"/>
              </w:rPr>
              <w:t>推动大数据、云技术、AR/VR等新一代信息技术在专业市场内应用，创新发展线上线下全渠道专业市场运营模式，构建市场与大中型商户的利益共享、共生协同机制，引入现代化组织架构、经营管理理念与治理模式。</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3. 构建以销带产升级模式。</w:t>
            </w:r>
            <w:r>
              <w:rPr>
                <w:rFonts w:hint="eastAsia" w:ascii="仿宋_GB2312" w:hAnsi="仿宋" w:eastAsia="仿宋_GB2312" w:cs="仿宋"/>
                <w:bCs/>
                <w:color w:val="000000"/>
                <w:sz w:val="24"/>
                <w:szCs w:val="24"/>
                <w:shd w:val="clear" w:color="080000" w:fill="FFFFFF"/>
              </w:rPr>
              <w:t>做强批发、做新零售，发展专业市场实力商户的网络与运营能力，以知名品牌打造与授权为切入点，以名牌名设计带动下游订货与销售预期，发展面向制造企业的订单下订能力，构建形成“专业市场+品牌+实力商户+研发设计+订单+制造企业”的合作模式。</w:t>
            </w:r>
          </w:p>
          <w:p>
            <w:pPr>
              <w:spacing w:line="400" w:lineRule="exact"/>
              <w:ind w:firstLine="482" w:firstLineChars="200"/>
              <w:jc w:val="left"/>
              <w:rPr>
                <w:rFonts w:ascii="仿宋_GB2312" w:hAnsi="仿宋" w:eastAsia="仿宋_GB2312" w:cs="仿宋"/>
                <w:b/>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4. 做强市场游购消费体验。</w:t>
            </w:r>
            <w:r>
              <w:rPr>
                <w:rFonts w:hint="eastAsia" w:ascii="仿宋_GB2312" w:hAnsi="仿宋" w:eastAsia="仿宋_GB2312" w:cs="仿宋"/>
                <w:bCs/>
                <w:color w:val="000000"/>
                <w:sz w:val="24"/>
                <w:szCs w:val="24"/>
                <w:shd w:val="clear" w:color="080000" w:fill="FFFFFF"/>
              </w:rPr>
              <w:t>推动国际真皮大世界、温州站南商贸城等转型升级，加强温州制造产品的体验型、优价型销售，发展旅游购物服务，打造零售友好型市场。高起点、高标准谋划温州环贸港等新建市场发展，做强零售、餐饮等功能。</w:t>
            </w:r>
          </w:p>
        </w:tc>
      </w:tr>
    </w:tbl>
    <w:p>
      <w:pPr>
        <w:spacing w:line="560" w:lineRule="exact"/>
        <w:ind w:firstLine="602" w:firstLineChars="200"/>
        <w:outlineLvl w:val="2"/>
        <w:rPr>
          <w:rFonts w:ascii="楷体" w:hAnsi="楷体" w:eastAsia="楷体"/>
          <w:b/>
          <w:sz w:val="30"/>
          <w:szCs w:val="30"/>
        </w:rPr>
      </w:pPr>
      <w:bookmarkStart w:id="44" w:name="_Toc74756890"/>
      <w:r>
        <w:rPr>
          <w:rFonts w:hint="eastAsia" w:ascii="楷体" w:hAnsi="楷体" w:eastAsia="楷体"/>
          <w:b/>
          <w:sz w:val="30"/>
          <w:szCs w:val="30"/>
        </w:rPr>
        <w:t>2、建设物流基础设施</w:t>
      </w:r>
      <w:bookmarkEnd w:id="44"/>
    </w:p>
    <w:p>
      <w:pPr>
        <w:spacing w:line="560" w:lineRule="exact"/>
        <w:ind w:firstLine="600" w:firstLineChars="200"/>
        <w:rPr>
          <w:rFonts w:ascii="仿宋_GB2312" w:eastAsia="仿宋_GB2312"/>
          <w:sz w:val="30"/>
          <w:szCs w:val="30"/>
        </w:rPr>
      </w:pPr>
      <w:r>
        <w:rPr>
          <w:rFonts w:hint="eastAsia" w:ascii="仿宋_GB2312" w:eastAsia="仿宋_GB2312"/>
          <w:sz w:val="30"/>
          <w:szCs w:val="30"/>
        </w:rPr>
        <w:t>加快推动“七区三级”全市物流空间布局落地，高水平推进七大物流集聚区（物流园区）建设。高水平推进温州东部综合交通枢纽建设，加强物流基础设施建设，打造集空港、海港、高铁、高速为一体的国家级货运服务枢纽。高水平打造区域枢纽机场，发展提升亿吨级港口，加强铁路与公路货运网络建设。强化物流业发展的长期战略性价值认识，破解物流用地发展瓶颈，加强专业化物流与仓储园区建设力度，扩大物流与仓储服务能力。支持</w:t>
      </w:r>
      <w:r>
        <w:rPr>
          <w:rFonts w:hint="eastAsia" w:ascii="仿宋_GB2312" w:hAnsi="DengXian" w:eastAsia="仿宋_GB2312"/>
          <w:sz w:val="30"/>
          <w:szCs w:val="30"/>
        </w:rPr>
        <w:t>市场</w:t>
      </w:r>
      <w:r>
        <w:rPr>
          <w:rFonts w:hint="eastAsia" w:ascii="仿宋_GB2312" w:eastAsia="仿宋_GB2312"/>
          <w:sz w:val="30"/>
          <w:szCs w:val="30"/>
        </w:rPr>
        <w:t>力量对闲置厂房等物业资源的改造、整合与利用，推动云仓、冷链仓、多层仓、立体仓、前置仓、配送仓等新兴仓储形态发展。以智慧化、自动化、平台化、集团化为重点，提升物流与仓储园区的现代化发展水平。</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w:t>
            </w:r>
            <w:r>
              <w:rPr>
                <w:rFonts w:ascii="仿宋_GB2312" w:hAnsi="宋体" w:eastAsia="仿宋_GB2312" w:cs="黑体"/>
                <w:b/>
                <w:color w:val="000000"/>
                <w:sz w:val="28"/>
                <w:szCs w:val="28"/>
              </w:rPr>
              <w:t xml:space="preserve">21 </w:t>
            </w:r>
            <w:r>
              <w:rPr>
                <w:rFonts w:hint="eastAsia" w:ascii="仿宋_GB2312" w:hAnsi="宋体" w:eastAsia="仿宋_GB2312" w:cs="黑体"/>
                <w:b/>
                <w:color w:val="000000"/>
                <w:sz w:val="28"/>
                <w:szCs w:val="28"/>
              </w:rPr>
              <w:t>物流场站建设专项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 建设国家物流枢纽。</w:t>
            </w:r>
            <w:r>
              <w:rPr>
                <w:rFonts w:hint="eastAsia" w:ascii="仿宋_GB2312" w:hAnsi="仿宋" w:eastAsia="仿宋_GB2312" w:cs="仿宋"/>
                <w:bCs/>
                <w:color w:val="000000"/>
                <w:sz w:val="24"/>
                <w:szCs w:val="24"/>
                <w:shd w:val="clear" w:color="080000" w:fill="FFFFFF"/>
              </w:rPr>
              <w:t>大力推进东部交通枢纽、乐清湾物流园区等物流基础设施建设完善，全面提升货物集散、存储、分拨与转运等服务能力，推动物流活动组织的高效性、服务性、集聚性，以产业与物流的高效互动为特色，高水平打造商贸服务型国家物流枢纽。</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 建设重大物流集聚区。</w:t>
            </w:r>
            <w:r>
              <w:rPr>
                <w:rFonts w:hint="eastAsia" w:ascii="仿宋_GB2312" w:hAnsi="仿宋" w:eastAsia="仿宋_GB2312" w:cs="仿宋"/>
                <w:bCs/>
                <w:color w:val="000000"/>
                <w:sz w:val="24"/>
                <w:szCs w:val="24"/>
                <w:shd w:val="clear" w:color="080000" w:fill="FFFFFF"/>
              </w:rPr>
              <w:t>高规格、高水平打造乐清湾物流园区、温州市航空物流园区、瓯江口物流园区、瓯海潘桥物流园区、瑞安江南物流园区、鹿城西部物流园区、温州南部副中心综合物流园区等7大物流集聚区（物流园区）。</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3. 做大专业仓储空间。</w:t>
            </w:r>
            <w:r>
              <w:rPr>
                <w:rFonts w:hint="eastAsia" w:ascii="仿宋_GB2312" w:hAnsi="仿宋" w:eastAsia="仿宋_GB2312" w:cs="仿宋"/>
                <w:bCs/>
                <w:color w:val="000000"/>
                <w:sz w:val="24"/>
                <w:szCs w:val="24"/>
                <w:shd w:val="clear" w:color="080000" w:fill="FFFFFF"/>
              </w:rPr>
              <w:t>加强区域仓储空间开发利用，支持智能仓储基地发展，推进仓储业供给侧改革，着力发展城市共同配送仓、电商仓。提升仓储产业发展坪效，推动仓储业绿色、精细、规范、融合、安全发展，加强仓储资源的联动与共享。推动县（区、市）仓储空间建设，各县（区、市）在中心城区所在地规划不少于11亩的商贸仓储物流基地。</w:t>
            </w:r>
          </w:p>
          <w:p>
            <w:pPr>
              <w:spacing w:line="400" w:lineRule="exact"/>
              <w:ind w:firstLine="482" w:firstLineChars="200"/>
              <w:jc w:val="left"/>
              <w:rPr>
                <w:rFonts w:ascii="仿宋_GB2312" w:hAnsi="仿宋" w:eastAsia="仿宋_GB2312" w:cs="仿宋"/>
                <w:b/>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4. 发展冷链仓配设施。</w:t>
            </w:r>
            <w:r>
              <w:rPr>
                <w:rFonts w:hint="eastAsia" w:ascii="仿宋_GB2312" w:hAnsi="仿宋" w:eastAsia="仿宋_GB2312" w:cs="仿宋"/>
                <w:bCs/>
                <w:color w:val="000000"/>
                <w:sz w:val="24"/>
                <w:szCs w:val="24"/>
                <w:shd w:val="clear" w:color="080000" w:fill="FFFFFF"/>
              </w:rPr>
              <w:t>以服务进口生鲜产品、消费食材、本地海鲜、农产品等集散为重点，以规模化、公共化、绿色化为导向，推动低温库、冷藏库等冷库建设，构建形成网络化服务能力。推动满足应急、医疗等需要的冷库设施建设。</w:t>
            </w:r>
          </w:p>
        </w:tc>
      </w:tr>
    </w:tbl>
    <w:p>
      <w:pPr>
        <w:spacing w:line="560" w:lineRule="exact"/>
        <w:ind w:firstLine="602" w:firstLineChars="200"/>
        <w:outlineLvl w:val="2"/>
        <w:rPr>
          <w:rFonts w:ascii="楷体" w:hAnsi="楷体" w:eastAsia="楷体"/>
          <w:b/>
          <w:sz w:val="30"/>
          <w:szCs w:val="30"/>
        </w:rPr>
      </w:pPr>
      <w:bookmarkStart w:id="45" w:name="_Toc74756891"/>
      <w:r>
        <w:rPr>
          <w:rFonts w:hint="eastAsia" w:ascii="楷体" w:hAnsi="楷体" w:eastAsia="楷体"/>
          <w:b/>
          <w:sz w:val="30"/>
          <w:szCs w:val="30"/>
        </w:rPr>
        <w:t>3、提升货运配送能力</w:t>
      </w:r>
      <w:bookmarkEnd w:id="45"/>
    </w:p>
    <w:p>
      <w:pPr>
        <w:spacing w:line="560" w:lineRule="exact"/>
        <w:ind w:firstLine="600" w:firstLineChars="200"/>
        <w:rPr>
          <w:rFonts w:ascii="楷体" w:hAnsi="楷体" w:eastAsia="楷体"/>
          <w:b/>
          <w:sz w:val="30"/>
          <w:szCs w:val="30"/>
        </w:rPr>
      </w:pPr>
      <w:r>
        <w:rPr>
          <w:rFonts w:hint="eastAsia" w:ascii="仿宋_GB2312" w:eastAsia="仿宋_GB2312"/>
          <w:sz w:val="30"/>
          <w:szCs w:val="30"/>
        </w:rPr>
        <w:t>大力发展现代物流企业，推进中小物流企业整合兼并，培育一批具有国际化物流服务能力的平台型企业。提升温州港服务能力，逐步发展国际中转集拼业务，推动多式联运发展，申请国际船舶登记权限，</w:t>
      </w:r>
      <w:r>
        <w:rPr>
          <w:rFonts w:hint="eastAsia" w:ascii="仿宋_GB2312" w:hAnsi="DengXian" w:eastAsia="仿宋_GB2312"/>
          <w:sz w:val="30"/>
          <w:szCs w:val="30"/>
        </w:rPr>
        <w:t>支持</w:t>
      </w:r>
      <w:r>
        <w:rPr>
          <w:rFonts w:hint="eastAsia" w:ascii="仿宋_GB2312" w:eastAsia="仿宋_GB2312"/>
          <w:sz w:val="30"/>
          <w:szCs w:val="30"/>
        </w:rPr>
        <w:t>国内外专业第三方经营国际船舶运输、船舶代理、船舶管理、海运货物装卸、海运货物仓储、海运集装箱站和堆场业务。争取航空非危品（带电产品）海运业务，推动温州港与台湾集装箱轮班航线创新发展，开辟加密若干近洋远洋航线，加强与宁波舟山港的深度联动。增加温州空港国际货运航线，争取开展国际（地区）全货机业务。依托温州物流信息枢纽港建设，推动管理部门、业务部门信息互通共享。以托盘为重点，强化基础性标准推广应用，推动物流业标准化建设。推动城乡高效配送体系建设，完善城乡配送网络，推进城乡配送信息化、标准化建设，优化城市配送车辆通行便利政策，支持共同配送发展。</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w:t>
            </w:r>
            <w:r>
              <w:rPr>
                <w:rFonts w:ascii="仿宋_GB2312" w:hAnsi="宋体" w:eastAsia="仿宋_GB2312" w:cs="黑体"/>
                <w:b/>
                <w:color w:val="000000"/>
                <w:sz w:val="28"/>
                <w:szCs w:val="28"/>
              </w:rPr>
              <w:t xml:space="preserve">22 </w:t>
            </w:r>
            <w:r>
              <w:rPr>
                <w:rFonts w:hint="eastAsia" w:ascii="仿宋_GB2312" w:hAnsi="宋体" w:eastAsia="仿宋_GB2312" w:cs="黑体"/>
                <w:b/>
                <w:color w:val="000000"/>
                <w:sz w:val="28"/>
                <w:szCs w:val="28"/>
              </w:rPr>
              <w:t>货运配送能力提升专项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 培育国际化物流企业</w:t>
            </w:r>
            <w:r>
              <w:rPr>
                <w:rFonts w:hint="eastAsia" w:ascii="仿宋_GB2312" w:hAnsi="仿宋" w:eastAsia="仿宋_GB2312" w:cs="仿宋"/>
                <w:bCs/>
                <w:color w:val="000000"/>
                <w:sz w:val="24"/>
                <w:szCs w:val="24"/>
                <w:shd w:val="clear" w:color="080000" w:fill="FFFFFF"/>
              </w:rPr>
              <w:t>。推动物流企业整合兼并，培育一批物流服务集团性企业，大力推动龙头物流企业以供应链为重点进行国际化布局，做强国际采购、国际货运、国际分销等能力。加强知名国际物流服务企业的招引，推动建立本地化运营服务中心。</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 做强温州港物流枢纽。</w:t>
            </w:r>
            <w:r>
              <w:rPr>
                <w:rFonts w:hint="eastAsia" w:ascii="仿宋_GB2312" w:hAnsi="仿宋" w:eastAsia="仿宋_GB2312" w:cs="仿宋"/>
                <w:bCs/>
                <w:color w:val="000000"/>
                <w:sz w:val="24"/>
                <w:szCs w:val="24"/>
                <w:shd w:val="clear" w:color="080000" w:fill="FFFFFF"/>
              </w:rPr>
              <w:t>以物流枢纽港为定位，加强港口配套集疏运设施建设，加密内支线，提升台湾、东南亚航线，推动大宗商品交易平台、集装箱组货平台、海陆联动集疏运网络、金融和信息支撑平台等核心平台搭建，全面推动温州港加工、储存、贸易等综合物流发展。</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3. 做大空港物流枢纽。</w:t>
            </w:r>
            <w:r>
              <w:rPr>
                <w:rFonts w:hint="eastAsia" w:ascii="仿宋_GB2312" w:hAnsi="仿宋" w:eastAsia="仿宋_GB2312" w:cs="仿宋"/>
                <w:bCs/>
                <w:color w:val="000000"/>
                <w:sz w:val="24"/>
                <w:szCs w:val="24"/>
                <w:shd w:val="clear" w:color="080000" w:fill="FFFFFF"/>
              </w:rPr>
              <w:t>大力推动国际航线发展，以服务高货值产品为导向，推动国际国内货运航班发展，积极引入专业化航空货运代理企业，着力招引大型物流集成商。</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4. 提升物流标准化水平。</w:t>
            </w:r>
            <w:r>
              <w:rPr>
                <w:rFonts w:hint="eastAsia" w:ascii="仿宋_GB2312" w:hAnsi="仿宋" w:eastAsia="仿宋_GB2312" w:cs="仿宋"/>
                <w:bCs/>
                <w:color w:val="000000"/>
                <w:sz w:val="24"/>
                <w:szCs w:val="24"/>
                <w:shd w:val="clear" w:color="080000" w:fill="FFFFFF"/>
              </w:rPr>
              <w:t>以托盘标准化为重点，推动托盘、物流周转箱、货架、车辆车厢、集装箱、产品包装模数等系列标准协同规范和统一，推动物流作业流程、服务流程、商业流程标准化。以生产物流、城市配送物流为重点，发展物流标准化试点。</w:t>
            </w:r>
          </w:p>
          <w:p>
            <w:pPr>
              <w:spacing w:line="400" w:lineRule="exact"/>
              <w:ind w:firstLine="482" w:firstLineChars="200"/>
              <w:jc w:val="left"/>
              <w:rPr>
                <w:rFonts w:ascii="仿宋_GB2312" w:hAnsi="仿宋" w:eastAsia="仿宋_GB2312" w:cs="仿宋"/>
                <w:b/>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5</w:t>
            </w:r>
            <w:r>
              <w:rPr>
                <w:rFonts w:ascii="仿宋_GB2312" w:hAnsi="仿宋" w:eastAsia="仿宋_GB2312" w:cs="仿宋"/>
                <w:b/>
                <w:bCs/>
                <w:color w:val="000000"/>
                <w:sz w:val="24"/>
                <w:szCs w:val="24"/>
                <w:shd w:val="clear" w:color="080000" w:fill="FFFFFF"/>
              </w:rPr>
              <w:t xml:space="preserve">. </w:t>
            </w:r>
            <w:r>
              <w:rPr>
                <w:rFonts w:hint="eastAsia" w:ascii="仿宋_GB2312" w:hAnsi="仿宋" w:eastAsia="仿宋_GB2312" w:cs="仿宋"/>
                <w:b/>
                <w:bCs/>
                <w:color w:val="000000"/>
                <w:sz w:val="24"/>
                <w:szCs w:val="24"/>
                <w:shd w:val="clear" w:color="080000" w:fill="FFFFFF"/>
              </w:rPr>
              <w:t>建设物流示范平台。</w:t>
            </w:r>
            <w:r>
              <w:rPr>
                <w:rFonts w:hint="eastAsia" w:ascii="仿宋_GB2312" w:hAnsi="仿宋" w:eastAsia="仿宋_GB2312" w:cs="仿宋"/>
                <w:bCs/>
                <w:color w:val="000000"/>
                <w:sz w:val="24"/>
                <w:szCs w:val="24"/>
                <w:shd w:val="clear" w:color="080000" w:fill="FFFFFF"/>
              </w:rPr>
              <w:t>围绕城市货运模式创新，加快创建国家城市绿色货运配送示范城市。围绕城乡服务、绿色服务，推动中国快递示范城市创建。围绕国际商业快件，建设国际商业快件中心。</w:t>
            </w:r>
          </w:p>
        </w:tc>
      </w:tr>
    </w:tbl>
    <w:p>
      <w:pPr>
        <w:spacing w:line="560" w:lineRule="exact"/>
        <w:ind w:firstLine="602" w:firstLineChars="200"/>
        <w:outlineLvl w:val="2"/>
        <w:rPr>
          <w:rFonts w:ascii="楷体" w:hAnsi="楷体" w:eastAsia="楷体"/>
          <w:b/>
          <w:sz w:val="30"/>
          <w:szCs w:val="30"/>
        </w:rPr>
      </w:pPr>
      <w:bookmarkStart w:id="46" w:name="_Toc74756892"/>
      <w:r>
        <w:rPr>
          <w:rFonts w:hint="eastAsia" w:ascii="楷体" w:hAnsi="楷体" w:eastAsia="楷体"/>
          <w:b/>
          <w:sz w:val="30"/>
          <w:szCs w:val="30"/>
        </w:rPr>
        <w:t>4、做强供应链服务</w:t>
      </w:r>
      <w:bookmarkEnd w:id="46"/>
    </w:p>
    <w:p>
      <w:pPr>
        <w:spacing w:line="560" w:lineRule="exact"/>
        <w:ind w:firstLine="600" w:firstLineChars="200"/>
        <w:rPr>
          <w:rFonts w:ascii="仿宋_GB2312" w:eastAsia="仿宋_GB2312"/>
          <w:sz w:val="30"/>
          <w:szCs w:val="30"/>
        </w:rPr>
      </w:pPr>
      <w:r>
        <w:rPr>
          <w:rFonts w:hint="eastAsia" w:ascii="仿宋_GB2312" w:eastAsia="仿宋_GB2312"/>
          <w:sz w:val="30"/>
          <w:szCs w:val="30"/>
        </w:rPr>
        <w:t>以“5</w:t>
      </w:r>
      <w:r>
        <w:rPr>
          <w:rFonts w:ascii="仿宋_GB2312" w:eastAsia="仿宋_GB2312"/>
          <w:sz w:val="30"/>
          <w:szCs w:val="30"/>
        </w:rPr>
        <w:t>+5</w:t>
      </w:r>
      <w:r>
        <w:rPr>
          <w:rFonts w:hint="eastAsia" w:ascii="仿宋_GB2312" w:eastAsia="仿宋_GB2312"/>
          <w:sz w:val="30"/>
          <w:szCs w:val="30"/>
        </w:rPr>
        <w:t>”产业领域为重点，围绕原材料采购、中间品</w:t>
      </w:r>
      <w:r>
        <w:rPr>
          <w:rFonts w:hint="eastAsia" w:ascii="仿宋_GB2312" w:hAnsi="DengXian" w:eastAsia="仿宋_GB2312"/>
          <w:sz w:val="30"/>
          <w:szCs w:val="30"/>
        </w:rPr>
        <w:t>转运</w:t>
      </w:r>
      <w:r>
        <w:rPr>
          <w:rFonts w:hint="eastAsia" w:ascii="仿宋_GB2312" w:eastAsia="仿宋_GB2312"/>
          <w:sz w:val="30"/>
          <w:szCs w:val="30"/>
        </w:rPr>
        <w:t>、成品仓储、展示销售等领域，大力推动供应链服务发展，强化平台型供应链服务企业培育，建设一批营销驱动、多元协同、高效运作的现代供应链平台。支持企业进行供应链设施改造，提升企业供应链应用水平，营造龙头企业创新引领、中小微企业（主体）积极参与的产业供应链发展氛围。加强供应链创新能力培育发展，推动新技术、新模式在温州的先行探索。强化重点产业供应链招商，推动一批补链、强链的重大产业项目落地建设。</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w:t>
            </w:r>
            <w:r>
              <w:rPr>
                <w:rFonts w:ascii="仿宋_GB2312" w:hAnsi="宋体" w:eastAsia="仿宋_GB2312" w:cs="黑体"/>
                <w:b/>
                <w:color w:val="000000"/>
                <w:sz w:val="28"/>
                <w:szCs w:val="28"/>
              </w:rPr>
              <w:t xml:space="preserve">23 </w:t>
            </w:r>
            <w:r>
              <w:rPr>
                <w:rFonts w:hint="eastAsia" w:ascii="仿宋_GB2312" w:hAnsi="宋体" w:eastAsia="仿宋_GB2312" w:cs="黑体"/>
                <w:b/>
                <w:color w:val="000000"/>
                <w:sz w:val="28"/>
                <w:szCs w:val="28"/>
              </w:rPr>
              <w:t>供应链服务发展专项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 推动供应链创新与应用试点。</w:t>
            </w:r>
            <w:r>
              <w:rPr>
                <w:rFonts w:hint="eastAsia" w:ascii="仿宋_GB2312" w:hAnsi="仿宋" w:eastAsia="仿宋_GB2312" w:cs="仿宋"/>
                <w:bCs/>
                <w:color w:val="000000"/>
                <w:sz w:val="24"/>
                <w:szCs w:val="24"/>
                <w:shd w:val="clear" w:color="080000" w:fill="FFFFFF"/>
              </w:rPr>
              <w:t>大力推动国家级、省级供应链创新与应用试点城市、试点企业创建，强化数字化供应链建设，全面提升供应链体系建设水平。</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ascii="仿宋_GB2312" w:hAnsi="仿宋" w:eastAsia="仿宋_GB2312" w:cs="仿宋"/>
                <w:b/>
                <w:bCs/>
                <w:color w:val="000000"/>
                <w:sz w:val="24"/>
                <w:szCs w:val="24"/>
                <w:shd w:val="clear" w:color="080000" w:fill="FFFFFF"/>
              </w:rPr>
              <w:t>2.</w:t>
            </w:r>
            <w:r>
              <w:rPr>
                <w:rFonts w:hint="eastAsia" w:ascii="仿宋_GB2312" w:hAnsi="仿宋" w:eastAsia="仿宋_GB2312" w:cs="仿宋"/>
                <w:b/>
                <w:bCs/>
                <w:color w:val="000000"/>
                <w:sz w:val="24"/>
                <w:szCs w:val="24"/>
                <w:shd w:val="clear" w:color="080000" w:fill="FFFFFF"/>
              </w:rPr>
              <w:t xml:space="preserve"> 发展特色产业供应链。</w:t>
            </w:r>
            <w:r>
              <w:rPr>
                <w:rFonts w:hint="eastAsia" w:ascii="仿宋_GB2312" w:hAnsi="仿宋" w:eastAsia="仿宋_GB2312" w:cs="仿宋"/>
                <w:bCs/>
                <w:color w:val="000000"/>
                <w:sz w:val="24"/>
                <w:szCs w:val="24"/>
                <w:shd w:val="clear" w:color="080000" w:fill="FFFFFF"/>
              </w:rPr>
              <w:t>围绕“5</w:t>
            </w:r>
            <w:r>
              <w:rPr>
                <w:rFonts w:ascii="仿宋_GB2312" w:hAnsi="仿宋" w:eastAsia="仿宋_GB2312" w:cs="仿宋"/>
                <w:bCs/>
                <w:color w:val="000000"/>
                <w:sz w:val="24"/>
                <w:szCs w:val="24"/>
                <w:shd w:val="clear" w:color="080000" w:fill="FFFFFF"/>
              </w:rPr>
              <w:t>+5”</w:t>
            </w:r>
            <w:r>
              <w:rPr>
                <w:rFonts w:hint="eastAsia" w:ascii="仿宋_GB2312" w:hAnsi="仿宋" w:eastAsia="仿宋_GB2312" w:cs="仿宋"/>
                <w:bCs/>
                <w:color w:val="000000"/>
                <w:sz w:val="24"/>
                <w:szCs w:val="24"/>
                <w:shd w:val="clear" w:color="080000" w:fill="FFFFFF"/>
              </w:rPr>
              <w:t>重点产业、特色农业、现代服务业等领域，打造3个数据多源集成、服务全链共享、资源跨域协同的特色行业供应链平台，培育</w:t>
            </w:r>
            <w:r>
              <w:rPr>
                <w:rFonts w:ascii="仿宋_GB2312" w:hAnsi="仿宋" w:eastAsia="仿宋_GB2312" w:cs="仿宋"/>
                <w:bCs/>
                <w:color w:val="000000"/>
                <w:sz w:val="24"/>
                <w:szCs w:val="24"/>
                <w:shd w:val="clear" w:color="080000" w:fill="FFFFFF"/>
              </w:rPr>
              <w:t>5</w:t>
            </w:r>
            <w:r>
              <w:rPr>
                <w:rFonts w:hint="eastAsia" w:ascii="仿宋_GB2312" w:hAnsi="仿宋" w:eastAsia="仿宋_GB2312" w:cs="仿宋"/>
                <w:bCs/>
                <w:color w:val="000000"/>
                <w:sz w:val="24"/>
                <w:szCs w:val="24"/>
                <w:shd w:val="clear" w:color="080000" w:fill="FFFFFF"/>
              </w:rPr>
              <w:t>家以上具有行业或区域影响力的供应链重点企业。</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ascii="仿宋_GB2312" w:hAnsi="仿宋" w:eastAsia="仿宋_GB2312" w:cs="仿宋"/>
                <w:b/>
                <w:bCs/>
                <w:color w:val="000000"/>
                <w:sz w:val="24"/>
                <w:szCs w:val="24"/>
                <w:shd w:val="clear" w:color="080000" w:fill="FFFFFF"/>
              </w:rPr>
              <w:t xml:space="preserve">3. </w:t>
            </w:r>
            <w:r>
              <w:rPr>
                <w:rFonts w:hint="eastAsia" w:ascii="仿宋_GB2312" w:hAnsi="仿宋" w:eastAsia="仿宋_GB2312" w:cs="仿宋"/>
                <w:b/>
                <w:bCs/>
                <w:color w:val="000000"/>
                <w:sz w:val="24"/>
                <w:szCs w:val="24"/>
                <w:shd w:val="clear" w:color="080000" w:fill="FFFFFF"/>
              </w:rPr>
              <w:t>丰富供应链服务体系。</w:t>
            </w:r>
            <w:r>
              <w:rPr>
                <w:rFonts w:hint="eastAsia" w:ascii="仿宋_GB2312" w:hAnsi="仿宋" w:eastAsia="仿宋_GB2312" w:cs="仿宋"/>
                <w:bCs/>
                <w:color w:val="000000"/>
                <w:sz w:val="24"/>
                <w:szCs w:val="24"/>
                <w:shd w:val="clear" w:color="080000" w:fill="FFFFFF"/>
              </w:rPr>
              <w:t>围绕供应链金融、绿色供应链、全球供应链等领域，强化创新与领域试点，积极丰富供应链服务类型。</w:t>
            </w:r>
          </w:p>
        </w:tc>
      </w:tr>
    </w:tbl>
    <w:p>
      <w:pPr>
        <w:spacing w:line="560" w:lineRule="exact"/>
        <w:ind w:firstLine="602" w:firstLineChars="200"/>
        <w:outlineLvl w:val="2"/>
        <w:rPr>
          <w:rFonts w:ascii="楷体" w:hAnsi="楷体" w:eastAsia="楷体"/>
          <w:b/>
          <w:sz w:val="30"/>
          <w:szCs w:val="30"/>
        </w:rPr>
      </w:pPr>
      <w:bookmarkStart w:id="47" w:name="_Toc74756893"/>
      <w:r>
        <w:rPr>
          <w:rFonts w:hint="eastAsia" w:ascii="楷体" w:hAnsi="楷体" w:eastAsia="楷体"/>
          <w:b/>
          <w:sz w:val="30"/>
          <w:szCs w:val="30"/>
        </w:rPr>
        <w:t>5、推动流通业态创新</w:t>
      </w:r>
      <w:bookmarkEnd w:id="47"/>
    </w:p>
    <w:p>
      <w:pPr>
        <w:spacing w:line="560" w:lineRule="exact"/>
        <w:ind w:firstLine="600" w:firstLineChars="200"/>
        <w:rPr>
          <w:rFonts w:ascii="仿宋_GB2312" w:eastAsia="仿宋_GB2312"/>
          <w:sz w:val="30"/>
          <w:szCs w:val="30"/>
        </w:rPr>
      </w:pPr>
      <w:r>
        <w:rPr>
          <w:rFonts w:hint="eastAsia" w:ascii="仿宋_GB2312" w:eastAsia="仿宋_GB2312"/>
          <w:sz w:val="30"/>
          <w:szCs w:val="30"/>
        </w:rPr>
        <w:t>大力发展以大数据、互联网为核心依托的智慧流通，推动“城市流通大脑”建设。围绕“5</w:t>
      </w:r>
      <w:r>
        <w:rPr>
          <w:rFonts w:ascii="仿宋_GB2312" w:eastAsia="仿宋_GB2312"/>
          <w:sz w:val="30"/>
          <w:szCs w:val="30"/>
        </w:rPr>
        <w:t>+5</w:t>
      </w:r>
      <w:r>
        <w:rPr>
          <w:rFonts w:hint="eastAsia" w:ascii="仿宋_GB2312" w:eastAsia="仿宋_GB2312"/>
          <w:sz w:val="30"/>
          <w:szCs w:val="30"/>
        </w:rPr>
        <w:t>”产业、进口产品、农产品等领域，发展流通新平台，发挥平台引领渠道、经济和资源融合作用，精准协同上游产业发展。推动传统流通企业业态创新，发展绿色化流通、柔性化流通、体验式流通。加强政府引导，激发市场力量，推进社区流通、农村流通业态创新。全面推动高铁货运流通体系建设，加强本地农产品、电商产品与高铁快运产品的融合发展，发展</w:t>
      </w:r>
      <w:r>
        <w:rPr>
          <w:rFonts w:hint="eastAsia" w:ascii="仿宋_GB2312" w:hAnsi="DengXian" w:eastAsia="仿宋_GB2312"/>
          <w:sz w:val="30"/>
          <w:szCs w:val="30"/>
        </w:rPr>
        <w:t>“高铁流通”</w:t>
      </w:r>
      <w:r>
        <w:rPr>
          <w:rFonts w:hint="eastAsia" w:ascii="仿宋_GB2312" w:eastAsia="仿宋_GB2312"/>
          <w:sz w:val="30"/>
          <w:szCs w:val="30"/>
        </w:rPr>
        <w:t>模式。</w:t>
      </w:r>
    </w:p>
    <w:tbl>
      <w:tblPr>
        <w:tblStyle w:val="1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jc w:val="center"/>
              <w:rPr>
                <w:rFonts w:ascii="楷体_GB2312" w:hAnsi="DengXian" w:eastAsia="楷体_GB2312"/>
                <w:b/>
                <w:bCs/>
                <w:sz w:val="28"/>
                <w:szCs w:val="28"/>
              </w:rPr>
            </w:pPr>
            <w:r>
              <w:rPr>
                <w:rFonts w:hint="eastAsia" w:ascii="仿宋_GB2312" w:hAnsi="宋体" w:eastAsia="仿宋_GB2312" w:cs="黑体"/>
                <w:b/>
                <w:color w:val="000000"/>
                <w:sz w:val="28"/>
                <w:szCs w:val="28"/>
              </w:rPr>
              <w:t>专栏</w:t>
            </w:r>
            <w:r>
              <w:rPr>
                <w:rFonts w:ascii="仿宋_GB2312" w:hAnsi="宋体" w:eastAsia="仿宋_GB2312" w:cs="黑体"/>
                <w:b/>
                <w:color w:val="000000"/>
                <w:sz w:val="28"/>
                <w:szCs w:val="28"/>
              </w:rPr>
              <w:t xml:space="preserve">24 </w:t>
            </w:r>
            <w:r>
              <w:rPr>
                <w:rFonts w:hint="eastAsia" w:ascii="仿宋_GB2312" w:hAnsi="宋体" w:eastAsia="仿宋_GB2312" w:cs="黑体"/>
                <w:b/>
                <w:color w:val="000000"/>
                <w:sz w:val="28"/>
                <w:szCs w:val="28"/>
              </w:rPr>
              <w:t>流通业态创新专项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1. 推动智慧流通发展</w:t>
            </w:r>
            <w:r>
              <w:rPr>
                <w:rFonts w:hint="eastAsia" w:ascii="仿宋_GB2312" w:hAnsi="仿宋" w:eastAsia="仿宋_GB2312" w:cs="仿宋"/>
                <w:bCs/>
                <w:color w:val="000000"/>
                <w:sz w:val="24"/>
                <w:szCs w:val="24"/>
                <w:shd w:val="clear" w:color="080000" w:fill="FFFFFF"/>
              </w:rPr>
              <w:t>。推动新一代信息技术在流通企业的应用，围绕核心流通企业，拓展上下游流通链条数据的接入，强化流通数据的分析处理，提升流通企业运营管理数字化水平，建立行业性、区域性智慧流通平台，优化提升流通效率，创新服务上游厂商。</w:t>
            </w:r>
          </w:p>
          <w:p>
            <w:pPr>
              <w:spacing w:line="400" w:lineRule="exact"/>
              <w:ind w:firstLine="482" w:firstLineChars="200"/>
              <w:jc w:val="left"/>
              <w:rPr>
                <w:rFonts w:ascii="仿宋_GB2312" w:hAnsi="仿宋" w:eastAsia="仿宋_GB2312" w:cs="仿宋"/>
                <w:b/>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2. 推动连锁经营发展。</w:t>
            </w:r>
            <w:r>
              <w:rPr>
                <w:rFonts w:hint="eastAsia" w:ascii="仿宋_GB2312" w:hAnsi="仿宋" w:eastAsia="仿宋_GB2312" w:cs="仿宋"/>
                <w:bCs/>
                <w:color w:val="000000"/>
                <w:sz w:val="24"/>
                <w:szCs w:val="24"/>
                <w:shd w:val="clear" w:color="080000" w:fill="FFFFFF"/>
              </w:rPr>
              <w:t>推动连锁经营业态的普及化发展，支持龙头企业输出现代化连锁经营理念、技术与管理模式，推动商品集采、产地直供、中央厨房、统一配送等模式落地发展，延伸拓展供应链金融等服务，推动企业做大做强。</w:t>
            </w:r>
          </w:p>
          <w:p>
            <w:pPr>
              <w:spacing w:line="400" w:lineRule="exact"/>
              <w:ind w:firstLine="482" w:firstLineChars="200"/>
              <w:jc w:val="left"/>
              <w:rPr>
                <w:rFonts w:ascii="仿宋_GB2312" w:hAnsi="仿宋" w:eastAsia="仿宋_GB2312" w:cs="仿宋"/>
                <w:bCs/>
                <w:color w:val="000000"/>
                <w:sz w:val="24"/>
                <w:szCs w:val="24"/>
                <w:shd w:val="clear" w:color="080000" w:fill="FFFFFF"/>
              </w:rPr>
            </w:pPr>
            <w:r>
              <w:rPr>
                <w:rFonts w:hint="eastAsia" w:ascii="仿宋_GB2312" w:hAnsi="仿宋" w:eastAsia="仿宋_GB2312" w:cs="仿宋"/>
                <w:b/>
                <w:bCs/>
                <w:color w:val="000000"/>
                <w:sz w:val="24"/>
                <w:szCs w:val="24"/>
                <w:shd w:val="clear" w:color="080000" w:fill="FFFFFF"/>
              </w:rPr>
              <w:t>3. 推动流通联盟构建。</w:t>
            </w:r>
            <w:r>
              <w:rPr>
                <w:rFonts w:hint="eastAsia" w:ascii="仿宋_GB2312" w:hAnsi="仿宋" w:eastAsia="仿宋_GB2312" w:cs="仿宋"/>
                <w:bCs/>
                <w:color w:val="000000"/>
                <w:sz w:val="24"/>
                <w:szCs w:val="24"/>
                <w:shd w:val="clear" w:color="080000" w:fill="FFFFFF"/>
              </w:rPr>
              <w:t>支持流通业主体协同、资源共享、人员共用，以“资源整合、优势发展”为导向，推动建立温州市流通产业联盟，强化冷链物流、产销对接、农产品流通等领域发展。</w:t>
            </w:r>
          </w:p>
        </w:tc>
      </w:tr>
    </w:tbl>
    <w:p>
      <w:pPr>
        <w:adjustRightInd w:val="0"/>
        <w:snapToGrid w:val="0"/>
        <w:spacing w:before="156" w:beforeLines="50" w:after="156" w:afterLines="50" w:line="560" w:lineRule="exact"/>
        <w:ind w:firstLine="643" w:firstLineChars="200"/>
        <w:outlineLvl w:val="1"/>
        <w:rPr>
          <w:rFonts w:ascii="仿宋_GB2312" w:hAnsi="仿宋_GB2312" w:eastAsia="仿宋_GB2312" w:cs="仿宋_GB2312"/>
          <w:b/>
          <w:bCs/>
          <w:kern w:val="0"/>
          <w:sz w:val="32"/>
          <w:szCs w:val="32"/>
        </w:rPr>
      </w:pPr>
      <w:bookmarkStart w:id="48" w:name="_Toc74756894"/>
      <w:r>
        <w:rPr>
          <w:rFonts w:hint="eastAsia" w:ascii="仿宋_GB2312" w:hAnsi="仿宋_GB2312" w:eastAsia="仿宋_GB2312" w:cs="仿宋_GB2312"/>
          <w:b/>
          <w:bCs/>
          <w:kern w:val="0"/>
          <w:sz w:val="32"/>
          <w:szCs w:val="32"/>
        </w:rPr>
        <w:t>（六）高水平构建一流商务营商环境</w:t>
      </w:r>
      <w:bookmarkEnd w:id="48"/>
    </w:p>
    <w:p>
      <w:pPr>
        <w:spacing w:line="560" w:lineRule="exact"/>
        <w:ind w:firstLine="600" w:firstLineChars="200"/>
        <w:rPr>
          <w:rFonts w:ascii="仿宋_GB2312" w:eastAsia="仿宋_GB2312"/>
          <w:sz w:val="30"/>
          <w:szCs w:val="30"/>
        </w:rPr>
      </w:pPr>
      <w:r>
        <w:rPr>
          <w:rFonts w:hint="eastAsia" w:ascii="仿宋_GB2312" w:eastAsia="仿宋_GB2312"/>
          <w:sz w:val="30"/>
          <w:szCs w:val="30"/>
        </w:rPr>
        <w:t>围绕商务一流营商环境建设，推动市场化改革，创新便利化举措，落实国际化规则，完善法治化体系。</w:t>
      </w:r>
    </w:p>
    <w:p>
      <w:pPr>
        <w:spacing w:line="560" w:lineRule="exact"/>
        <w:ind w:firstLine="602" w:firstLineChars="200"/>
        <w:outlineLvl w:val="2"/>
        <w:rPr>
          <w:rFonts w:ascii="楷体" w:hAnsi="楷体" w:eastAsia="楷体"/>
          <w:b/>
          <w:sz w:val="30"/>
          <w:szCs w:val="30"/>
        </w:rPr>
      </w:pPr>
      <w:bookmarkStart w:id="49" w:name="_Toc74756895"/>
      <w:r>
        <w:rPr>
          <w:rFonts w:hint="eastAsia" w:ascii="楷体" w:hAnsi="楷体" w:eastAsia="楷体"/>
          <w:b/>
          <w:sz w:val="30"/>
          <w:szCs w:val="30"/>
        </w:rPr>
        <w:t>1、推动市场化改革</w:t>
      </w:r>
      <w:bookmarkEnd w:id="49"/>
    </w:p>
    <w:p>
      <w:pPr>
        <w:spacing w:line="560" w:lineRule="exact"/>
        <w:ind w:firstLine="600" w:firstLineChars="200"/>
        <w:rPr>
          <w:rFonts w:ascii="仿宋_GB2312" w:eastAsia="仿宋_GB2312"/>
          <w:sz w:val="30"/>
          <w:szCs w:val="30"/>
        </w:rPr>
      </w:pPr>
      <w:r>
        <w:rPr>
          <w:rFonts w:hint="eastAsia" w:ascii="仿宋_GB2312" w:eastAsia="仿宋_GB2312"/>
          <w:sz w:val="30"/>
          <w:szCs w:val="30"/>
        </w:rPr>
        <w:t>围绕打造全国民营经济示范城市，以市场化改革深化为取向，实施一批重点改革项目，争取一批重量级改革试点，推动民营企业改革发展由多点突破向系统集成深化拓展，构建可充分激发民营企业活力的现代市场体系。推行市场准入负面清单制度，全面实施外商投资、民间投资负面清单和备案制。探索进一步降低对金融服务、互联网、航运服务、教育、医疗、体育等领域的投资准入门槛，提升服务业开放水平。深化推进资源要素市场化配置改革，提升商务领域技术、人才、土地等关键要素配置效率。建立面向新技术、新产业、新业态、新模式经济形态的审慎监管模式，推动柔性监管方式应用实施。</w:t>
      </w:r>
    </w:p>
    <w:p>
      <w:pPr>
        <w:spacing w:line="560" w:lineRule="exact"/>
        <w:ind w:firstLine="602" w:firstLineChars="200"/>
        <w:outlineLvl w:val="2"/>
        <w:rPr>
          <w:rFonts w:ascii="楷体" w:hAnsi="楷体" w:eastAsia="楷体"/>
          <w:b/>
          <w:sz w:val="30"/>
          <w:szCs w:val="30"/>
        </w:rPr>
      </w:pPr>
      <w:bookmarkStart w:id="50" w:name="_Toc74756896"/>
      <w:r>
        <w:rPr>
          <w:rFonts w:hint="eastAsia" w:ascii="楷体" w:hAnsi="楷体" w:eastAsia="楷体"/>
          <w:b/>
          <w:sz w:val="30"/>
          <w:szCs w:val="30"/>
        </w:rPr>
        <w:t>2、创新便利化举措</w:t>
      </w:r>
      <w:bookmarkEnd w:id="50"/>
    </w:p>
    <w:p>
      <w:pPr>
        <w:spacing w:line="560" w:lineRule="exact"/>
        <w:ind w:firstLine="600" w:firstLineChars="200"/>
        <w:rPr>
          <w:rFonts w:ascii="楷体" w:hAnsi="楷体" w:eastAsia="楷体"/>
          <w:b/>
          <w:sz w:val="30"/>
          <w:szCs w:val="30"/>
        </w:rPr>
      </w:pPr>
      <w:r>
        <w:rPr>
          <w:rFonts w:hint="eastAsia" w:ascii="仿宋_GB2312" w:eastAsia="仿宋_GB2312"/>
          <w:sz w:val="30"/>
          <w:szCs w:val="30"/>
        </w:rPr>
        <w:t>纵深推进贸易投资领域“最多跑一次”改革，深入重构商务领域办事流程，全面推进部门间数据实时互联互通，提升智慧政务建设水平。提升口岸通关信息互联互通建设，推进“两步申报”通关模式改革，推广进口“提前申报”、通关全流程无纸化、通关与物流并联作业、“四自一简”、“货物分状态分类监管”、“账册互转”等便利措施。以数字贸易、服务贸易为重点，深化国际贸易“单一窗口”建设。推进口岸通关分类管理和企业诚信分类管理，面向中转集拼、离岸贸易等新型贸易构建便利化环境。推动海关特殊监管区域内商品实行批次进出、集中申报制度、分线管理和保税展示。</w:t>
      </w:r>
    </w:p>
    <w:p>
      <w:pPr>
        <w:spacing w:line="560" w:lineRule="exact"/>
        <w:ind w:firstLine="602" w:firstLineChars="200"/>
        <w:outlineLvl w:val="2"/>
        <w:rPr>
          <w:rFonts w:ascii="楷体" w:hAnsi="楷体" w:eastAsia="楷体"/>
          <w:b/>
          <w:sz w:val="30"/>
          <w:szCs w:val="30"/>
        </w:rPr>
      </w:pPr>
      <w:bookmarkStart w:id="51" w:name="_Toc74756897"/>
      <w:r>
        <w:rPr>
          <w:rFonts w:hint="eastAsia" w:ascii="楷体" w:hAnsi="楷体" w:eastAsia="楷体"/>
          <w:b/>
          <w:sz w:val="30"/>
          <w:szCs w:val="30"/>
        </w:rPr>
        <w:t>3、落实国际化规则</w:t>
      </w:r>
      <w:bookmarkEnd w:id="51"/>
    </w:p>
    <w:p>
      <w:pPr>
        <w:spacing w:line="560" w:lineRule="exact"/>
        <w:ind w:firstLine="600" w:firstLineChars="200"/>
        <w:rPr>
          <w:rFonts w:ascii="楷体" w:hAnsi="楷体" w:eastAsia="楷体"/>
          <w:b/>
          <w:sz w:val="30"/>
          <w:szCs w:val="30"/>
        </w:rPr>
      </w:pPr>
      <w:r>
        <w:rPr>
          <w:rFonts w:hint="eastAsia" w:ascii="仿宋_GB2312" w:eastAsia="仿宋_GB2312"/>
          <w:sz w:val="30"/>
          <w:szCs w:val="30"/>
        </w:rPr>
        <w:t>推动从商品和要素流动型开放向制度型开放转变，围绕物流、结算、税费、融资、审批等领域，主动求变，创新发展“接轨国际、温州先行”的投资贸易规则体系，加快国家、浙江省相关创新性规则的落地实施，建设更加开放包容的制度环境。争取境外投资省级管理权限下放，优化境外投资企业备案和项目备案工作。以跨国民营企业跨境投融资汇兑业务、跨境双向人民币资金池业务准入、跨国公司跨境资金集中运营准入等为重点，优化民营资本投融资管理。优化侨商回归环境，缩短华侨回国定居证办理时限、开通涉侨审批重点侨商“贵宾”通道。</w:t>
      </w:r>
    </w:p>
    <w:p>
      <w:pPr>
        <w:spacing w:line="560" w:lineRule="exact"/>
        <w:ind w:firstLine="602" w:firstLineChars="200"/>
        <w:outlineLvl w:val="2"/>
        <w:rPr>
          <w:rFonts w:ascii="楷体" w:hAnsi="楷体" w:eastAsia="楷体"/>
          <w:b/>
          <w:sz w:val="30"/>
          <w:szCs w:val="30"/>
        </w:rPr>
      </w:pPr>
      <w:bookmarkStart w:id="52" w:name="_Toc74756898"/>
      <w:r>
        <w:rPr>
          <w:rFonts w:hint="eastAsia" w:ascii="楷体" w:hAnsi="楷体" w:eastAsia="楷体"/>
          <w:b/>
          <w:sz w:val="30"/>
          <w:szCs w:val="30"/>
        </w:rPr>
        <w:t>4、完善法治化体系</w:t>
      </w:r>
      <w:bookmarkEnd w:id="52"/>
    </w:p>
    <w:p>
      <w:pPr>
        <w:spacing w:line="560" w:lineRule="exact"/>
        <w:ind w:firstLine="600" w:firstLineChars="200"/>
        <w:rPr>
          <w:rFonts w:ascii="仿宋_GB2312" w:eastAsia="仿宋_GB2312"/>
          <w:sz w:val="30"/>
          <w:szCs w:val="30"/>
        </w:rPr>
      </w:pPr>
      <w:r>
        <w:rPr>
          <w:rFonts w:hint="eastAsia" w:ascii="仿宋_GB2312" w:eastAsia="仿宋_GB2312"/>
          <w:sz w:val="30"/>
          <w:szCs w:val="30"/>
        </w:rPr>
        <w:t>健全“政府承诺+社会监督+失信问责”机制，严格兑现商务发展领域的政策承诺。推动地方性法规规章建设完善，依法平等保护外商合法权益，营造稳定公平透明、可预期的国际化营商环境。依托“信用温州”建设，完善温州市信用信息综合服务平台，开展商务诚信体系建设试点，重点建设一批覆盖线上线下企业的示范型信用信息平台，完善守信联合激励和失信联合惩戒制度。强化知识产权创造、保护和运用，扎实开展新一轮国家知识产权示范城市建设。严格规范商务领域涉企行政执法，推行重点领域“双随机、一公开”常态化全覆盖，防止选择性执法、任性执法，审慎行使行政处罚裁量权。</w:t>
      </w:r>
    </w:p>
    <w:p>
      <w:pPr>
        <w:spacing w:before="156" w:beforeLines="50" w:line="580" w:lineRule="exact"/>
        <w:outlineLvl w:val="0"/>
        <w:rPr>
          <w:rFonts w:ascii="楷体_GB2312" w:hAnsi="楷体_GB2312" w:eastAsia="楷体_GB2312" w:cs="楷体_GB2312"/>
          <w:b/>
          <w:sz w:val="32"/>
          <w:szCs w:val="32"/>
        </w:rPr>
      </w:pPr>
      <w:bookmarkStart w:id="53" w:name="_Toc74756899"/>
      <w:r>
        <w:rPr>
          <w:rFonts w:hint="eastAsia" w:ascii="楷体_GB2312" w:hAnsi="楷体_GB2312" w:eastAsia="楷体_GB2312" w:cs="楷体_GB2312"/>
          <w:b/>
          <w:sz w:val="32"/>
          <w:szCs w:val="32"/>
        </w:rPr>
        <w:t>四、重大工程</w:t>
      </w:r>
      <w:bookmarkEnd w:id="53"/>
    </w:p>
    <w:p>
      <w:pPr>
        <w:adjustRightInd w:val="0"/>
        <w:snapToGrid w:val="0"/>
        <w:spacing w:before="156" w:beforeLines="50" w:line="560" w:lineRule="exact"/>
        <w:ind w:firstLine="643" w:firstLineChars="200"/>
        <w:outlineLvl w:val="1"/>
        <w:rPr>
          <w:rFonts w:ascii="仿宋_GB2312" w:hAnsi="仿宋_GB2312" w:eastAsia="仿宋_GB2312" w:cs="仿宋_GB2312"/>
          <w:b/>
          <w:bCs/>
          <w:kern w:val="0"/>
          <w:sz w:val="32"/>
          <w:szCs w:val="32"/>
        </w:rPr>
      </w:pPr>
      <w:bookmarkStart w:id="54" w:name="_Toc74756900"/>
      <w:r>
        <w:rPr>
          <w:rFonts w:hint="eastAsia" w:ascii="仿宋_GB2312" w:hAnsi="仿宋_GB2312" w:eastAsia="仿宋_GB2312" w:cs="仿宋_GB2312"/>
          <w:b/>
          <w:bCs/>
          <w:kern w:val="0"/>
          <w:sz w:val="32"/>
          <w:szCs w:val="32"/>
        </w:rPr>
        <w:t>（一）重大开放平台建设工程</w:t>
      </w:r>
      <w:bookmarkEnd w:id="54"/>
    </w:p>
    <w:p>
      <w:pPr>
        <w:spacing w:line="560" w:lineRule="exact"/>
        <w:ind w:firstLine="602" w:firstLineChars="200"/>
        <w:outlineLvl w:val="2"/>
        <w:rPr>
          <w:rFonts w:ascii="楷体" w:hAnsi="楷体" w:eastAsia="楷体"/>
          <w:b/>
          <w:sz w:val="30"/>
          <w:szCs w:val="30"/>
        </w:rPr>
      </w:pPr>
      <w:bookmarkStart w:id="55" w:name="_Toc74756901"/>
      <w:r>
        <w:rPr>
          <w:rFonts w:ascii="楷体" w:hAnsi="楷体" w:eastAsia="楷体"/>
          <w:b/>
          <w:sz w:val="30"/>
          <w:szCs w:val="30"/>
        </w:rPr>
        <w:t>1</w:t>
      </w:r>
      <w:r>
        <w:rPr>
          <w:rFonts w:hint="eastAsia" w:ascii="楷体" w:hAnsi="楷体" w:eastAsia="楷体"/>
          <w:b/>
          <w:sz w:val="30"/>
          <w:szCs w:val="30"/>
        </w:rPr>
        <w:t>、建设中国（温州）华商华侨综合发展先行区</w:t>
      </w:r>
      <w:bookmarkEnd w:id="55"/>
    </w:p>
    <w:p>
      <w:pPr>
        <w:spacing w:line="560" w:lineRule="exact"/>
        <w:ind w:firstLine="600" w:firstLineChars="200"/>
        <w:rPr>
          <w:rFonts w:ascii="仿宋_GB2312" w:eastAsia="仿宋_GB2312"/>
          <w:sz w:val="30"/>
          <w:szCs w:val="30"/>
        </w:rPr>
      </w:pPr>
      <w:r>
        <w:rPr>
          <w:rFonts w:hint="eastAsia" w:ascii="仿宋_GB2312" w:eastAsia="仿宋_GB2312"/>
          <w:sz w:val="30"/>
          <w:szCs w:val="30"/>
        </w:rPr>
        <w:t>充分发挥全球温商与侨乡优势，以制度创新为突破口，构建极具吸引力的华商跨境投资贸易机制框架。围绕商贸流通、生命科技、高端制造等领域，落地一批标志性项目，引进一批高精尖团队，推动国际国内两个市场、两种资源的有效融合，高标准创建中国（温州）华商华侨综合发展先行区。围绕华商华侨回归创新中心、华商华侨总部企业园、国家级“侨梦苑”、e</w:t>
      </w:r>
      <w:r>
        <w:rPr>
          <w:rFonts w:ascii="仿宋_GB2312" w:eastAsia="仿宋_GB2312"/>
          <w:sz w:val="30"/>
          <w:szCs w:val="30"/>
        </w:rPr>
        <w:t>WTP</w:t>
      </w:r>
      <w:r>
        <w:rPr>
          <w:rFonts w:hint="eastAsia" w:ascii="仿宋_GB2312" w:eastAsia="仿宋_GB2312"/>
          <w:sz w:val="30"/>
          <w:szCs w:val="30"/>
        </w:rPr>
        <w:t>华商华侨创新中心等项目，做强华商全球供应链中心、华商“一带一路”启航地、华商全球科技创新基地等发展特色，推动中国（温州）华商华侨综合发展先行区上升为国家级重大平台。全面夯实世界温州人家园、全球侨商大数据中心、“一带一路”温州侨团商会联盟、华商华侨金融综合服务平台等服务项目建设。</w:t>
      </w:r>
    </w:p>
    <w:p>
      <w:pPr>
        <w:spacing w:line="560" w:lineRule="exact"/>
        <w:ind w:firstLine="602" w:firstLineChars="200"/>
        <w:outlineLvl w:val="2"/>
        <w:rPr>
          <w:rFonts w:ascii="楷体" w:hAnsi="楷体" w:eastAsia="楷体"/>
          <w:b/>
          <w:sz w:val="30"/>
          <w:szCs w:val="30"/>
        </w:rPr>
      </w:pPr>
      <w:bookmarkStart w:id="56" w:name="_Toc74756902"/>
      <w:r>
        <w:rPr>
          <w:rFonts w:ascii="楷体" w:hAnsi="楷体" w:eastAsia="楷体"/>
          <w:b/>
          <w:sz w:val="30"/>
          <w:szCs w:val="30"/>
        </w:rPr>
        <w:t>2</w:t>
      </w:r>
      <w:r>
        <w:rPr>
          <w:rFonts w:hint="eastAsia" w:ascii="楷体" w:hAnsi="楷体" w:eastAsia="楷体"/>
          <w:b/>
          <w:sz w:val="30"/>
          <w:szCs w:val="30"/>
        </w:rPr>
        <w:t>、建设浙江自由贸易试验区温州联动创新区</w:t>
      </w:r>
      <w:bookmarkEnd w:id="56"/>
    </w:p>
    <w:p>
      <w:pPr>
        <w:spacing w:line="560" w:lineRule="exact"/>
        <w:ind w:firstLine="600" w:firstLineChars="200"/>
        <w:rPr>
          <w:rFonts w:ascii="仿宋_GB2312" w:eastAsia="仿宋_GB2312"/>
          <w:sz w:val="30"/>
          <w:szCs w:val="30"/>
        </w:rPr>
      </w:pPr>
      <w:r>
        <w:rPr>
          <w:rFonts w:hint="eastAsia" w:ascii="仿宋_GB2312" w:eastAsia="仿宋_GB2312"/>
          <w:sz w:val="30"/>
          <w:szCs w:val="30"/>
        </w:rPr>
        <w:t>高水平建设自贸区联动创新区，以制度创新为核心，积极争取省级管理权限下放，加快落地推广政府职能转变、投资管理、贸易便利化、金融创新与开放、综合监督等领域成熟的制度创新成果，构建形成动态递增的制度性红利。以产业、投资、平台为重点，推动联动创新区与自贸试验区、重大产业平台的联动发展，构建形成优质资源共享共用机制。充分利用好资源禀赋特色，强化顶层设计与系统谋划，突出科技与国际化元素，聚力做强温州民营经济、侨商经济、港口经济、时尚经济，围绕时尚产业全球供应链创新中心等战略定位，全力争取温州进入浙江自由贸易试验区新一轮扩区实施范围。</w:t>
      </w:r>
    </w:p>
    <w:p>
      <w:pPr>
        <w:spacing w:line="560" w:lineRule="exact"/>
        <w:ind w:firstLine="602" w:firstLineChars="200"/>
        <w:outlineLvl w:val="2"/>
        <w:rPr>
          <w:rFonts w:ascii="楷体" w:hAnsi="楷体" w:eastAsia="楷体"/>
          <w:b/>
          <w:sz w:val="30"/>
          <w:szCs w:val="30"/>
        </w:rPr>
      </w:pPr>
      <w:bookmarkStart w:id="57" w:name="_Toc74756903"/>
      <w:r>
        <w:rPr>
          <w:rFonts w:ascii="楷体" w:hAnsi="楷体" w:eastAsia="楷体"/>
          <w:b/>
          <w:sz w:val="30"/>
          <w:szCs w:val="30"/>
        </w:rPr>
        <w:t>3</w:t>
      </w:r>
      <w:r>
        <w:rPr>
          <w:rFonts w:hint="eastAsia" w:ascii="楷体" w:hAnsi="楷体" w:eastAsia="楷体"/>
          <w:b/>
          <w:sz w:val="30"/>
          <w:szCs w:val="30"/>
        </w:rPr>
        <w:t>、建设温州综合保税区</w:t>
      </w:r>
      <w:bookmarkEnd w:id="57"/>
    </w:p>
    <w:p>
      <w:pPr>
        <w:spacing w:line="560" w:lineRule="exact"/>
        <w:ind w:firstLine="600" w:firstLineChars="200"/>
        <w:rPr>
          <w:rFonts w:ascii="仿宋_GB2312" w:eastAsia="仿宋_GB2312"/>
          <w:sz w:val="30"/>
          <w:szCs w:val="30"/>
        </w:rPr>
      </w:pPr>
      <w:r>
        <w:rPr>
          <w:rFonts w:hint="eastAsia" w:ascii="仿宋_GB2312" w:eastAsia="仿宋_GB2312"/>
          <w:sz w:val="30"/>
          <w:szCs w:val="30"/>
        </w:rPr>
        <w:t>围绕新兴高端智能外销制造集聚地、温州优质传统产业外销制造集聚地和温州跨境电商集聚地发展定位，积极发展高端制造、研发设计、委内加工、入境维修、检验检测、展示交易、跨境电商、融资租赁和供应链物流等服务业态，加快二期工程空间筹备与建设，推动温州综合保税区高水平发展。突出谋大招强意识，围绕高技术外销制造产业，全力招引具有技术优势、市场优势、资金优势、辐射优势的龙头性企业。强化高端消费品进口，发展高端消费品消费体验与集散服务。加强制度创新探索，落地复制推广自贸试验区相关改革试点经验，实行高水平的贸易和投资自由化便利化政策。</w:t>
      </w:r>
    </w:p>
    <w:p>
      <w:pPr>
        <w:spacing w:line="560" w:lineRule="exact"/>
        <w:ind w:firstLine="602" w:firstLineChars="200"/>
        <w:outlineLvl w:val="2"/>
        <w:rPr>
          <w:rFonts w:ascii="楷体" w:hAnsi="楷体" w:eastAsia="楷体"/>
          <w:b/>
          <w:sz w:val="30"/>
          <w:szCs w:val="30"/>
        </w:rPr>
      </w:pPr>
      <w:bookmarkStart w:id="58" w:name="_Toc74756904"/>
      <w:r>
        <w:rPr>
          <w:rFonts w:ascii="楷体" w:hAnsi="楷体" w:eastAsia="楷体"/>
          <w:b/>
          <w:sz w:val="30"/>
          <w:szCs w:val="30"/>
        </w:rPr>
        <w:t>4</w:t>
      </w:r>
      <w:r>
        <w:rPr>
          <w:rFonts w:hint="eastAsia" w:ascii="楷体" w:hAnsi="楷体" w:eastAsia="楷体"/>
          <w:b/>
          <w:sz w:val="30"/>
          <w:szCs w:val="30"/>
        </w:rPr>
        <w:t>、建设中国（温州）跨境电子商务综合试验区</w:t>
      </w:r>
      <w:bookmarkEnd w:id="58"/>
    </w:p>
    <w:p>
      <w:pPr>
        <w:spacing w:line="560" w:lineRule="exact"/>
        <w:ind w:firstLine="600" w:firstLineChars="200"/>
        <w:rPr>
          <w:rFonts w:ascii="仿宋_GB2312" w:eastAsia="仿宋_GB2312"/>
          <w:sz w:val="30"/>
          <w:szCs w:val="30"/>
        </w:rPr>
      </w:pPr>
      <w:r>
        <w:rPr>
          <w:rFonts w:hint="eastAsia" w:ascii="仿宋_GB2312" w:eastAsia="仿宋_GB2312"/>
          <w:sz w:val="30"/>
          <w:szCs w:val="30"/>
        </w:rPr>
        <w:t>加快政策落地，复制推广杭州、广州等综合试验区成熟经验做法，构建形成“自主品牌＋跨境电商＋区港一体+全球营商网络”特色发展模式，加强引领性创新举措出台与落地。加强跨境电子商务主体建设，围绕跨境货物贸易、数字贸易、服务贸易等领域，推动一批具有国际影响力的跨境电商平台落地，围绕供应链管理、品牌营销、仓储物流等领域，加强专业化跨境电子商务服务企业引入。加强跨境电子商务境外注册和国际认证，提升产品国际主流机构认证水平，推动本土支柱产业相关企业开展数字化跨境营销与国际化品牌布局。以“一地一园、特色发展”为发展导向，推动全市各区（县、市）跨境电子商务产业园区建设。推进国际邮件互换局、交换站和商业快件监管中心功能整合，结合多式联运、四港联动体系，有效提升跨境电商物流服务能力。加强引导与支持，提升海外仓使用效率。构建与长三角区域一体化、粤闽浙沿海城市群重点城市的合作机制，围绕基础互通、供应链联动、园区共建等领域，形成一批标志性成果。</w:t>
      </w:r>
    </w:p>
    <w:p>
      <w:pPr>
        <w:adjustRightInd w:val="0"/>
        <w:snapToGrid w:val="0"/>
        <w:spacing w:before="156" w:beforeLines="50" w:line="560" w:lineRule="exact"/>
        <w:ind w:firstLine="643" w:firstLineChars="200"/>
        <w:outlineLvl w:val="1"/>
        <w:rPr>
          <w:rFonts w:ascii="仿宋_GB2312" w:hAnsi="仿宋_GB2312" w:eastAsia="仿宋_GB2312" w:cs="仿宋_GB2312"/>
          <w:b/>
          <w:bCs/>
          <w:kern w:val="0"/>
          <w:sz w:val="32"/>
          <w:szCs w:val="32"/>
        </w:rPr>
      </w:pPr>
      <w:bookmarkStart w:id="59" w:name="_Toc74756905"/>
      <w:r>
        <w:rPr>
          <w:rFonts w:hint="eastAsia" w:ascii="仿宋_GB2312" w:hAnsi="仿宋_GB2312" w:eastAsia="仿宋_GB2312" w:cs="仿宋_GB2312"/>
          <w:b/>
          <w:bCs/>
          <w:kern w:val="0"/>
          <w:sz w:val="32"/>
          <w:szCs w:val="32"/>
        </w:rPr>
        <w:t>（二）强大国内市场开发工程</w:t>
      </w:r>
      <w:bookmarkEnd w:id="59"/>
    </w:p>
    <w:p>
      <w:pPr>
        <w:spacing w:line="560" w:lineRule="exact"/>
        <w:ind w:firstLine="602" w:firstLineChars="200"/>
        <w:outlineLvl w:val="2"/>
        <w:rPr>
          <w:rFonts w:ascii="楷体" w:hAnsi="楷体" w:eastAsia="楷体"/>
          <w:b/>
          <w:sz w:val="30"/>
          <w:szCs w:val="30"/>
        </w:rPr>
      </w:pPr>
      <w:bookmarkStart w:id="60" w:name="_Toc74756906"/>
      <w:r>
        <w:rPr>
          <w:rFonts w:hint="eastAsia" w:ascii="楷体" w:hAnsi="楷体" w:eastAsia="楷体"/>
          <w:b/>
          <w:sz w:val="30"/>
          <w:szCs w:val="30"/>
        </w:rPr>
        <w:t>1、建设高能拓市平台</w:t>
      </w:r>
      <w:bookmarkEnd w:id="60"/>
    </w:p>
    <w:p>
      <w:pPr>
        <w:spacing w:line="560" w:lineRule="exact"/>
        <w:ind w:firstLine="600" w:firstLineChars="200"/>
        <w:rPr>
          <w:rFonts w:ascii="仿宋_GB2312" w:eastAsia="仿宋_GB2312"/>
          <w:sz w:val="30"/>
          <w:szCs w:val="30"/>
        </w:rPr>
      </w:pPr>
      <w:r>
        <w:rPr>
          <w:rFonts w:hint="eastAsia" w:ascii="仿宋_GB2312" w:eastAsia="仿宋_GB2312"/>
          <w:sz w:val="30"/>
          <w:szCs w:val="30"/>
        </w:rPr>
        <w:t>紧紧抓住强大国内市场建设契机，利用温州市场与产品发展的双重优势，积极争取国家出口转内销试点城市、国家供应链试点城市、国家服务业综合改革试点城市等高能级国内市场发展平台，集聚一批具备品牌优势、渠道优势、信息优势、技术优势的市场开拓服务主体，实施重点产品重点区域突破、重点产品行销全国等系列性拓市工程。实施强大集散中心建设工程，加强采购、询价、交易、渠道、服务等功能，推动瓯海、鹿城等地发展辐射全国的鞋服产品集散中心，推动瓯海等地发展辐射全国的进口商品大型集散中心，推动乐清等地发展辐射全国的电工电气产品集散中心，推动苍南、瑞安等地区建设辐射长三角区域的现代化大型水产品集散中心。加强制造端直接拓市能力，推动C2M“超级工厂”和产地直播基地建设。</w:t>
      </w:r>
    </w:p>
    <w:p>
      <w:pPr>
        <w:spacing w:line="560" w:lineRule="exact"/>
        <w:ind w:firstLine="602" w:firstLineChars="200"/>
        <w:outlineLvl w:val="2"/>
        <w:rPr>
          <w:rFonts w:ascii="楷体" w:hAnsi="楷体" w:eastAsia="楷体"/>
          <w:b/>
          <w:sz w:val="30"/>
          <w:szCs w:val="30"/>
        </w:rPr>
      </w:pPr>
      <w:bookmarkStart w:id="61" w:name="_Toc74756907"/>
      <w:r>
        <w:rPr>
          <w:rFonts w:hint="eastAsia" w:ascii="楷体" w:hAnsi="楷体" w:eastAsia="楷体"/>
          <w:b/>
          <w:sz w:val="30"/>
          <w:szCs w:val="30"/>
        </w:rPr>
        <w:t>2、激活农村潜力市场</w:t>
      </w:r>
      <w:bookmarkEnd w:id="61"/>
    </w:p>
    <w:p>
      <w:pPr>
        <w:spacing w:line="560" w:lineRule="exact"/>
        <w:ind w:firstLine="600" w:firstLineChars="200"/>
        <w:rPr>
          <w:rFonts w:ascii="仿宋_GB2312" w:eastAsia="仿宋_GB2312"/>
          <w:sz w:val="30"/>
          <w:szCs w:val="30"/>
        </w:rPr>
      </w:pPr>
      <w:r>
        <w:rPr>
          <w:rFonts w:hint="eastAsia" w:ascii="仿宋_GB2312" w:eastAsia="仿宋_GB2312"/>
          <w:sz w:val="30"/>
          <w:szCs w:val="30"/>
        </w:rPr>
        <w:t>大力推进乡村消费，以品质化商业中心、连锁店为重点，实施“一镇一商业中心”工程，加强农村新型商贸网点建设。实施“优店优品优价”进农村工程，提升农村放心消费水平。实施农产品进城提升工程，以农产品标准化、品质化、规模化生产为基础，建设农产品产销对接平台，推动供需主体间的直接合作。实施农商互联工程，建立农商互联产业联盟，依托温州菜篮子农副产品批发市场等载体，建设完善农商互联交易平台。以全区域覆盖、平台化运营、统一化调配为重点，推进服务全市城乡的流通体系建设。</w:t>
      </w:r>
    </w:p>
    <w:p>
      <w:pPr>
        <w:spacing w:line="560" w:lineRule="exact"/>
        <w:ind w:firstLine="602" w:firstLineChars="200"/>
        <w:outlineLvl w:val="2"/>
        <w:rPr>
          <w:rFonts w:ascii="楷体" w:hAnsi="楷体" w:eastAsia="楷体"/>
          <w:b/>
          <w:sz w:val="30"/>
          <w:szCs w:val="30"/>
        </w:rPr>
      </w:pPr>
      <w:bookmarkStart w:id="62" w:name="_Toc74756908"/>
      <w:r>
        <w:rPr>
          <w:rFonts w:hint="eastAsia" w:ascii="楷体" w:hAnsi="楷体" w:eastAsia="楷体"/>
          <w:b/>
          <w:sz w:val="30"/>
          <w:szCs w:val="30"/>
        </w:rPr>
        <w:t>3、深挖城区社区市场</w:t>
      </w:r>
      <w:bookmarkEnd w:id="62"/>
    </w:p>
    <w:p>
      <w:pPr>
        <w:spacing w:line="560" w:lineRule="exact"/>
        <w:ind w:firstLine="600" w:firstLineChars="200"/>
        <w:rPr>
          <w:rFonts w:ascii="仿宋_GB2312" w:eastAsia="仿宋_GB2312"/>
          <w:sz w:val="30"/>
          <w:szCs w:val="30"/>
        </w:rPr>
      </w:pPr>
      <w:r>
        <w:rPr>
          <w:rFonts w:hint="eastAsia" w:ascii="仿宋_GB2312" w:eastAsia="仿宋_GB2312"/>
          <w:sz w:val="30"/>
          <w:szCs w:val="30"/>
        </w:rPr>
        <w:t>加强社区邻里中心建设，发展100个集成零售消费、娱乐消费、体育消费、服务消费、公共消费为一体的品质化复合消费中心，构建一批“5分钟便利店+</w:t>
      </w:r>
      <w:r>
        <w:rPr>
          <w:rFonts w:ascii="仿宋_GB2312" w:eastAsia="仿宋_GB2312"/>
          <w:sz w:val="30"/>
          <w:szCs w:val="30"/>
        </w:rPr>
        <w:t>10</w:t>
      </w:r>
      <w:r>
        <w:rPr>
          <w:rFonts w:hint="eastAsia" w:ascii="仿宋_GB2312" w:eastAsia="仿宋_GB2312"/>
          <w:sz w:val="30"/>
          <w:szCs w:val="30"/>
        </w:rPr>
        <w:t>分钟农贸市场+</w:t>
      </w:r>
      <w:r>
        <w:rPr>
          <w:rFonts w:ascii="仿宋_GB2312" w:eastAsia="仿宋_GB2312"/>
          <w:sz w:val="30"/>
          <w:szCs w:val="30"/>
        </w:rPr>
        <w:t>15</w:t>
      </w:r>
      <w:r>
        <w:rPr>
          <w:rFonts w:hint="eastAsia" w:ascii="仿宋_GB2312" w:eastAsia="仿宋_GB2312"/>
          <w:sz w:val="30"/>
          <w:szCs w:val="30"/>
        </w:rPr>
        <w:t>分钟超市”便民生活服务圈。以线上线下相融合的方式，注重农产品消费的社区布局与渗透。以未来社区建设为依托，加强未来社区建设与现代商业的融合发展，建设一批未来社区消费示范中心。</w:t>
      </w:r>
    </w:p>
    <w:p>
      <w:pPr>
        <w:adjustRightInd w:val="0"/>
        <w:snapToGrid w:val="0"/>
        <w:spacing w:before="156" w:beforeLines="50" w:line="560" w:lineRule="exact"/>
        <w:ind w:firstLine="643" w:firstLineChars="200"/>
        <w:outlineLvl w:val="1"/>
        <w:rPr>
          <w:rFonts w:ascii="仿宋_GB2312" w:hAnsi="仿宋_GB2312" w:eastAsia="仿宋_GB2312" w:cs="仿宋_GB2312"/>
          <w:b/>
          <w:bCs/>
          <w:kern w:val="0"/>
          <w:sz w:val="32"/>
          <w:szCs w:val="32"/>
        </w:rPr>
      </w:pPr>
      <w:bookmarkStart w:id="63" w:name="_Toc74756909"/>
      <w:r>
        <w:rPr>
          <w:rFonts w:hint="eastAsia" w:ascii="仿宋_GB2312" w:hAnsi="仿宋_GB2312" w:eastAsia="仿宋_GB2312" w:cs="仿宋_GB2312"/>
          <w:b/>
          <w:bCs/>
          <w:kern w:val="0"/>
          <w:sz w:val="32"/>
          <w:szCs w:val="32"/>
        </w:rPr>
        <w:t>（三）国内国际双循环工程</w:t>
      </w:r>
      <w:bookmarkEnd w:id="63"/>
    </w:p>
    <w:p>
      <w:pPr>
        <w:spacing w:line="560" w:lineRule="exact"/>
        <w:ind w:firstLine="602" w:firstLineChars="200"/>
        <w:outlineLvl w:val="2"/>
        <w:rPr>
          <w:rFonts w:ascii="楷体" w:hAnsi="楷体" w:eastAsia="楷体"/>
          <w:b/>
          <w:sz w:val="30"/>
          <w:szCs w:val="30"/>
        </w:rPr>
      </w:pPr>
      <w:bookmarkStart w:id="64" w:name="_Toc74756910"/>
      <w:r>
        <w:rPr>
          <w:rFonts w:hint="eastAsia" w:ascii="楷体" w:hAnsi="楷体" w:eastAsia="楷体"/>
          <w:b/>
          <w:sz w:val="30"/>
          <w:szCs w:val="30"/>
        </w:rPr>
        <w:t>1、推动国内国际双循环</w:t>
      </w:r>
      <w:bookmarkEnd w:id="64"/>
    </w:p>
    <w:p>
      <w:pPr>
        <w:spacing w:line="560" w:lineRule="exact"/>
        <w:ind w:firstLine="600" w:firstLineChars="200"/>
        <w:rPr>
          <w:rFonts w:ascii="仿宋_GB2312" w:eastAsia="仿宋_GB2312"/>
          <w:sz w:val="30"/>
          <w:szCs w:val="30"/>
        </w:rPr>
      </w:pPr>
      <w:r>
        <w:rPr>
          <w:rFonts w:hint="eastAsia" w:ascii="仿宋_GB2312" w:eastAsia="仿宋_GB2312"/>
          <w:sz w:val="30"/>
          <w:szCs w:val="30"/>
        </w:rPr>
        <w:t>围绕规则体系共建、创新模式共推、市场监管共治、流通设施互联、市场信息互通、信用体系互认，全面推进与长三角、粤闽浙沿海城市群重点城市的区域合作，共建区域一体化大市场，主动参与国内统一大市场建设。实施外贸企业拓市场行动，搭建外贸企业内销公共服务平台，充分发挥电商平台、供应链平台、专业市场的信息、渠道与网点优势，形成“品牌+设计+营销网络+订单”的一体化服务体系。以展销会、展览会、订货会、“六进”等为重点，举办100场产销对接活动。优化推动外循环发展，依托“一带一路”，以及中欧全面投资协定、</w:t>
      </w:r>
      <w:r>
        <w:rPr>
          <w:rFonts w:ascii="仿宋_GB2312" w:eastAsia="仿宋_GB2312"/>
          <w:sz w:val="30"/>
          <w:szCs w:val="30"/>
        </w:rPr>
        <w:t>RCEP</w:t>
      </w:r>
      <w:r>
        <w:rPr>
          <w:rFonts w:hint="eastAsia" w:ascii="仿宋_GB2312" w:eastAsia="仿宋_GB2312"/>
          <w:sz w:val="30"/>
          <w:szCs w:val="30"/>
        </w:rPr>
        <w:t>等关系协定，实施欧洲、东盟国家经贸跃升工程，围绕欧盟、南亚、中亚、非洲等地区，开拓新兴境外经贸合作区，建设美、日、欧地区市场营销与重点产品展示中心。创新推动内外循环联动发展，以内外市场一体化、内外产品一体化、内外服务一体化、内外组织一体化为重点，培育发展100家双循环试点企业。</w:t>
      </w:r>
    </w:p>
    <w:p>
      <w:pPr>
        <w:spacing w:line="560" w:lineRule="exact"/>
        <w:ind w:firstLine="602" w:firstLineChars="200"/>
        <w:outlineLvl w:val="2"/>
        <w:rPr>
          <w:rFonts w:ascii="楷体" w:hAnsi="楷体" w:eastAsia="楷体"/>
          <w:b/>
          <w:sz w:val="30"/>
          <w:szCs w:val="30"/>
        </w:rPr>
      </w:pPr>
      <w:bookmarkStart w:id="65" w:name="_Toc74756911"/>
      <w:r>
        <w:rPr>
          <w:rFonts w:hint="eastAsia" w:ascii="楷体" w:hAnsi="楷体" w:eastAsia="楷体"/>
          <w:b/>
          <w:sz w:val="30"/>
          <w:szCs w:val="30"/>
        </w:rPr>
        <w:t>2、推动质量品牌双提升</w:t>
      </w:r>
      <w:bookmarkEnd w:id="65"/>
    </w:p>
    <w:p>
      <w:pPr>
        <w:spacing w:line="560" w:lineRule="exact"/>
        <w:ind w:firstLine="600" w:firstLineChars="200"/>
        <w:rPr>
          <w:rFonts w:ascii="仿宋_GB2312" w:eastAsia="仿宋_GB2312"/>
          <w:sz w:val="30"/>
          <w:szCs w:val="30"/>
        </w:rPr>
      </w:pPr>
      <w:r>
        <w:rPr>
          <w:rFonts w:hint="eastAsia" w:ascii="仿宋_GB2312" w:eastAsia="仿宋_GB2312"/>
          <w:sz w:val="30"/>
          <w:szCs w:val="30"/>
        </w:rPr>
        <w:t>以“同线同标同质”发展为导向，实施温州制造质量提升工程，争取国家质量基础设施“一站式”服务试点资格，打造100个温州国内外市场亿元产品。推动温州制造产品质量分级，支持分级分标分价销售，打造100个温州超级产品，以“外贸优品·温州精选”“世界名品·温州精选”等为主题，发展10家温州超级品牌集合店。实施培训、养老、家政、健康等服务领域标准化建设工程，推广星级服务商家制度。实施自主品牌建设工程，支持温州老字号品牌区域性“走出去”，推动“5</w:t>
      </w:r>
      <w:r>
        <w:rPr>
          <w:rFonts w:ascii="仿宋_GB2312" w:eastAsia="仿宋_GB2312"/>
          <w:sz w:val="30"/>
          <w:szCs w:val="30"/>
        </w:rPr>
        <w:t>+5</w:t>
      </w:r>
      <w:r>
        <w:rPr>
          <w:rFonts w:hint="eastAsia" w:ascii="仿宋_GB2312" w:eastAsia="仿宋_GB2312"/>
          <w:sz w:val="30"/>
          <w:szCs w:val="30"/>
        </w:rPr>
        <w:t>”产业领域自主品牌发展壮大，建立温州品牌营销服务中心，推动商贸品牌发展。举办温州品牌日活动，加强品牌宣传与研究。</w:t>
      </w:r>
    </w:p>
    <w:p>
      <w:pPr>
        <w:adjustRightInd w:val="0"/>
        <w:snapToGrid w:val="0"/>
        <w:spacing w:before="156" w:beforeLines="50" w:line="560" w:lineRule="exact"/>
        <w:ind w:firstLine="643" w:firstLineChars="200"/>
        <w:outlineLvl w:val="1"/>
        <w:rPr>
          <w:rFonts w:ascii="仿宋_GB2312" w:hAnsi="仿宋_GB2312" w:eastAsia="仿宋_GB2312" w:cs="仿宋_GB2312"/>
          <w:b/>
          <w:bCs/>
          <w:kern w:val="0"/>
          <w:sz w:val="32"/>
          <w:szCs w:val="32"/>
        </w:rPr>
      </w:pPr>
      <w:bookmarkStart w:id="66" w:name="_Toc74756912"/>
      <w:r>
        <w:rPr>
          <w:rFonts w:hint="eastAsia" w:ascii="仿宋_GB2312" w:hAnsi="仿宋_GB2312" w:eastAsia="仿宋_GB2312" w:cs="仿宋_GB2312"/>
          <w:b/>
          <w:bCs/>
          <w:kern w:val="0"/>
          <w:sz w:val="32"/>
          <w:szCs w:val="32"/>
        </w:rPr>
        <w:t>（四）国际化商业街区建设工程</w:t>
      </w:r>
      <w:bookmarkEnd w:id="66"/>
    </w:p>
    <w:p>
      <w:pPr>
        <w:spacing w:line="560" w:lineRule="exact"/>
        <w:ind w:firstLine="602" w:firstLineChars="200"/>
        <w:outlineLvl w:val="2"/>
        <w:rPr>
          <w:rFonts w:ascii="楷体" w:hAnsi="楷体" w:eastAsia="楷体"/>
          <w:b/>
          <w:sz w:val="30"/>
          <w:szCs w:val="30"/>
        </w:rPr>
      </w:pPr>
      <w:bookmarkStart w:id="67" w:name="_Toc74756913"/>
      <w:r>
        <w:rPr>
          <w:rFonts w:hint="eastAsia" w:ascii="楷体" w:hAnsi="楷体" w:eastAsia="楷体"/>
          <w:b/>
          <w:sz w:val="30"/>
          <w:szCs w:val="30"/>
        </w:rPr>
        <w:t>1、地标商圈建设工程</w:t>
      </w:r>
      <w:bookmarkEnd w:id="67"/>
    </w:p>
    <w:p>
      <w:pPr>
        <w:spacing w:line="560" w:lineRule="exact"/>
        <w:ind w:firstLine="600" w:firstLineChars="200"/>
        <w:rPr>
          <w:rFonts w:ascii="仿宋_GB2312" w:eastAsia="仿宋_GB2312"/>
          <w:sz w:val="30"/>
          <w:szCs w:val="30"/>
        </w:rPr>
      </w:pPr>
      <w:r>
        <w:rPr>
          <w:rFonts w:hint="eastAsia" w:ascii="仿宋_GB2312" w:eastAsia="仿宋_GB2312"/>
          <w:sz w:val="30"/>
          <w:szCs w:val="30"/>
        </w:rPr>
        <w:t>对标国内国际一流商圈，以主城区相对成熟商圈为依托，引入大型标志性商业项目，推进100家国际化、旗舰型品牌店铺招引，高标准打造都市核心商圈。建设环五马国际商圈，依托五马、大南、南塘、欧洲城等主要区块，大力推动国际化商业项目新建，强化历史文化与现代商业融合，高品质推动步行街与慢行系统建设，推动传统商业街巷改造提升，发展特色小店。建设瓯海新城商圈，推动大西洋银泰城、全球商品贸易港、华侨城欢乐天地等项目做大规模，做优业态，围绕云天楼洲际瓯越大酒店、企业拆迁商务楼、商务区一期、牛山商务安置楼等商务楼宇，发展中央商务区功能，依托中庚商业综合体发展高品质体验式商务消费。高标准建设温州东部综合交通枢纽商圈，提升发展龙湾中心商圈，推动万达广场等现有商业载体创新经营业态，提升商户品牌与商品品质，加强体验业态、复合业态发展，结合奥体小镇建设谋划新建特色商业载体，推动永昌古镇改造提升，发展商文旅融合业态，打造温州东部时尚消费地标。以高度融合温州中心城区为导向，大力提升洞头、瑞安、乐清中心商圈建设，打造准都市化商圈。以区域协同发展为导向，强化特色发展，推动平阳、龙港、苍南做优区域核心商圈。以服务本地居民与游客为导向，推动永嘉、文成、泰顺打造商文旅融合型商圈。</w:t>
      </w:r>
    </w:p>
    <w:p>
      <w:pPr>
        <w:spacing w:line="560" w:lineRule="exact"/>
        <w:ind w:firstLine="602" w:firstLineChars="200"/>
        <w:outlineLvl w:val="2"/>
        <w:rPr>
          <w:rFonts w:ascii="楷体" w:hAnsi="楷体" w:eastAsia="楷体"/>
          <w:b/>
          <w:sz w:val="30"/>
          <w:szCs w:val="30"/>
        </w:rPr>
      </w:pPr>
      <w:bookmarkStart w:id="68" w:name="_Toc74756914"/>
      <w:r>
        <w:rPr>
          <w:rFonts w:hint="eastAsia" w:ascii="楷体" w:hAnsi="楷体" w:eastAsia="楷体"/>
          <w:b/>
          <w:sz w:val="30"/>
          <w:szCs w:val="30"/>
        </w:rPr>
        <w:t>2、特色街区建设工程</w:t>
      </w:r>
      <w:bookmarkEnd w:id="68"/>
    </w:p>
    <w:p>
      <w:pPr>
        <w:spacing w:line="560" w:lineRule="exact"/>
        <w:ind w:firstLine="600" w:firstLineChars="200"/>
        <w:rPr>
          <w:rFonts w:ascii="仿宋_GB2312" w:eastAsia="仿宋_GB2312"/>
          <w:sz w:val="30"/>
          <w:szCs w:val="30"/>
        </w:rPr>
      </w:pPr>
      <w:r>
        <w:rPr>
          <w:rFonts w:hint="eastAsia" w:ascii="仿宋_GB2312" w:eastAsia="仿宋_GB2312"/>
          <w:sz w:val="30"/>
          <w:szCs w:val="30"/>
        </w:rPr>
        <w:t>以硬件改造、品牌提升、服务升级、智慧示范、统一运营为重点，推进五马街-禅街和忠义街省级高品质步行街试点建设。强化规划设计，加快重点项目落地与景观提升、业态调整、交通组织等工作，推动五马街-禅街等有条件的街区创建国家级步行街。围绕解放街南段等区位，新建若干省级、市级特色商业街区，着力步行环境建设，推动特色型、品质型、文创型店铺发展，打造10个高度集聚消费人气的区域性网红打卡地。建设专业商业街区，围绕眼镜、鞋服、教玩具、时尚定制、工艺美术、非遗传承等领域，建设10条产贸联动、批零一体、商旅融合型“温州专业街”。</w:t>
      </w:r>
    </w:p>
    <w:p>
      <w:pPr>
        <w:spacing w:line="560" w:lineRule="exact"/>
        <w:ind w:firstLine="602" w:firstLineChars="200"/>
        <w:outlineLvl w:val="2"/>
        <w:rPr>
          <w:rFonts w:ascii="楷体" w:hAnsi="楷体" w:eastAsia="楷体"/>
          <w:b/>
          <w:sz w:val="30"/>
          <w:szCs w:val="30"/>
        </w:rPr>
      </w:pPr>
      <w:bookmarkStart w:id="69" w:name="_Toc74756915"/>
      <w:r>
        <w:rPr>
          <w:rFonts w:hint="eastAsia" w:ascii="楷体" w:hAnsi="楷体" w:eastAsia="楷体"/>
          <w:b/>
          <w:sz w:val="30"/>
          <w:szCs w:val="30"/>
        </w:rPr>
        <w:t>3、月光经济建设工程</w:t>
      </w:r>
      <w:bookmarkEnd w:id="69"/>
    </w:p>
    <w:p>
      <w:pPr>
        <w:spacing w:line="560" w:lineRule="exact"/>
        <w:ind w:firstLine="600" w:firstLineChars="200"/>
        <w:rPr>
          <w:rFonts w:ascii="仿宋_GB2312" w:eastAsia="仿宋_GB2312"/>
          <w:sz w:val="30"/>
          <w:szCs w:val="30"/>
        </w:rPr>
      </w:pPr>
      <w:r>
        <w:rPr>
          <w:rFonts w:hint="eastAsia" w:ascii="仿宋_GB2312" w:eastAsia="仿宋_GB2312"/>
          <w:sz w:val="30"/>
          <w:szCs w:val="30"/>
        </w:rPr>
        <w:t>推动月光经济地标建设，依托瓯江段、南塘街、五马-大南等月光经济带现有基础，强化标志性夜间景观建设，形成知名IP效应，深度融合夜游、夜憩、夜宴、夜赏、夜娱等业态，打造具备强烈首位度的温州月光经济地标。加强时尚文化型月光经济发展，支持温州手工艺、非遗项目与月光经济的融合发展。推进“深夜食堂”建设，围绕瓯江沿岸、五马街后巷、茶山大学城、塘河沿线等重点区域，建设品质型、小吃型、休闲型不同定位的“深夜食堂”。推动月光经济全域化发展工程，支持各地发展各具特色的月光经济集聚区，推动实施月光经济“一区一标”“一镇一街”工程。围绕“温州名品淘宝街”“温州之夜”等主题，推动10条品质特色“温州市集”建设示范。推动夜间标识建设，融合线下线上两种形式，出台《温州月光经济消费地图》。</w:t>
      </w:r>
    </w:p>
    <w:p>
      <w:pPr>
        <w:spacing w:line="560" w:lineRule="exact"/>
        <w:ind w:firstLine="602" w:firstLineChars="200"/>
        <w:outlineLvl w:val="2"/>
        <w:rPr>
          <w:rFonts w:ascii="楷体" w:hAnsi="楷体" w:eastAsia="楷体"/>
          <w:b/>
          <w:sz w:val="30"/>
          <w:szCs w:val="30"/>
        </w:rPr>
      </w:pPr>
      <w:bookmarkStart w:id="70" w:name="_Toc74756916"/>
      <w:r>
        <w:rPr>
          <w:rFonts w:hint="eastAsia" w:ascii="楷体" w:hAnsi="楷体" w:eastAsia="楷体"/>
          <w:b/>
          <w:sz w:val="30"/>
          <w:szCs w:val="30"/>
        </w:rPr>
        <w:t>4、智慧商圈建设工程</w:t>
      </w:r>
      <w:bookmarkEnd w:id="70"/>
    </w:p>
    <w:p>
      <w:pPr>
        <w:spacing w:line="560" w:lineRule="exact"/>
        <w:ind w:firstLine="600" w:firstLineChars="200"/>
        <w:rPr>
          <w:rFonts w:ascii="仿宋_GB2312" w:eastAsia="仿宋_GB2312"/>
          <w:sz w:val="30"/>
          <w:szCs w:val="30"/>
        </w:rPr>
      </w:pPr>
      <w:r>
        <w:rPr>
          <w:rFonts w:hint="eastAsia" w:ascii="仿宋_GB2312" w:eastAsia="仿宋_GB2312"/>
          <w:sz w:val="30"/>
          <w:szCs w:val="30"/>
        </w:rPr>
        <w:t>以城市地标商圈、核心商圈为依托，以智慧化消费模式、</w:t>
      </w:r>
      <w:r>
        <w:rPr>
          <w:rFonts w:ascii="仿宋_GB2312" w:eastAsia="仿宋_GB2312"/>
          <w:sz w:val="30"/>
          <w:szCs w:val="30"/>
        </w:rPr>
        <w:t>智慧</w:t>
      </w:r>
      <w:r>
        <w:rPr>
          <w:rFonts w:hint="eastAsia" w:ascii="仿宋_GB2312" w:eastAsia="仿宋_GB2312"/>
          <w:sz w:val="30"/>
          <w:szCs w:val="30"/>
        </w:rPr>
        <w:t>化</w:t>
      </w:r>
      <w:r>
        <w:rPr>
          <w:rFonts w:ascii="仿宋_GB2312" w:eastAsia="仿宋_GB2312"/>
          <w:sz w:val="30"/>
          <w:szCs w:val="30"/>
        </w:rPr>
        <w:t>服务</w:t>
      </w:r>
      <w:r>
        <w:rPr>
          <w:rFonts w:hint="eastAsia" w:ascii="仿宋_GB2312" w:eastAsia="仿宋_GB2312"/>
          <w:sz w:val="30"/>
          <w:szCs w:val="30"/>
        </w:rPr>
        <w:t>环境、</w:t>
      </w:r>
      <w:r>
        <w:rPr>
          <w:rFonts w:ascii="仿宋_GB2312" w:eastAsia="仿宋_GB2312"/>
          <w:sz w:val="30"/>
          <w:szCs w:val="30"/>
        </w:rPr>
        <w:t>智慧</w:t>
      </w:r>
      <w:r>
        <w:rPr>
          <w:rFonts w:hint="eastAsia" w:ascii="仿宋_GB2312" w:eastAsia="仿宋_GB2312"/>
          <w:sz w:val="30"/>
          <w:szCs w:val="30"/>
        </w:rPr>
        <w:t>化</w:t>
      </w:r>
      <w:r>
        <w:rPr>
          <w:rFonts w:ascii="仿宋_GB2312" w:eastAsia="仿宋_GB2312"/>
          <w:sz w:val="30"/>
          <w:szCs w:val="30"/>
        </w:rPr>
        <w:t>管理场景</w:t>
      </w:r>
      <w:r>
        <w:rPr>
          <w:rFonts w:hint="eastAsia" w:ascii="仿宋_GB2312" w:eastAsia="仿宋_GB2312"/>
          <w:sz w:val="30"/>
          <w:szCs w:val="30"/>
        </w:rPr>
        <w:t>建设为重点，推进智慧商圈建设示范工作，打造10个具有标准架构、区域特色的智慧商圈，提升线下商圈从“引流入场”到“场内停留”再到“离场后触达”全流程的智慧化服务能力。培引高水平的智慧商圈技术服务商，发展融合AR/VR等新兴技术的全场景智慧商圈解决方案提供能力，全面推动人、货、场数字化升级。发挥核心商业载体作用，建设温州智慧商圈产业联盟，加强数据、产品、客户等联动共享水平。支持智慧商圈全域化、泛化发展，发展覆盖全市的虚拟化商圈，强化商业资源整合。</w:t>
      </w:r>
    </w:p>
    <w:p>
      <w:pPr>
        <w:adjustRightInd w:val="0"/>
        <w:snapToGrid w:val="0"/>
        <w:spacing w:before="156" w:beforeLines="50" w:line="560" w:lineRule="exact"/>
        <w:ind w:firstLine="643" w:firstLineChars="200"/>
        <w:outlineLvl w:val="1"/>
        <w:rPr>
          <w:rFonts w:ascii="仿宋_GB2312" w:hAnsi="仿宋_GB2312" w:eastAsia="仿宋_GB2312" w:cs="仿宋_GB2312"/>
          <w:b/>
          <w:bCs/>
          <w:kern w:val="0"/>
          <w:sz w:val="32"/>
          <w:szCs w:val="32"/>
        </w:rPr>
      </w:pPr>
      <w:bookmarkStart w:id="71" w:name="_Toc74756917"/>
      <w:r>
        <w:rPr>
          <w:rFonts w:hint="eastAsia" w:ascii="仿宋_GB2312" w:hAnsi="仿宋_GB2312" w:eastAsia="仿宋_GB2312" w:cs="仿宋_GB2312"/>
          <w:b/>
          <w:bCs/>
          <w:kern w:val="0"/>
          <w:sz w:val="32"/>
          <w:szCs w:val="32"/>
        </w:rPr>
        <w:t>（五）商务活力激发工程</w:t>
      </w:r>
      <w:bookmarkEnd w:id="71"/>
    </w:p>
    <w:p>
      <w:pPr>
        <w:spacing w:line="560" w:lineRule="exact"/>
        <w:ind w:firstLine="602" w:firstLineChars="200"/>
        <w:outlineLvl w:val="2"/>
        <w:rPr>
          <w:rFonts w:ascii="楷体" w:hAnsi="楷体" w:eastAsia="楷体"/>
          <w:b/>
          <w:sz w:val="30"/>
          <w:szCs w:val="30"/>
        </w:rPr>
      </w:pPr>
      <w:bookmarkStart w:id="72" w:name="_Toc74756918"/>
      <w:r>
        <w:rPr>
          <w:rFonts w:hint="eastAsia" w:ascii="楷体" w:hAnsi="楷体" w:eastAsia="楷体"/>
          <w:b/>
          <w:sz w:val="30"/>
          <w:szCs w:val="30"/>
        </w:rPr>
        <w:t>1、推动主体强商</w:t>
      </w:r>
      <w:bookmarkEnd w:id="72"/>
    </w:p>
    <w:p>
      <w:pPr>
        <w:spacing w:line="560" w:lineRule="exact"/>
        <w:ind w:firstLine="600" w:firstLineChars="200"/>
        <w:rPr>
          <w:rFonts w:ascii="仿宋_GB2312" w:eastAsia="仿宋_GB2312"/>
          <w:sz w:val="30"/>
          <w:szCs w:val="30"/>
        </w:rPr>
      </w:pPr>
      <w:r>
        <w:rPr>
          <w:rFonts w:hint="eastAsia" w:ascii="仿宋_GB2312" w:eastAsia="仿宋_GB2312"/>
          <w:sz w:val="30"/>
          <w:szCs w:val="30"/>
        </w:rPr>
        <w:t>加强商务主体培育力度，实施商务主体发展“双十百千”工程，建设10个重点商圈，引入10个亿元外资项目，发展100家省级重点流通/电子商务/供应链企业，培育100个出口品牌，建设1000家特色小店，打造1000家数字门店。加大总部或区域性总部商贸企业引入力度，支持商贸企业开展连锁化、网络化、平台化经营，推动国营、民营重点商贸企业通过重组等方式发展混合所有制企业。</w:t>
      </w:r>
    </w:p>
    <w:p>
      <w:pPr>
        <w:spacing w:line="560" w:lineRule="exact"/>
        <w:ind w:firstLine="602" w:firstLineChars="200"/>
        <w:outlineLvl w:val="2"/>
        <w:rPr>
          <w:rFonts w:ascii="楷体" w:hAnsi="楷体" w:eastAsia="楷体"/>
          <w:b/>
          <w:sz w:val="30"/>
          <w:szCs w:val="30"/>
        </w:rPr>
      </w:pPr>
      <w:bookmarkStart w:id="73" w:name="_Toc74756919"/>
      <w:r>
        <w:rPr>
          <w:rFonts w:hint="eastAsia" w:ascii="楷体" w:hAnsi="楷体" w:eastAsia="楷体"/>
          <w:b/>
          <w:sz w:val="30"/>
          <w:szCs w:val="30"/>
        </w:rPr>
        <w:t>2、着力人才强商</w:t>
      </w:r>
      <w:bookmarkEnd w:id="73"/>
    </w:p>
    <w:p>
      <w:pPr>
        <w:spacing w:line="560" w:lineRule="exact"/>
        <w:ind w:firstLine="600" w:firstLineChars="200"/>
        <w:rPr>
          <w:rFonts w:ascii="仿宋_GB2312" w:eastAsia="仿宋_GB2312"/>
          <w:sz w:val="30"/>
          <w:szCs w:val="30"/>
        </w:rPr>
      </w:pPr>
      <w:r>
        <w:rPr>
          <w:rFonts w:hint="eastAsia" w:ascii="仿宋_GB2312" w:eastAsia="仿宋_GB2312"/>
          <w:sz w:val="30"/>
          <w:szCs w:val="30"/>
        </w:rPr>
        <w:t>推动温州大学等地方院校，加强现代服务业、开放经济等领域商务人才培养，强化人才对温州城市的认同度。以数字商务、服务贸易等领域为重点，制定出台温州市紧缺急需商务领域人才专项目录，争取将商务领域急需的各类人才纳入市、区各类引才引智计划。围绕直播电商、短视频、服务外包、跨境电商、新零售、文化商业、专业会展、市场营销等领域，加大紧缺商务人才的培育力度，支持现有市级人才培训基地和实训基地壮大升级。建立人才激励机制，加快出台海外人才、高端人才的个税优惠政策，加大对商务领军人才、优秀专业人才的表彰和奖励力度。推动建立温州商务研究院，充分发挥第三方专业力量的作用，提升商务系统研究和规划水平。</w:t>
      </w:r>
    </w:p>
    <w:p>
      <w:pPr>
        <w:spacing w:line="560" w:lineRule="exact"/>
        <w:ind w:firstLine="602" w:firstLineChars="200"/>
        <w:outlineLvl w:val="2"/>
        <w:rPr>
          <w:rFonts w:ascii="楷体" w:hAnsi="楷体" w:eastAsia="楷体"/>
          <w:b/>
          <w:sz w:val="30"/>
          <w:szCs w:val="30"/>
        </w:rPr>
      </w:pPr>
      <w:bookmarkStart w:id="74" w:name="_Toc74756920"/>
      <w:r>
        <w:rPr>
          <w:rFonts w:hint="eastAsia" w:ascii="楷体" w:hAnsi="楷体" w:eastAsia="楷体"/>
          <w:b/>
          <w:sz w:val="30"/>
          <w:szCs w:val="30"/>
        </w:rPr>
        <w:t>3、发展活动强商</w:t>
      </w:r>
      <w:bookmarkEnd w:id="74"/>
    </w:p>
    <w:p>
      <w:pPr>
        <w:spacing w:line="560" w:lineRule="exact"/>
        <w:ind w:firstLine="600" w:firstLineChars="200"/>
        <w:rPr>
          <w:rFonts w:ascii="仿宋_GB2312" w:eastAsia="仿宋_GB2312"/>
          <w:sz w:val="30"/>
          <w:szCs w:val="30"/>
        </w:rPr>
      </w:pPr>
      <w:r>
        <w:rPr>
          <w:rFonts w:hint="eastAsia" w:ascii="仿宋_GB2312" w:eastAsia="仿宋_GB2312"/>
          <w:sz w:val="30"/>
          <w:szCs w:val="30"/>
        </w:rPr>
        <w:t>加强商务活动开展，实施商务活动“三个一百”工程，主办100场消费促进活动，打造100个放心消费街区，参加100个境外专业展会。强化消费促进活动的政府性主办力度，创新引入新型的消费促进方式，大力推动服务消费促进，加强境外展示交易中心建设，积极参与境外活动筹办。优化活动举办方式，激发市场主体参与积极性，加强第三方活动运营商引入，提升活动运营的专业化水平，提高活动效果。</w:t>
      </w:r>
    </w:p>
    <w:p>
      <w:pPr>
        <w:adjustRightInd w:val="0"/>
        <w:snapToGrid w:val="0"/>
        <w:spacing w:before="156" w:beforeLines="50" w:line="560" w:lineRule="exact"/>
        <w:ind w:firstLine="643" w:firstLineChars="200"/>
        <w:outlineLvl w:val="1"/>
        <w:rPr>
          <w:rFonts w:ascii="仿宋_GB2312" w:hAnsi="仿宋_GB2312" w:eastAsia="仿宋_GB2312" w:cs="仿宋_GB2312"/>
          <w:b/>
          <w:bCs/>
          <w:kern w:val="0"/>
          <w:sz w:val="32"/>
          <w:szCs w:val="32"/>
        </w:rPr>
      </w:pPr>
      <w:bookmarkStart w:id="75" w:name="_Toc74756921"/>
      <w:r>
        <w:rPr>
          <w:rFonts w:hint="eastAsia" w:ascii="仿宋_GB2312" w:hAnsi="仿宋_GB2312" w:eastAsia="仿宋_GB2312" w:cs="仿宋_GB2312"/>
          <w:b/>
          <w:bCs/>
          <w:kern w:val="0"/>
          <w:sz w:val="32"/>
          <w:szCs w:val="32"/>
        </w:rPr>
        <w:t>（六）商贸新基建工程</w:t>
      </w:r>
      <w:bookmarkEnd w:id="75"/>
    </w:p>
    <w:p>
      <w:pPr>
        <w:spacing w:line="560" w:lineRule="exact"/>
        <w:ind w:firstLine="602" w:firstLineChars="200"/>
        <w:outlineLvl w:val="2"/>
        <w:rPr>
          <w:rFonts w:ascii="楷体" w:hAnsi="楷体" w:eastAsia="楷体"/>
          <w:b/>
          <w:sz w:val="30"/>
          <w:szCs w:val="30"/>
        </w:rPr>
      </w:pPr>
      <w:bookmarkStart w:id="76" w:name="_Toc74756922"/>
      <w:r>
        <w:rPr>
          <w:rFonts w:hint="eastAsia" w:ascii="楷体" w:hAnsi="楷体" w:eastAsia="楷体"/>
          <w:b/>
          <w:sz w:val="30"/>
          <w:szCs w:val="30"/>
        </w:rPr>
        <w:t>1、新消费基础设施建设</w:t>
      </w:r>
      <w:bookmarkEnd w:id="76"/>
    </w:p>
    <w:p>
      <w:pPr>
        <w:spacing w:line="560" w:lineRule="exact"/>
        <w:ind w:firstLine="600" w:firstLineChars="200"/>
        <w:rPr>
          <w:rFonts w:ascii="仿宋_GB2312" w:eastAsia="仿宋_GB2312"/>
          <w:sz w:val="30"/>
          <w:szCs w:val="30"/>
        </w:rPr>
      </w:pPr>
      <w:r>
        <w:rPr>
          <w:rFonts w:hint="eastAsia" w:ascii="仿宋_GB2312" w:eastAsia="仿宋_GB2312"/>
          <w:sz w:val="30"/>
          <w:szCs w:val="30"/>
        </w:rPr>
        <w:t>加强5G、传感器、高清视频等技术在城市商圈、景区、交通枢纽、酒店等主要消费场所的布局发展，为智慧商圈、智慧市场、智慧景区等智慧消费场景，及在线培训、在线医疗、网上办公等在线消费场景搭建数据采集与传输基础。以智能导购、无人销售、直播销售等解决方案为重点，推动传统消费基础设施数字化改造。大力推进重点商圈、办公楼宇集聚区的交通微循环体系构建，以开放空间、品质绿化、休闲慢行等复合形态建设20处消费连廊。</w:t>
      </w:r>
    </w:p>
    <w:p>
      <w:pPr>
        <w:spacing w:line="560" w:lineRule="exact"/>
        <w:ind w:firstLine="602" w:firstLineChars="200"/>
        <w:outlineLvl w:val="2"/>
        <w:rPr>
          <w:rFonts w:ascii="楷体" w:hAnsi="楷体" w:eastAsia="楷体"/>
          <w:b/>
          <w:sz w:val="30"/>
          <w:szCs w:val="30"/>
        </w:rPr>
      </w:pPr>
      <w:bookmarkStart w:id="77" w:name="_Toc74756923"/>
      <w:r>
        <w:rPr>
          <w:rFonts w:hint="eastAsia" w:ascii="楷体" w:hAnsi="楷体" w:eastAsia="楷体"/>
          <w:b/>
          <w:sz w:val="30"/>
          <w:szCs w:val="30"/>
        </w:rPr>
        <w:t>2、新物流基础设施建设</w:t>
      </w:r>
      <w:bookmarkEnd w:id="77"/>
    </w:p>
    <w:p>
      <w:pPr>
        <w:spacing w:line="560" w:lineRule="exact"/>
        <w:ind w:firstLine="600" w:firstLineChars="200"/>
        <w:rPr>
          <w:rFonts w:ascii="仿宋_GB2312" w:eastAsia="仿宋_GB2312"/>
          <w:sz w:val="30"/>
          <w:szCs w:val="30"/>
        </w:rPr>
      </w:pPr>
      <w:r>
        <w:rPr>
          <w:rFonts w:hint="eastAsia" w:ascii="仿宋_GB2312" w:eastAsia="仿宋_GB2312"/>
          <w:sz w:val="30"/>
          <w:szCs w:val="30"/>
        </w:rPr>
        <w:t>以软件平台为先导，以硬件改造为突破，全面推动潘桥物流园等重点物流园区发展智慧物流，探索建立全市统一的物流配载服务平台，推动传化公路港等平台提升服务网络辐射能级。推动温州港数字港口建设，建立“车、货、场”感知与一体化业务处理系统，创新引入区块链等技术，建设温州港物流及贸易便利化区块链平台。以平台化运营服务为依托，以数字化仓储建设为核心，大力推进中央仓、前置仓、仓配一体化、仓店一体化等设施发展，建成100万平米现代化仓储空间。</w:t>
      </w:r>
    </w:p>
    <w:p>
      <w:pPr>
        <w:spacing w:line="560" w:lineRule="exact"/>
        <w:ind w:firstLine="602" w:firstLineChars="200"/>
        <w:outlineLvl w:val="2"/>
        <w:rPr>
          <w:rFonts w:ascii="楷体" w:hAnsi="楷体" w:eastAsia="楷体"/>
          <w:b/>
          <w:sz w:val="30"/>
          <w:szCs w:val="30"/>
        </w:rPr>
      </w:pPr>
      <w:bookmarkStart w:id="78" w:name="_Toc74756924"/>
      <w:r>
        <w:rPr>
          <w:rFonts w:hint="eastAsia" w:ascii="楷体" w:hAnsi="楷体" w:eastAsia="楷体"/>
          <w:b/>
          <w:sz w:val="30"/>
          <w:szCs w:val="30"/>
        </w:rPr>
        <w:t>3、商务大数据平台建设</w:t>
      </w:r>
      <w:bookmarkEnd w:id="78"/>
    </w:p>
    <w:p>
      <w:pPr>
        <w:spacing w:line="560" w:lineRule="exact"/>
        <w:ind w:firstLine="600" w:firstLineChars="200"/>
        <w:rPr>
          <w:rFonts w:ascii="仿宋_GB2312" w:eastAsia="仿宋_GB2312"/>
          <w:sz w:val="30"/>
          <w:szCs w:val="30"/>
        </w:rPr>
      </w:pPr>
      <w:r>
        <w:rPr>
          <w:rFonts w:hint="eastAsia" w:ascii="仿宋_GB2312" w:eastAsia="仿宋_GB2312"/>
          <w:sz w:val="30"/>
          <w:szCs w:val="30"/>
        </w:rPr>
        <w:t>加快建立温州市商务大数据平台，强化部门数据实时整合，以商务主体数据采集为基础，结合消费、内外贸、城乡商贸、投资等动态数据采集，做强“商务数据中台”功能，为全市商务工作高质量发展提供支撑。围绕商务主体融资、精准营销、信用评价、业务监管等领域，引入第三方专业数据服务商，加强商务数据开发利用。推动商务大数据中心与外部大数据服务商的对接合作，强化数据合作，建立数据共用机制。</w:t>
      </w:r>
    </w:p>
    <w:p>
      <w:pPr>
        <w:spacing w:before="156" w:beforeLines="50" w:line="580" w:lineRule="exact"/>
        <w:outlineLvl w:val="0"/>
        <w:rPr>
          <w:rFonts w:ascii="楷体_GB2312" w:hAnsi="楷体_GB2312" w:eastAsia="楷体_GB2312" w:cs="楷体_GB2312"/>
          <w:b/>
          <w:sz w:val="32"/>
          <w:szCs w:val="32"/>
        </w:rPr>
      </w:pPr>
      <w:bookmarkStart w:id="79" w:name="_Toc74756925"/>
      <w:r>
        <w:rPr>
          <w:rFonts w:hint="eastAsia" w:ascii="楷体_GB2312" w:hAnsi="楷体_GB2312" w:eastAsia="楷体_GB2312" w:cs="楷体_GB2312"/>
          <w:b/>
          <w:sz w:val="32"/>
          <w:szCs w:val="32"/>
        </w:rPr>
        <w:t>五、保障措施</w:t>
      </w:r>
      <w:bookmarkEnd w:id="79"/>
    </w:p>
    <w:p>
      <w:pPr>
        <w:adjustRightInd w:val="0"/>
        <w:snapToGrid w:val="0"/>
        <w:spacing w:before="156" w:beforeLines="50" w:line="560" w:lineRule="exact"/>
        <w:ind w:firstLine="643" w:firstLineChars="200"/>
        <w:outlineLvl w:val="1"/>
        <w:rPr>
          <w:rFonts w:ascii="仿宋_GB2312" w:hAnsi="仿宋_GB2312" w:eastAsia="仿宋_GB2312" w:cs="仿宋_GB2312"/>
          <w:b/>
          <w:bCs/>
          <w:kern w:val="0"/>
          <w:sz w:val="32"/>
          <w:szCs w:val="32"/>
        </w:rPr>
      </w:pPr>
      <w:bookmarkStart w:id="80" w:name="_Toc74756926"/>
      <w:r>
        <w:rPr>
          <w:rFonts w:hint="eastAsia" w:ascii="仿宋_GB2312" w:hAnsi="仿宋_GB2312" w:eastAsia="仿宋_GB2312" w:cs="仿宋_GB2312"/>
          <w:b/>
          <w:bCs/>
          <w:kern w:val="0"/>
          <w:sz w:val="32"/>
          <w:szCs w:val="32"/>
        </w:rPr>
        <w:t>（一）组织保障</w:t>
      </w:r>
      <w:bookmarkEnd w:id="80"/>
    </w:p>
    <w:p>
      <w:pPr>
        <w:spacing w:line="560" w:lineRule="exact"/>
        <w:ind w:firstLine="600" w:firstLineChars="200"/>
        <w:rPr>
          <w:rFonts w:ascii="仿宋_GB2312" w:eastAsia="仿宋_GB2312"/>
          <w:sz w:val="30"/>
          <w:szCs w:val="30"/>
        </w:rPr>
      </w:pPr>
      <w:r>
        <w:rPr>
          <w:rFonts w:hint="eastAsia" w:ascii="仿宋_GB2312" w:eastAsia="仿宋_GB2312"/>
          <w:sz w:val="30"/>
          <w:szCs w:val="30"/>
        </w:rPr>
        <w:t>提升领导小组规格，建立由市主要领导为组长，分管市领导为副组长，相关部门负责人为成员的商务发展领导小组，健全商务工作统筹协调机制，推动各部门分工协作、信息共享、监测联动，形成促进商务发展的合力。完善重大项目落地协同推进机制，制定年度实施计划，实行领导负责制，明确部门责任、任务分工。加强权责统一，推动组织变革与职能调整。探索建立商务“中台”管理模式，提升数字时代管理能力。加强规划实施管理，组织开展中期评估和终期实施评价，对规划目标、任务进行适时调整。</w:t>
      </w:r>
    </w:p>
    <w:p>
      <w:pPr>
        <w:adjustRightInd w:val="0"/>
        <w:snapToGrid w:val="0"/>
        <w:spacing w:before="156" w:beforeLines="50" w:line="560" w:lineRule="exact"/>
        <w:ind w:firstLine="643" w:firstLineChars="200"/>
        <w:outlineLvl w:val="1"/>
        <w:rPr>
          <w:rFonts w:ascii="仿宋_GB2312" w:hAnsi="仿宋_GB2312" w:eastAsia="仿宋_GB2312" w:cs="仿宋_GB2312"/>
          <w:b/>
          <w:bCs/>
          <w:kern w:val="0"/>
          <w:sz w:val="32"/>
          <w:szCs w:val="32"/>
        </w:rPr>
      </w:pPr>
      <w:bookmarkStart w:id="81" w:name="_Toc74756927"/>
      <w:r>
        <w:rPr>
          <w:rFonts w:hint="eastAsia" w:ascii="仿宋_GB2312" w:hAnsi="仿宋_GB2312" w:eastAsia="仿宋_GB2312" w:cs="仿宋_GB2312"/>
          <w:b/>
          <w:bCs/>
          <w:kern w:val="0"/>
          <w:sz w:val="32"/>
          <w:szCs w:val="32"/>
        </w:rPr>
        <w:t>（二）财税保障</w:t>
      </w:r>
      <w:bookmarkEnd w:id="81"/>
    </w:p>
    <w:p>
      <w:pPr>
        <w:spacing w:line="560" w:lineRule="exact"/>
        <w:ind w:firstLine="600" w:firstLineChars="200"/>
        <w:rPr>
          <w:rFonts w:ascii="仿宋_GB2312" w:eastAsia="仿宋_GB2312"/>
          <w:sz w:val="30"/>
          <w:szCs w:val="30"/>
        </w:rPr>
      </w:pPr>
      <w:r>
        <w:rPr>
          <w:rFonts w:hint="eastAsia" w:ascii="仿宋_GB2312" w:eastAsia="仿宋_GB2312"/>
          <w:sz w:val="30"/>
          <w:szCs w:val="30"/>
        </w:rPr>
        <w:t>加强财政资金对商务领域的支持力度，重点投向消费升级、内贸流通、对外贸易、数字商贸、商贸服务等关键领域。推动设立商务发展专项资金，按照事后奖补、投入补贴、贷款贴息等方式，加强对商务企业技术改造、模式创新、平台搭建等领域的支持。加强政策资金的兑现程度，提升兑现效率。充分利用金融改革优势，强化商务领域投融资创新，试点推广大数据征信融资方式。鼓励创业投资机构和产业投资基金投资商务领域创新项目，支持企业开展融资租赁、技术融资、股权融资、仓单融资等新型融资方式，提升对外投资融资服务。探索推进商务领域高端人才的个税补贴政策。</w:t>
      </w:r>
    </w:p>
    <w:p>
      <w:pPr>
        <w:adjustRightInd w:val="0"/>
        <w:snapToGrid w:val="0"/>
        <w:spacing w:before="156" w:beforeLines="50" w:line="560" w:lineRule="exact"/>
        <w:ind w:firstLine="643" w:firstLineChars="200"/>
        <w:outlineLvl w:val="1"/>
        <w:rPr>
          <w:rFonts w:ascii="仿宋_GB2312" w:hAnsi="仿宋_GB2312" w:eastAsia="仿宋_GB2312" w:cs="仿宋_GB2312"/>
          <w:b/>
          <w:bCs/>
          <w:kern w:val="0"/>
          <w:sz w:val="32"/>
          <w:szCs w:val="32"/>
        </w:rPr>
      </w:pPr>
      <w:bookmarkStart w:id="82" w:name="_Toc74756928"/>
      <w:r>
        <w:rPr>
          <w:rFonts w:hint="eastAsia" w:ascii="仿宋_GB2312" w:hAnsi="仿宋_GB2312" w:eastAsia="仿宋_GB2312" w:cs="仿宋_GB2312"/>
          <w:b/>
          <w:bCs/>
          <w:kern w:val="0"/>
          <w:sz w:val="32"/>
          <w:szCs w:val="32"/>
        </w:rPr>
        <w:t>（三）空间保障</w:t>
      </w:r>
      <w:bookmarkEnd w:id="82"/>
    </w:p>
    <w:p>
      <w:pPr>
        <w:spacing w:line="560" w:lineRule="exact"/>
        <w:ind w:firstLine="600" w:firstLineChars="200"/>
        <w:rPr>
          <w:rFonts w:ascii="仿宋_GB2312" w:eastAsia="仿宋_GB2312"/>
          <w:sz w:val="30"/>
          <w:szCs w:val="30"/>
        </w:rPr>
      </w:pPr>
      <w:r>
        <w:rPr>
          <w:rFonts w:hint="eastAsia" w:ascii="仿宋_GB2312" w:eastAsia="仿宋_GB2312"/>
          <w:sz w:val="30"/>
          <w:szCs w:val="30"/>
        </w:rPr>
        <w:t>利用“大建大美”契机，加强城市商务商业用地的整体规划，推动区域一体化布局。加强对重大开放平台、重大产业平台、重大项目，及其配套建设工程的用地保障，推动连片集聚开发。依托城市商业网点规划，强化部门联动合作，优先保障大型商业中心、特色商业中心、新型商业中心的用地空间。加强对仓储中心、配送中心、物流中心、专业市场等重要商业设施用地的支持，有效突破城市流通发展瓶颈。推动已建、在建项目周边空间的再开发，推广实施立体开发和空间综合利用，提升商务空间供给，降低商业租金成本。预留一定商务发展弹性用地，为新技术应用、未来业态发展提供拓展空间。</w:t>
      </w:r>
    </w:p>
    <w:p>
      <w:pPr>
        <w:adjustRightInd w:val="0"/>
        <w:snapToGrid w:val="0"/>
        <w:spacing w:before="156" w:beforeLines="50" w:line="560" w:lineRule="exact"/>
        <w:ind w:firstLine="643" w:firstLineChars="200"/>
        <w:outlineLvl w:val="1"/>
        <w:rPr>
          <w:rFonts w:ascii="仿宋_GB2312" w:hAnsi="仿宋_GB2312" w:eastAsia="仿宋_GB2312" w:cs="仿宋_GB2312"/>
          <w:b/>
          <w:bCs/>
          <w:kern w:val="0"/>
          <w:sz w:val="32"/>
          <w:szCs w:val="32"/>
        </w:rPr>
      </w:pPr>
      <w:bookmarkStart w:id="83" w:name="_Toc74756929"/>
      <w:r>
        <w:rPr>
          <w:rFonts w:hint="eastAsia" w:ascii="仿宋_GB2312" w:hAnsi="仿宋_GB2312" w:eastAsia="仿宋_GB2312" w:cs="仿宋_GB2312"/>
          <w:b/>
          <w:bCs/>
          <w:kern w:val="0"/>
          <w:sz w:val="32"/>
          <w:szCs w:val="32"/>
        </w:rPr>
        <w:t>（四）政策保障</w:t>
      </w:r>
      <w:bookmarkEnd w:id="83"/>
    </w:p>
    <w:bookmarkEnd w:id="5"/>
    <w:p>
      <w:pPr>
        <w:spacing w:line="560" w:lineRule="exact"/>
        <w:ind w:firstLine="600" w:firstLineChars="200"/>
        <w:rPr>
          <w:rFonts w:ascii="仿宋_GB2312" w:eastAsia="仿宋_GB2312"/>
          <w:sz w:val="30"/>
          <w:szCs w:val="30"/>
        </w:rPr>
      </w:pPr>
      <w:r>
        <w:rPr>
          <w:rFonts w:hint="eastAsia" w:ascii="仿宋_GB2312" w:eastAsia="仿宋_GB2312"/>
          <w:sz w:val="30"/>
          <w:szCs w:val="30"/>
        </w:rPr>
        <w:t>加强政策统筹，推动商务领域政策与产业、财税、金融、人才等政策的集聚整合，系统谋划跨境电商、对外投资、海关特殊监管区、开发区等政策措施。加强商务领域政策研究，围绕商贸转型升级、贸易持续增长、消费市场扩大、开放型经济层次提升等领域，形成一批重大政策创新成果，以制度性红利营造形成区域吸引力。完善商务领域统计运行监测分析体系，加强大数据统计方法应用，研究推行适应新消费模式、新消费业态的统计方法，健全生产性服务消费、社会消费品零售总额统计口径和统计方法，健全服务贸易统计制度。</w:t>
      </w:r>
    </w:p>
    <w:tbl>
      <w:tblPr>
        <w:tblStyle w:val="15"/>
        <w:tblW w:w="63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56"/>
        <w:gridCol w:w="583"/>
        <w:gridCol w:w="105"/>
        <w:gridCol w:w="1633"/>
        <w:gridCol w:w="3534"/>
        <w:gridCol w:w="872"/>
        <w:gridCol w:w="1160"/>
        <w:gridCol w:w="722"/>
        <w:gridCol w:w="722"/>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21" w:type="pct"/>
            <w:gridSpan w:val="2"/>
            <w:tcBorders>
              <w:top w:val="nil"/>
              <w:left w:val="nil"/>
              <w:right w:val="nil"/>
            </w:tcBorders>
          </w:tcPr>
          <w:p>
            <w:pPr>
              <w:widowControl/>
              <w:spacing w:line="560" w:lineRule="exact"/>
              <w:textAlignment w:val="center"/>
              <w:rPr>
                <w:rFonts w:ascii="楷体_GB2312" w:hAnsi="楷体_GB2312" w:eastAsia="楷体_GB2312" w:cs="楷体_GB2312"/>
                <w:b/>
                <w:sz w:val="32"/>
                <w:szCs w:val="32"/>
              </w:rPr>
            </w:pPr>
          </w:p>
        </w:tc>
        <w:tc>
          <w:tcPr>
            <w:tcW w:w="315" w:type="pct"/>
            <w:gridSpan w:val="2"/>
            <w:tcBorders>
              <w:top w:val="nil"/>
              <w:left w:val="nil"/>
              <w:right w:val="nil"/>
            </w:tcBorders>
          </w:tcPr>
          <w:p>
            <w:pPr>
              <w:widowControl/>
              <w:spacing w:line="560" w:lineRule="exact"/>
              <w:textAlignment w:val="center"/>
              <w:rPr>
                <w:rFonts w:ascii="楷体_GB2312" w:hAnsi="楷体_GB2312" w:eastAsia="楷体_GB2312" w:cs="楷体_GB2312"/>
                <w:b/>
                <w:sz w:val="32"/>
                <w:szCs w:val="32"/>
              </w:rPr>
            </w:pPr>
          </w:p>
        </w:tc>
        <w:tc>
          <w:tcPr>
            <w:tcW w:w="4364" w:type="pct"/>
            <w:gridSpan w:val="7"/>
            <w:tcBorders>
              <w:top w:val="nil"/>
              <w:left w:val="nil"/>
              <w:right w:val="nil"/>
            </w:tcBorders>
            <w:vAlign w:val="center"/>
          </w:tcPr>
          <w:p>
            <w:pPr>
              <w:widowControl/>
              <w:spacing w:line="560" w:lineRule="exact"/>
              <w:textAlignment w:val="center"/>
              <w:rPr>
                <w:rFonts w:ascii="楷体" w:hAnsi="楷体" w:eastAsia="楷体" w:cs="宋体"/>
                <w:b/>
                <w:kern w:val="0"/>
                <w:sz w:val="30"/>
                <w:szCs w:val="30"/>
              </w:rPr>
            </w:pPr>
            <w:r>
              <w:rPr>
                <w:rFonts w:hint="eastAsia" w:ascii="楷体_GB2312" w:hAnsi="楷体_GB2312" w:eastAsia="楷体_GB2312" w:cs="楷体_GB2312"/>
                <w:b/>
                <w:sz w:val="32"/>
                <w:szCs w:val="32"/>
              </w:rPr>
              <w:t>附件1：温州市商务发展“十四五”重大项目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Align w:val="center"/>
          </w:tcPr>
          <w:p>
            <w:pPr>
              <w:widowControl/>
              <w:spacing w:line="240" w:lineRule="atLeast"/>
              <w:jc w:val="center"/>
              <w:textAlignment w:val="center"/>
              <w:rPr>
                <w:rFonts w:cs="宋体"/>
                <w:b/>
                <w:kern w:val="0"/>
                <w:sz w:val="18"/>
                <w:szCs w:val="18"/>
              </w:rPr>
            </w:pPr>
            <w:r>
              <w:rPr>
                <w:rFonts w:hint="eastAsia" w:cs="宋体"/>
                <w:b/>
                <w:kern w:val="0"/>
                <w:sz w:val="18"/>
                <w:szCs w:val="18"/>
              </w:rPr>
              <w:t>类型</w:t>
            </w:r>
          </w:p>
        </w:tc>
        <w:tc>
          <w:tcPr>
            <w:tcW w:w="293" w:type="pct"/>
            <w:gridSpan w:val="2"/>
            <w:vAlign w:val="center"/>
          </w:tcPr>
          <w:p>
            <w:pPr>
              <w:widowControl/>
              <w:spacing w:line="240" w:lineRule="atLeast"/>
              <w:jc w:val="center"/>
              <w:textAlignment w:val="center"/>
              <w:rPr>
                <w:rFonts w:cs="宋体"/>
                <w:b/>
                <w:kern w:val="0"/>
                <w:sz w:val="18"/>
                <w:szCs w:val="18"/>
              </w:rPr>
            </w:pPr>
            <w:r>
              <w:rPr>
                <w:rFonts w:hint="eastAsia" w:cs="宋体"/>
                <w:b/>
                <w:kern w:val="0"/>
                <w:sz w:val="18"/>
                <w:szCs w:val="18"/>
              </w:rPr>
              <w:t>序号</w:t>
            </w:r>
          </w:p>
        </w:tc>
        <w:tc>
          <w:tcPr>
            <w:tcW w:w="797" w:type="pct"/>
            <w:gridSpan w:val="2"/>
            <w:vAlign w:val="center"/>
          </w:tcPr>
          <w:p>
            <w:pPr>
              <w:widowControl/>
              <w:spacing w:line="240" w:lineRule="atLeast"/>
              <w:jc w:val="center"/>
              <w:textAlignment w:val="center"/>
              <w:rPr>
                <w:rFonts w:cs="宋体"/>
                <w:b/>
                <w:kern w:val="0"/>
                <w:sz w:val="18"/>
                <w:szCs w:val="18"/>
              </w:rPr>
            </w:pPr>
            <w:r>
              <w:rPr>
                <w:rFonts w:hint="eastAsia" w:cs="宋体"/>
                <w:b/>
                <w:kern w:val="0"/>
                <w:sz w:val="18"/>
                <w:szCs w:val="18"/>
              </w:rPr>
              <w:t>项目名称</w:t>
            </w:r>
          </w:p>
        </w:tc>
        <w:tc>
          <w:tcPr>
            <w:tcW w:w="1620" w:type="pct"/>
            <w:vAlign w:val="center"/>
          </w:tcPr>
          <w:p>
            <w:pPr>
              <w:widowControl/>
              <w:spacing w:line="240" w:lineRule="atLeast"/>
              <w:jc w:val="center"/>
              <w:textAlignment w:val="center"/>
              <w:rPr>
                <w:rFonts w:cs="宋体"/>
                <w:b/>
                <w:kern w:val="0"/>
                <w:sz w:val="18"/>
                <w:szCs w:val="18"/>
              </w:rPr>
            </w:pPr>
            <w:r>
              <w:rPr>
                <w:rFonts w:hint="eastAsia" w:cs="宋体"/>
                <w:b/>
                <w:kern w:val="0"/>
                <w:sz w:val="18"/>
                <w:szCs w:val="18"/>
              </w:rPr>
              <w:t>建设内容和规模</w:t>
            </w:r>
          </w:p>
        </w:tc>
        <w:tc>
          <w:tcPr>
            <w:tcW w:w="400" w:type="pct"/>
            <w:vAlign w:val="center"/>
          </w:tcPr>
          <w:p>
            <w:pPr>
              <w:widowControl/>
              <w:spacing w:line="240" w:lineRule="atLeast"/>
              <w:jc w:val="center"/>
              <w:textAlignment w:val="center"/>
              <w:rPr>
                <w:rFonts w:cs="宋体"/>
                <w:b/>
                <w:kern w:val="0"/>
                <w:sz w:val="18"/>
                <w:szCs w:val="18"/>
              </w:rPr>
            </w:pPr>
            <w:r>
              <w:rPr>
                <w:rFonts w:hint="eastAsia" w:cs="宋体"/>
                <w:b/>
                <w:kern w:val="0"/>
                <w:sz w:val="18"/>
                <w:szCs w:val="18"/>
              </w:rPr>
              <w:t>总投资</w:t>
            </w:r>
          </w:p>
          <w:p>
            <w:pPr>
              <w:widowControl/>
              <w:spacing w:line="240" w:lineRule="atLeast"/>
              <w:jc w:val="center"/>
              <w:textAlignment w:val="center"/>
              <w:rPr>
                <w:rFonts w:cs="宋体"/>
                <w:b/>
                <w:kern w:val="0"/>
                <w:sz w:val="15"/>
                <w:szCs w:val="15"/>
              </w:rPr>
            </w:pPr>
            <w:r>
              <w:rPr>
                <w:rFonts w:hint="eastAsia" w:cs="宋体"/>
                <w:b/>
                <w:kern w:val="0"/>
                <w:sz w:val="15"/>
                <w:szCs w:val="15"/>
              </w:rPr>
              <w:t>（亿元）</w:t>
            </w:r>
          </w:p>
        </w:tc>
        <w:tc>
          <w:tcPr>
            <w:tcW w:w="532" w:type="pct"/>
            <w:vAlign w:val="center"/>
          </w:tcPr>
          <w:p>
            <w:pPr>
              <w:widowControl/>
              <w:spacing w:line="240" w:lineRule="atLeast"/>
              <w:jc w:val="center"/>
              <w:textAlignment w:val="center"/>
              <w:rPr>
                <w:rFonts w:cs="宋体"/>
                <w:b/>
                <w:kern w:val="0"/>
                <w:sz w:val="18"/>
                <w:szCs w:val="18"/>
              </w:rPr>
            </w:pPr>
            <w:r>
              <w:rPr>
                <w:rFonts w:hint="eastAsia" w:cs="宋体"/>
                <w:b/>
                <w:kern w:val="0"/>
                <w:sz w:val="18"/>
                <w:szCs w:val="18"/>
              </w:rPr>
              <w:t>十四五投资</w:t>
            </w:r>
            <w:r>
              <w:rPr>
                <w:rFonts w:hint="eastAsia" w:cs="宋体"/>
                <w:b/>
                <w:kern w:val="0"/>
                <w:sz w:val="15"/>
                <w:szCs w:val="15"/>
              </w:rPr>
              <w:t>（亿元）</w:t>
            </w:r>
          </w:p>
        </w:tc>
        <w:tc>
          <w:tcPr>
            <w:tcW w:w="331" w:type="pct"/>
            <w:vAlign w:val="center"/>
          </w:tcPr>
          <w:p>
            <w:pPr>
              <w:widowControl/>
              <w:spacing w:line="240" w:lineRule="atLeast"/>
              <w:jc w:val="center"/>
              <w:textAlignment w:val="center"/>
              <w:rPr>
                <w:rFonts w:cs="宋体"/>
                <w:b/>
                <w:kern w:val="0"/>
                <w:sz w:val="18"/>
                <w:szCs w:val="18"/>
              </w:rPr>
            </w:pPr>
            <w:r>
              <w:rPr>
                <w:rFonts w:hint="eastAsia" w:cs="宋体"/>
                <w:b/>
                <w:kern w:val="0"/>
                <w:sz w:val="18"/>
                <w:szCs w:val="18"/>
              </w:rPr>
              <w:t>项目类型</w:t>
            </w:r>
          </w:p>
        </w:tc>
        <w:tc>
          <w:tcPr>
            <w:tcW w:w="331" w:type="pct"/>
            <w:vAlign w:val="center"/>
          </w:tcPr>
          <w:p>
            <w:pPr>
              <w:widowControl/>
              <w:spacing w:line="240" w:lineRule="atLeast"/>
              <w:jc w:val="center"/>
              <w:textAlignment w:val="center"/>
              <w:rPr>
                <w:rFonts w:cs="宋体"/>
                <w:b/>
                <w:kern w:val="0"/>
                <w:sz w:val="18"/>
                <w:szCs w:val="18"/>
              </w:rPr>
            </w:pPr>
            <w:r>
              <w:rPr>
                <w:rFonts w:hint="eastAsia" w:cs="宋体"/>
                <w:b/>
                <w:kern w:val="0"/>
                <w:sz w:val="18"/>
                <w:szCs w:val="18"/>
              </w:rPr>
              <w:t>项目期限</w:t>
            </w:r>
          </w:p>
        </w:tc>
        <w:tc>
          <w:tcPr>
            <w:tcW w:w="401" w:type="pct"/>
            <w:vAlign w:val="center"/>
          </w:tcPr>
          <w:p>
            <w:pPr>
              <w:widowControl/>
              <w:spacing w:line="240" w:lineRule="atLeast"/>
              <w:jc w:val="center"/>
              <w:textAlignment w:val="center"/>
              <w:rPr>
                <w:rFonts w:cs="宋体"/>
                <w:b/>
                <w:kern w:val="0"/>
                <w:sz w:val="18"/>
                <w:szCs w:val="18"/>
              </w:rPr>
            </w:pPr>
            <w:r>
              <w:rPr>
                <w:rFonts w:hint="eastAsia" w:cs="宋体"/>
                <w:b/>
                <w:kern w:val="0"/>
                <w:sz w:val="18"/>
                <w:szCs w:val="18"/>
              </w:rPr>
              <w:t>组织实施单位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restar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数字商贸</w:t>
            </w: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温州城市数字科创园</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建设温州数字经济和科技创新综合示范产业基地、创新中心、科技服务中心。</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30.0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续建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2020- 2027</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鹿城区政府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中庚软件产业园</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 xml:space="preserve">用地面积 </w:t>
            </w:r>
            <w:r>
              <w:rPr>
                <w:color w:val="000000"/>
                <w:kern w:val="0"/>
                <w:sz w:val="18"/>
                <w:szCs w:val="18"/>
                <w:lang w:bidi="ar"/>
              </w:rPr>
              <w:t xml:space="preserve">1.7 </w:t>
            </w:r>
            <w:r>
              <w:rPr>
                <w:rFonts w:hint="eastAsia" w:ascii="宋体" w:hAnsi="宋体" w:cs="宋体"/>
                <w:color w:val="000000"/>
                <w:kern w:val="0"/>
                <w:sz w:val="18"/>
                <w:szCs w:val="18"/>
                <w:lang w:bidi="ar"/>
              </w:rPr>
              <w:t>万平方米，总建筑面积</w:t>
            </w:r>
            <w:r>
              <w:rPr>
                <w:color w:val="000000"/>
                <w:kern w:val="0"/>
                <w:sz w:val="18"/>
                <w:szCs w:val="18"/>
                <w:lang w:bidi="ar"/>
              </w:rPr>
              <w:t xml:space="preserve">14.8 </w:t>
            </w:r>
            <w:r>
              <w:rPr>
                <w:rFonts w:hint="eastAsia" w:ascii="宋体" w:hAnsi="宋体" w:cs="宋体"/>
                <w:color w:val="000000"/>
                <w:kern w:val="0"/>
                <w:sz w:val="18"/>
                <w:szCs w:val="18"/>
                <w:lang w:bidi="ar"/>
              </w:rPr>
              <w:t>万平方米。</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17.8</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11.3</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续建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2019-2022</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瓯海区政府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龙湾国际云软件 生态谷项目</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 xml:space="preserve">项目总用地面积约 </w:t>
            </w:r>
            <w:r>
              <w:rPr>
                <w:color w:val="000000"/>
                <w:kern w:val="0"/>
                <w:sz w:val="18"/>
                <w:szCs w:val="18"/>
                <w:lang w:bidi="ar"/>
              </w:rPr>
              <w:t xml:space="preserve">500 </w:t>
            </w:r>
            <w:r>
              <w:rPr>
                <w:rFonts w:hint="eastAsia" w:ascii="宋体" w:hAnsi="宋体" w:cs="宋体"/>
                <w:color w:val="000000"/>
                <w:kern w:val="0"/>
                <w:sz w:val="18"/>
                <w:szCs w:val="18"/>
                <w:lang w:bidi="ar"/>
              </w:rPr>
              <w:t xml:space="preserve">亩，其中一期国际软件云测研发总部拟选址状元北单元，用地面积约 </w:t>
            </w:r>
            <w:r>
              <w:rPr>
                <w:color w:val="000000"/>
                <w:kern w:val="0"/>
                <w:sz w:val="18"/>
                <w:szCs w:val="18"/>
                <w:lang w:bidi="ar"/>
              </w:rPr>
              <w:t xml:space="preserve">92 </w:t>
            </w:r>
            <w:r>
              <w:rPr>
                <w:rFonts w:hint="eastAsia" w:ascii="宋体" w:hAnsi="宋体" w:cs="宋体"/>
                <w:color w:val="000000"/>
                <w:kern w:val="0"/>
                <w:sz w:val="18"/>
                <w:szCs w:val="18"/>
                <w:lang w:bidi="ar"/>
              </w:rPr>
              <w:t xml:space="preserve">亩，总建筑面积约 </w:t>
            </w:r>
            <w:r>
              <w:rPr>
                <w:color w:val="000000"/>
                <w:kern w:val="0"/>
                <w:sz w:val="18"/>
                <w:szCs w:val="18"/>
                <w:lang w:bidi="ar"/>
              </w:rPr>
              <w:t xml:space="preserve">21.3 </w:t>
            </w:r>
            <w:r>
              <w:rPr>
                <w:rFonts w:hint="eastAsia" w:ascii="宋体" w:hAnsi="宋体" w:cs="宋体"/>
                <w:color w:val="000000"/>
                <w:kern w:val="0"/>
                <w:sz w:val="18"/>
                <w:szCs w:val="18"/>
                <w:lang w:bidi="ar"/>
              </w:rPr>
              <w:t>万平方米，二期开发建设国际软件云测中心项目。</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100.0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30.0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新建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2021-2027</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龙湾区政府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天心天思数字经济产业中心</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拟建设温州数字经济转型升级示范产业基地、研发中心、创新应用中心。</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w:t>
            </w:r>
            <w:r>
              <w:rPr>
                <w:rFonts w:cs="宋体"/>
                <w:kern w:val="0"/>
                <w:sz w:val="18"/>
                <w:szCs w:val="18"/>
              </w:rPr>
              <w:t>0</w:t>
            </w:r>
            <w:r>
              <w:rPr>
                <w:rFonts w:hint="eastAsia" w:cs="宋体"/>
                <w:kern w:val="0"/>
                <w:sz w:val="18"/>
                <w:szCs w:val="18"/>
              </w:rPr>
              <w:t>.0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w:t>
            </w:r>
            <w:r>
              <w:rPr>
                <w:rFonts w:cs="宋体"/>
                <w:kern w:val="0"/>
                <w:sz w:val="18"/>
                <w:szCs w:val="18"/>
              </w:rPr>
              <w:t>6.0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续建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2019-2022</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龙湾区政府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江南小镇跨境电商产业链项目</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用地面积约</w:t>
            </w:r>
            <w:r>
              <w:rPr>
                <w:rFonts w:cs="宋体"/>
                <w:kern w:val="0"/>
                <w:sz w:val="18"/>
                <w:szCs w:val="18"/>
              </w:rPr>
              <w:t>293</w:t>
            </w:r>
            <w:r>
              <w:rPr>
                <w:rFonts w:hint="eastAsia" w:cs="宋体"/>
                <w:kern w:val="0"/>
                <w:sz w:val="18"/>
                <w:szCs w:val="18"/>
              </w:rPr>
              <w:t>亩，建筑面积约</w:t>
            </w:r>
            <w:r>
              <w:rPr>
                <w:rFonts w:cs="宋体"/>
                <w:kern w:val="0"/>
                <w:sz w:val="18"/>
                <w:szCs w:val="18"/>
              </w:rPr>
              <w:t>41.4</w:t>
            </w:r>
            <w:r>
              <w:rPr>
                <w:rFonts w:hint="eastAsia" w:cs="宋体"/>
                <w:kern w:val="0"/>
                <w:sz w:val="18"/>
                <w:szCs w:val="18"/>
              </w:rPr>
              <w:t>万㎡，打造特色文旅与跨境电商相结合的华商创新创业中心。</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53.</w:t>
            </w:r>
            <w:r>
              <w:rPr>
                <w:rFonts w:cs="宋体"/>
                <w:kern w:val="0"/>
                <w:sz w:val="18"/>
                <w:szCs w:val="18"/>
              </w:rPr>
              <w:t>5</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3</w:t>
            </w:r>
            <w:r>
              <w:rPr>
                <w:rFonts w:cs="宋体"/>
                <w:kern w:val="0"/>
                <w:sz w:val="18"/>
                <w:szCs w:val="18"/>
              </w:rPr>
              <w:t>8.4</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续建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2019-2023</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瑞安市政府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highlight w:val="yellow"/>
              </w:rPr>
            </w:pPr>
            <w:r>
              <w:rPr>
                <w:rFonts w:hint="eastAsia" w:cs="宋体"/>
                <w:kern w:val="0"/>
                <w:sz w:val="18"/>
                <w:szCs w:val="18"/>
              </w:rPr>
              <w:t>东新科创园</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highlight w:val="yellow"/>
              </w:rPr>
            </w:pPr>
            <w:r>
              <w:rPr>
                <w:rFonts w:hint="eastAsia" w:cs="宋体"/>
                <w:kern w:val="0"/>
                <w:sz w:val="18"/>
                <w:szCs w:val="18"/>
              </w:rPr>
              <w:t>拟建设成以信息产业为核心，以创意产业为特色的创业平台和产业基地。</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50.0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4</w:t>
            </w:r>
            <w:r>
              <w:rPr>
                <w:rFonts w:cs="宋体"/>
                <w:kern w:val="0"/>
                <w:sz w:val="18"/>
                <w:szCs w:val="18"/>
              </w:rPr>
              <w:t>5.0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续建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2020-2022</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瑞安市政府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blHeader/>
          <w:jc w:val="center"/>
        </w:trPr>
        <w:tc>
          <w:tcPr>
            <w:tcW w:w="295" w:type="pct"/>
            <w:vMerge w:val="restar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物流流通</w:t>
            </w:r>
          </w:p>
        </w:tc>
        <w:tc>
          <w:tcPr>
            <w:tcW w:w="293" w:type="pct"/>
            <w:gridSpan w:val="2"/>
            <w:tcBorders>
              <w:top w:val="single" w:color="auto" w:sz="4" w:space="0"/>
              <w:left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highlight w:val="yellow"/>
              </w:rPr>
            </w:pPr>
            <w:r>
              <w:rPr>
                <w:rFonts w:hint="eastAsia" w:cs="宋体"/>
                <w:kern w:val="0"/>
                <w:sz w:val="18"/>
                <w:szCs w:val="18"/>
              </w:rPr>
              <w:t>温州机场三期扩建飞行区工程</w:t>
            </w:r>
          </w:p>
        </w:tc>
        <w:tc>
          <w:tcPr>
            <w:tcW w:w="1620"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highlight w:val="yellow"/>
              </w:rPr>
            </w:pPr>
            <w:r>
              <w:rPr>
                <w:rFonts w:hint="eastAsia" w:cs="宋体"/>
                <w:kern w:val="0"/>
                <w:sz w:val="18"/>
                <w:szCs w:val="18"/>
              </w:rPr>
              <w:t>建成第二跑道及配套设施，建设货运区工程。</w:t>
            </w:r>
          </w:p>
        </w:tc>
        <w:tc>
          <w:tcPr>
            <w:tcW w:w="400"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w:t>
            </w:r>
            <w:r>
              <w:rPr>
                <w:rFonts w:cs="宋体"/>
                <w:kern w:val="0"/>
                <w:sz w:val="18"/>
                <w:szCs w:val="18"/>
              </w:rPr>
              <w:t>41.6</w:t>
            </w:r>
          </w:p>
        </w:tc>
        <w:tc>
          <w:tcPr>
            <w:tcW w:w="532"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5</w:t>
            </w:r>
            <w:r>
              <w:rPr>
                <w:rFonts w:cs="宋体"/>
                <w:kern w:val="0"/>
                <w:sz w:val="18"/>
                <w:szCs w:val="18"/>
              </w:rPr>
              <w:t>0.0</w:t>
            </w:r>
          </w:p>
        </w:tc>
        <w:tc>
          <w:tcPr>
            <w:tcW w:w="331"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新建</w:t>
            </w:r>
          </w:p>
        </w:tc>
        <w:tc>
          <w:tcPr>
            <w:tcW w:w="331"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2021-2027</w:t>
            </w:r>
          </w:p>
        </w:tc>
        <w:tc>
          <w:tcPr>
            <w:tcW w:w="401"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温州机场集团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blHeader/>
          <w:jc w:val="center"/>
        </w:trPr>
        <w:tc>
          <w:tcPr>
            <w:tcW w:w="295" w:type="pct"/>
            <w:vMerge w:val="continue"/>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cs="宋体"/>
                <w:kern w:val="0"/>
                <w:sz w:val="18"/>
                <w:szCs w:val="18"/>
              </w:rPr>
              <w:t>温州港状元岙港区二期工程</w:t>
            </w:r>
          </w:p>
        </w:tc>
        <w:tc>
          <w:tcPr>
            <w:tcW w:w="1620"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cs="宋体"/>
                <w:kern w:val="0"/>
                <w:sz w:val="18"/>
                <w:szCs w:val="18"/>
              </w:rPr>
              <w:t>新建</w:t>
            </w:r>
            <w:r>
              <w:rPr>
                <w:rFonts w:cs="宋体"/>
                <w:kern w:val="0"/>
                <w:sz w:val="18"/>
                <w:szCs w:val="18"/>
              </w:rPr>
              <w:t>3个5万</w:t>
            </w:r>
            <w:r>
              <w:rPr>
                <w:rFonts w:hint="eastAsia" w:cs="宋体"/>
                <w:kern w:val="0"/>
                <w:sz w:val="18"/>
                <w:szCs w:val="18"/>
              </w:rPr>
              <w:t>吨级集装箱泊位。</w:t>
            </w:r>
          </w:p>
        </w:tc>
        <w:tc>
          <w:tcPr>
            <w:tcW w:w="400"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28.6</w:t>
            </w:r>
          </w:p>
        </w:tc>
        <w:tc>
          <w:tcPr>
            <w:tcW w:w="532"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w:t>
            </w:r>
            <w:r>
              <w:rPr>
                <w:rFonts w:cs="宋体"/>
                <w:kern w:val="0"/>
                <w:sz w:val="18"/>
                <w:szCs w:val="18"/>
              </w:rPr>
              <w:t>0.0</w:t>
            </w:r>
          </w:p>
        </w:tc>
        <w:tc>
          <w:tcPr>
            <w:tcW w:w="331"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cs="宋体"/>
                <w:kern w:val="0"/>
                <w:sz w:val="18"/>
                <w:szCs w:val="18"/>
              </w:rPr>
              <w:t>续建</w:t>
            </w:r>
          </w:p>
        </w:tc>
        <w:tc>
          <w:tcPr>
            <w:tcW w:w="331"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color w:val="000000"/>
                <w:kern w:val="0"/>
                <w:sz w:val="18"/>
                <w:szCs w:val="18"/>
                <w:lang w:bidi="ar"/>
              </w:rPr>
            </w:pPr>
            <w:r>
              <w:rPr>
                <w:rFonts w:hint="eastAsia" w:cs="宋体"/>
                <w:kern w:val="0"/>
                <w:sz w:val="18"/>
                <w:szCs w:val="18"/>
              </w:rPr>
              <w:t>2014-202</w:t>
            </w:r>
            <w:r>
              <w:rPr>
                <w:rFonts w:cs="宋体"/>
                <w:kern w:val="0"/>
                <w:sz w:val="18"/>
                <w:szCs w:val="18"/>
              </w:rPr>
              <w:t>7</w:t>
            </w:r>
          </w:p>
        </w:tc>
        <w:tc>
          <w:tcPr>
            <w:tcW w:w="401"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cs="宋体"/>
                <w:kern w:val="0"/>
                <w:sz w:val="18"/>
                <w:szCs w:val="18"/>
              </w:rPr>
              <w:t>温州港集团有限公司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blHeader/>
          <w:jc w:val="center"/>
        </w:trPr>
        <w:tc>
          <w:tcPr>
            <w:tcW w:w="295" w:type="pct"/>
            <w:vMerge w:val="continue"/>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cs="宋体"/>
                <w:kern w:val="0"/>
                <w:sz w:val="18"/>
                <w:szCs w:val="18"/>
              </w:rPr>
              <w:t>乐清湾港区C区一期工程</w:t>
            </w:r>
          </w:p>
        </w:tc>
        <w:tc>
          <w:tcPr>
            <w:tcW w:w="1620"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cs="宋体"/>
                <w:kern w:val="0"/>
                <w:sz w:val="18"/>
                <w:szCs w:val="18"/>
              </w:rPr>
              <w:t>新建3个10万吨级（水工结</w:t>
            </w:r>
            <w:r>
              <w:rPr>
                <w:rFonts w:cs="宋体"/>
                <w:kern w:val="0"/>
                <w:sz w:val="18"/>
                <w:szCs w:val="18"/>
              </w:rPr>
              <w:t>构按15万</w:t>
            </w:r>
            <w:r>
              <w:rPr>
                <w:rFonts w:hint="eastAsia" w:cs="宋体"/>
                <w:kern w:val="0"/>
                <w:sz w:val="18"/>
                <w:szCs w:val="18"/>
              </w:rPr>
              <w:t>吨级设计建设）通用泊位，1个1万吨级（泊位长度按2个5000吨级设计）散装船泊位。</w:t>
            </w:r>
          </w:p>
        </w:tc>
        <w:tc>
          <w:tcPr>
            <w:tcW w:w="400"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29.0</w:t>
            </w:r>
          </w:p>
        </w:tc>
        <w:tc>
          <w:tcPr>
            <w:tcW w:w="532"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w:t>
            </w:r>
            <w:r>
              <w:rPr>
                <w:rFonts w:cs="宋体"/>
                <w:kern w:val="0"/>
                <w:sz w:val="18"/>
                <w:szCs w:val="18"/>
              </w:rPr>
              <w:t>3.0</w:t>
            </w:r>
          </w:p>
        </w:tc>
        <w:tc>
          <w:tcPr>
            <w:tcW w:w="331"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cs="宋体"/>
                <w:kern w:val="0"/>
                <w:sz w:val="18"/>
                <w:szCs w:val="18"/>
              </w:rPr>
              <w:t>续建</w:t>
            </w:r>
          </w:p>
        </w:tc>
        <w:tc>
          <w:tcPr>
            <w:tcW w:w="331"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color w:val="000000"/>
                <w:kern w:val="0"/>
                <w:sz w:val="18"/>
                <w:szCs w:val="18"/>
                <w:lang w:bidi="ar"/>
              </w:rPr>
            </w:pPr>
            <w:r>
              <w:rPr>
                <w:rFonts w:hint="eastAsia" w:cs="宋体"/>
                <w:kern w:val="0"/>
                <w:sz w:val="18"/>
                <w:szCs w:val="18"/>
              </w:rPr>
              <w:t>2019-202</w:t>
            </w:r>
            <w:r>
              <w:rPr>
                <w:rFonts w:cs="宋体"/>
                <w:kern w:val="0"/>
                <w:sz w:val="18"/>
                <w:szCs w:val="18"/>
              </w:rPr>
              <w:t>7</w:t>
            </w:r>
          </w:p>
        </w:tc>
        <w:tc>
          <w:tcPr>
            <w:tcW w:w="401"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cs="宋体"/>
                <w:kern w:val="0"/>
                <w:sz w:val="18"/>
                <w:szCs w:val="18"/>
              </w:rPr>
              <w:t>温州港集团有限公司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blHeader/>
          <w:jc w:val="center"/>
        </w:trPr>
        <w:tc>
          <w:tcPr>
            <w:tcW w:w="295" w:type="pct"/>
            <w:vMerge w:val="continue"/>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正新供应链基地</w:t>
            </w:r>
          </w:p>
        </w:tc>
        <w:tc>
          <w:tcPr>
            <w:tcW w:w="1620"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打造全省最大的集食品研发创新、检测认证、包装印刷、冷链物流、人才培训于一体的现代食品工业示范基地。</w:t>
            </w:r>
          </w:p>
        </w:tc>
        <w:tc>
          <w:tcPr>
            <w:tcW w:w="400"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10.6</w:t>
            </w:r>
          </w:p>
        </w:tc>
        <w:tc>
          <w:tcPr>
            <w:tcW w:w="532"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9</w:t>
            </w:r>
            <w:r>
              <w:rPr>
                <w:rFonts w:cs="宋体"/>
                <w:kern w:val="0"/>
                <w:sz w:val="18"/>
                <w:szCs w:val="18"/>
              </w:rPr>
              <w:t>.0</w:t>
            </w:r>
          </w:p>
        </w:tc>
        <w:tc>
          <w:tcPr>
            <w:tcW w:w="331"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续建</w:t>
            </w:r>
          </w:p>
        </w:tc>
        <w:tc>
          <w:tcPr>
            <w:tcW w:w="331"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color w:val="000000"/>
                <w:kern w:val="0"/>
                <w:sz w:val="18"/>
                <w:szCs w:val="18"/>
                <w:lang w:bidi="ar"/>
              </w:rPr>
            </w:pPr>
            <w:r>
              <w:rPr>
                <w:color w:val="000000"/>
                <w:kern w:val="0"/>
                <w:sz w:val="18"/>
                <w:szCs w:val="18"/>
                <w:lang w:bidi="ar"/>
              </w:rPr>
              <w:t>2020-2022</w:t>
            </w:r>
          </w:p>
        </w:tc>
        <w:tc>
          <w:tcPr>
            <w:tcW w:w="401"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鹿城区政府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blHeader/>
          <w:jc w:val="center"/>
        </w:trPr>
        <w:tc>
          <w:tcPr>
            <w:tcW w:w="295" w:type="pct"/>
            <w:vMerge w:val="continue"/>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highlight w:val="yellow"/>
              </w:rPr>
            </w:pPr>
            <w:r>
              <w:rPr>
                <w:rFonts w:hint="eastAsia" w:cs="宋体"/>
                <w:kern w:val="0"/>
                <w:sz w:val="18"/>
                <w:szCs w:val="18"/>
              </w:rPr>
              <w:t>温州鹿城西部多式联运中心</w:t>
            </w:r>
          </w:p>
        </w:tc>
        <w:tc>
          <w:tcPr>
            <w:tcW w:w="1620"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highlight w:val="yellow"/>
              </w:rPr>
            </w:pPr>
            <w:r>
              <w:rPr>
                <w:rFonts w:hint="eastAsia" w:cs="宋体"/>
                <w:kern w:val="0"/>
                <w:sz w:val="18"/>
                <w:szCs w:val="18"/>
              </w:rPr>
              <w:t>乐清湾铁路支线外垟站、330国道改线、鹿城区下岸作业区码头（新建3个1000吨级泊位）。</w:t>
            </w:r>
          </w:p>
        </w:tc>
        <w:tc>
          <w:tcPr>
            <w:tcW w:w="400"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10.0</w:t>
            </w:r>
          </w:p>
        </w:tc>
        <w:tc>
          <w:tcPr>
            <w:tcW w:w="532"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5</w:t>
            </w:r>
            <w:r>
              <w:rPr>
                <w:rFonts w:cs="宋体"/>
                <w:kern w:val="0"/>
                <w:sz w:val="18"/>
                <w:szCs w:val="18"/>
              </w:rPr>
              <w:t>.0</w:t>
            </w:r>
          </w:p>
        </w:tc>
        <w:tc>
          <w:tcPr>
            <w:tcW w:w="331"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新建</w:t>
            </w:r>
          </w:p>
        </w:tc>
        <w:tc>
          <w:tcPr>
            <w:tcW w:w="331"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2023-2026</w:t>
            </w:r>
          </w:p>
        </w:tc>
        <w:tc>
          <w:tcPr>
            <w:tcW w:w="401" w:type="pc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鹿城区交通运输局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温州华港液化天然气（</w:t>
            </w:r>
            <w:r>
              <w:rPr>
                <w:color w:val="000000"/>
                <w:kern w:val="0"/>
                <w:sz w:val="18"/>
                <w:szCs w:val="18"/>
                <w:lang w:bidi="ar"/>
              </w:rPr>
              <w:t>LNG</w:t>
            </w:r>
            <w:r>
              <w:rPr>
                <w:rFonts w:hint="eastAsia" w:ascii="宋体" w:hAnsi="宋体" w:cs="宋体"/>
                <w:color w:val="000000"/>
                <w:kern w:val="0"/>
                <w:sz w:val="18"/>
                <w:szCs w:val="18"/>
                <w:lang w:bidi="ar"/>
              </w:rPr>
              <w:t>）储运调峰中心项目</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 xml:space="preserve">罐区一期项目接卸 </w:t>
            </w:r>
            <w:r>
              <w:rPr>
                <w:color w:val="000000"/>
                <w:kern w:val="0"/>
                <w:sz w:val="18"/>
                <w:szCs w:val="18"/>
                <w:lang w:bidi="ar"/>
              </w:rPr>
              <w:t xml:space="preserve">LNG </w:t>
            </w:r>
            <w:r>
              <w:rPr>
                <w:rFonts w:hint="eastAsia" w:ascii="宋体" w:hAnsi="宋体" w:cs="宋体"/>
                <w:color w:val="000000"/>
                <w:kern w:val="0"/>
                <w:sz w:val="18"/>
                <w:szCs w:val="18"/>
                <w:lang w:bidi="ar"/>
              </w:rPr>
              <w:t xml:space="preserve">能力 </w:t>
            </w:r>
            <w:r>
              <w:rPr>
                <w:color w:val="000000"/>
                <w:kern w:val="0"/>
                <w:sz w:val="18"/>
                <w:szCs w:val="18"/>
                <w:lang w:bidi="ar"/>
              </w:rPr>
              <w:t xml:space="preserve">100 </w:t>
            </w:r>
            <w:r>
              <w:rPr>
                <w:rFonts w:hint="eastAsia" w:ascii="宋体" w:hAnsi="宋体" w:cs="宋体"/>
                <w:color w:val="000000"/>
                <w:kern w:val="0"/>
                <w:sz w:val="18"/>
                <w:szCs w:val="18"/>
                <w:lang w:bidi="ar"/>
              </w:rPr>
              <w:t>万吨</w:t>
            </w:r>
            <w:r>
              <w:rPr>
                <w:color w:val="000000"/>
                <w:kern w:val="0"/>
                <w:sz w:val="18"/>
                <w:szCs w:val="18"/>
                <w:lang w:bidi="ar"/>
              </w:rPr>
              <w:t>/</w:t>
            </w:r>
            <w:r>
              <w:rPr>
                <w:rFonts w:hint="eastAsia" w:ascii="宋体" w:hAnsi="宋体" w:cs="宋体"/>
                <w:color w:val="000000"/>
                <w:kern w:val="0"/>
                <w:sz w:val="18"/>
                <w:szCs w:val="18"/>
                <w:lang w:bidi="ar"/>
              </w:rPr>
              <w:t xml:space="preserve">年，建设 </w:t>
            </w:r>
            <w:r>
              <w:rPr>
                <w:color w:val="000000"/>
                <w:kern w:val="0"/>
                <w:sz w:val="18"/>
                <w:szCs w:val="18"/>
                <w:lang w:bidi="ar"/>
              </w:rPr>
              <w:t xml:space="preserve">2 </w:t>
            </w:r>
            <w:r>
              <w:rPr>
                <w:rFonts w:hint="eastAsia" w:ascii="宋体" w:hAnsi="宋体" w:cs="宋体"/>
                <w:color w:val="000000"/>
                <w:kern w:val="0"/>
                <w:sz w:val="18"/>
                <w:szCs w:val="18"/>
                <w:lang w:bidi="ar"/>
              </w:rPr>
              <w:t xml:space="preserve">座 </w:t>
            </w:r>
            <w:r>
              <w:rPr>
                <w:color w:val="000000"/>
                <w:kern w:val="0"/>
                <w:sz w:val="18"/>
                <w:szCs w:val="18"/>
                <w:lang w:bidi="ar"/>
              </w:rPr>
              <w:t xml:space="preserve">16 </w:t>
            </w:r>
            <w:r>
              <w:rPr>
                <w:rFonts w:hint="eastAsia" w:ascii="宋体" w:hAnsi="宋体" w:cs="宋体"/>
                <w:color w:val="000000"/>
                <w:kern w:val="0"/>
                <w:sz w:val="18"/>
                <w:szCs w:val="18"/>
                <w:lang w:bidi="ar"/>
              </w:rPr>
              <w:t xml:space="preserve">万方米 </w:t>
            </w:r>
            <w:r>
              <w:rPr>
                <w:color w:val="000000"/>
                <w:kern w:val="0"/>
                <w:sz w:val="18"/>
                <w:szCs w:val="18"/>
                <w:lang w:bidi="ar"/>
              </w:rPr>
              <w:t xml:space="preserve">LNG </w:t>
            </w:r>
            <w:r>
              <w:rPr>
                <w:rFonts w:hint="eastAsia" w:ascii="宋体" w:hAnsi="宋体" w:cs="宋体"/>
                <w:color w:val="000000"/>
                <w:kern w:val="0"/>
                <w:sz w:val="18"/>
                <w:szCs w:val="18"/>
                <w:lang w:bidi="ar"/>
              </w:rPr>
              <w:t>储罐及其工艺配套工程，</w:t>
            </w:r>
            <w:r>
              <w:rPr>
                <w:color w:val="000000"/>
                <w:kern w:val="0"/>
                <w:sz w:val="18"/>
                <w:szCs w:val="18"/>
                <w:lang w:bidi="ar"/>
              </w:rPr>
              <w:t xml:space="preserve">20 </w:t>
            </w:r>
            <w:r>
              <w:rPr>
                <w:rFonts w:hint="eastAsia" w:ascii="宋体" w:hAnsi="宋体" w:cs="宋体"/>
                <w:color w:val="000000"/>
                <w:kern w:val="0"/>
                <w:sz w:val="18"/>
                <w:szCs w:val="18"/>
                <w:lang w:bidi="ar"/>
              </w:rPr>
              <w:t xml:space="preserve">套 </w:t>
            </w:r>
            <w:r>
              <w:rPr>
                <w:color w:val="000000"/>
                <w:kern w:val="0"/>
                <w:sz w:val="18"/>
                <w:szCs w:val="18"/>
                <w:lang w:bidi="ar"/>
              </w:rPr>
              <w:t xml:space="preserve">LNG </w:t>
            </w:r>
            <w:r>
              <w:rPr>
                <w:rFonts w:hint="eastAsia" w:ascii="宋体" w:hAnsi="宋体" w:cs="宋体"/>
                <w:color w:val="000000"/>
                <w:kern w:val="0"/>
                <w:sz w:val="18"/>
                <w:szCs w:val="18"/>
                <w:lang w:bidi="ar"/>
              </w:rPr>
              <w:t xml:space="preserve">槽车装卸系统等。 </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24.0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续建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2020- 2023</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洞头区政府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温州港瓯江港区灵昆作业区24~28#通用泊位</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新建5个5000吨级通用泊位及相关配套设施。</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w:t>
            </w:r>
            <w:r>
              <w:rPr>
                <w:rFonts w:cs="宋体"/>
                <w:kern w:val="0"/>
                <w:sz w:val="18"/>
                <w:szCs w:val="18"/>
              </w:rPr>
              <w:t>0</w:t>
            </w:r>
            <w:r>
              <w:rPr>
                <w:rFonts w:hint="eastAsia" w:cs="宋体"/>
                <w:kern w:val="0"/>
                <w:sz w:val="18"/>
                <w:szCs w:val="18"/>
              </w:rPr>
              <w:t>.0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w:t>
            </w:r>
            <w:r>
              <w:rPr>
                <w:rFonts w:cs="宋体"/>
                <w:kern w:val="0"/>
                <w:sz w:val="18"/>
                <w:szCs w:val="18"/>
              </w:rPr>
              <w:t>0.0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新建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2022-202</w:t>
            </w:r>
            <w:r>
              <w:rPr>
                <w:rFonts w:cs="宋体"/>
                <w:kern w:val="0"/>
                <w:sz w:val="18"/>
                <w:szCs w:val="18"/>
              </w:rPr>
              <w:t>5</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瓯江口产业集聚区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乐清湾港区保税物流中心（</w:t>
            </w:r>
            <w:r>
              <w:rPr>
                <w:rFonts w:cs="宋体"/>
                <w:kern w:val="0"/>
                <w:sz w:val="18"/>
                <w:szCs w:val="18"/>
              </w:rPr>
              <w:t>B</w:t>
            </w:r>
            <w:r>
              <w:rPr>
                <w:rFonts w:hint="eastAsia" w:cs="宋体"/>
                <w:kern w:val="0"/>
                <w:sz w:val="18"/>
                <w:szCs w:val="18"/>
              </w:rPr>
              <w:t>型）及配套建设工程</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项目总用地约</w:t>
            </w:r>
            <w:r>
              <w:rPr>
                <w:rFonts w:cs="宋体"/>
                <w:kern w:val="0"/>
                <w:sz w:val="18"/>
                <w:szCs w:val="18"/>
              </w:rPr>
              <w:t>303</w:t>
            </w:r>
            <w:r>
              <w:rPr>
                <w:rFonts w:hint="eastAsia" w:cs="宋体"/>
                <w:kern w:val="0"/>
                <w:sz w:val="18"/>
                <w:szCs w:val="18"/>
              </w:rPr>
              <w:t>亩，总建筑面积约</w:t>
            </w:r>
            <w:r>
              <w:rPr>
                <w:rFonts w:cs="宋体"/>
                <w:kern w:val="0"/>
                <w:sz w:val="18"/>
                <w:szCs w:val="18"/>
              </w:rPr>
              <w:t>9.07</w:t>
            </w:r>
            <w:r>
              <w:rPr>
                <w:rFonts w:hint="eastAsia" w:cs="宋体"/>
                <w:kern w:val="0"/>
                <w:sz w:val="18"/>
                <w:szCs w:val="18"/>
              </w:rPr>
              <w:t>万平方米（计容建筑面积约</w:t>
            </w:r>
            <w:r>
              <w:rPr>
                <w:rFonts w:cs="宋体"/>
                <w:kern w:val="0"/>
                <w:sz w:val="18"/>
                <w:szCs w:val="18"/>
              </w:rPr>
              <w:t>16.36</w:t>
            </w:r>
            <w:r>
              <w:rPr>
                <w:rFonts w:hint="eastAsia" w:cs="宋体"/>
                <w:kern w:val="0"/>
                <w:sz w:val="18"/>
                <w:szCs w:val="18"/>
              </w:rPr>
              <w:t>万平方米），拟建保税仓库冷库、海关监管设施、现场办公用房、展示交易中心及公共停车场等，打造浙南闽北进口商品集散中心</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7</w:t>
            </w:r>
            <w:r>
              <w:rPr>
                <w:rFonts w:cs="宋体"/>
                <w:kern w:val="0"/>
                <w:sz w:val="18"/>
                <w:szCs w:val="18"/>
              </w:rPr>
              <w:t>.0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6</w:t>
            </w:r>
            <w:r>
              <w:rPr>
                <w:rFonts w:cs="宋体"/>
                <w:kern w:val="0"/>
                <w:sz w:val="18"/>
                <w:szCs w:val="18"/>
              </w:rPr>
              <w:t>.8</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续建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2020-2022</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乐清市政府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温州瓯江智慧供应链物流园建设项目</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建设车联网运营服务中心、全球采购与交易中心、综合配套服务中心、供应链创新与应用中心、云仓与大数据中心、流通加工中心六大功能区。</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3</w:t>
            </w:r>
            <w:r>
              <w:rPr>
                <w:rFonts w:cs="宋体"/>
                <w:kern w:val="0"/>
                <w:sz w:val="18"/>
                <w:szCs w:val="18"/>
              </w:rPr>
              <w:t>4</w:t>
            </w:r>
            <w:r>
              <w:rPr>
                <w:rFonts w:hint="eastAsia" w:cs="宋体"/>
                <w:kern w:val="0"/>
                <w:sz w:val="18"/>
                <w:szCs w:val="18"/>
              </w:rPr>
              <w:t>.0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w:t>
            </w:r>
            <w:r>
              <w:rPr>
                <w:rFonts w:cs="宋体"/>
                <w:kern w:val="0"/>
                <w:sz w:val="18"/>
                <w:szCs w:val="18"/>
              </w:rPr>
              <w:t>0.0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续建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2020-202</w:t>
            </w:r>
            <w:r>
              <w:rPr>
                <w:rFonts w:cs="宋体"/>
                <w:kern w:val="0"/>
                <w:sz w:val="18"/>
                <w:szCs w:val="18"/>
              </w:rPr>
              <w:t>8</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乐清市政府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京东瑞安智能供应链产业建设项目</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建设规模约30 万平方米，建设内容包括仓储设施设备生产厂房、智慧化物流货物操作中心、分拣中心、仓储中心等。</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w:t>
            </w:r>
            <w:r>
              <w:rPr>
                <w:rFonts w:cs="宋体"/>
                <w:kern w:val="0"/>
                <w:sz w:val="18"/>
                <w:szCs w:val="18"/>
              </w:rPr>
              <w:t>2.0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w:t>
            </w:r>
            <w:r>
              <w:rPr>
                <w:rFonts w:cs="宋体"/>
                <w:kern w:val="0"/>
                <w:sz w:val="18"/>
                <w:szCs w:val="18"/>
              </w:rPr>
              <w:t>9.0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续建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2020-2024</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瑞安市政府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 xml:space="preserve">马屿国家现代农业产业项目 </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 xml:space="preserve">高标准建设农产智慧冷链项目、农业电商物流中心等 </w:t>
            </w:r>
            <w:r>
              <w:rPr>
                <w:color w:val="000000"/>
                <w:kern w:val="0"/>
                <w:sz w:val="18"/>
                <w:szCs w:val="18"/>
                <w:lang w:bidi="ar"/>
              </w:rPr>
              <w:t xml:space="preserve">28 </w:t>
            </w:r>
            <w:r>
              <w:rPr>
                <w:rFonts w:hint="eastAsia" w:ascii="宋体" w:hAnsi="宋体" w:cs="宋体"/>
                <w:color w:val="000000"/>
                <w:kern w:val="0"/>
                <w:sz w:val="18"/>
                <w:szCs w:val="18"/>
                <w:lang w:bidi="ar"/>
              </w:rPr>
              <w:t>个基础设施、产业提升类型项目。</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 xml:space="preserve">15.0 </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15.0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 xml:space="preserve">新建 </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2021-2025</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瑞安市政府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highlight w:val="yellow"/>
              </w:rPr>
            </w:pPr>
            <w:r>
              <w:rPr>
                <w:rFonts w:hint="eastAsia" w:ascii="宋体" w:hAnsi="宋体" w:cs="宋体"/>
                <w:color w:val="000000"/>
                <w:kern w:val="0"/>
                <w:sz w:val="18"/>
                <w:szCs w:val="18"/>
                <w:lang w:bidi="ar"/>
              </w:rPr>
              <w:t>韵达浙南（温州）快递电商总部基地项目</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highlight w:val="yellow"/>
              </w:rPr>
            </w:pPr>
            <w:r>
              <w:rPr>
                <w:rFonts w:hint="eastAsia" w:ascii="宋体" w:hAnsi="宋体" w:cs="宋体"/>
                <w:color w:val="000000"/>
                <w:kern w:val="0"/>
                <w:sz w:val="18"/>
                <w:szCs w:val="18"/>
                <w:lang w:bidi="ar"/>
              </w:rPr>
              <w:t xml:space="preserve">总用地 </w:t>
            </w:r>
            <w:r>
              <w:rPr>
                <w:color w:val="000000"/>
                <w:kern w:val="0"/>
                <w:sz w:val="18"/>
                <w:szCs w:val="18"/>
                <w:lang w:bidi="ar"/>
              </w:rPr>
              <w:t xml:space="preserve">203.6 </w:t>
            </w:r>
            <w:r>
              <w:rPr>
                <w:rFonts w:hint="eastAsia" w:ascii="宋体" w:hAnsi="宋体" w:cs="宋体"/>
                <w:color w:val="000000"/>
                <w:kern w:val="0"/>
                <w:sz w:val="18"/>
                <w:szCs w:val="18"/>
                <w:lang w:bidi="ar"/>
              </w:rPr>
              <w:t xml:space="preserve">亩，总建筑面积 </w:t>
            </w:r>
            <w:r>
              <w:rPr>
                <w:color w:val="000000"/>
                <w:kern w:val="0"/>
                <w:sz w:val="18"/>
                <w:szCs w:val="18"/>
                <w:lang w:bidi="ar"/>
              </w:rPr>
              <w:t>16.5</w:t>
            </w:r>
            <w:r>
              <w:rPr>
                <w:rFonts w:hint="eastAsia" w:ascii="宋体" w:hAnsi="宋体" w:cs="宋体"/>
                <w:color w:val="000000"/>
                <w:kern w:val="0"/>
                <w:sz w:val="18"/>
                <w:szCs w:val="18"/>
                <w:lang w:bidi="ar"/>
              </w:rPr>
              <w:t xml:space="preserve">万平方米，建设快递 </w:t>
            </w:r>
            <w:r>
              <w:rPr>
                <w:color w:val="000000"/>
                <w:kern w:val="0"/>
                <w:sz w:val="18"/>
                <w:szCs w:val="18"/>
                <w:lang w:bidi="ar"/>
              </w:rPr>
              <w:t xml:space="preserve">5000 </w:t>
            </w:r>
            <w:r>
              <w:rPr>
                <w:rFonts w:hint="eastAsia" w:ascii="宋体" w:hAnsi="宋体" w:cs="宋体"/>
                <w:color w:val="000000"/>
                <w:kern w:val="0"/>
                <w:sz w:val="18"/>
                <w:szCs w:val="18"/>
                <w:lang w:bidi="ar"/>
              </w:rPr>
              <w:t xml:space="preserve">万件、快运 </w:t>
            </w:r>
            <w:r>
              <w:rPr>
                <w:color w:val="000000"/>
                <w:kern w:val="0"/>
                <w:sz w:val="18"/>
                <w:szCs w:val="18"/>
                <w:lang w:bidi="ar"/>
              </w:rPr>
              <w:t xml:space="preserve">4500 </w:t>
            </w:r>
            <w:r>
              <w:rPr>
                <w:rFonts w:hint="eastAsia" w:ascii="宋体" w:hAnsi="宋体" w:cs="宋体"/>
                <w:color w:val="000000"/>
                <w:kern w:val="0"/>
                <w:sz w:val="18"/>
                <w:szCs w:val="18"/>
                <w:lang w:bidi="ar"/>
              </w:rPr>
              <w:t xml:space="preserve">万件、货运 </w:t>
            </w:r>
            <w:r>
              <w:rPr>
                <w:color w:val="000000"/>
                <w:kern w:val="0"/>
                <w:sz w:val="18"/>
                <w:szCs w:val="18"/>
                <w:lang w:bidi="ar"/>
              </w:rPr>
              <w:t xml:space="preserve">750 </w:t>
            </w:r>
            <w:r>
              <w:rPr>
                <w:rFonts w:hint="eastAsia" w:ascii="宋体" w:hAnsi="宋体" w:cs="宋体"/>
                <w:color w:val="000000"/>
                <w:kern w:val="0"/>
                <w:sz w:val="18"/>
                <w:szCs w:val="18"/>
                <w:lang w:bidi="ar"/>
              </w:rPr>
              <w:t>万吨的快递总部基地。</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15.0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10.0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续建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2019-2023</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永嘉县政府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永嘉科创物流项目</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 xml:space="preserve">总用地 </w:t>
            </w:r>
            <w:r>
              <w:rPr>
                <w:color w:val="000000"/>
                <w:kern w:val="0"/>
                <w:sz w:val="18"/>
                <w:szCs w:val="18"/>
                <w:lang w:bidi="ar"/>
              </w:rPr>
              <w:t xml:space="preserve">238.9 </w:t>
            </w:r>
            <w:r>
              <w:rPr>
                <w:rFonts w:hint="eastAsia" w:ascii="宋体" w:hAnsi="宋体" w:cs="宋体"/>
                <w:color w:val="000000"/>
                <w:kern w:val="0"/>
                <w:sz w:val="18"/>
                <w:szCs w:val="18"/>
                <w:lang w:bidi="ar"/>
              </w:rPr>
              <w:t xml:space="preserve">亩，总建筑面积 </w:t>
            </w:r>
            <w:r>
              <w:rPr>
                <w:color w:val="000000"/>
                <w:kern w:val="0"/>
                <w:sz w:val="18"/>
                <w:szCs w:val="18"/>
                <w:lang w:bidi="ar"/>
              </w:rPr>
              <w:t>16.7</w:t>
            </w:r>
            <w:r>
              <w:rPr>
                <w:rFonts w:hint="eastAsia" w:ascii="宋体" w:hAnsi="宋体" w:cs="宋体"/>
                <w:color w:val="000000"/>
                <w:kern w:val="0"/>
                <w:sz w:val="18"/>
                <w:szCs w:val="18"/>
                <w:lang w:bidi="ar"/>
              </w:rPr>
              <w:t>万平方米，打造一个集互联网科技、智慧物流、跨境电商和创新金融相融合的产业项目。</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16.5</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16.5</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新建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2021-2024</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永嘉县政府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物流产业园</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 xml:space="preserve">占地面积 </w:t>
            </w:r>
            <w:r>
              <w:rPr>
                <w:color w:val="000000"/>
                <w:kern w:val="0"/>
                <w:sz w:val="18"/>
                <w:szCs w:val="18"/>
                <w:lang w:bidi="ar"/>
              </w:rPr>
              <w:t xml:space="preserve">208 </w:t>
            </w:r>
            <w:r>
              <w:rPr>
                <w:rFonts w:hint="eastAsia" w:ascii="宋体" w:hAnsi="宋体" w:cs="宋体"/>
                <w:color w:val="000000"/>
                <w:kern w:val="0"/>
                <w:sz w:val="18"/>
                <w:szCs w:val="18"/>
                <w:lang w:bidi="ar"/>
              </w:rPr>
              <w:t>亩，打造供应链集成中心、快递电商中心、人才配套中心。</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12.0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12.0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新建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2021-2024</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龙港市政府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restart"/>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新消费</w:t>
            </w: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浙南</w:t>
            </w:r>
            <w:r>
              <w:rPr>
                <w:rFonts w:cs="宋体"/>
                <w:kern w:val="0"/>
                <w:sz w:val="18"/>
                <w:szCs w:val="18"/>
              </w:rPr>
              <w:t>国际时尚产业创新服务中心项目（百联奥特莱斯</w:t>
            </w:r>
            <w:r>
              <w:rPr>
                <w:rFonts w:hint="eastAsia" w:cs="宋体"/>
                <w:kern w:val="0"/>
                <w:sz w:val="18"/>
                <w:szCs w:val="18"/>
              </w:rPr>
              <w:t>）</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拟建设</w:t>
            </w:r>
            <w:r>
              <w:rPr>
                <w:rFonts w:cs="宋体"/>
                <w:kern w:val="0"/>
                <w:sz w:val="18"/>
                <w:szCs w:val="18"/>
              </w:rPr>
              <w:t>国际时</w:t>
            </w:r>
            <w:r>
              <w:rPr>
                <w:rFonts w:hint="eastAsia" w:cs="宋体"/>
                <w:kern w:val="0"/>
                <w:sz w:val="18"/>
                <w:szCs w:val="18"/>
              </w:rPr>
              <w:t>尚中心、特色产</w:t>
            </w:r>
            <w:r>
              <w:rPr>
                <w:rFonts w:cs="宋体"/>
                <w:kern w:val="0"/>
                <w:sz w:val="18"/>
                <w:szCs w:val="18"/>
              </w:rPr>
              <w:t>品集散中</w:t>
            </w:r>
            <w:r>
              <w:rPr>
                <w:rFonts w:hint="eastAsia" w:cs="宋体"/>
                <w:kern w:val="0"/>
                <w:sz w:val="18"/>
                <w:szCs w:val="18"/>
              </w:rPr>
              <w:t>心、配套服务设</w:t>
            </w:r>
            <w:r>
              <w:rPr>
                <w:rFonts w:cs="宋体"/>
                <w:kern w:val="0"/>
                <w:sz w:val="18"/>
                <w:szCs w:val="18"/>
              </w:rPr>
              <w:t>施、会</w:t>
            </w:r>
            <w:r>
              <w:rPr>
                <w:rFonts w:hint="eastAsia" w:cs="宋体"/>
                <w:kern w:val="0"/>
                <w:sz w:val="18"/>
                <w:szCs w:val="18"/>
              </w:rPr>
              <w:t>议中心、配套接待设施、办公、人才公寓等。</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50.0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w:t>
            </w:r>
            <w:r>
              <w:rPr>
                <w:rFonts w:cs="宋体"/>
                <w:kern w:val="0"/>
                <w:sz w:val="18"/>
                <w:szCs w:val="18"/>
              </w:rPr>
              <w:t>0.0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新建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w:t>
            </w:r>
            <w:r>
              <w:rPr>
                <w:rFonts w:cs="宋体"/>
                <w:kern w:val="0"/>
                <w:sz w:val="18"/>
                <w:szCs w:val="18"/>
              </w:rPr>
              <w:t>2</w:t>
            </w:r>
            <w:r>
              <w:rPr>
                <w:rFonts w:hint="eastAsia" w:cs="宋体"/>
                <w:kern w:val="0"/>
                <w:sz w:val="18"/>
                <w:szCs w:val="18"/>
              </w:rPr>
              <w:t>-202</w:t>
            </w:r>
            <w:r>
              <w:rPr>
                <w:rFonts w:cs="宋体"/>
                <w:kern w:val="0"/>
                <w:sz w:val="18"/>
                <w:szCs w:val="18"/>
              </w:rPr>
              <w:t>6</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温州北站高铁新城综合开发建设中心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月光经济带项目</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围绕两线两片区域建设江心屿东园和码头改造提升工程、五马历史文化商圈、金坝塘河文化休闲街区、葡萄棚路 </w:t>
            </w:r>
            <w:r>
              <w:rPr>
                <w:color w:val="000000"/>
                <w:kern w:val="0"/>
                <w:sz w:val="18"/>
                <w:szCs w:val="18"/>
                <w:lang w:bidi="ar"/>
              </w:rPr>
              <w:t xml:space="preserve">20 </w:t>
            </w:r>
            <w:r>
              <w:rPr>
                <w:rFonts w:hint="eastAsia" w:ascii="宋体" w:hAnsi="宋体" w:cs="宋体"/>
                <w:color w:val="000000"/>
                <w:kern w:val="0"/>
                <w:sz w:val="18"/>
                <w:szCs w:val="18"/>
                <w:lang w:bidi="ar"/>
              </w:rPr>
              <w:t>号塘河文化影视基地、大南商圈塘河沿岸绿道贯通及提升工程等月光经济带项目。</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15.0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10.0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新建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color w:val="000000"/>
                <w:kern w:val="0"/>
                <w:sz w:val="18"/>
                <w:szCs w:val="18"/>
                <w:lang w:bidi="ar"/>
              </w:rPr>
            </w:pPr>
            <w:r>
              <w:rPr>
                <w:color w:val="000000"/>
                <w:kern w:val="0"/>
                <w:sz w:val="18"/>
                <w:szCs w:val="18"/>
                <w:lang w:bidi="ar"/>
              </w:rPr>
              <w:t>2018-2027</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鹿城区政府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cs="宋体"/>
                <w:kern w:val="0"/>
                <w:sz w:val="18"/>
                <w:szCs w:val="18"/>
              </w:rPr>
              <w:t>印象城项目</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建设沉浸式文创产业项目，打造温州</w:t>
            </w:r>
          </w:p>
          <w:p>
            <w:pPr>
              <w:widowControl/>
              <w:spacing w:line="240" w:lineRule="atLeast"/>
              <w:jc w:val="center"/>
              <w:textAlignment w:val="center"/>
              <w:rPr>
                <w:rFonts w:ascii="宋体" w:hAnsi="宋体" w:cs="宋体"/>
                <w:color w:val="000000"/>
                <w:kern w:val="0"/>
                <w:sz w:val="18"/>
                <w:szCs w:val="18"/>
                <w:lang w:bidi="ar"/>
              </w:rPr>
            </w:pPr>
            <w:r>
              <w:rPr>
                <w:rFonts w:hint="eastAsia" w:cs="宋体"/>
                <w:kern w:val="0"/>
                <w:sz w:val="18"/>
                <w:szCs w:val="18"/>
              </w:rPr>
              <w:t>时尚新地标。</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20.1</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9</w:t>
            </w:r>
            <w:r>
              <w:rPr>
                <w:rFonts w:cs="宋体"/>
                <w:kern w:val="0"/>
                <w:sz w:val="18"/>
                <w:szCs w:val="18"/>
              </w:rPr>
              <w:t>.3</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cs="宋体"/>
                <w:kern w:val="0"/>
                <w:sz w:val="18"/>
                <w:szCs w:val="18"/>
              </w:rPr>
              <w:t>续建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color w:val="000000"/>
                <w:kern w:val="0"/>
                <w:sz w:val="18"/>
                <w:szCs w:val="18"/>
                <w:lang w:bidi="ar"/>
              </w:rPr>
            </w:pPr>
            <w:r>
              <w:rPr>
                <w:rFonts w:hint="eastAsia" w:cs="宋体"/>
                <w:kern w:val="0"/>
                <w:sz w:val="18"/>
                <w:szCs w:val="18"/>
              </w:rPr>
              <w:t>2018-2022</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cs="宋体"/>
                <w:kern w:val="0"/>
                <w:sz w:val="18"/>
                <w:szCs w:val="18"/>
              </w:rPr>
              <w:t>鹿城区政府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莱恩达商业中心项目</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 xml:space="preserve">总用地面积 </w:t>
            </w:r>
            <w:r>
              <w:rPr>
                <w:color w:val="000000"/>
                <w:kern w:val="0"/>
                <w:sz w:val="18"/>
                <w:szCs w:val="18"/>
                <w:lang w:bidi="ar"/>
              </w:rPr>
              <w:t xml:space="preserve">117.1 </w:t>
            </w:r>
            <w:r>
              <w:rPr>
                <w:rFonts w:hint="eastAsia" w:ascii="宋体" w:hAnsi="宋体" w:cs="宋体"/>
                <w:color w:val="000000"/>
                <w:kern w:val="0"/>
                <w:sz w:val="18"/>
                <w:szCs w:val="18"/>
                <w:lang w:bidi="ar"/>
              </w:rPr>
              <w:t>亩，建设鹿城西部商业新地标带动鹿城西部金融产业、电子商务、文化创意产业转型升级。</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新建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2021-2025</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鹿城区政府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朝霞商务区商业综合体</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 xml:space="preserve">总用地约 </w:t>
            </w:r>
            <w:r>
              <w:rPr>
                <w:color w:val="000000"/>
                <w:kern w:val="0"/>
                <w:sz w:val="18"/>
                <w:szCs w:val="18"/>
                <w:lang w:bidi="ar"/>
              </w:rPr>
              <w:t xml:space="preserve">200 </w:t>
            </w:r>
            <w:r>
              <w:rPr>
                <w:rFonts w:hint="eastAsia" w:ascii="宋体" w:hAnsi="宋体" w:cs="宋体"/>
                <w:color w:val="000000"/>
                <w:kern w:val="0"/>
                <w:sz w:val="18"/>
                <w:szCs w:val="18"/>
                <w:lang w:bidi="ar"/>
              </w:rPr>
              <w:t xml:space="preserve">亩，总建筑面积 </w:t>
            </w:r>
            <w:r>
              <w:rPr>
                <w:color w:val="000000"/>
                <w:kern w:val="0"/>
                <w:sz w:val="18"/>
                <w:szCs w:val="18"/>
                <w:lang w:bidi="ar"/>
              </w:rPr>
              <w:t xml:space="preserve">45 </w:t>
            </w:r>
            <w:r>
              <w:rPr>
                <w:rFonts w:hint="eastAsia" w:ascii="宋体" w:hAnsi="宋体" w:cs="宋体"/>
                <w:color w:val="000000"/>
                <w:kern w:val="0"/>
                <w:sz w:val="18"/>
                <w:szCs w:val="18"/>
                <w:lang w:bidi="ar"/>
              </w:rPr>
              <w:t>万平方米。建设集金融、商贸、文化、展览等功能为一体的城市商务广场。</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37.0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30.0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续建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2020-2023</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瓯海区政府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巾子山时尚休闲创享聚业项目</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占地约</w:t>
            </w:r>
            <w:r>
              <w:rPr>
                <w:rFonts w:cs="宋体"/>
                <w:kern w:val="0"/>
                <w:sz w:val="18"/>
                <w:szCs w:val="18"/>
              </w:rPr>
              <w:t>230</w:t>
            </w:r>
            <w:r>
              <w:rPr>
                <w:rFonts w:hint="eastAsia" w:cs="宋体"/>
                <w:kern w:val="0"/>
                <w:sz w:val="18"/>
                <w:szCs w:val="18"/>
              </w:rPr>
              <w:t>亩，建筑面积约</w:t>
            </w:r>
            <w:r>
              <w:rPr>
                <w:rFonts w:cs="宋体"/>
                <w:kern w:val="0"/>
                <w:sz w:val="18"/>
                <w:szCs w:val="18"/>
              </w:rPr>
              <w:t>40</w:t>
            </w:r>
            <w:r>
              <w:rPr>
                <w:rFonts w:hint="eastAsia" w:cs="宋体"/>
                <w:kern w:val="0"/>
                <w:sz w:val="18"/>
                <w:szCs w:val="18"/>
              </w:rPr>
              <w:t>万平方米，计划打造时尚娱乐坊、创享聚业坊、休闲美食坊及人文宜居坊。</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30.0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w:t>
            </w:r>
            <w:r>
              <w:rPr>
                <w:rFonts w:cs="宋体"/>
                <w:kern w:val="0"/>
                <w:sz w:val="18"/>
                <w:szCs w:val="18"/>
              </w:rPr>
              <w:t>7.0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新建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w:t>
            </w:r>
            <w:r>
              <w:rPr>
                <w:rFonts w:cs="宋体"/>
                <w:kern w:val="0"/>
                <w:sz w:val="18"/>
                <w:szCs w:val="18"/>
              </w:rPr>
              <w:t>1</w:t>
            </w:r>
            <w:r>
              <w:rPr>
                <w:rFonts w:hint="eastAsia" w:cs="宋体"/>
                <w:kern w:val="0"/>
                <w:sz w:val="18"/>
                <w:szCs w:val="18"/>
              </w:rPr>
              <w:t>-2026</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瑞安市政府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苍南县城新区</w:t>
            </w:r>
            <w:r>
              <w:rPr>
                <w:color w:val="000000"/>
                <w:kern w:val="0"/>
                <w:sz w:val="18"/>
                <w:szCs w:val="18"/>
                <w:lang w:bidi="ar"/>
              </w:rPr>
              <w:t>33-5</w:t>
            </w:r>
            <w:r>
              <w:rPr>
                <w:rFonts w:hint="eastAsia" w:ascii="宋体" w:hAnsi="宋体" w:cs="宋体"/>
                <w:color w:val="000000"/>
                <w:kern w:val="0"/>
                <w:sz w:val="18"/>
                <w:szCs w:val="18"/>
                <w:lang w:bidi="ar"/>
              </w:rPr>
              <w:t>地块（唐拉雅秀大酒店）</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 xml:space="preserve">用地面积 </w:t>
            </w:r>
            <w:r>
              <w:rPr>
                <w:color w:val="000000"/>
                <w:kern w:val="0"/>
                <w:sz w:val="18"/>
                <w:szCs w:val="18"/>
                <w:lang w:bidi="ar"/>
              </w:rPr>
              <w:t xml:space="preserve">35 </w:t>
            </w:r>
            <w:r>
              <w:rPr>
                <w:rFonts w:hint="eastAsia" w:ascii="宋体" w:hAnsi="宋体" w:cs="宋体"/>
                <w:color w:val="000000"/>
                <w:kern w:val="0"/>
                <w:sz w:val="18"/>
                <w:szCs w:val="18"/>
                <w:lang w:bidi="ar"/>
              </w:rPr>
              <w:t>亩，五星级标准，建设集餐饮、娱乐、住宿、健身、会务、公寓楼等服务于一体的大型高档酒店。</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10.0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8.9</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续建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color w:val="000000"/>
                <w:kern w:val="0"/>
                <w:sz w:val="18"/>
                <w:szCs w:val="18"/>
                <w:lang w:bidi="ar"/>
              </w:rPr>
            </w:pPr>
            <w:r>
              <w:rPr>
                <w:color w:val="000000"/>
                <w:kern w:val="0"/>
                <w:sz w:val="18"/>
                <w:szCs w:val="18"/>
                <w:lang w:bidi="ar"/>
              </w:rPr>
              <w:t>2020-2024</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苍南县政府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restart"/>
            <w:tcBorders>
              <w:top w:val="single" w:color="auto" w:sz="4" w:space="0"/>
              <w:left w:val="single" w:color="auto" w:sz="4" w:space="0"/>
              <w:right w:val="single" w:color="auto" w:sz="4" w:space="0"/>
            </w:tcBorders>
            <w:vAlign w:val="center"/>
          </w:tcPr>
          <w:p>
            <w:pPr>
              <w:spacing w:line="240" w:lineRule="atLeast"/>
              <w:textAlignment w:val="center"/>
              <w:rPr>
                <w:rFonts w:cs="宋体"/>
                <w:kern w:val="0"/>
                <w:sz w:val="18"/>
                <w:szCs w:val="18"/>
              </w:rPr>
            </w:pPr>
            <w:r>
              <w:rPr>
                <w:rFonts w:hint="eastAsia" w:cs="宋体"/>
                <w:kern w:val="0"/>
                <w:sz w:val="18"/>
                <w:szCs w:val="18"/>
              </w:rPr>
              <w:t>综合</w:t>
            </w:r>
          </w:p>
          <w:p>
            <w:pPr>
              <w:spacing w:line="240" w:lineRule="atLeast"/>
              <w:textAlignment w:val="center"/>
              <w:rPr>
                <w:rFonts w:cs="宋体"/>
                <w:kern w:val="0"/>
                <w:sz w:val="18"/>
                <w:szCs w:val="18"/>
              </w:rPr>
            </w:pPr>
            <w:r>
              <w:rPr>
                <w:rFonts w:hint="eastAsia" w:cs="宋体"/>
                <w:kern w:val="0"/>
                <w:sz w:val="18"/>
                <w:szCs w:val="18"/>
              </w:rPr>
              <w:t>商务</w:t>
            </w: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highlight w:val="yellow"/>
              </w:rPr>
            </w:pPr>
            <w:r>
              <w:rPr>
                <w:rFonts w:hint="eastAsia" w:ascii="宋体" w:hAnsi="宋体" w:cs="宋体"/>
                <w:color w:val="000000"/>
                <w:kern w:val="0"/>
                <w:sz w:val="18"/>
                <w:szCs w:val="18"/>
                <w:lang w:bidi="ar"/>
              </w:rPr>
              <w:t>温州国际未来科技岛</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highlight w:val="yellow"/>
              </w:rPr>
            </w:pPr>
            <w:r>
              <w:rPr>
                <w:rFonts w:hint="eastAsia" w:ascii="宋体" w:hAnsi="宋体" w:cs="宋体"/>
                <w:color w:val="000000"/>
                <w:kern w:val="0"/>
                <w:sz w:val="18"/>
                <w:szCs w:val="18"/>
                <w:lang w:bidi="ar"/>
              </w:rPr>
              <w:t xml:space="preserve">项目用地约 </w:t>
            </w:r>
            <w:r>
              <w:rPr>
                <w:color w:val="000000"/>
                <w:kern w:val="0"/>
                <w:sz w:val="18"/>
                <w:szCs w:val="18"/>
                <w:lang w:bidi="ar"/>
              </w:rPr>
              <w:t xml:space="preserve">3000 </w:t>
            </w:r>
            <w:r>
              <w:rPr>
                <w:rFonts w:hint="eastAsia" w:ascii="宋体" w:hAnsi="宋体" w:cs="宋体"/>
                <w:color w:val="000000"/>
                <w:kern w:val="0"/>
                <w:sz w:val="18"/>
                <w:szCs w:val="18"/>
                <w:lang w:bidi="ar"/>
              </w:rPr>
              <w:t>亩，建设集“科技成果产业化、科技信息服务、国际科技创新人才集聚”为一体的国际未来科技岛。打造温州国际智能制造产业化服务中心、温州国际科技金融中心、长三角科技企业总部园等三大产业平台。</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cs="宋体"/>
                <w:kern w:val="0"/>
                <w:sz w:val="18"/>
                <w:szCs w:val="18"/>
              </w:rPr>
              <w:t>192.7</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90.0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新建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2021- 2028</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鹿城区政府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top w:val="single" w:color="auto" w:sz="4" w:space="0"/>
              <w:left w:val="single" w:color="auto" w:sz="4" w:space="0"/>
              <w:right w:val="single" w:color="auto" w:sz="4" w:space="0"/>
            </w:tcBorders>
            <w:vAlign w:val="center"/>
          </w:tcPr>
          <w:p>
            <w:pPr>
              <w:spacing w:line="240" w:lineRule="atLeast"/>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老港区二期项目</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主要建设商业中心、公寓、超高层写字楼、互联网科技创新平台、电影放映室等。</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50.0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30.0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续建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color w:val="000000"/>
                <w:kern w:val="0"/>
                <w:sz w:val="18"/>
                <w:szCs w:val="18"/>
                <w:lang w:bidi="ar"/>
              </w:rPr>
            </w:pPr>
            <w:r>
              <w:rPr>
                <w:color w:val="000000"/>
                <w:kern w:val="0"/>
                <w:sz w:val="18"/>
                <w:szCs w:val="18"/>
                <w:lang w:bidi="ar"/>
              </w:rPr>
              <w:t>2020-2026</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鹿城区政府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君康健康产业中心</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一号地块拟建设一幢主体建筑高度约</w:t>
            </w:r>
            <w:r>
              <w:rPr>
                <w:rFonts w:cs="宋体"/>
                <w:kern w:val="0"/>
                <w:sz w:val="18"/>
                <w:szCs w:val="18"/>
              </w:rPr>
              <w:t>339</w:t>
            </w:r>
            <w:r>
              <w:rPr>
                <w:rFonts w:hint="eastAsia" w:cs="宋体"/>
                <w:kern w:val="0"/>
                <w:sz w:val="18"/>
                <w:szCs w:val="18"/>
              </w:rPr>
              <w:t>米，总建筑面积约</w:t>
            </w:r>
            <w:r>
              <w:rPr>
                <w:rFonts w:cs="宋体"/>
                <w:kern w:val="0"/>
                <w:sz w:val="18"/>
                <w:szCs w:val="18"/>
              </w:rPr>
              <w:t>22</w:t>
            </w:r>
            <w:r>
              <w:rPr>
                <w:rFonts w:hint="eastAsia" w:cs="宋体"/>
                <w:kern w:val="0"/>
                <w:sz w:val="18"/>
                <w:szCs w:val="18"/>
              </w:rPr>
              <w:t>万平方米；二号地块建筑高度约</w:t>
            </w:r>
            <w:r>
              <w:rPr>
                <w:rFonts w:cs="宋体"/>
                <w:kern w:val="0"/>
                <w:sz w:val="18"/>
                <w:szCs w:val="18"/>
              </w:rPr>
              <w:t>140m</w:t>
            </w:r>
            <w:r>
              <w:rPr>
                <w:rFonts w:hint="eastAsia" w:cs="宋体"/>
                <w:kern w:val="0"/>
                <w:sz w:val="18"/>
                <w:szCs w:val="18"/>
              </w:rPr>
              <w:t>，总建筑面积约</w:t>
            </w:r>
            <w:r>
              <w:rPr>
                <w:rFonts w:cs="宋体"/>
                <w:kern w:val="0"/>
                <w:sz w:val="18"/>
                <w:szCs w:val="18"/>
              </w:rPr>
              <w:t>14</w:t>
            </w:r>
            <w:r>
              <w:rPr>
                <w:rFonts w:hint="eastAsia" w:cs="宋体"/>
                <w:kern w:val="0"/>
                <w:sz w:val="18"/>
                <w:szCs w:val="18"/>
              </w:rPr>
              <w:t>万平方米。</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51.2</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3</w:t>
            </w:r>
            <w:r>
              <w:rPr>
                <w:rFonts w:cs="宋体"/>
                <w:kern w:val="0"/>
                <w:sz w:val="18"/>
                <w:szCs w:val="18"/>
              </w:rPr>
              <w:t>1.9</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续建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2019-202</w:t>
            </w:r>
            <w:r>
              <w:rPr>
                <w:rFonts w:cs="宋体"/>
                <w:kern w:val="0"/>
                <w:sz w:val="18"/>
                <w:szCs w:val="18"/>
              </w:rPr>
              <w:t>2</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瓯海区政府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浙南人才大厦</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 xml:space="preserve">用地面积 </w:t>
            </w:r>
            <w:r>
              <w:rPr>
                <w:color w:val="000000"/>
                <w:kern w:val="0"/>
                <w:sz w:val="18"/>
                <w:szCs w:val="18"/>
                <w:lang w:bidi="ar"/>
              </w:rPr>
              <w:t xml:space="preserve">35 </w:t>
            </w:r>
            <w:r>
              <w:rPr>
                <w:rFonts w:hint="eastAsia" w:ascii="宋体" w:hAnsi="宋体" w:cs="宋体"/>
                <w:color w:val="000000"/>
                <w:kern w:val="0"/>
                <w:sz w:val="18"/>
                <w:szCs w:val="18"/>
                <w:lang w:bidi="ar"/>
              </w:rPr>
              <w:t>亩</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10.0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10.0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 xml:space="preserve">新建 </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 xml:space="preserve">2021-2024 </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瓯海区政府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cs="宋体"/>
                <w:kern w:val="0"/>
                <w:sz w:val="18"/>
                <w:szCs w:val="18"/>
              </w:rPr>
              <w:t>温州青科城</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cs="宋体"/>
                <w:kern w:val="0"/>
                <w:sz w:val="18"/>
                <w:szCs w:val="18"/>
              </w:rPr>
              <w:t>规划研究范围西临新三路，北临兴国路，东临三郎桥河，南临瓯海大道，用地面积约 69 公顷，总建筑面积约94万平方米，包括会议展览、产业孵化、产业研发、总部办公、人才公寓及产业配套等内容。</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color w:val="000000"/>
                <w:kern w:val="0"/>
                <w:sz w:val="18"/>
                <w:szCs w:val="18"/>
                <w:lang w:bidi="ar"/>
              </w:rPr>
            </w:pPr>
            <w:r>
              <w:rPr>
                <w:rFonts w:hint="eastAsia" w:cs="宋体"/>
                <w:kern w:val="0"/>
                <w:sz w:val="18"/>
                <w:szCs w:val="18"/>
              </w:rPr>
              <w:t>56.4</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color w:val="000000"/>
                <w:kern w:val="0"/>
                <w:sz w:val="18"/>
                <w:szCs w:val="18"/>
                <w:lang w:bidi="ar"/>
              </w:rPr>
            </w:pPr>
            <w:r>
              <w:rPr>
                <w:rFonts w:hint="eastAsia" w:cs="宋体"/>
                <w:kern w:val="0"/>
                <w:sz w:val="18"/>
                <w:szCs w:val="18"/>
              </w:rPr>
              <w:t>3</w:t>
            </w:r>
            <w:r>
              <w:rPr>
                <w:rFonts w:cs="宋体"/>
                <w:kern w:val="0"/>
                <w:sz w:val="18"/>
                <w:szCs w:val="18"/>
              </w:rPr>
              <w:t>0.0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cs="宋体"/>
                <w:kern w:val="0"/>
                <w:sz w:val="18"/>
                <w:szCs w:val="18"/>
              </w:rPr>
              <w:t>新建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color w:val="000000"/>
                <w:kern w:val="0"/>
                <w:sz w:val="18"/>
                <w:szCs w:val="18"/>
                <w:lang w:bidi="ar"/>
              </w:rPr>
            </w:pPr>
            <w:r>
              <w:rPr>
                <w:rFonts w:hint="eastAsia" w:cs="宋体"/>
                <w:kern w:val="0"/>
                <w:sz w:val="18"/>
                <w:szCs w:val="18"/>
              </w:rPr>
              <w:t>2</w:t>
            </w:r>
            <w:r>
              <w:rPr>
                <w:rFonts w:cs="宋体"/>
                <w:kern w:val="0"/>
                <w:sz w:val="18"/>
                <w:szCs w:val="18"/>
              </w:rPr>
              <w:t>021-2027</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ascii="宋体" w:hAnsi="宋体" w:cs="宋体"/>
                <w:color w:val="000000"/>
                <w:kern w:val="0"/>
                <w:sz w:val="18"/>
                <w:szCs w:val="18"/>
                <w:lang w:bidi="ar"/>
              </w:rPr>
            </w:pPr>
            <w:r>
              <w:rPr>
                <w:rFonts w:hint="eastAsia" w:cs="宋体"/>
                <w:kern w:val="0"/>
                <w:sz w:val="18"/>
                <w:szCs w:val="18"/>
              </w:rPr>
              <w:t>龙湾区政府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海创园二期项目</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建设加速器，满足科技型企业创新创业需求。</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cs="宋体"/>
                <w:kern w:val="0"/>
                <w:sz w:val="18"/>
                <w:szCs w:val="18"/>
              </w:rPr>
              <w:t>1</w:t>
            </w:r>
            <w:r>
              <w:rPr>
                <w:rFonts w:hint="eastAsia" w:cs="宋体"/>
                <w:kern w:val="0"/>
                <w:sz w:val="18"/>
                <w:szCs w:val="18"/>
              </w:rPr>
              <w:t>0.0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w:t>
            </w:r>
            <w:r>
              <w:rPr>
                <w:rFonts w:cs="宋体"/>
                <w:kern w:val="0"/>
                <w:sz w:val="18"/>
                <w:szCs w:val="18"/>
              </w:rPr>
              <w:t>0.0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新建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2021-2025</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经开区管委会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温乡时尚创意中心</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主要建设研</w:t>
            </w:r>
            <w:r>
              <w:rPr>
                <w:rFonts w:cs="宋体"/>
                <w:kern w:val="0"/>
                <w:sz w:val="18"/>
                <w:szCs w:val="18"/>
              </w:rPr>
              <w:t>发中心、文创</w:t>
            </w:r>
            <w:r>
              <w:rPr>
                <w:rFonts w:hint="eastAsia" w:cs="宋体"/>
                <w:kern w:val="0"/>
                <w:sz w:val="18"/>
                <w:szCs w:val="18"/>
              </w:rPr>
              <w:t>科教馆</w:t>
            </w:r>
            <w:r>
              <w:rPr>
                <w:rFonts w:cs="宋体"/>
                <w:kern w:val="0"/>
                <w:sz w:val="18"/>
                <w:szCs w:val="18"/>
              </w:rPr>
              <w:t>、永商回归总部、培</w:t>
            </w:r>
            <w:r>
              <w:rPr>
                <w:rFonts w:hint="eastAsia" w:cs="宋体"/>
                <w:kern w:val="0"/>
                <w:sz w:val="18"/>
                <w:szCs w:val="18"/>
              </w:rPr>
              <w:t>训中心、</w:t>
            </w:r>
            <w:r>
              <w:rPr>
                <w:rFonts w:cs="宋体"/>
                <w:kern w:val="0"/>
                <w:sz w:val="18"/>
                <w:szCs w:val="18"/>
              </w:rPr>
              <w:t>会展场馆及其他</w:t>
            </w:r>
            <w:r>
              <w:rPr>
                <w:rFonts w:hint="eastAsia" w:cs="宋体"/>
                <w:kern w:val="0"/>
                <w:sz w:val="18"/>
                <w:szCs w:val="18"/>
              </w:rPr>
              <w:t>配套景观设施</w:t>
            </w:r>
            <w:r>
              <w:rPr>
                <w:rFonts w:cs="宋体"/>
                <w:kern w:val="0"/>
                <w:sz w:val="18"/>
                <w:szCs w:val="18"/>
              </w:rPr>
              <w:t>建设。</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22.0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w:t>
            </w:r>
            <w:r>
              <w:rPr>
                <w:rFonts w:cs="宋体"/>
                <w:kern w:val="0"/>
                <w:sz w:val="18"/>
                <w:szCs w:val="18"/>
              </w:rPr>
              <w:t>0.0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续建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w:t>
            </w:r>
            <w:r>
              <w:rPr>
                <w:rFonts w:cs="宋体"/>
                <w:kern w:val="0"/>
                <w:sz w:val="18"/>
                <w:szCs w:val="18"/>
              </w:rPr>
              <w:t>20</w:t>
            </w:r>
            <w:r>
              <w:rPr>
                <w:rFonts w:hint="eastAsia" w:cs="宋体"/>
                <w:kern w:val="0"/>
                <w:sz w:val="18"/>
                <w:szCs w:val="18"/>
              </w:rPr>
              <w:t>-202</w:t>
            </w:r>
            <w:r>
              <w:rPr>
                <w:rFonts w:cs="宋体"/>
                <w:kern w:val="0"/>
                <w:sz w:val="18"/>
                <w:szCs w:val="18"/>
              </w:rPr>
              <w:t>4</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永嘉县政府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古鳌头</w:t>
            </w:r>
            <w:r>
              <w:rPr>
                <w:color w:val="000000"/>
                <w:kern w:val="0"/>
                <w:sz w:val="18"/>
                <w:szCs w:val="18"/>
                <w:lang w:bidi="ar"/>
              </w:rPr>
              <w:t>C-08-01</w:t>
            </w:r>
            <w:r>
              <w:rPr>
                <w:rFonts w:hint="eastAsia" w:ascii="宋体" w:hAnsi="宋体" w:cs="宋体"/>
                <w:color w:val="000000"/>
                <w:kern w:val="0"/>
                <w:sz w:val="18"/>
                <w:szCs w:val="18"/>
                <w:lang w:bidi="ar"/>
              </w:rPr>
              <w:t>地块综合体项目</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总用地面积约</w:t>
            </w:r>
            <w:r>
              <w:rPr>
                <w:color w:val="000000"/>
                <w:kern w:val="0"/>
                <w:sz w:val="18"/>
                <w:szCs w:val="18"/>
                <w:lang w:bidi="ar"/>
              </w:rPr>
              <w:t>47.1</w:t>
            </w:r>
            <w:r>
              <w:rPr>
                <w:rFonts w:hint="eastAsia" w:ascii="宋体" w:hAnsi="宋体" w:cs="宋体"/>
                <w:color w:val="000000"/>
                <w:kern w:val="0"/>
                <w:sz w:val="18"/>
                <w:szCs w:val="18"/>
                <w:lang w:bidi="ar"/>
              </w:rPr>
              <w:t>亩，超高层，设计高度约</w:t>
            </w:r>
            <w:r>
              <w:rPr>
                <w:color w:val="000000"/>
                <w:kern w:val="0"/>
                <w:sz w:val="18"/>
                <w:szCs w:val="18"/>
                <w:lang w:bidi="ar"/>
              </w:rPr>
              <w:t>254</w:t>
            </w:r>
            <w:r>
              <w:rPr>
                <w:rFonts w:hint="eastAsia" w:ascii="宋体" w:hAnsi="宋体" w:cs="宋体"/>
                <w:color w:val="000000"/>
                <w:kern w:val="0"/>
                <w:sz w:val="18"/>
                <w:szCs w:val="18"/>
                <w:lang w:bidi="ar"/>
              </w:rPr>
              <w:t>米。</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40.0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40.0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新建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2021-2025</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平阳县政府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295" w:type="pct"/>
            <w:vMerge w:val="continue"/>
            <w:tcBorders>
              <w:left w:val="single" w:color="auto" w:sz="4" w:space="0"/>
              <w:right w:val="single" w:color="auto" w:sz="4" w:space="0"/>
            </w:tcBorders>
            <w:vAlign w:val="center"/>
          </w:tcPr>
          <w:p>
            <w:pPr>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highlight w:val="yellow"/>
              </w:rPr>
            </w:pPr>
            <w:r>
              <w:rPr>
                <w:rFonts w:hint="eastAsia" w:ascii="宋体" w:hAnsi="宋体" w:cs="宋体"/>
                <w:color w:val="000000"/>
                <w:kern w:val="0"/>
                <w:sz w:val="18"/>
                <w:szCs w:val="18"/>
                <w:lang w:bidi="ar"/>
              </w:rPr>
              <w:t xml:space="preserve">文成樟山中央商务区 </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highlight w:val="yellow"/>
              </w:rPr>
            </w:pPr>
            <w:r>
              <w:rPr>
                <w:rFonts w:hint="eastAsia" w:ascii="宋体" w:hAnsi="宋体" w:cs="宋体"/>
                <w:color w:val="000000"/>
                <w:kern w:val="0"/>
                <w:sz w:val="18"/>
                <w:szCs w:val="18"/>
                <w:lang w:bidi="ar"/>
              </w:rPr>
              <w:t xml:space="preserve">用地面积 </w:t>
            </w:r>
            <w:r>
              <w:rPr>
                <w:color w:val="000000"/>
                <w:kern w:val="0"/>
                <w:sz w:val="18"/>
                <w:szCs w:val="18"/>
                <w:lang w:bidi="ar"/>
              </w:rPr>
              <w:t xml:space="preserve">55 </w:t>
            </w:r>
            <w:r>
              <w:rPr>
                <w:rFonts w:hint="eastAsia" w:ascii="宋体" w:hAnsi="宋体" w:cs="宋体"/>
                <w:color w:val="000000"/>
                <w:kern w:val="0"/>
                <w:sz w:val="18"/>
                <w:szCs w:val="18"/>
                <w:lang w:bidi="ar"/>
              </w:rPr>
              <w:t xml:space="preserve">亩，建设金融大厦、侨商大厦、商会大厦、建工大厦等 </w:t>
            </w:r>
            <w:r>
              <w:rPr>
                <w:color w:val="000000"/>
                <w:kern w:val="0"/>
                <w:sz w:val="18"/>
                <w:szCs w:val="18"/>
                <w:lang w:bidi="ar"/>
              </w:rPr>
              <w:t>4</w:t>
            </w:r>
            <w:r>
              <w:rPr>
                <w:rFonts w:hint="eastAsia" w:ascii="宋体" w:hAnsi="宋体" w:cs="宋体"/>
                <w:color w:val="000000"/>
                <w:kern w:val="0"/>
                <w:sz w:val="18"/>
                <w:szCs w:val="18"/>
                <w:lang w:bidi="ar"/>
              </w:rPr>
              <w:t xml:space="preserve">座商务办公楼宇建设。 </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12.1</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6.0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新建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2021- 2027</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文成县政府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highlight w:val="yellow"/>
              </w:rPr>
            </w:pPr>
            <w:r>
              <w:rPr>
                <w:rFonts w:hint="eastAsia" w:cs="宋体"/>
                <w:kern w:val="0"/>
                <w:sz w:val="18"/>
                <w:szCs w:val="18"/>
              </w:rPr>
              <w:t>龙船垟城市综合体项目</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highlight w:val="yellow"/>
              </w:rPr>
            </w:pPr>
            <w:r>
              <w:rPr>
                <w:rFonts w:hint="eastAsia" w:cs="宋体"/>
                <w:kern w:val="0"/>
                <w:sz w:val="18"/>
                <w:szCs w:val="18"/>
              </w:rPr>
              <w:t>总用地面积86968平方米，总建筑面积332637平方米。</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33.0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w:t>
            </w:r>
            <w:r>
              <w:rPr>
                <w:rFonts w:cs="宋体"/>
                <w:kern w:val="0"/>
                <w:sz w:val="18"/>
                <w:szCs w:val="18"/>
              </w:rPr>
              <w:t>5.0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续建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2019-2023</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文成县政府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文祥城市广场</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五星级大酒店</w:t>
            </w:r>
            <w:r>
              <w:rPr>
                <w:rFonts w:cs="宋体"/>
                <w:kern w:val="0"/>
                <w:sz w:val="18"/>
                <w:szCs w:val="18"/>
              </w:rPr>
              <w:t>、城市</w:t>
            </w:r>
            <w:r>
              <w:rPr>
                <w:rFonts w:hint="eastAsia" w:cs="宋体"/>
                <w:kern w:val="0"/>
                <w:sz w:val="18"/>
                <w:szCs w:val="18"/>
              </w:rPr>
              <w:t>综合体、室外乐园、高档城市未来社区等。</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30.0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w:t>
            </w:r>
            <w:r>
              <w:rPr>
                <w:rFonts w:cs="宋体"/>
                <w:kern w:val="0"/>
                <w:sz w:val="18"/>
                <w:szCs w:val="18"/>
              </w:rPr>
              <w:t>0.0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新建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w:t>
            </w:r>
            <w:r>
              <w:rPr>
                <w:rFonts w:cs="宋体"/>
                <w:kern w:val="0"/>
                <w:sz w:val="18"/>
                <w:szCs w:val="18"/>
              </w:rPr>
              <w:t>1</w:t>
            </w:r>
            <w:r>
              <w:rPr>
                <w:rFonts w:hint="eastAsia" w:cs="宋体"/>
                <w:kern w:val="0"/>
                <w:sz w:val="18"/>
                <w:szCs w:val="18"/>
              </w:rPr>
              <w:t>-202</w:t>
            </w:r>
            <w:r>
              <w:rPr>
                <w:rFonts w:cs="宋体"/>
                <w:kern w:val="0"/>
                <w:sz w:val="18"/>
                <w:szCs w:val="18"/>
              </w:rPr>
              <w:t>7</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泰顺县政府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highlight w:val="yellow"/>
              </w:rPr>
            </w:pPr>
            <w:r>
              <w:rPr>
                <w:rFonts w:hint="eastAsia" w:ascii="宋体" w:hAnsi="宋体" w:cs="宋体"/>
                <w:color w:val="000000"/>
                <w:kern w:val="0"/>
                <w:sz w:val="18"/>
                <w:szCs w:val="18"/>
                <w:lang w:bidi="ar"/>
              </w:rPr>
              <w:t xml:space="preserve">泰顺县新城区文祥湖总部经济回归项目 </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highlight w:val="yellow"/>
              </w:rPr>
            </w:pPr>
            <w:r>
              <w:rPr>
                <w:rFonts w:hint="eastAsia" w:ascii="宋体" w:hAnsi="宋体" w:cs="宋体"/>
                <w:color w:val="000000"/>
                <w:kern w:val="0"/>
                <w:sz w:val="18"/>
                <w:szCs w:val="18"/>
                <w:lang w:bidi="ar"/>
              </w:rPr>
              <w:t xml:space="preserve">建设用地 </w:t>
            </w:r>
            <w:r>
              <w:rPr>
                <w:color w:val="000000"/>
                <w:kern w:val="0"/>
                <w:sz w:val="18"/>
                <w:szCs w:val="18"/>
                <w:lang w:bidi="ar"/>
              </w:rPr>
              <w:t xml:space="preserve">102 </w:t>
            </w:r>
            <w:r>
              <w:rPr>
                <w:rFonts w:hint="eastAsia" w:ascii="宋体" w:hAnsi="宋体" w:cs="宋体"/>
                <w:color w:val="000000"/>
                <w:kern w:val="0"/>
                <w:sz w:val="18"/>
                <w:szCs w:val="18"/>
                <w:lang w:bidi="ar"/>
              </w:rPr>
              <w:t>亩，建设集团总部综合体。</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10.0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10.0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新建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2021-2025</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泰顺县政府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restart"/>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现代展贸</w:t>
            </w: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highlight w:val="yellow"/>
              </w:rPr>
            </w:pPr>
            <w:r>
              <w:rPr>
                <w:rFonts w:hint="eastAsia" w:cs="宋体"/>
                <w:kern w:val="0"/>
                <w:sz w:val="18"/>
                <w:szCs w:val="18"/>
              </w:rPr>
              <w:t>温州国际博览中心</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highlight w:val="yellow"/>
              </w:rPr>
            </w:pPr>
            <w:r>
              <w:rPr>
                <w:rFonts w:hint="eastAsia" w:cs="宋体"/>
                <w:kern w:val="0"/>
                <w:sz w:val="18"/>
                <w:szCs w:val="18"/>
              </w:rPr>
              <w:t>用地面积约1067亩，建设包括展览中心、会议中心、五星级酒店、普通商务酒店及会展业配套产业等。</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cs="宋体"/>
                <w:kern w:val="0"/>
                <w:sz w:val="18"/>
                <w:szCs w:val="18"/>
              </w:rPr>
              <w:t>85.2</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cs="宋体"/>
                <w:kern w:val="0"/>
                <w:sz w:val="18"/>
                <w:szCs w:val="18"/>
              </w:rPr>
              <w:t>85.2</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新建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2021-2025</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瓯江口产业集聚区管委会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top w:val="single" w:color="auto" w:sz="4" w:space="0"/>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永嘉泵阀展览交易中心</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 xml:space="preserve">总占地面积约 </w:t>
            </w:r>
            <w:r>
              <w:rPr>
                <w:color w:val="000000"/>
                <w:kern w:val="0"/>
                <w:sz w:val="18"/>
                <w:szCs w:val="18"/>
                <w:lang w:bidi="ar"/>
              </w:rPr>
              <w:t xml:space="preserve">146 </w:t>
            </w:r>
            <w:r>
              <w:rPr>
                <w:rFonts w:hint="eastAsia" w:ascii="宋体" w:hAnsi="宋体" w:cs="宋体"/>
                <w:color w:val="000000"/>
                <w:kern w:val="0"/>
                <w:sz w:val="18"/>
                <w:szCs w:val="18"/>
                <w:lang w:bidi="ar"/>
              </w:rPr>
              <w:t>亩，建筑面积约</w:t>
            </w:r>
            <w:r>
              <w:rPr>
                <w:color w:val="000000"/>
                <w:kern w:val="0"/>
                <w:sz w:val="18"/>
                <w:szCs w:val="18"/>
                <w:lang w:bidi="ar"/>
              </w:rPr>
              <w:t xml:space="preserve">30 </w:t>
            </w:r>
            <w:r>
              <w:rPr>
                <w:rFonts w:hint="eastAsia" w:ascii="宋体" w:hAnsi="宋体" w:cs="宋体"/>
                <w:color w:val="000000"/>
                <w:kern w:val="0"/>
                <w:sz w:val="18"/>
                <w:szCs w:val="18"/>
                <w:lang w:bidi="ar"/>
              </w:rPr>
              <w:t>万平方米，打造国际性泵阀展览交易中心。</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15.0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12.0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续建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2020-2023</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永嘉县政府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中农德胜浙南</w:t>
            </w:r>
          </w:p>
          <w:p>
            <w:pPr>
              <w:widowControl/>
              <w:spacing w:line="240" w:lineRule="atLeast"/>
              <w:jc w:val="center"/>
              <w:textAlignment w:val="center"/>
              <w:rPr>
                <w:rFonts w:cs="宋体"/>
                <w:kern w:val="0"/>
                <w:sz w:val="18"/>
                <w:szCs w:val="18"/>
              </w:rPr>
            </w:pPr>
            <w:r>
              <w:rPr>
                <w:rFonts w:hint="eastAsia" w:cs="宋体"/>
                <w:kern w:val="0"/>
                <w:sz w:val="18"/>
                <w:szCs w:val="18"/>
              </w:rPr>
              <w:t>（泰顺）国际农</w:t>
            </w:r>
          </w:p>
          <w:p>
            <w:pPr>
              <w:widowControl/>
              <w:spacing w:line="240" w:lineRule="atLeast"/>
              <w:jc w:val="center"/>
              <w:textAlignment w:val="center"/>
              <w:rPr>
                <w:rFonts w:cs="宋体"/>
                <w:kern w:val="0"/>
                <w:sz w:val="18"/>
                <w:szCs w:val="18"/>
              </w:rPr>
            </w:pPr>
            <w:r>
              <w:rPr>
                <w:rFonts w:hint="eastAsia" w:cs="宋体"/>
                <w:kern w:val="0"/>
                <w:sz w:val="18"/>
                <w:szCs w:val="18"/>
              </w:rPr>
              <w:t>产品加工产业园</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规划用地约200 亩，建筑面积约27</w:t>
            </w:r>
          </w:p>
          <w:p>
            <w:pPr>
              <w:widowControl/>
              <w:spacing w:line="240" w:lineRule="atLeast"/>
              <w:jc w:val="center"/>
              <w:textAlignment w:val="center"/>
              <w:rPr>
                <w:rFonts w:cs="宋体"/>
                <w:kern w:val="0"/>
                <w:sz w:val="18"/>
                <w:szCs w:val="18"/>
              </w:rPr>
            </w:pPr>
            <w:r>
              <w:rPr>
                <w:rFonts w:hint="eastAsia" w:cs="宋体"/>
                <w:kern w:val="0"/>
                <w:sz w:val="18"/>
                <w:szCs w:val="18"/>
              </w:rPr>
              <w:t>万平方米，建设农业展览馆、农产品</w:t>
            </w:r>
          </w:p>
          <w:p>
            <w:pPr>
              <w:widowControl/>
              <w:spacing w:line="240" w:lineRule="atLeast"/>
              <w:jc w:val="center"/>
              <w:textAlignment w:val="center"/>
              <w:rPr>
                <w:rFonts w:cs="宋体"/>
                <w:kern w:val="0"/>
                <w:sz w:val="18"/>
                <w:szCs w:val="18"/>
              </w:rPr>
            </w:pPr>
            <w:r>
              <w:rPr>
                <w:rFonts w:hint="eastAsia" w:cs="宋体"/>
                <w:kern w:val="0"/>
                <w:sz w:val="18"/>
                <w:szCs w:val="18"/>
              </w:rPr>
              <w:t>批发市场、康养中心、冷链仓储、总</w:t>
            </w:r>
          </w:p>
          <w:p>
            <w:pPr>
              <w:widowControl/>
              <w:spacing w:line="240" w:lineRule="atLeast"/>
              <w:jc w:val="center"/>
              <w:textAlignment w:val="center"/>
              <w:rPr>
                <w:rFonts w:cs="宋体"/>
                <w:kern w:val="0"/>
                <w:sz w:val="18"/>
                <w:szCs w:val="18"/>
              </w:rPr>
            </w:pPr>
            <w:r>
              <w:rPr>
                <w:rFonts w:hint="eastAsia" w:cs="宋体"/>
                <w:kern w:val="0"/>
                <w:sz w:val="18"/>
                <w:szCs w:val="18"/>
              </w:rPr>
              <w:t>部大楼、商业街区等。</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w:t>
            </w:r>
            <w:r>
              <w:rPr>
                <w:rFonts w:cs="宋体"/>
                <w:kern w:val="0"/>
                <w:sz w:val="18"/>
                <w:szCs w:val="18"/>
              </w:rPr>
              <w:t>4.0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w:t>
            </w:r>
            <w:r>
              <w:rPr>
                <w:rFonts w:cs="宋体"/>
                <w:kern w:val="0"/>
                <w:sz w:val="18"/>
                <w:szCs w:val="18"/>
              </w:rPr>
              <w:t>2.5</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续建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w:t>
            </w:r>
            <w:r>
              <w:rPr>
                <w:rFonts w:cs="宋体"/>
                <w:kern w:val="0"/>
                <w:sz w:val="18"/>
                <w:szCs w:val="18"/>
              </w:rPr>
              <w:t>0</w:t>
            </w:r>
            <w:r>
              <w:rPr>
                <w:rFonts w:hint="eastAsia" w:cs="宋体"/>
                <w:kern w:val="0"/>
                <w:sz w:val="18"/>
                <w:szCs w:val="18"/>
              </w:rPr>
              <w:t>-2025</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泰顺县政府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国际水产城</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总用地约400 亩，沿万鳌公路打造集特色水产和海鲜干货、五鲜等为一体的线下体验交易区和线上产业研发基地。</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22.0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w:t>
            </w:r>
            <w:r>
              <w:rPr>
                <w:rFonts w:cs="宋体"/>
                <w:kern w:val="0"/>
                <w:sz w:val="18"/>
                <w:szCs w:val="18"/>
              </w:rPr>
              <w:t>2.0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新建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2022-2025</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平阳县政府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highlight w:val="yellow"/>
              </w:rPr>
            </w:pPr>
            <w:r>
              <w:rPr>
                <w:rFonts w:hint="eastAsia" w:cs="宋体"/>
                <w:kern w:val="0"/>
                <w:sz w:val="18"/>
                <w:szCs w:val="18"/>
              </w:rPr>
              <w:t>鹿城环贸港项目</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总建筑面积30.8 万平方米，其中专业市场14.1 万平方米，建设高端鞋业全产业链项目。</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cs="宋体"/>
                <w:kern w:val="0"/>
                <w:sz w:val="18"/>
                <w:szCs w:val="18"/>
              </w:rPr>
              <w:t>20</w:t>
            </w:r>
            <w:r>
              <w:rPr>
                <w:rFonts w:hint="eastAsia" w:cs="宋体"/>
                <w:kern w:val="0"/>
                <w:sz w:val="18"/>
                <w:szCs w:val="18"/>
              </w:rPr>
              <w:t>.0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1</w:t>
            </w:r>
            <w:r>
              <w:rPr>
                <w:rFonts w:cs="宋体"/>
                <w:kern w:val="0"/>
                <w:sz w:val="18"/>
                <w:szCs w:val="18"/>
              </w:rPr>
              <w:t>5.0</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续建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w:t>
            </w:r>
            <w:r>
              <w:rPr>
                <w:rFonts w:cs="宋体"/>
                <w:kern w:val="0"/>
                <w:sz w:val="18"/>
                <w:szCs w:val="18"/>
              </w:rPr>
              <w:t>19</w:t>
            </w:r>
            <w:r>
              <w:rPr>
                <w:rFonts w:hint="eastAsia" w:cs="宋体"/>
                <w:kern w:val="0"/>
                <w:sz w:val="18"/>
                <w:szCs w:val="18"/>
              </w:rPr>
              <w:t>-202</w:t>
            </w:r>
            <w:r>
              <w:rPr>
                <w:rFonts w:cs="宋体"/>
                <w:kern w:val="0"/>
                <w:sz w:val="18"/>
                <w:szCs w:val="18"/>
              </w:rPr>
              <w:t>4</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鹿城区政府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5" w:type="pct"/>
            <w:vMerge w:val="continue"/>
            <w:tcBorders>
              <w:left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p>
        </w:tc>
        <w:tc>
          <w:tcPr>
            <w:tcW w:w="293" w:type="pct"/>
            <w:gridSpan w:val="2"/>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1"/>
              </w:numPr>
              <w:spacing w:line="240" w:lineRule="atLeast"/>
              <w:ind w:firstLineChars="0"/>
              <w:textAlignment w:val="center"/>
              <w:rPr>
                <w:rFonts w:cs="宋体"/>
                <w:kern w:val="0"/>
                <w:sz w:val="18"/>
                <w:szCs w:val="18"/>
              </w:rPr>
            </w:pPr>
          </w:p>
        </w:tc>
        <w:tc>
          <w:tcPr>
            <w:tcW w:w="797" w:type="pct"/>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浙里耘谷项目</w:t>
            </w:r>
          </w:p>
        </w:tc>
        <w:tc>
          <w:tcPr>
            <w:tcW w:w="162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打造中国休闲农业与乡村旅游高峰论坛永久性会址，建设智慧农园（温室）、论坛中心，商务中心、游客中心、生态餐厅、精品农园、家庭农场、欢乐农场等。</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10.0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 xml:space="preserve">10.0 </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新建</w:t>
            </w:r>
          </w:p>
        </w:tc>
        <w:tc>
          <w:tcPr>
            <w:tcW w:w="33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color w:val="000000"/>
                <w:kern w:val="0"/>
                <w:sz w:val="18"/>
                <w:szCs w:val="18"/>
                <w:lang w:bidi="ar"/>
              </w:rPr>
              <w:t xml:space="preserve">2021-2025 </w:t>
            </w:r>
          </w:p>
        </w:tc>
        <w:tc>
          <w:tcPr>
            <w:tcW w:w="401"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ascii="宋体" w:hAnsi="宋体" w:cs="宋体"/>
                <w:color w:val="000000"/>
                <w:kern w:val="0"/>
                <w:sz w:val="18"/>
                <w:szCs w:val="18"/>
                <w:lang w:bidi="ar"/>
              </w:rPr>
              <w:t>鹿城区政府</w:t>
            </w:r>
          </w:p>
        </w:tc>
      </w:tr>
    </w:tbl>
    <w:p>
      <w:pPr>
        <w:widowControl/>
        <w:spacing w:line="240" w:lineRule="atLeas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备注：重大项目原则上按照1</w:t>
      </w:r>
      <w:r>
        <w:rPr>
          <w:rFonts w:ascii="宋体" w:hAnsi="宋体" w:cs="宋体"/>
          <w:color w:val="000000"/>
          <w:kern w:val="0"/>
          <w:sz w:val="18"/>
          <w:szCs w:val="18"/>
          <w:lang w:bidi="ar"/>
        </w:rPr>
        <w:t>0</w:t>
      </w:r>
      <w:r>
        <w:rPr>
          <w:rFonts w:hint="eastAsia" w:ascii="宋体" w:hAnsi="宋体" w:cs="宋体"/>
          <w:color w:val="000000"/>
          <w:kern w:val="0"/>
          <w:sz w:val="18"/>
          <w:szCs w:val="18"/>
          <w:lang w:bidi="ar"/>
        </w:rPr>
        <w:t>亿元及以上标准纳入。</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693"/>
        <w:gridCol w:w="3596"/>
        <w:gridCol w:w="1149"/>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000" w:type="pct"/>
            <w:gridSpan w:val="5"/>
            <w:tcBorders>
              <w:top w:val="nil"/>
              <w:left w:val="nil"/>
              <w:right w:val="nil"/>
            </w:tcBorders>
            <w:vAlign w:val="center"/>
          </w:tcPr>
          <w:p>
            <w:pPr>
              <w:widowControl/>
              <w:spacing w:line="560" w:lineRule="exact"/>
              <w:textAlignment w:val="center"/>
              <w:rPr>
                <w:rFonts w:cs="宋体"/>
                <w:b/>
                <w:kern w:val="0"/>
                <w:sz w:val="18"/>
                <w:szCs w:val="18"/>
              </w:rPr>
            </w:pPr>
            <w:r>
              <w:rPr>
                <w:rFonts w:hint="eastAsia" w:ascii="楷体_GB2312" w:hAnsi="楷体_GB2312" w:eastAsia="楷体_GB2312" w:cs="楷体_GB2312"/>
                <w:b/>
                <w:sz w:val="32"/>
                <w:szCs w:val="32"/>
              </w:rPr>
              <w:t>附件2：温州市商务发展“十四五”重大平台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63" w:type="pct"/>
            <w:vAlign w:val="center"/>
          </w:tcPr>
          <w:p>
            <w:pPr>
              <w:widowControl/>
              <w:spacing w:line="560" w:lineRule="exact"/>
              <w:jc w:val="center"/>
              <w:textAlignment w:val="center"/>
              <w:rPr>
                <w:rFonts w:cs="宋体"/>
                <w:b/>
                <w:kern w:val="0"/>
                <w:sz w:val="18"/>
                <w:szCs w:val="18"/>
              </w:rPr>
            </w:pPr>
            <w:r>
              <w:rPr>
                <w:rFonts w:hint="eastAsia" w:cs="宋体"/>
                <w:b/>
                <w:kern w:val="0"/>
                <w:sz w:val="18"/>
                <w:szCs w:val="18"/>
              </w:rPr>
              <w:t>序号</w:t>
            </w:r>
          </w:p>
        </w:tc>
        <w:tc>
          <w:tcPr>
            <w:tcW w:w="993" w:type="pct"/>
            <w:vAlign w:val="center"/>
          </w:tcPr>
          <w:p>
            <w:pPr>
              <w:widowControl/>
              <w:spacing w:line="560" w:lineRule="exact"/>
              <w:jc w:val="center"/>
              <w:textAlignment w:val="center"/>
              <w:rPr>
                <w:rFonts w:cs="宋体"/>
                <w:b/>
                <w:kern w:val="0"/>
                <w:sz w:val="18"/>
                <w:szCs w:val="18"/>
              </w:rPr>
            </w:pPr>
            <w:r>
              <w:rPr>
                <w:rFonts w:hint="eastAsia" w:cs="宋体"/>
                <w:b/>
                <w:kern w:val="0"/>
                <w:sz w:val="18"/>
                <w:szCs w:val="18"/>
              </w:rPr>
              <w:t>项目名称</w:t>
            </w:r>
          </w:p>
        </w:tc>
        <w:tc>
          <w:tcPr>
            <w:tcW w:w="2110" w:type="pct"/>
            <w:vAlign w:val="center"/>
          </w:tcPr>
          <w:p>
            <w:pPr>
              <w:widowControl/>
              <w:spacing w:line="560" w:lineRule="exact"/>
              <w:jc w:val="center"/>
              <w:textAlignment w:val="center"/>
              <w:rPr>
                <w:rFonts w:cs="宋体"/>
                <w:b/>
                <w:kern w:val="0"/>
                <w:sz w:val="18"/>
                <w:szCs w:val="18"/>
              </w:rPr>
            </w:pPr>
            <w:r>
              <w:rPr>
                <w:rFonts w:hint="eastAsia" w:cs="宋体"/>
                <w:b/>
                <w:kern w:val="0"/>
                <w:sz w:val="18"/>
                <w:szCs w:val="18"/>
              </w:rPr>
              <w:t>建设内容和规模</w:t>
            </w:r>
          </w:p>
        </w:tc>
        <w:tc>
          <w:tcPr>
            <w:tcW w:w="674" w:type="pct"/>
            <w:vAlign w:val="center"/>
          </w:tcPr>
          <w:p>
            <w:pPr>
              <w:widowControl/>
              <w:spacing w:line="560" w:lineRule="exact"/>
              <w:jc w:val="center"/>
              <w:textAlignment w:val="center"/>
              <w:rPr>
                <w:rFonts w:cs="宋体"/>
                <w:b/>
                <w:kern w:val="0"/>
                <w:sz w:val="18"/>
                <w:szCs w:val="18"/>
              </w:rPr>
            </w:pPr>
            <w:r>
              <w:rPr>
                <w:rFonts w:hint="eastAsia" w:cs="宋体"/>
                <w:b/>
                <w:kern w:val="0"/>
                <w:sz w:val="18"/>
                <w:szCs w:val="18"/>
              </w:rPr>
              <w:t>项目期限</w:t>
            </w:r>
          </w:p>
        </w:tc>
        <w:tc>
          <w:tcPr>
            <w:tcW w:w="860" w:type="pct"/>
            <w:vAlign w:val="center"/>
          </w:tcPr>
          <w:p>
            <w:pPr>
              <w:widowControl/>
              <w:spacing w:line="560" w:lineRule="exact"/>
              <w:jc w:val="center"/>
              <w:textAlignment w:val="center"/>
              <w:rPr>
                <w:rFonts w:cs="宋体"/>
                <w:b/>
                <w:kern w:val="0"/>
                <w:sz w:val="18"/>
                <w:szCs w:val="18"/>
              </w:rPr>
            </w:pPr>
            <w:r>
              <w:rPr>
                <w:rFonts w:hint="eastAsia" w:cs="宋体"/>
                <w:b/>
                <w:kern w:val="0"/>
                <w:sz w:val="18"/>
                <w:szCs w:val="18"/>
              </w:rPr>
              <w:t>组织实施单位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63" w:type="pct"/>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2"/>
              </w:numPr>
              <w:spacing w:line="240" w:lineRule="atLeast"/>
              <w:ind w:firstLineChars="0"/>
              <w:textAlignment w:val="center"/>
              <w:rPr>
                <w:rFonts w:cs="宋体"/>
                <w:kern w:val="0"/>
                <w:sz w:val="18"/>
                <w:szCs w:val="18"/>
              </w:rPr>
            </w:pPr>
          </w:p>
        </w:tc>
        <w:tc>
          <w:tcPr>
            <w:tcW w:w="993"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温州综合保税区</w:t>
            </w:r>
          </w:p>
        </w:tc>
        <w:tc>
          <w:tcPr>
            <w:tcW w:w="211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一期规划面</w:t>
            </w:r>
            <w:r>
              <w:rPr>
                <w:rFonts w:cs="宋体"/>
                <w:kern w:val="0"/>
                <w:sz w:val="18"/>
                <w:szCs w:val="18"/>
              </w:rPr>
              <w:t>积1747亩</w:t>
            </w:r>
            <w:r>
              <w:rPr>
                <w:rFonts w:hint="eastAsia" w:cs="宋体"/>
                <w:kern w:val="0"/>
                <w:sz w:val="18"/>
                <w:szCs w:val="18"/>
              </w:rPr>
              <w:t>，主要</w:t>
            </w:r>
            <w:r>
              <w:rPr>
                <w:rFonts w:cs="宋体"/>
                <w:kern w:val="0"/>
                <w:sz w:val="18"/>
                <w:szCs w:val="18"/>
              </w:rPr>
              <w:t>由海关监管基础设施</w:t>
            </w:r>
            <w:r>
              <w:rPr>
                <w:rFonts w:hint="eastAsia" w:cs="宋体"/>
                <w:kern w:val="0"/>
                <w:sz w:val="18"/>
                <w:szCs w:val="18"/>
              </w:rPr>
              <w:t>、跨境电</w:t>
            </w:r>
            <w:r>
              <w:rPr>
                <w:rFonts w:cs="宋体"/>
                <w:kern w:val="0"/>
                <w:sz w:val="18"/>
                <w:szCs w:val="18"/>
              </w:rPr>
              <w:t>商园、保税加工</w:t>
            </w:r>
            <w:r>
              <w:rPr>
                <w:rFonts w:hint="eastAsia" w:cs="宋体"/>
                <w:kern w:val="0"/>
                <w:sz w:val="18"/>
                <w:szCs w:val="18"/>
              </w:rPr>
              <w:t>中心、保税研</w:t>
            </w:r>
            <w:r>
              <w:rPr>
                <w:rFonts w:cs="宋体"/>
                <w:kern w:val="0"/>
                <w:sz w:val="18"/>
                <w:szCs w:val="18"/>
              </w:rPr>
              <w:t>发中心、保税</w:t>
            </w:r>
            <w:r>
              <w:rPr>
                <w:rFonts w:hint="eastAsia" w:cs="宋体"/>
                <w:kern w:val="0"/>
                <w:sz w:val="18"/>
                <w:szCs w:val="18"/>
              </w:rPr>
              <w:t>物流中心、</w:t>
            </w:r>
            <w:r>
              <w:rPr>
                <w:rFonts w:cs="宋体"/>
                <w:kern w:val="0"/>
                <w:sz w:val="18"/>
                <w:szCs w:val="18"/>
              </w:rPr>
              <w:t>综合服</w:t>
            </w:r>
            <w:r>
              <w:rPr>
                <w:rFonts w:hint="eastAsia" w:cs="宋体"/>
                <w:kern w:val="0"/>
                <w:sz w:val="18"/>
                <w:szCs w:val="18"/>
              </w:rPr>
              <w:t>务服务中心、工业拓展区等组成。</w:t>
            </w:r>
          </w:p>
        </w:tc>
        <w:tc>
          <w:tcPr>
            <w:tcW w:w="674"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2020-2028</w:t>
            </w: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瓯江口产业集聚区管委会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63" w:type="pct"/>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2"/>
              </w:numPr>
              <w:spacing w:line="240" w:lineRule="atLeast"/>
              <w:ind w:firstLineChars="0"/>
              <w:textAlignment w:val="center"/>
              <w:rPr>
                <w:rFonts w:cs="宋体"/>
                <w:kern w:val="0"/>
                <w:sz w:val="18"/>
                <w:szCs w:val="18"/>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中国（温州）跨境电子商务综合试验区</w:t>
            </w:r>
          </w:p>
        </w:tc>
        <w:tc>
          <w:tcPr>
            <w:tcW w:w="2110" w:type="pct"/>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rFonts w:hint="eastAsia"/>
                <w:kern w:val="0"/>
                <w:sz w:val="18"/>
                <w:szCs w:val="18"/>
              </w:rPr>
              <w:t>加快综试区两大平台、六大体系、六大模式、六大载体建设，加速形成集制造、交易、集货、支付、物流、结算、结汇等全产业链“闭环式”生态圈。新增1500家以上传统制造业和商贸业企业开展跨境电商业务，</w:t>
            </w:r>
            <w:r>
              <w:rPr>
                <w:kern w:val="0"/>
                <w:sz w:val="18"/>
                <w:szCs w:val="18"/>
              </w:rPr>
              <w:t>建成</w:t>
            </w:r>
            <w:r>
              <w:rPr>
                <w:rFonts w:hint="eastAsia"/>
                <w:kern w:val="0"/>
                <w:sz w:val="18"/>
                <w:szCs w:val="18"/>
              </w:rPr>
              <w:t>2</w:t>
            </w:r>
            <w:r>
              <w:rPr>
                <w:kern w:val="0"/>
                <w:sz w:val="18"/>
                <w:szCs w:val="18"/>
              </w:rPr>
              <w:t>0个跨境电商产业集群。</w:t>
            </w:r>
          </w:p>
        </w:tc>
        <w:tc>
          <w:tcPr>
            <w:tcW w:w="674"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2021-2025</w:t>
            </w: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63" w:type="pct"/>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2"/>
              </w:numPr>
              <w:spacing w:line="240" w:lineRule="atLeast"/>
              <w:ind w:firstLineChars="0"/>
              <w:textAlignment w:val="center"/>
              <w:rPr>
                <w:rFonts w:cs="宋体"/>
                <w:kern w:val="0"/>
                <w:sz w:val="18"/>
                <w:szCs w:val="18"/>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中国（浙江）自由贸易试验区温州联动创新区</w:t>
            </w:r>
          </w:p>
        </w:tc>
        <w:tc>
          <w:tcPr>
            <w:tcW w:w="2110" w:type="pct"/>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规划面积106.7平方公里，包括三个片区：瓯江口片区（38.2平方公里）、浙南片区（64.9平方公里）、鹿城片区（3.6平方公里）。</w:t>
            </w:r>
            <w:r>
              <w:rPr>
                <w:rFonts w:hint="eastAsia"/>
                <w:kern w:val="0"/>
                <w:sz w:val="18"/>
                <w:szCs w:val="18"/>
              </w:rPr>
              <w:t>瓯江口片区重点发展临港产业等产业，浙南片区发展高端装备、智能制造等产业，鹿城片区发展市场采购贸易，</w:t>
            </w:r>
            <w:r>
              <w:rPr>
                <w:kern w:val="0"/>
                <w:sz w:val="18"/>
                <w:szCs w:val="18"/>
              </w:rPr>
              <w:t>打造民营经济服务样板区、民营企业国际化示范区、侨商经济高质量发展高地</w:t>
            </w:r>
            <w:r>
              <w:rPr>
                <w:rFonts w:hint="eastAsia"/>
                <w:kern w:val="0"/>
                <w:sz w:val="18"/>
                <w:szCs w:val="18"/>
              </w:rPr>
              <w:t>。力争纳入浙江自由贸易试验区扩区范围。</w:t>
            </w:r>
          </w:p>
        </w:tc>
        <w:tc>
          <w:tcPr>
            <w:tcW w:w="674"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2021-2025</w:t>
            </w: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63" w:type="pct"/>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2"/>
              </w:numPr>
              <w:spacing w:line="240" w:lineRule="atLeast"/>
              <w:ind w:firstLineChars="0"/>
              <w:textAlignment w:val="center"/>
              <w:rPr>
                <w:rFonts w:cs="宋体"/>
                <w:kern w:val="0"/>
                <w:sz w:val="18"/>
                <w:szCs w:val="18"/>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rFonts w:hint="eastAsia"/>
                <w:kern w:val="0"/>
                <w:sz w:val="18"/>
                <w:szCs w:val="18"/>
              </w:rPr>
              <w:t>中国（温州）华商华侨综合发展先行区</w:t>
            </w:r>
          </w:p>
        </w:tc>
        <w:tc>
          <w:tcPr>
            <w:tcW w:w="2110" w:type="pct"/>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规划面积约270平方公里，规划建设“三区多园”。</w:t>
            </w:r>
            <w:r>
              <w:rPr>
                <w:rFonts w:hint="eastAsia"/>
                <w:kern w:val="0"/>
                <w:sz w:val="18"/>
                <w:szCs w:val="18"/>
              </w:rPr>
              <w:t>聚焦新材料、生命健康、数字经济、总部经济等产业，建设华商华侨回归创新中心、华商华侨总部企业园等创业创新平台。共同建设新型全球商圈，打造华商华侨进口商品“世界超市”。</w:t>
            </w:r>
          </w:p>
        </w:tc>
        <w:tc>
          <w:tcPr>
            <w:tcW w:w="674"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2021-2025</w:t>
            </w: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市发改委、市委统战部、市商务局、市投资促进局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63" w:type="pct"/>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2"/>
              </w:numPr>
              <w:spacing w:line="240" w:lineRule="atLeast"/>
              <w:ind w:firstLineChars="0"/>
              <w:textAlignment w:val="center"/>
              <w:rPr>
                <w:rFonts w:cs="宋体"/>
                <w:kern w:val="0"/>
                <w:sz w:val="18"/>
                <w:szCs w:val="18"/>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海峡两岸（温州）民营经济创新发展示范区</w:t>
            </w:r>
          </w:p>
        </w:tc>
        <w:tc>
          <w:tcPr>
            <w:tcW w:w="2110" w:type="pct"/>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rFonts w:hint="eastAsia"/>
                <w:kern w:val="0"/>
                <w:sz w:val="18"/>
                <w:szCs w:val="18"/>
              </w:rPr>
              <w:t>构建“3＋11＋N”平台体系。实施两岸产业、贸易、民智、文化、社会五大融合行动，全域建设“台青筑梦家园”，建设洞头两岸文化旅游交流合作区、乐清两岸先进制造业基地、苍南两岸民间资本市场准入先行区等3个重点平台，推进11个两岸创新创业合作特色平台建设，加快推进一批涉台优质项目落地建设。力争2025 年对台贸易总额达到8 亿美元。</w:t>
            </w:r>
          </w:p>
        </w:tc>
        <w:tc>
          <w:tcPr>
            <w:tcW w:w="674"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2021-2025</w:t>
            </w: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市委台办</w:t>
            </w:r>
          </w:p>
          <w:p>
            <w:pPr>
              <w:widowControl/>
              <w:spacing w:line="240" w:lineRule="atLeast"/>
              <w:jc w:val="center"/>
              <w:textAlignment w:val="center"/>
              <w:rPr>
                <w:rFonts w:cs="宋体"/>
                <w:kern w:val="0"/>
                <w:sz w:val="18"/>
                <w:szCs w:val="18"/>
              </w:rPr>
            </w:pPr>
            <w:r>
              <w:rPr>
                <w:rFonts w:hint="eastAsia" w:cs="宋体"/>
                <w:kern w:val="0"/>
                <w:sz w:val="18"/>
                <w:szCs w:val="18"/>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63" w:type="pct"/>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2"/>
              </w:numPr>
              <w:spacing w:line="240" w:lineRule="atLeast"/>
              <w:ind w:firstLineChars="0"/>
              <w:textAlignment w:val="center"/>
              <w:rPr>
                <w:rFonts w:cs="宋体"/>
                <w:kern w:val="0"/>
                <w:sz w:val="18"/>
                <w:szCs w:val="18"/>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温州（鹿城）市场采购贸易方式试点</w:t>
            </w:r>
          </w:p>
        </w:tc>
        <w:tc>
          <w:tcPr>
            <w:tcW w:w="2110" w:type="pct"/>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rFonts w:hint="eastAsia"/>
                <w:kern w:val="0"/>
                <w:sz w:val="18"/>
                <w:szCs w:val="18"/>
              </w:rPr>
              <w:t>建成投用环贸港项目。打造温州（鹿城）轻工产品交易中心市场集群。建成运营县（市、区）特色馆和侨贸展示交易平台。加快状元岙港区组货拼箱场所建设。推动阿里巴巴国际站与市场采购平台“双对接、双融合”。</w:t>
            </w:r>
            <w:r>
              <w:rPr>
                <w:rFonts w:hint="eastAsia"/>
              </w:rPr>
              <w:t xml:space="preserve"> </w:t>
            </w:r>
            <w:r>
              <w:rPr>
                <w:rFonts w:hint="eastAsia"/>
                <w:kern w:val="0"/>
                <w:sz w:val="18"/>
                <w:szCs w:val="18"/>
              </w:rPr>
              <w:t>实现市场采购贸易出口100 亿美元以上。</w:t>
            </w:r>
          </w:p>
        </w:tc>
        <w:tc>
          <w:tcPr>
            <w:tcW w:w="674"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2021-2025</w:t>
            </w: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63" w:type="pct"/>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2"/>
              </w:numPr>
              <w:spacing w:line="240" w:lineRule="atLeast"/>
              <w:ind w:firstLineChars="0"/>
              <w:textAlignment w:val="center"/>
              <w:rPr>
                <w:rFonts w:cs="宋体"/>
                <w:kern w:val="0"/>
                <w:sz w:val="18"/>
                <w:szCs w:val="18"/>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进口商品集散中心</w:t>
            </w:r>
          </w:p>
        </w:tc>
        <w:tc>
          <w:tcPr>
            <w:tcW w:w="21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kern w:val="0"/>
                <w:sz w:val="18"/>
                <w:szCs w:val="18"/>
              </w:rPr>
              <w:t>加快建设“一中心一基地多平台”。“一中心”即全球商品贸易港，“一基地”即瓯江口物流基地，“多平台”分别为瑞安侨贸小镇、文成县欧陆风情街等。申报国家进口贸易促进创新示范区</w:t>
            </w:r>
            <w:r>
              <w:rPr>
                <w:rFonts w:hint="eastAsia" w:ascii="宋体" w:hAnsi="宋体" w:cs="宋体"/>
                <w:sz w:val="18"/>
                <w:szCs w:val="18"/>
              </w:rPr>
              <w:t>。重点推进核心区全球商品贸易港建设，加快进口商品交易市场建设。实现核心区全球贸易港进口100亿元。</w:t>
            </w:r>
          </w:p>
        </w:tc>
        <w:tc>
          <w:tcPr>
            <w:tcW w:w="674"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2021-2025</w:t>
            </w: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63" w:type="pct"/>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2"/>
              </w:numPr>
              <w:spacing w:line="240" w:lineRule="atLeast"/>
              <w:ind w:firstLineChars="0"/>
              <w:jc w:val="center"/>
              <w:textAlignment w:val="center"/>
              <w:rPr>
                <w:rFonts w:cs="宋体"/>
                <w:kern w:val="0"/>
                <w:sz w:val="18"/>
                <w:szCs w:val="18"/>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kern w:val="0"/>
                <w:sz w:val="18"/>
                <w:szCs w:val="18"/>
              </w:rPr>
              <w:t>义新欧班列</w:t>
            </w:r>
            <w:r>
              <w:rPr>
                <w:rFonts w:hint="eastAsia"/>
                <w:kern w:val="0"/>
                <w:sz w:val="18"/>
                <w:szCs w:val="18"/>
              </w:rPr>
              <w:t>“温州号”</w:t>
            </w:r>
          </w:p>
        </w:tc>
        <w:tc>
          <w:tcPr>
            <w:tcW w:w="211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kern w:val="0"/>
                <w:sz w:val="18"/>
                <w:szCs w:val="18"/>
              </w:rPr>
              <w:t>“义新欧”班列温州监管作业场所</w:t>
            </w:r>
            <w:r>
              <w:rPr>
                <w:rFonts w:hint="eastAsia"/>
                <w:kern w:val="0"/>
                <w:sz w:val="18"/>
                <w:szCs w:val="18"/>
              </w:rPr>
              <w:t>位于金温铁路温州货运西站北侧，总用地面积16481平方米，建筑面积4104平方米。</w:t>
            </w:r>
            <w:r>
              <w:rPr>
                <w:rFonts w:hint="eastAsia" w:ascii="宋体" w:hAnsi="宋体" w:cs="宋体"/>
                <w:sz w:val="18"/>
                <w:szCs w:val="18"/>
              </w:rPr>
              <w:t>推动义新欧班列“温州号”班列市场化运营。组建货源信息平台、班列物流联盟，将运营服务直接延伸到货源地，拓展回程货物进口业务。五年累计完成义新欧班列“温州号”200 列以上。</w:t>
            </w:r>
          </w:p>
        </w:tc>
        <w:tc>
          <w:tcPr>
            <w:tcW w:w="674"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2021-2025</w:t>
            </w: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63" w:type="pct"/>
            <w:tcBorders>
              <w:top w:val="single" w:color="auto" w:sz="4" w:space="0"/>
              <w:left w:val="single" w:color="auto" w:sz="4" w:space="0"/>
              <w:bottom w:val="single" w:color="auto" w:sz="4" w:space="0"/>
              <w:right w:val="single" w:color="auto" w:sz="4" w:space="0"/>
            </w:tcBorders>
            <w:vAlign w:val="center"/>
          </w:tcPr>
          <w:p>
            <w:pPr>
              <w:pStyle w:val="38"/>
              <w:widowControl/>
              <w:numPr>
                <w:ilvl w:val="0"/>
                <w:numId w:val="2"/>
              </w:numPr>
              <w:spacing w:line="240" w:lineRule="atLeast"/>
              <w:ind w:firstLineChars="0"/>
              <w:jc w:val="center"/>
              <w:textAlignment w:val="center"/>
              <w:rPr>
                <w:rFonts w:cs="宋体"/>
                <w:kern w:val="0"/>
                <w:sz w:val="18"/>
                <w:szCs w:val="18"/>
              </w:rPr>
            </w:pPr>
          </w:p>
        </w:tc>
        <w:tc>
          <w:tcPr>
            <w:tcW w:w="993" w:type="pct"/>
            <w:tcBorders>
              <w:top w:val="single" w:color="auto" w:sz="4" w:space="0"/>
              <w:left w:val="single" w:color="auto" w:sz="4" w:space="0"/>
              <w:bottom w:val="single" w:color="auto" w:sz="4" w:space="0"/>
              <w:right w:val="single" w:color="auto" w:sz="4" w:space="0"/>
            </w:tcBorders>
            <w:vAlign w:val="center"/>
          </w:tcPr>
          <w:p>
            <w:pPr>
              <w:jc w:val="center"/>
              <w:rPr>
                <w:kern w:val="0"/>
                <w:sz w:val="18"/>
                <w:szCs w:val="18"/>
              </w:rPr>
            </w:pPr>
            <w:r>
              <w:rPr>
                <w:rFonts w:hint="eastAsia"/>
                <w:sz w:val="18"/>
              </w:rPr>
              <w:t>特色消费街区平台</w:t>
            </w:r>
          </w:p>
        </w:tc>
        <w:tc>
          <w:tcPr>
            <w:tcW w:w="2110" w:type="pct"/>
            <w:tcBorders>
              <w:top w:val="single" w:color="auto" w:sz="4" w:space="0"/>
              <w:left w:val="single" w:color="auto" w:sz="4" w:space="0"/>
              <w:bottom w:val="single" w:color="auto" w:sz="4" w:space="0"/>
              <w:right w:val="single" w:color="auto" w:sz="4" w:space="0"/>
            </w:tcBorders>
          </w:tcPr>
          <w:p>
            <w:pPr>
              <w:jc w:val="center"/>
              <w:rPr>
                <w:sz w:val="18"/>
              </w:rPr>
            </w:pPr>
            <w:r>
              <w:rPr>
                <w:rFonts w:hint="eastAsia"/>
                <w:sz w:val="18"/>
              </w:rPr>
              <w:t>推动五</w:t>
            </w:r>
            <w:r>
              <w:rPr>
                <w:sz w:val="18"/>
              </w:rPr>
              <w:t>马</w:t>
            </w:r>
            <w:r>
              <w:rPr>
                <w:rFonts w:eastAsia="Times New Roman"/>
                <w:sz w:val="18"/>
              </w:rPr>
              <w:t>-</w:t>
            </w:r>
            <w:r>
              <w:rPr>
                <w:sz w:val="18"/>
              </w:rPr>
              <w:t>禅街、纱帽河女人街、南塘风貌街、</w:t>
            </w:r>
            <w:r>
              <w:rPr>
                <w:rFonts w:ascii="宋体" w:hAnsi="宋体" w:cs="宋体"/>
                <w:sz w:val="18"/>
                <w:szCs w:val="18"/>
              </w:rPr>
              <w:t>瓯海中心区步行街区</w:t>
            </w:r>
            <w:r>
              <w:rPr>
                <w:sz w:val="18"/>
              </w:rPr>
              <w:t>、瑞安忠义街省级高品质步行街、雁荡山特色旅游文化街、洞头小石屋海鲜小吃街、飞云江北岸月光经济街区等</w:t>
            </w:r>
            <w:r>
              <w:rPr>
                <w:rFonts w:hint="eastAsia"/>
                <w:sz w:val="18"/>
              </w:rPr>
              <w:t>改造提升，</w:t>
            </w:r>
            <w:r>
              <w:rPr>
                <w:sz w:val="18"/>
              </w:rPr>
              <w:t>建成</w:t>
            </w:r>
            <w:r>
              <w:rPr>
                <w:rFonts w:hint="eastAsia"/>
                <w:sz w:val="18"/>
              </w:rPr>
              <w:t>国家级高品质步行街1条，</w:t>
            </w:r>
            <w:r>
              <w:rPr>
                <w:sz w:val="18"/>
              </w:rPr>
              <w:t xml:space="preserve">省级高品质步行街 </w:t>
            </w:r>
            <w:r>
              <w:rPr>
                <w:rFonts w:eastAsia="Times New Roman"/>
                <w:sz w:val="18"/>
              </w:rPr>
              <w:t xml:space="preserve">3 </w:t>
            </w:r>
            <w:r>
              <w:rPr>
                <w:sz w:val="18"/>
              </w:rPr>
              <w:t>条，市级著名商业街区</w:t>
            </w:r>
            <w:r>
              <w:rPr>
                <w:rFonts w:eastAsia="Times New Roman"/>
                <w:sz w:val="18"/>
              </w:rPr>
              <w:t xml:space="preserve">8 </w:t>
            </w:r>
            <w:r>
              <w:rPr>
                <w:sz w:val="18"/>
              </w:rPr>
              <w:t>条</w:t>
            </w:r>
            <w:r>
              <w:rPr>
                <w:rFonts w:hint="eastAsia"/>
                <w:sz w:val="18"/>
              </w:rPr>
              <w:t>，商贸特色镇5个。挂牌1</w:t>
            </w:r>
            <w:r>
              <w:rPr>
                <w:sz w:val="18"/>
              </w:rPr>
              <w:t>0</w:t>
            </w:r>
            <w:r>
              <w:rPr>
                <w:rFonts w:hint="eastAsia"/>
                <w:sz w:val="18"/>
              </w:rPr>
              <w:t>条“温州美食”街区，打造1</w:t>
            </w:r>
            <w:r>
              <w:rPr>
                <w:sz w:val="18"/>
              </w:rPr>
              <w:t>0</w:t>
            </w:r>
            <w:r>
              <w:rPr>
                <w:rFonts w:hint="eastAsia"/>
                <w:sz w:val="18"/>
              </w:rPr>
              <w:t>个区域网红打卡地，招引1</w:t>
            </w:r>
            <w:r>
              <w:rPr>
                <w:sz w:val="18"/>
              </w:rPr>
              <w:t>00</w:t>
            </w:r>
            <w:r>
              <w:rPr>
                <w:rFonts w:hint="eastAsia"/>
                <w:sz w:val="18"/>
              </w:rPr>
              <w:t>家国际化、旗舰型品牌店铺，发展1</w:t>
            </w:r>
            <w:r>
              <w:rPr>
                <w:sz w:val="18"/>
              </w:rPr>
              <w:t>000</w:t>
            </w:r>
            <w:r>
              <w:rPr>
                <w:rFonts w:hint="eastAsia"/>
                <w:sz w:val="18"/>
              </w:rPr>
              <w:t>家特色小店。</w:t>
            </w:r>
          </w:p>
        </w:tc>
        <w:tc>
          <w:tcPr>
            <w:tcW w:w="674"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2</w:t>
            </w:r>
            <w:r>
              <w:rPr>
                <w:rFonts w:cs="宋体"/>
                <w:kern w:val="0"/>
                <w:sz w:val="18"/>
                <w:szCs w:val="18"/>
              </w:rPr>
              <w:t>021-2025</w:t>
            </w: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cs="宋体"/>
                <w:kern w:val="0"/>
                <w:sz w:val="18"/>
                <w:szCs w:val="18"/>
              </w:rPr>
            </w:pPr>
            <w:r>
              <w:rPr>
                <w:rFonts w:hint="eastAsia" w:cs="宋体"/>
                <w:kern w:val="0"/>
                <w:sz w:val="18"/>
                <w:szCs w:val="18"/>
              </w:rPr>
              <w:t>市商务局</w:t>
            </w:r>
          </w:p>
        </w:tc>
      </w:tr>
    </w:tbl>
    <w:p>
      <w:pPr>
        <w:spacing w:line="560" w:lineRule="exact"/>
        <w:ind w:firstLine="600" w:firstLineChars="200"/>
        <w:rPr>
          <w:rFonts w:ascii="仿宋_GB2312" w:eastAsia="仿宋_GB2312"/>
          <w:sz w:val="30"/>
          <w:szCs w:val="30"/>
        </w:rPr>
      </w:pP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MingLiU">
    <w:panose1 w:val="02020509000000000000"/>
    <w:charset w:val="88"/>
    <w:family w:val="modern"/>
    <w:pitch w:val="default"/>
    <w:sig w:usb0="A00002FF" w:usb1="28CFFCFA" w:usb2="00000016" w:usb3="00000000" w:csb0="00100001"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创艺简标宋">
    <w:altName w:val="方正小标宋简体"/>
    <w:panose1 w:val="020B0604020202020204"/>
    <w:charset w:val="80"/>
    <w:family w:val="auto"/>
    <w:pitch w:val="default"/>
    <w:sig w:usb0="00000000" w:usb1="00000000" w:usb2="00000016" w:usb3="00000000" w:csb0="00020001" w:csb1="00000000"/>
  </w:font>
  <w:font w:name="方正小标宋简体">
    <w:panose1 w:val="03000509000000000000"/>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ngXian">
    <w:altName w:val="宋体"/>
    <w:panose1 w:val="02010600030101010101"/>
    <w:charset w:val="86"/>
    <w:family w:val="auto"/>
    <w:pitch w:val="default"/>
    <w:sig w:usb0="00000000" w:usb1="00000000" w:usb2="00000016" w:usb3="00000000" w:csb0="0004000F" w:csb1="00000000"/>
  </w:font>
  <w:font w:name="Ü´_¶'3">
    <w:altName w:val="Calibri"/>
    <w:panose1 w:val="020B0604020202020204"/>
    <w:charset w:val="4D"/>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45</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CB460E"/>
    <w:multiLevelType w:val="multilevel"/>
    <w:tmpl w:val="1CCB460E"/>
    <w:lvl w:ilvl="0" w:tentative="0">
      <w:start w:val="1"/>
      <w:numFmt w:val="decimal"/>
      <w:lvlText w:val="%1 "/>
      <w:lvlJc w:val="center"/>
      <w:pPr>
        <w:ind w:left="415" w:hanging="132"/>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FEC11BB"/>
    <w:multiLevelType w:val="multilevel"/>
    <w:tmpl w:val="3FEC11BB"/>
    <w:lvl w:ilvl="0" w:tentative="0">
      <w:start w:val="1"/>
      <w:numFmt w:val="decimal"/>
      <w:lvlText w:val="%1 "/>
      <w:lvlJc w:val="center"/>
      <w:pPr>
        <w:ind w:left="415" w:hanging="132"/>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26"/>
    <w:rsid w:val="0000251F"/>
    <w:rsid w:val="00002997"/>
    <w:rsid w:val="00007DE0"/>
    <w:rsid w:val="0001481E"/>
    <w:rsid w:val="000149C2"/>
    <w:rsid w:val="00015878"/>
    <w:rsid w:val="00022DD5"/>
    <w:rsid w:val="00023598"/>
    <w:rsid w:val="000235D9"/>
    <w:rsid w:val="000237EE"/>
    <w:rsid w:val="00024366"/>
    <w:rsid w:val="00024823"/>
    <w:rsid w:val="00024DD3"/>
    <w:rsid w:val="00025E7B"/>
    <w:rsid w:val="00026DA0"/>
    <w:rsid w:val="00026FE3"/>
    <w:rsid w:val="00027576"/>
    <w:rsid w:val="000312C0"/>
    <w:rsid w:val="00032A4E"/>
    <w:rsid w:val="00033512"/>
    <w:rsid w:val="000342CA"/>
    <w:rsid w:val="00034FFB"/>
    <w:rsid w:val="000378EF"/>
    <w:rsid w:val="00037CAF"/>
    <w:rsid w:val="000418B6"/>
    <w:rsid w:val="00042554"/>
    <w:rsid w:val="00044766"/>
    <w:rsid w:val="000449D3"/>
    <w:rsid w:val="00047276"/>
    <w:rsid w:val="00047D6E"/>
    <w:rsid w:val="0005172E"/>
    <w:rsid w:val="00052A74"/>
    <w:rsid w:val="000536B4"/>
    <w:rsid w:val="00053B73"/>
    <w:rsid w:val="00055A83"/>
    <w:rsid w:val="000566E5"/>
    <w:rsid w:val="00057078"/>
    <w:rsid w:val="00057AB4"/>
    <w:rsid w:val="00060795"/>
    <w:rsid w:val="0006247A"/>
    <w:rsid w:val="0006379D"/>
    <w:rsid w:val="000647B8"/>
    <w:rsid w:val="00065B64"/>
    <w:rsid w:val="000667BB"/>
    <w:rsid w:val="00066D54"/>
    <w:rsid w:val="0007076C"/>
    <w:rsid w:val="00070774"/>
    <w:rsid w:val="00071290"/>
    <w:rsid w:val="00071390"/>
    <w:rsid w:val="0007143A"/>
    <w:rsid w:val="0007237B"/>
    <w:rsid w:val="0007283B"/>
    <w:rsid w:val="0007303A"/>
    <w:rsid w:val="0007394B"/>
    <w:rsid w:val="000759E3"/>
    <w:rsid w:val="0007797C"/>
    <w:rsid w:val="00082347"/>
    <w:rsid w:val="00083AB5"/>
    <w:rsid w:val="00084CA7"/>
    <w:rsid w:val="00085D6A"/>
    <w:rsid w:val="00086039"/>
    <w:rsid w:val="0009016D"/>
    <w:rsid w:val="00090A76"/>
    <w:rsid w:val="00092002"/>
    <w:rsid w:val="0009270E"/>
    <w:rsid w:val="000979D1"/>
    <w:rsid w:val="000A0129"/>
    <w:rsid w:val="000A1EBE"/>
    <w:rsid w:val="000A3713"/>
    <w:rsid w:val="000A4003"/>
    <w:rsid w:val="000A4C5D"/>
    <w:rsid w:val="000A67BA"/>
    <w:rsid w:val="000A6EDF"/>
    <w:rsid w:val="000A71B8"/>
    <w:rsid w:val="000A73D1"/>
    <w:rsid w:val="000A7A0C"/>
    <w:rsid w:val="000A7ACC"/>
    <w:rsid w:val="000B03B1"/>
    <w:rsid w:val="000B0545"/>
    <w:rsid w:val="000B121F"/>
    <w:rsid w:val="000B1A75"/>
    <w:rsid w:val="000B25CD"/>
    <w:rsid w:val="000B2854"/>
    <w:rsid w:val="000B40BA"/>
    <w:rsid w:val="000B430E"/>
    <w:rsid w:val="000B49B9"/>
    <w:rsid w:val="000B4D65"/>
    <w:rsid w:val="000C1B14"/>
    <w:rsid w:val="000C2BBD"/>
    <w:rsid w:val="000C3826"/>
    <w:rsid w:val="000C3C08"/>
    <w:rsid w:val="000C46B2"/>
    <w:rsid w:val="000C4769"/>
    <w:rsid w:val="000C4A89"/>
    <w:rsid w:val="000C4C44"/>
    <w:rsid w:val="000C5123"/>
    <w:rsid w:val="000C6249"/>
    <w:rsid w:val="000C68A8"/>
    <w:rsid w:val="000C71B6"/>
    <w:rsid w:val="000C78A2"/>
    <w:rsid w:val="000D0C87"/>
    <w:rsid w:val="000D0F6E"/>
    <w:rsid w:val="000D2E45"/>
    <w:rsid w:val="000D3723"/>
    <w:rsid w:val="000D561D"/>
    <w:rsid w:val="000D5BA1"/>
    <w:rsid w:val="000E0024"/>
    <w:rsid w:val="000E1086"/>
    <w:rsid w:val="000E146D"/>
    <w:rsid w:val="000E2241"/>
    <w:rsid w:val="000E287F"/>
    <w:rsid w:val="000E3A46"/>
    <w:rsid w:val="000E5C22"/>
    <w:rsid w:val="000E635F"/>
    <w:rsid w:val="000E71C1"/>
    <w:rsid w:val="000F23D2"/>
    <w:rsid w:val="000F2A14"/>
    <w:rsid w:val="000F2C0F"/>
    <w:rsid w:val="000F2C40"/>
    <w:rsid w:val="000F3D58"/>
    <w:rsid w:val="000F3EFA"/>
    <w:rsid w:val="000F48A2"/>
    <w:rsid w:val="000F4A19"/>
    <w:rsid w:val="000F4FF7"/>
    <w:rsid w:val="000F55BC"/>
    <w:rsid w:val="000F5FAF"/>
    <w:rsid w:val="000F614F"/>
    <w:rsid w:val="000F6202"/>
    <w:rsid w:val="000F7210"/>
    <w:rsid w:val="00103FB1"/>
    <w:rsid w:val="00104062"/>
    <w:rsid w:val="0010646A"/>
    <w:rsid w:val="0010687E"/>
    <w:rsid w:val="00110050"/>
    <w:rsid w:val="0011104D"/>
    <w:rsid w:val="00111ED3"/>
    <w:rsid w:val="001139AC"/>
    <w:rsid w:val="0011448F"/>
    <w:rsid w:val="00116004"/>
    <w:rsid w:val="00117C49"/>
    <w:rsid w:val="00117FAA"/>
    <w:rsid w:val="00121623"/>
    <w:rsid w:val="0012171E"/>
    <w:rsid w:val="00122480"/>
    <w:rsid w:val="001248B5"/>
    <w:rsid w:val="001248C2"/>
    <w:rsid w:val="0012528B"/>
    <w:rsid w:val="00126461"/>
    <w:rsid w:val="00126725"/>
    <w:rsid w:val="001303C0"/>
    <w:rsid w:val="00131A5D"/>
    <w:rsid w:val="001342D9"/>
    <w:rsid w:val="001345AB"/>
    <w:rsid w:val="00141162"/>
    <w:rsid w:val="001434DE"/>
    <w:rsid w:val="001444E9"/>
    <w:rsid w:val="00145364"/>
    <w:rsid w:val="00145F46"/>
    <w:rsid w:val="00146FE5"/>
    <w:rsid w:val="0014742C"/>
    <w:rsid w:val="0014747D"/>
    <w:rsid w:val="00150030"/>
    <w:rsid w:val="001507FE"/>
    <w:rsid w:val="00150C60"/>
    <w:rsid w:val="0015284E"/>
    <w:rsid w:val="0015423B"/>
    <w:rsid w:val="00155324"/>
    <w:rsid w:val="00155B9A"/>
    <w:rsid w:val="00156063"/>
    <w:rsid w:val="001569C9"/>
    <w:rsid w:val="00156BD4"/>
    <w:rsid w:val="0015779A"/>
    <w:rsid w:val="001604ED"/>
    <w:rsid w:val="00161479"/>
    <w:rsid w:val="0016178D"/>
    <w:rsid w:val="001618DF"/>
    <w:rsid w:val="00161C46"/>
    <w:rsid w:val="00163D38"/>
    <w:rsid w:val="00164038"/>
    <w:rsid w:val="0016480B"/>
    <w:rsid w:val="00170FFB"/>
    <w:rsid w:val="0017158F"/>
    <w:rsid w:val="001747BB"/>
    <w:rsid w:val="001753B8"/>
    <w:rsid w:val="001754B3"/>
    <w:rsid w:val="001759DA"/>
    <w:rsid w:val="00180456"/>
    <w:rsid w:val="00180C95"/>
    <w:rsid w:val="001819DE"/>
    <w:rsid w:val="00182530"/>
    <w:rsid w:val="00185CEB"/>
    <w:rsid w:val="001870B2"/>
    <w:rsid w:val="001870E8"/>
    <w:rsid w:val="00190873"/>
    <w:rsid w:val="00192E89"/>
    <w:rsid w:val="00194885"/>
    <w:rsid w:val="001960C8"/>
    <w:rsid w:val="00196142"/>
    <w:rsid w:val="00197C48"/>
    <w:rsid w:val="001A0416"/>
    <w:rsid w:val="001A0F12"/>
    <w:rsid w:val="001A20D7"/>
    <w:rsid w:val="001A2582"/>
    <w:rsid w:val="001A262E"/>
    <w:rsid w:val="001A2F41"/>
    <w:rsid w:val="001A3E17"/>
    <w:rsid w:val="001A4A51"/>
    <w:rsid w:val="001A4BCA"/>
    <w:rsid w:val="001A60BB"/>
    <w:rsid w:val="001A60FE"/>
    <w:rsid w:val="001A7B3E"/>
    <w:rsid w:val="001B00E1"/>
    <w:rsid w:val="001B1AE8"/>
    <w:rsid w:val="001B2392"/>
    <w:rsid w:val="001B44A2"/>
    <w:rsid w:val="001B4B6C"/>
    <w:rsid w:val="001B4D5F"/>
    <w:rsid w:val="001B500E"/>
    <w:rsid w:val="001B586E"/>
    <w:rsid w:val="001C17FD"/>
    <w:rsid w:val="001C1B4C"/>
    <w:rsid w:val="001C1DCD"/>
    <w:rsid w:val="001C2C82"/>
    <w:rsid w:val="001C2FB2"/>
    <w:rsid w:val="001C4283"/>
    <w:rsid w:val="001C5096"/>
    <w:rsid w:val="001C5E55"/>
    <w:rsid w:val="001C66C6"/>
    <w:rsid w:val="001C6D64"/>
    <w:rsid w:val="001C73BB"/>
    <w:rsid w:val="001C753A"/>
    <w:rsid w:val="001D06A5"/>
    <w:rsid w:val="001D1629"/>
    <w:rsid w:val="001D177A"/>
    <w:rsid w:val="001D186A"/>
    <w:rsid w:val="001D1B74"/>
    <w:rsid w:val="001D27E0"/>
    <w:rsid w:val="001D3055"/>
    <w:rsid w:val="001D684A"/>
    <w:rsid w:val="001D7CFF"/>
    <w:rsid w:val="001D7E69"/>
    <w:rsid w:val="001E173C"/>
    <w:rsid w:val="001E64F0"/>
    <w:rsid w:val="001E7D6C"/>
    <w:rsid w:val="001F04E4"/>
    <w:rsid w:val="001F05E3"/>
    <w:rsid w:val="001F1BD3"/>
    <w:rsid w:val="001F2313"/>
    <w:rsid w:val="001F2737"/>
    <w:rsid w:val="001F36A7"/>
    <w:rsid w:val="001F3CE7"/>
    <w:rsid w:val="001F4167"/>
    <w:rsid w:val="001F4D67"/>
    <w:rsid w:val="001F5011"/>
    <w:rsid w:val="001F5133"/>
    <w:rsid w:val="0020052B"/>
    <w:rsid w:val="002005FC"/>
    <w:rsid w:val="0020102F"/>
    <w:rsid w:val="00201794"/>
    <w:rsid w:val="002017EE"/>
    <w:rsid w:val="0020180C"/>
    <w:rsid w:val="00202BFB"/>
    <w:rsid w:val="0020348E"/>
    <w:rsid w:val="00205C0A"/>
    <w:rsid w:val="00205DEA"/>
    <w:rsid w:val="00207A97"/>
    <w:rsid w:val="00211808"/>
    <w:rsid w:val="00211A9A"/>
    <w:rsid w:val="00213D49"/>
    <w:rsid w:val="002153C8"/>
    <w:rsid w:val="0021638D"/>
    <w:rsid w:val="00216FFF"/>
    <w:rsid w:val="00217728"/>
    <w:rsid w:val="00217745"/>
    <w:rsid w:val="0021778B"/>
    <w:rsid w:val="0022204C"/>
    <w:rsid w:val="0022334A"/>
    <w:rsid w:val="0022511D"/>
    <w:rsid w:val="00225324"/>
    <w:rsid w:val="00225BA0"/>
    <w:rsid w:val="00226258"/>
    <w:rsid w:val="002275FD"/>
    <w:rsid w:val="002277D7"/>
    <w:rsid w:val="0023039C"/>
    <w:rsid w:val="002312C3"/>
    <w:rsid w:val="0023406D"/>
    <w:rsid w:val="0023495E"/>
    <w:rsid w:val="00234D39"/>
    <w:rsid w:val="00235F9B"/>
    <w:rsid w:val="00236DCD"/>
    <w:rsid w:val="00237457"/>
    <w:rsid w:val="0024011C"/>
    <w:rsid w:val="002403F5"/>
    <w:rsid w:val="00240B48"/>
    <w:rsid w:val="0024350A"/>
    <w:rsid w:val="00243BC3"/>
    <w:rsid w:val="00244D9D"/>
    <w:rsid w:val="00245441"/>
    <w:rsid w:val="00246047"/>
    <w:rsid w:val="00247056"/>
    <w:rsid w:val="00247519"/>
    <w:rsid w:val="00252291"/>
    <w:rsid w:val="0025237B"/>
    <w:rsid w:val="00252FBB"/>
    <w:rsid w:val="0025429F"/>
    <w:rsid w:val="002543DB"/>
    <w:rsid w:val="0025479D"/>
    <w:rsid w:val="00254EF3"/>
    <w:rsid w:val="00255C71"/>
    <w:rsid w:val="00256A43"/>
    <w:rsid w:val="00256AFA"/>
    <w:rsid w:val="00257899"/>
    <w:rsid w:val="00260042"/>
    <w:rsid w:val="00260414"/>
    <w:rsid w:val="00261F8B"/>
    <w:rsid w:val="002628CE"/>
    <w:rsid w:val="00262F02"/>
    <w:rsid w:val="002637A3"/>
    <w:rsid w:val="0026383F"/>
    <w:rsid w:val="0026408B"/>
    <w:rsid w:val="002659DD"/>
    <w:rsid w:val="00265FCC"/>
    <w:rsid w:val="00266131"/>
    <w:rsid w:val="0027020A"/>
    <w:rsid w:val="002709DE"/>
    <w:rsid w:val="0027165C"/>
    <w:rsid w:val="002718C2"/>
    <w:rsid w:val="00272F6D"/>
    <w:rsid w:val="00273788"/>
    <w:rsid w:val="00274802"/>
    <w:rsid w:val="00274A1A"/>
    <w:rsid w:val="00274F1C"/>
    <w:rsid w:val="00275C0B"/>
    <w:rsid w:val="00276499"/>
    <w:rsid w:val="00276D0E"/>
    <w:rsid w:val="002771BE"/>
    <w:rsid w:val="00277499"/>
    <w:rsid w:val="0027781A"/>
    <w:rsid w:val="00280F88"/>
    <w:rsid w:val="002811BB"/>
    <w:rsid w:val="00281B3C"/>
    <w:rsid w:val="00281FC3"/>
    <w:rsid w:val="0028233D"/>
    <w:rsid w:val="00283866"/>
    <w:rsid w:val="002840BD"/>
    <w:rsid w:val="002872E5"/>
    <w:rsid w:val="00287774"/>
    <w:rsid w:val="00287DA8"/>
    <w:rsid w:val="00290809"/>
    <w:rsid w:val="0029204D"/>
    <w:rsid w:val="002927E0"/>
    <w:rsid w:val="00293815"/>
    <w:rsid w:val="00294B9F"/>
    <w:rsid w:val="002A2E3C"/>
    <w:rsid w:val="002A4084"/>
    <w:rsid w:val="002A43A0"/>
    <w:rsid w:val="002A70FD"/>
    <w:rsid w:val="002B0D91"/>
    <w:rsid w:val="002B1022"/>
    <w:rsid w:val="002B1B9C"/>
    <w:rsid w:val="002B1E45"/>
    <w:rsid w:val="002B2E4E"/>
    <w:rsid w:val="002B33DE"/>
    <w:rsid w:val="002B417C"/>
    <w:rsid w:val="002B501A"/>
    <w:rsid w:val="002B572C"/>
    <w:rsid w:val="002C0BA8"/>
    <w:rsid w:val="002C107C"/>
    <w:rsid w:val="002C16F2"/>
    <w:rsid w:val="002C1AED"/>
    <w:rsid w:val="002C1C23"/>
    <w:rsid w:val="002C33AB"/>
    <w:rsid w:val="002C362E"/>
    <w:rsid w:val="002C67BA"/>
    <w:rsid w:val="002C6917"/>
    <w:rsid w:val="002D0848"/>
    <w:rsid w:val="002D17F5"/>
    <w:rsid w:val="002D3A13"/>
    <w:rsid w:val="002D3D80"/>
    <w:rsid w:val="002D5843"/>
    <w:rsid w:val="002D63A0"/>
    <w:rsid w:val="002D70DA"/>
    <w:rsid w:val="002E0D7B"/>
    <w:rsid w:val="002E1352"/>
    <w:rsid w:val="002E1D82"/>
    <w:rsid w:val="002E6C07"/>
    <w:rsid w:val="002E7FDC"/>
    <w:rsid w:val="002F0412"/>
    <w:rsid w:val="002F2805"/>
    <w:rsid w:val="002F2E5B"/>
    <w:rsid w:val="002F36E0"/>
    <w:rsid w:val="002F436B"/>
    <w:rsid w:val="002F4470"/>
    <w:rsid w:val="002F62CD"/>
    <w:rsid w:val="002F7B52"/>
    <w:rsid w:val="002F7D46"/>
    <w:rsid w:val="0030013D"/>
    <w:rsid w:val="00303D62"/>
    <w:rsid w:val="00304B44"/>
    <w:rsid w:val="003054C3"/>
    <w:rsid w:val="00305B49"/>
    <w:rsid w:val="00305DCA"/>
    <w:rsid w:val="00306570"/>
    <w:rsid w:val="0030788B"/>
    <w:rsid w:val="00310E16"/>
    <w:rsid w:val="003117B1"/>
    <w:rsid w:val="00312EDE"/>
    <w:rsid w:val="00313706"/>
    <w:rsid w:val="00315EA9"/>
    <w:rsid w:val="00316705"/>
    <w:rsid w:val="003234BA"/>
    <w:rsid w:val="00323EAE"/>
    <w:rsid w:val="003250F3"/>
    <w:rsid w:val="00325F7D"/>
    <w:rsid w:val="003270D6"/>
    <w:rsid w:val="0032728E"/>
    <w:rsid w:val="00327B2F"/>
    <w:rsid w:val="0033084A"/>
    <w:rsid w:val="00331F77"/>
    <w:rsid w:val="003322DA"/>
    <w:rsid w:val="00332684"/>
    <w:rsid w:val="00332AD9"/>
    <w:rsid w:val="00335274"/>
    <w:rsid w:val="0033687A"/>
    <w:rsid w:val="00336E42"/>
    <w:rsid w:val="00337590"/>
    <w:rsid w:val="00337FE1"/>
    <w:rsid w:val="00340417"/>
    <w:rsid w:val="003408C7"/>
    <w:rsid w:val="00341767"/>
    <w:rsid w:val="00342BFC"/>
    <w:rsid w:val="00343656"/>
    <w:rsid w:val="00344267"/>
    <w:rsid w:val="00344726"/>
    <w:rsid w:val="00345574"/>
    <w:rsid w:val="00346567"/>
    <w:rsid w:val="00346819"/>
    <w:rsid w:val="003474F0"/>
    <w:rsid w:val="0035001F"/>
    <w:rsid w:val="00350C8F"/>
    <w:rsid w:val="003514E9"/>
    <w:rsid w:val="00352998"/>
    <w:rsid w:val="00352F54"/>
    <w:rsid w:val="00353CDA"/>
    <w:rsid w:val="00353DFE"/>
    <w:rsid w:val="00356506"/>
    <w:rsid w:val="003602A0"/>
    <w:rsid w:val="00360A06"/>
    <w:rsid w:val="003613CB"/>
    <w:rsid w:val="00364148"/>
    <w:rsid w:val="00364324"/>
    <w:rsid w:val="00365F30"/>
    <w:rsid w:val="0036688F"/>
    <w:rsid w:val="00366DE6"/>
    <w:rsid w:val="00367276"/>
    <w:rsid w:val="003703A7"/>
    <w:rsid w:val="00371434"/>
    <w:rsid w:val="00372FA5"/>
    <w:rsid w:val="00373215"/>
    <w:rsid w:val="00374BDD"/>
    <w:rsid w:val="0037524E"/>
    <w:rsid w:val="0037606A"/>
    <w:rsid w:val="0037650C"/>
    <w:rsid w:val="0037670B"/>
    <w:rsid w:val="00377CEE"/>
    <w:rsid w:val="0038022C"/>
    <w:rsid w:val="003803C9"/>
    <w:rsid w:val="00380E31"/>
    <w:rsid w:val="00381629"/>
    <w:rsid w:val="00381860"/>
    <w:rsid w:val="00381A00"/>
    <w:rsid w:val="00382579"/>
    <w:rsid w:val="00384017"/>
    <w:rsid w:val="00385A38"/>
    <w:rsid w:val="00386112"/>
    <w:rsid w:val="00387381"/>
    <w:rsid w:val="003876E9"/>
    <w:rsid w:val="00387D5F"/>
    <w:rsid w:val="00390591"/>
    <w:rsid w:val="00391220"/>
    <w:rsid w:val="003916D1"/>
    <w:rsid w:val="00391809"/>
    <w:rsid w:val="00392E54"/>
    <w:rsid w:val="0039303E"/>
    <w:rsid w:val="0039317E"/>
    <w:rsid w:val="0039638D"/>
    <w:rsid w:val="003A182E"/>
    <w:rsid w:val="003A2423"/>
    <w:rsid w:val="003A2682"/>
    <w:rsid w:val="003A65CC"/>
    <w:rsid w:val="003B1130"/>
    <w:rsid w:val="003B1880"/>
    <w:rsid w:val="003B39CC"/>
    <w:rsid w:val="003B5433"/>
    <w:rsid w:val="003B54D9"/>
    <w:rsid w:val="003B5AD4"/>
    <w:rsid w:val="003B5C0E"/>
    <w:rsid w:val="003B7586"/>
    <w:rsid w:val="003B75DC"/>
    <w:rsid w:val="003C0C90"/>
    <w:rsid w:val="003C29CE"/>
    <w:rsid w:val="003C3CB4"/>
    <w:rsid w:val="003C49DC"/>
    <w:rsid w:val="003C52E7"/>
    <w:rsid w:val="003C7D56"/>
    <w:rsid w:val="003C7EB5"/>
    <w:rsid w:val="003D124A"/>
    <w:rsid w:val="003D12DA"/>
    <w:rsid w:val="003D140A"/>
    <w:rsid w:val="003D2447"/>
    <w:rsid w:val="003D2C17"/>
    <w:rsid w:val="003D2D2D"/>
    <w:rsid w:val="003D4348"/>
    <w:rsid w:val="003D5958"/>
    <w:rsid w:val="003D6808"/>
    <w:rsid w:val="003D763F"/>
    <w:rsid w:val="003E12CE"/>
    <w:rsid w:val="003E1BA9"/>
    <w:rsid w:val="003E241F"/>
    <w:rsid w:val="003E27FF"/>
    <w:rsid w:val="003E2B05"/>
    <w:rsid w:val="003E443B"/>
    <w:rsid w:val="003E48CF"/>
    <w:rsid w:val="003E6738"/>
    <w:rsid w:val="003E7B3C"/>
    <w:rsid w:val="003F0A02"/>
    <w:rsid w:val="003F0E87"/>
    <w:rsid w:val="003F18D6"/>
    <w:rsid w:val="003F2E51"/>
    <w:rsid w:val="003F4238"/>
    <w:rsid w:val="003F6DB6"/>
    <w:rsid w:val="00401944"/>
    <w:rsid w:val="0040276E"/>
    <w:rsid w:val="004035A7"/>
    <w:rsid w:val="004037B0"/>
    <w:rsid w:val="004041EE"/>
    <w:rsid w:val="00404C9B"/>
    <w:rsid w:val="004061B0"/>
    <w:rsid w:val="00407842"/>
    <w:rsid w:val="00407CC3"/>
    <w:rsid w:val="00410661"/>
    <w:rsid w:val="00411AD8"/>
    <w:rsid w:val="0041208B"/>
    <w:rsid w:val="00412624"/>
    <w:rsid w:val="004129EC"/>
    <w:rsid w:val="00414FE9"/>
    <w:rsid w:val="004160E6"/>
    <w:rsid w:val="004171BC"/>
    <w:rsid w:val="0041796C"/>
    <w:rsid w:val="00417DFD"/>
    <w:rsid w:val="00421274"/>
    <w:rsid w:val="004217C9"/>
    <w:rsid w:val="00422CBC"/>
    <w:rsid w:val="00422E9F"/>
    <w:rsid w:val="00423472"/>
    <w:rsid w:val="00423ACD"/>
    <w:rsid w:val="00423D35"/>
    <w:rsid w:val="00423DAC"/>
    <w:rsid w:val="00424AB5"/>
    <w:rsid w:val="00425D4F"/>
    <w:rsid w:val="00426ACD"/>
    <w:rsid w:val="00431B60"/>
    <w:rsid w:val="00431DBC"/>
    <w:rsid w:val="00432D8F"/>
    <w:rsid w:val="0043436D"/>
    <w:rsid w:val="00435DBF"/>
    <w:rsid w:val="00436230"/>
    <w:rsid w:val="0043623A"/>
    <w:rsid w:val="0043753D"/>
    <w:rsid w:val="0044147D"/>
    <w:rsid w:val="00445955"/>
    <w:rsid w:val="0044622B"/>
    <w:rsid w:val="0044773C"/>
    <w:rsid w:val="0045018F"/>
    <w:rsid w:val="00450405"/>
    <w:rsid w:val="00450A1E"/>
    <w:rsid w:val="00452A0C"/>
    <w:rsid w:val="00453B14"/>
    <w:rsid w:val="004543AC"/>
    <w:rsid w:val="00454520"/>
    <w:rsid w:val="00454718"/>
    <w:rsid w:val="00454CAE"/>
    <w:rsid w:val="0045604E"/>
    <w:rsid w:val="004560A0"/>
    <w:rsid w:val="004560DC"/>
    <w:rsid w:val="00456FD6"/>
    <w:rsid w:val="004612CD"/>
    <w:rsid w:val="0046137A"/>
    <w:rsid w:val="00463022"/>
    <w:rsid w:val="00463390"/>
    <w:rsid w:val="004652F6"/>
    <w:rsid w:val="0046530C"/>
    <w:rsid w:val="004656E1"/>
    <w:rsid w:val="00466392"/>
    <w:rsid w:val="004675BE"/>
    <w:rsid w:val="00470909"/>
    <w:rsid w:val="004710B1"/>
    <w:rsid w:val="004750D9"/>
    <w:rsid w:val="00481422"/>
    <w:rsid w:val="00482410"/>
    <w:rsid w:val="0048249B"/>
    <w:rsid w:val="004846CE"/>
    <w:rsid w:val="004849D2"/>
    <w:rsid w:val="00486925"/>
    <w:rsid w:val="004872B0"/>
    <w:rsid w:val="00487EF6"/>
    <w:rsid w:val="004904FD"/>
    <w:rsid w:val="00490997"/>
    <w:rsid w:val="00492FD6"/>
    <w:rsid w:val="0049394D"/>
    <w:rsid w:val="004955AB"/>
    <w:rsid w:val="00495704"/>
    <w:rsid w:val="004966FB"/>
    <w:rsid w:val="00496CDE"/>
    <w:rsid w:val="004A1E85"/>
    <w:rsid w:val="004A1E8F"/>
    <w:rsid w:val="004A2352"/>
    <w:rsid w:val="004A32F8"/>
    <w:rsid w:val="004A36BF"/>
    <w:rsid w:val="004A3EAB"/>
    <w:rsid w:val="004A46BC"/>
    <w:rsid w:val="004A4B87"/>
    <w:rsid w:val="004A5F1D"/>
    <w:rsid w:val="004A61AB"/>
    <w:rsid w:val="004A6B19"/>
    <w:rsid w:val="004B2E63"/>
    <w:rsid w:val="004B56B6"/>
    <w:rsid w:val="004B634F"/>
    <w:rsid w:val="004B6DF6"/>
    <w:rsid w:val="004B7C37"/>
    <w:rsid w:val="004C0658"/>
    <w:rsid w:val="004C16BC"/>
    <w:rsid w:val="004C1986"/>
    <w:rsid w:val="004C2AA0"/>
    <w:rsid w:val="004C2B95"/>
    <w:rsid w:val="004C30D3"/>
    <w:rsid w:val="004C322B"/>
    <w:rsid w:val="004C35A1"/>
    <w:rsid w:val="004C4A3B"/>
    <w:rsid w:val="004C4F53"/>
    <w:rsid w:val="004C50B2"/>
    <w:rsid w:val="004C6198"/>
    <w:rsid w:val="004C61A7"/>
    <w:rsid w:val="004C75F6"/>
    <w:rsid w:val="004C7D80"/>
    <w:rsid w:val="004D0352"/>
    <w:rsid w:val="004D168B"/>
    <w:rsid w:val="004D1E9F"/>
    <w:rsid w:val="004D224C"/>
    <w:rsid w:val="004D2EFD"/>
    <w:rsid w:val="004D5CCC"/>
    <w:rsid w:val="004D5FA5"/>
    <w:rsid w:val="004E17E2"/>
    <w:rsid w:val="004E27F0"/>
    <w:rsid w:val="004E35AA"/>
    <w:rsid w:val="004E3F86"/>
    <w:rsid w:val="004E48D2"/>
    <w:rsid w:val="004E5314"/>
    <w:rsid w:val="004E5857"/>
    <w:rsid w:val="004E7B7F"/>
    <w:rsid w:val="004E7CF8"/>
    <w:rsid w:val="004F107D"/>
    <w:rsid w:val="004F246F"/>
    <w:rsid w:val="004F2DB0"/>
    <w:rsid w:val="004F3215"/>
    <w:rsid w:val="004F64CC"/>
    <w:rsid w:val="004F6521"/>
    <w:rsid w:val="004F74E7"/>
    <w:rsid w:val="004F7CA1"/>
    <w:rsid w:val="00500380"/>
    <w:rsid w:val="00502703"/>
    <w:rsid w:val="005030D1"/>
    <w:rsid w:val="00505557"/>
    <w:rsid w:val="005058B3"/>
    <w:rsid w:val="0050717D"/>
    <w:rsid w:val="0050727B"/>
    <w:rsid w:val="0050727F"/>
    <w:rsid w:val="005075F9"/>
    <w:rsid w:val="00510E35"/>
    <w:rsid w:val="00511529"/>
    <w:rsid w:val="005138BA"/>
    <w:rsid w:val="0051644B"/>
    <w:rsid w:val="00517D79"/>
    <w:rsid w:val="005207BC"/>
    <w:rsid w:val="00520AF9"/>
    <w:rsid w:val="005214CE"/>
    <w:rsid w:val="00521DD8"/>
    <w:rsid w:val="00521F06"/>
    <w:rsid w:val="00522E96"/>
    <w:rsid w:val="00525565"/>
    <w:rsid w:val="005257A1"/>
    <w:rsid w:val="00525C0A"/>
    <w:rsid w:val="00525F58"/>
    <w:rsid w:val="00526D5E"/>
    <w:rsid w:val="005312CE"/>
    <w:rsid w:val="005315FD"/>
    <w:rsid w:val="005330EB"/>
    <w:rsid w:val="0053358F"/>
    <w:rsid w:val="00534CF4"/>
    <w:rsid w:val="00534DEC"/>
    <w:rsid w:val="00535318"/>
    <w:rsid w:val="0053580F"/>
    <w:rsid w:val="005367F5"/>
    <w:rsid w:val="00536BCF"/>
    <w:rsid w:val="00537854"/>
    <w:rsid w:val="00540207"/>
    <w:rsid w:val="00540367"/>
    <w:rsid w:val="0054038A"/>
    <w:rsid w:val="00540F9A"/>
    <w:rsid w:val="00541080"/>
    <w:rsid w:val="00542386"/>
    <w:rsid w:val="00542975"/>
    <w:rsid w:val="005445B1"/>
    <w:rsid w:val="00544EFD"/>
    <w:rsid w:val="00545B1D"/>
    <w:rsid w:val="00546A3A"/>
    <w:rsid w:val="00547535"/>
    <w:rsid w:val="00547746"/>
    <w:rsid w:val="00547E2D"/>
    <w:rsid w:val="00547EEE"/>
    <w:rsid w:val="00550C7F"/>
    <w:rsid w:val="00551AC5"/>
    <w:rsid w:val="0055289C"/>
    <w:rsid w:val="005542D0"/>
    <w:rsid w:val="00554441"/>
    <w:rsid w:val="00555B2D"/>
    <w:rsid w:val="00555D69"/>
    <w:rsid w:val="00556F83"/>
    <w:rsid w:val="00557E5E"/>
    <w:rsid w:val="00562598"/>
    <w:rsid w:val="00562895"/>
    <w:rsid w:val="00563008"/>
    <w:rsid w:val="005635E4"/>
    <w:rsid w:val="00563968"/>
    <w:rsid w:val="00565318"/>
    <w:rsid w:val="005653C2"/>
    <w:rsid w:val="0056564B"/>
    <w:rsid w:val="00566046"/>
    <w:rsid w:val="00571812"/>
    <w:rsid w:val="00573AF5"/>
    <w:rsid w:val="00574C34"/>
    <w:rsid w:val="00575FA6"/>
    <w:rsid w:val="00576972"/>
    <w:rsid w:val="00576B8E"/>
    <w:rsid w:val="00577E9A"/>
    <w:rsid w:val="00580E7A"/>
    <w:rsid w:val="0058108D"/>
    <w:rsid w:val="00584708"/>
    <w:rsid w:val="00584843"/>
    <w:rsid w:val="005848E3"/>
    <w:rsid w:val="005862C1"/>
    <w:rsid w:val="00587155"/>
    <w:rsid w:val="005873C7"/>
    <w:rsid w:val="00587C92"/>
    <w:rsid w:val="00590E32"/>
    <w:rsid w:val="0059181B"/>
    <w:rsid w:val="0059217A"/>
    <w:rsid w:val="00592EB3"/>
    <w:rsid w:val="005946FD"/>
    <w:rsid w:val="00595A45"/>
    <w:rsid w:val="00595FA2"/>
    <w:rsid w:val="005970D8"/>
    <w:rsid w:val="005A4112"/>
    <w:rsid w:val="005A4200"/>
    <w:rsid w:val="005A57B7"/>
    <w:rsid w:val="005A57C8"/>
    <w:rsid w:val="005A59E9"/>
    <w:rsid w:val="005A655A"/>
    <w:rsid w:val="005A669E"/>
    <w:rsid w:val="005A6FB8"/>
    <w:rsid w:val="005B1E02"/>
    <w:rsid w:val="005B20CB"/>
    <w:rsid w:val="005B2114"/>
    <w:rsid w:val="005B3A0F"/>
    <w:rsid w:val="005B40EA"/>
    <w:rsid w:val="005B4F21"/>
    <w:rsid w:val="005B6887"/>
    <w:rsid w:val="005B789A"/>
    <w:rsid w:val="005C01C8"/>
    <w:rsid w:val="005C159B"/>
    <w:rsid w:val="005C4970"/>
    <w:rsid w:val="005C59FD"/>
    <w:rsid w:val="005C61A7"/>
    <w:rsid w:val="005C662F"/>
    <w:rsid w:val="005C6E95"/>
    <w:rsid w:val="005C72CC"/>
    <w:rsid w:val="005D01D7"/>
    <w:rsid w:val="005D0291"/>
    <w:rsid w:val="005D0BCC"/>
    <w:rsid w:val="005D0E26"/>
    <w:rsid w:val="005D1FEF"/>
    <w:rsid w:val="005D3597"/>
    <w:rsid w:val="005D46BD"/>
    <w:rsid w:val="005D4801"/>
    <w:rsid w:val="005D4F27"/>
    <w:rsid w:val="005D661C"/>
    <w:rsid w:val="005D683B"/>
    <w:rsid w:val="005D7392"/>
    <w:rsid w:val="005E016E"/>
    <w:rsid w:val="005E1B87"/>
    <w:rsid w:val="005E1D5B"/>
    <w:rsid w:val="005E23E1"/>
    <w:rsid w:val="005E3291"/>
    <w:rsid w:val="005E3448"/>
    <w:rsid w:val="005E494A"/>
    <w:rsid w:val="005E4BEE"/>
    <w:rsid w:val="005E669C"/>
    <w:rsid w:val="005E6CAE"/>
    <w:rsid w:val="005E77FF"/>
    <w:rsid w:val="005F021B"/>
    <w:rsid w:val="005F1A7E"/>
    <w:rsid w:val="005F1F6E"/>
    <w:rsid w:val="005F2596"/>
    <w:rsid w:val="005F2CC9"/>
    <w:rsid w:val="005F473C"/>
    <w:rsid w:val="005F6451"/>
    <w:rsid w:val="0060031D"/>
    <w:rsid w:val="0060315A"/>
    <w:rsid w:val="0060482F"/>
    <w:rsid w:val="00604EB4"/>
    <w:rsid w:val="00606079"/>
    <w:rsid w:val="00606186"/>
    <w:rsid w:val="006073EB"/>
    <w:rsid w:val="0060764D"/>
    <w:rsid w:val="00610CAC"/>
    <w:rsid w:val="006120E7"/>
    <w:rsid w:val="00612955"/>
    <w:rsid w:val="00615C93"/>
    <w:rsid w:val="00616000"/>
    <w:rsid w:val="00616E78"/>
    <w:rsid w:val="0062040B"/>
    <w:rsid w:val="00622049"/>
    <w:rsid w:val="0062222C"/>
    <w:rsid w:val="0062262C"/>
    <w:rsid w:val="00624C8D"/>
    <w:rsid w:val="00625401"/>
    <w:rsid w:val="00625ED1"/>
    <w:rsid w:val="00625F89"/>
    <w:rsid w:val="00626B87"/>
    <w:rsid w:val="00627A0F"/>
    <w:rsid w:val="00627C1B"/>
    <w:rsid w:val="00630C5C"/>
    <w:rsid w:val="00630E8B"/>
    <w:rsid w:val="00630FC5"/>
    <w:rsid w:val="006330B7"/>
    <w:rsid w:val="00633411"/>
    <w:rsid w:val="0063571C"/>
    <w:rsid w:val="00636B87"/>
    <w:rsid w:val="00636DED"/>
    <w:rsid w:val="006370EE"/>
    <w:rsid w:val="00641F9A"/>
    <w:rsid w:val="006437AC"/>
    <w:rsid w:val="00643EEA"/>
    <w:rsid w:val="0064417B"/>
    <w:rsid w:val="006460C7"/>
    <w:rsid w:val="006470D2"/>
    <w:rsid w:val="00652605"/>
    <w:rsid w:val="0065268C"/>
    <w:rsid w:val="00652AC7"/>
    <w:rsid w:val="006534F4"/>
    <w:rsid w:val="006538A8"/>
    <w:rsid w:val="00653D2F"/>
    <w:rsid w:val="00656B0A"/>
    <w:rsid w:val="00657265"/>
    <w:rsid w:val="006579B2"/>
    <w:rsid w:val="00657B2B"/>
    <w:rsid w:val="00661559"/>
    <w:rsid w:val="00663B31"/>
    <w:rsid w:val="00664005"/>
    <w:rsid w:val="006647E2"/>
    <w:rsid w:val="00665B1B"/>
    <w:rsid w:val="006678EB"/>
    <w:rsid w:val="00667C12"/>
    <w:rsid w:val="006703ED"/>
    <w:rsid w:val="006709F5"/>
    <w:rsid w:val="00672410"/>
    <w:rsid w:val="00674001"/>
    <w:rsid w:val="00676F34"/>
    <w:rsid w:val="00677281"/>
    <w:rsid w:val="00677813"/>
    <w:rsid w:val="00677830"/>
    <w:rsid w:val="00680544"/>
    <w:rsid w:val="0068062B"/>
    <w:rsid w:val="006809DD"/>
    <w:rsid w:val="00681FBF"/>
    <w:rsid w:val="00682CC0"/>
    <w:rsid w:val="006840E8"/>
    <w:rsid w:val="00685844"/>
    <w:rsid w:val="00685C28"/>
    <w:rsid w:val="00686171"/>
    <w:rsid w:val="0068705D"/>
    <w:rsid w:val="006878A2"/>
    <w:rsid w:val="00687C5E"/>
    <w:rsid w:val="00687CEB"/>
    <w:rsid w:val="0069123F"/>
    <w:rsid w:val="0069453D"/>
    <w:rsid w:val="00694582"/>
    <w:rsid w:val="00694859"/>
    <w:rsid w:val="0069582E"/>
    <w:rsid w:val="00696F82"/>
    <w:rsid w:val="006972AD"/>
    <w:rsid w:val="0069732A"/>
    <w:rsid w:val="00697746"/>
    <w:rsid w:val="006A06F7"/>
    <w:rsid w:val="006A0BC5"/>
    <w:rsid w:val="006A15DD"/>
    <w:rsid w:val="006A2CC3"/>
    <w:rsid w:val="006A43A4"/>
    <w:rsid w:val="006A4B80"/>
    <w:rsid w:val="006A5DB3"/>
    <w:rsid w:val="006A63E6"/>
    <w:rsid w:val="006A640D"/>
    <w:rsid w:val="006B1071"/>
    <w:rsid w:val="006B170D"/>
    <w:rsid w:val="006B211B"/>
    <w:rsid w:val="006B2A47"/>
    <w:rsid w:val="006B2E66"/>
    <w:rsid w:val="006B3D3E"/>
    <w:rsid w:val="006B57A8"/>
    <w:rsid w:val="006B7525"/>
    <w:rsid w:val="006C087A"/>
    <w:rsid w:val="006C1048"/>
    <w:rsid w:val="006C4A68"/>
    <w:rsid w:val="006C51F1"/>
    <w:rsid w:val="006C5225"/>
    <w:rsid w:val="006C5D10"/>
    <w:rsid w:val="006D0EAA"/>
    <w:rsid w:val="006D1F6A"/>
    <w:rsid w:val="006D4968"/>
    <w:rsid w:val="006D55CF"/>
    <w:rsid w:val="006D7B1E"/>
    <w:rsid w:val="006E0011"/>
    <w:rsid w:val="006E035F"/>
    <w:rsid w:val="006E07B1"/>
    <w:rsid w:val="006E15C0"/>
    <w:rsid w:val="006E18EA"/>
    <w:rsid w:val="006E30A8"/>
    <w:rsid w:val="006E3206"/>
    <w:rsid w:val="006E3B7B"/>
    <w:rsid w:val="006E3F08"/>
    <w:rsid w:val="006E494F"/>
    <w:rsid w:val="006E49D9"/>
    <w:rsid w:val="006E4FFE"/>
    <w:rsid w:val="006E53B9"/>
    <w:rsid w:val="006E5A2D"/>
    <w:rsid w:val="006E757A"/>
    <w:rsid w:val="006F1D8C"/>
    <w:rsid w:val="006F2747"/>
    <w:rsid w:val="006F2AE1"/>
    <w:rsid w:val="006F31FB"/>
    <w:rsid w:val="006F3F35"/>
    <w:rsid w:val="006F4FB0"/>
    <w:rsid w:val="006F50DC"/>
    <w:rsid w:val="006F521A"/>
    <w:rsid w:val="006F5ABF"/>
    <w:rsid w:val="006F5C9C"/>
    <w:rsid w:val="006F726F"/>
    <w:rsid w:val="006F7359"/>
    <w:rsid w:val="006F7F02"/>
    <w:rsid w:val="00700724"/>
    <w:rsid w:val="00700D7A"/>
    <w:rsid w:val="007010BA"/>
    <w:rsid w:val="00702072"/>
    <w:rsid w:val="00703030"/>
    <w:rsid w:val="00705E82"/>
    <w:rsid w:val="007074C5"/>
    <w:rsid w:val="00707858"/>
    <w:rsid w:val="00710D91"/>
    <w:rsid w:val="00711AF2"/>
    <w:rsid w:val="00713070"/>
    <w:rsid w:val="00714206"/>
    <w:rsid w:val="00715661"/>
    <w:rsid w:val="00715839"/>
    <w:rsid w:val="0071593B"/>
    <w:rsid w:val="007159AA"/>
    <w:rsid w:val="00715CD9"/>
    <w:rsid w:val="0071719B"/>
    <w:rsid w:val="007172ED"/>
    <w:rsid w:val="00722650"/>
    <w:rsid w:val="0072353D"/>
    <w:rsid w:val="007237DA"/>
    <w:rsid w:val="007245B6"/>
    <w:rsid w:val="00725904"/>
    <w:rsid w:val="00725E17"/>
    <w:rsid w:val="00726C2C"/>
    <w:rsid w:val="0072759C"/>
    <w:rsid w:val="0073031C"/>
    <w:rsid w:val="0073096A"/>
    <w:rsid w:val="00732024"/>
    <w:rsid w:val="007325E3"/>
    <w:rsid w:val="00733E48"/>
    <w:rsid w:val="0073584D"/>
    <w:rsid w:val="007372FD"/>
    <w:rsid w:val="0074114D"/>
    <w:rsid w:val="00741B0F"/>
    <w:rsid w:val="0074288F"/>
    <w:rsid w:val="00742A21"/>
    <w:rsid w:val="0074554A"/>
    <w:rsid w:val="00746662"/>
    <w:rsid w:val="00747D82"/>
    <w:rsid w:val="00750ED1"/>
    <w:rsid w:val="00751273"/>
    <w:rsid w:val="007514A3"/>
    <w:rsid w:val="00751DA0"/>
    <w:rsid w:val="00751E70"/>
    <w:rsid w:val="00753056"/>
    <w:rsid w:val="007535B3"/>
    <w:rsid w:val="007538E2"/>
    <w:rsid w:val="00753A57"/>
    <w:rsid w:val="0075426F"/>
    <w:rsid w:val="00754FCF"/>
    <w:rsid w:val="00756824"/>
    <w:rsid w:val="00757E26"/>
    <w:rsid w:val="00760062"/>
    <w:rsid w:val="00760224"/>
    <w:rsid w:val="00760BCF"/>
    <w:rsid w:val="00760FA1"/>
    <w:rsid w:val="00761CAC"/>
    <w:rsid w:val="00762DBF"/>
    <w:rsid w:val="00763F9F"/>
    <w:rsid w:val="00765653"/>
    <w:rsid w:val="00765DC3"/>
    <w:rsid w:val="00766259"/>
    <w:rsid w:val="00766A6B"/>
    <w:rsid w:val="0077088F"/>
    <w:rsid w:val="007735D4"/>
    <w:rsid w:val="0077363B"/>
    <w:rsid w:val="00773872"/>
    <w:rsid w:val="00775606"/>
    <w:rsid w:val="00775DED"/>
    <w:rsid w:val="0077664E"/>
    <w:rsid w:val="00776D9F"/>
    <w:rsid w:val="00776FA6"/>
    <w:rsid w:val="007770A9"/>
    <w:rsid w:val="00780647"/>
    <w:rsid w:val="0078072A"/>
    <w:rsid w:val="00781165"/>
    <w:rsid w:val="00781C68"/>
    <w:rsid w:val="00781ED5"/>
    <w:rsid w:val="00781FEB"/>
    <w:rsid w:val="0078299C"/>
    <w:rsid w:val="00782A97"/>
    <w:rsid w:val="007847E0"/>
    <w:rsid w:val="00785DBC"/>
    <w:rsid w:val="00791CA6"/>
    <w:rsid w:val="00791CEB"/>
    <w:rsid w:val="00791F26"/>
    <w:rsid w:val="007923E3"/>
    <w:rsid w:val="00792837"/>
    <w:rsid w:val="00793787"/>
    <w:rsid w:val="00793FD9"/>
    <w:rsid w:val="007954C4"/>
    <w:rsid w:val="00795BD3"/>
    <w:rsid w:val="0079723B"/>
    <w:rsid w:val="007A2BEC"/>
    <w:rsid w:val="007A4752"/>
    <w:rsid w:val="007A4A99"/>
    <w:rsid w:val="007A5492"/>
    <w:rsid w:val="007A5919"/>
    <w:rsid w:val="007A5BF8"/>
    <w:rsid w:val="007A72B0"/>
    <w:rsid w:val="007B2067"/>
    <w:rsid w:val="007B5CF2"/>
    <w:rsid w:val="007B5E49"/>
    <w:rsid w:val="007B6691"/>
    <w:rsid w:val="007B6922"/>
    <w:rsid w:val="007C0728"/>
    <w:rsid w:val="007C1638"/>
    <w:rsid w:val="007C1A15"/>
    <w:rsid w:val="007C20CE"/>
    <w:rsid w:val="007C3062"/>
    <w:rsid w:val="007C3733"/>
    <w:rsid w:val="007C4B5D"/>
    <w:rsid w:val="007C58DF"/>
    <w:rsid w:val="007C59AB"/>
    <w:rsid w:val="007C64E8"/>
    <w:rsid w:val="007C69C9"/>
    <w:rsid w:val="007C7A26"/>
    <w:rsid w:val="007C7FE2"/>
    <w:rsid w:val="007D0147"/>
    <w:rsid w:val="007D3323"/>
    <w:rsid w:val="007D36CE"/>
    <w:rsid w:val="007D44FE"/>
    <w:rsid w:val="007D4A19"/>
    <w:rsid w:val="007D5177"/>
    <w:rsid w:val="007D5E58"/>
    <w:rsid w:val="007D7C47"/>
    <w:rsid w:val="007E185A"/>
    <w:rsid w:val="007E29CF"/>
    <w:rsid w:val="007E6158"/>
    <w:rsid w:val="007E63D2"/>
    <w:rsid w:val="007E6BFB"/>
    <w:rsid w:val="007E7213"/>
    <w:rsid w:val="007F02C9"/>
    <w:rsid w:val="007F23A3"/>
    <w:rsid w:val="007F2488"/>
    <w:rsid w:val="007F26B1"/>
    <w:rsid w:val="007F3EA5"/>
    <w:rsid w:val="007F431E"/>
    <w:rsid w:val="007F5499"/>
    <w:rsid w:val="007F5A2E"/>
    <w:rsid w:val="00803148"/>
    <w:rsid w:val="008054BB"/>
    <w:rsid w:val="008056FF"/>
    <w:rsid w:val="008063F7"/>
    <w:rsid w:val="0080665A"/>
    <w:rsid w:val="0081070C"/>
    <w:rsid w:val="00810CDB"/>
    <w:rsid w:val="00811D7F"/>
    <w:rsid w:val="0081247E"/>
    <w:rsid w:val="008130E7"/>
    <w:rsid w:val="00813363"/>
    <w:rsid w:val="00814A53"/>
    <w:rsid w:val="00814D06"/>
    <w:rsid w:val="00815096"/>
    <w:rsid w:val="00820985"/>
    <w:rsid w:val="0082188E"/>
    <w:rsid w:val="00821B5E"/>
    <w:rsid w:val="0082225B"/>
    <w:rsid w:val="00823A3E"/>
    <w:rsid w:val="00823BC3"/>
    <w:rsid w:val="00824EC8"/>
    <w:rsid w:val="00825F48"/>
    <w:rsid w:val="0082677F"/>
    <w:rsid w:val="00827F30"/>
    <w:rsid w:val="00827F53"/>
    <w:rsid w:val="008322EA"/>
    <w:rsid w:val="00834944"/>
    <w:rsid w:val="00834C80"/>
    <w:rsid w:val="008373F7"/>
    <w:rsid w:val="008404B5"/>
    <w:rsid w:val="0084362C"/>
    <w:rsid w:val="0084413A"/>
    <w:rsid w:val="00845593"/>
    <w:rsid w:val="00845A41"/>
    <w:rsid w:val="008461A5"/>
    <w:rsid w:val="00847A64"/>
    <w:rsid w:val="008519BD"/>
    <w:rsid w:val="008538D4"/>
    <w:rsid w:val="008547DE"/>
    <w:rsid w:val="00856DB1"/>
    <w:rsid w:val="0085702A"/>
    <w:rsid w:val="0086052A"/>
    <w:rsid w:val="00860807"/>
    <w:rsid w:val="008617A5"/>
    <w:rsid w:val="00861BA2"/>
    <w:rsid w:val="00862F02"/>
    <w:rsid w:val="0086579C"/>
    <w:rsid w:val="00865D01"/>
    <w:rsid w:val="008678AF"/>
    <w:rsid w:val="00867EC7"/>
    <w:rsid w:val="008704B0"/>
    <w:rsid w:val="008728C7"/>
    <w:rsid w:val="00872C89"/>
    <w:rsid w:val="00874B78"/>
    <w:rsid w:val="00875230"/>
    <w:rsid w:val="008759E7"/>
    <w:rsid w:val="00881981"/>
    <w:rsid w:val="00881E4C"/>
    <w:rsid w:val="00883F8D"/>
    <w:rsid w:val="008842D4"/>
    <w:rsid w:val="008844C4"/>
    <w:rsid w:val="00885096"/>
    <w:rsid w:val="00885217"/>
    <w:rsid w:val="00885677"/>
    <w:rsid w:val="0088771A"/>
    <w:rsid w:val="008879FE"/>
    <w:rsid w:val="0089160E"/>
    <w:rsid w:val="00892A1D"/>
    <w:rsid w:val="00894D12"/>
    <w:rsid w:val="008A0245"/>
    <w:rsid w:val="008A13D2"/>
    <w:rsid w:val="008A1A0E"/>
    <w:rsid w:val="008A1B41"/>
    <w:rsid w:val="008A3974"/>
    <w:rsid w:val="008A5117"/>
    <w:rsid w:val="008A51A9"/>
    <w:rsid w:val="008A5E46"/>
    <w:rsid w:val="008A6327"/>
    <w:rsid w:val="008A6F9C"/>
    <w:rsid w:val="008A7FFD"/>
    <w:rsid w:val="008B0B48"/>
    <w:rsid w:val="008B1AD0"/>
    <w:rsid w:val="008B23A0"/>
    <w:rsid w:val="008B2512"/>
    <w:rsid w:val="008B27C9"/>
    <w:rsid w:val="008B3DD2"/>
    <w:rsid w:val="008B3F80"/>
    <w:rsid w:val="008B5A55"/>
    <w:rsid w:val="008B5B56"/>
    <w:rsid w:val="008B731C"/>
    <w:rsid w:val="008B7A80"/>
    <w:rsid w:val="008C08A6"/>
    <w:rsid w:val="008C2195"/>
    <w:rsid w:val="008C24D8"/>
    <w:rsid w:val="008C43A2"/>
    <w:rsid w:val="008C5453"/>
    <w:rsid w:val="008C5E13"/>
    <w:rsid w:val="008C6F79"/>
    <w:rsid w:val="008C71BF"/>
    <w:rsid w:val="008C7209"/>
    <w:rsid w:val="008C7337"/>
    <w:rsid w:val="008C73BF"/>
    <w:rsid w:val="008C7C5C"/>
    <w:rsid w:val="008D0640"/>
    <w:rsid w:val="008D1406"/>
    <w:rsid w:val="008D18A0"/>
    <w:rsid w:val="008D1E20"/>
    <w:rsid w:val="008D1EB4"/>
    <w:rsid w:val="008D264E"/>
    <w:rsid w:val="008D44C5"/>
    <w:rsid w:val="008D5C1B"/>
    <w:rsid w:val="008D6C09"/>
    <w:rsid w:val="008E029B"/>
    <w:rsid w:val="008E0618"/>
    <w:rsid w:val="008E13EE"/>
    <w:rsid w:val="008E2387"/>
    <w:rsid w:val="008E3771"/>
    <w:rsid w:val="008E4661"/>
    <w:rsid w:val="008E4954"/>
    <w:rsid w:val="008E54BB"/>
    <w:rsid w:val="008E5B2B"/>
    <w:rsid w:val="008E6468"/>
    <w:rsid w:val="008E66B4"/>
    <w:rsid w:val="008E6B26"/>
    <w:rsid w:val="008F07D1"/>
    <w:rsid w:val="008F20AE"/>
    <w:rsid w:val="008F4244"/>
    <w:rsid w:val="008F630C"/>
    <w:rsid w:val="00901429"/>
    <w:rsid w:val="0090160C"/>
    <w:rsid w:val="00901A4F"/>
    <w:rsid w:val="00903343"/>
    <w:rsid w:val="00906EE7"/>
    <w:rsid w:val="00907B2B"/>
    <w:rsid w:val="00910DB2"/>
    <w:rsid w:val="0091200F"/>
    <w:rsid w:val="009128F0"/>
    <w:rsid w:val="009131C7"/>
    <w:rsid w:val="0091574E"/>
    <w:rsid w:val="009157BB"/>
    <w:rsid w:val="009204C2"/>
    <w:rsid w:val="009213B5"/>
    <w:rsid w:val="009219B6"/>
    <w:rsid w:val="00922ADA"/>
    <w:rsid w:val="00923643"/>
    <w:rsid w:val="009245A4"/>
    <w:rsid w:val="00924949"/>
    <w:rsid w:val="009256E2"/>
    <w:rsid w:val="00925840"/>
    <w:rsid w:val="00927357"/>
    <w:rsid w:val="009311B7"/>
    <w:rsid w:val="00931BBA"/>
    <w:rsid w:val="009324B3"/>
    <w:rsid w:val="009337B4"/>
    <w:rsid w:val="00933A2C"/>
    <w:rsid w:val="0093478D"/>
    <w:rsid w:val="00935A1C"/>
    <w:rsid w:val="00935B64"/>
    <w:rsid w:val="00936523"/>
    <w:rsid w:val="00936CB1"/>
    <w:rsid w:val="00937DFB"/>
    <w:rsid w:val="00941336"/>
    <w:rsid w:val="009419A9"/>
    <w:rsid w:val="009431B3"/>
    <w:rsid w:val="00943902"/>
    <w:rsid w:val="00943D30"/>
    <w:rsid w:val="00944317"/>
    <w:rsid w:val="0094564C"/>
    <w:rsid w:val="00947E2C"/>
    <w:rsid w:val="0095003B"/>
    <w:rsid w:val="0095004B"/>
    <w:rsid w:val="00950225"/>
    <w:rsid w:val="009509F7"/>
    <w:rsid w:val="00950C4A"/>
    <w:rsid w:val="00953359"/>
    <w:rsid w:val="00953603"/>
    <w:rsid w:val="00953BF8"/>
    <w:rsid w:val="00953BFC"/>
    <w:rsid w:val="00955E87"/>
    <w:rsid w:val="0096508B"/>
    <w:rsid w:val="00965B25"/>
    <w:rsid w:val="00965BC2"/>
    <w:rsid w:val="00967E74"/>
    <w:rsid w:val="009700CF"/>
    <w:rsid w:val="00971377"/>
    <w:rsid w:val="00971994"/>
    <w:rsid w:val="009719E0"/>
    <w:rsid w:val="00972482"/>
    <w:rsid w:val="00973B92"/>
    <w:rsid w:val="00975102"/>
    <w:rsid w:val="00975906"/>
    <w:rsid w:val="009759DE"/>
    <w:rsid w:val="00975EFE"/>
    <w:rsid w:val="00976F2B"/>
    <w:rsid w:val="00977B48"/>
    <w:rsid w:val="00977CCB"/>
    <w:rsid w:val="00977E58"/>
    <w:rsid w:val="00984113"/>
    <w:rsid w:val="009861EC"/>
    <w:rsid w:val="00987131"/>
    <w:rsid w:val="00990507"/>
    <w:rsid w:val="00991B6E"/>
    <w:rsid w:val="009935E4"/>
    <w:rsid w:val="009937BD"/>
    <w:rsid w:val="009948A5"/>
    <w:rsid w:val="0099532E"/>
    <w:rsid w:val="0099623D"/>
    <w:rsid w:val="009963B2"/>
    <w:rsid w:val="009970F1"/>
    <w:rsid w:val="00997CBC"/>
    <w:rsid w:val="00997FA3"/>
    <w:rsid w:val="009A0513"/>
    <w:rsid w:val="009A0556"/>
    <w:rsid w:val="009A1548"/>
    <w:rsid w:val="009A1D53"/>
    <w:rsid w:val="009A3BE0"/>
    <w:rsid w:val="009A3D9E"/>
    <w:rsid w:val="009A4264"/>
    <w:rsid w:val="009A550D"/>
    <w:rsid w:val="009A58B1"/>
    <w:rsid w:val="009A624F"/>
    <w:rsid w:val="009A6FAC"/>
    <w:rsid w:val="009A72DC"/>
    <w:rsid w:val="009A75DC"/>
    <w:rsid w:val="009A78EC"/>
    <w:rsid w:val="009B0A57"/>
    <w:rsid w:val="009B0ED4"/>
    <w:rsid w:val="009B19A9"/>
    <w:rsid w:val="009B2B55"/>
    <w:rsid w:val="009B3EAC"/>
    <w:rsid w:val="009B3FB0"/>
    <w:rsid w:val="009B5C76"/>
    <w:rsid w:val="009B6A26"/>
    <w:rsid w:val="009B708D"/>
    <w:rsid w:val="009B7348"/>
    <w:rsid w:val="009C0BC6"/>
    <w:rsid w:val="009C1412"/>
    <w:rsid w:val="009C2720"/>
    <w:rsid w:val="009C287A"/>
    <w:rsid w:val="009C5F1A"/>
    <w:rsid w:val="009C6F79"/>
    <w:rsid w:val="009D01A9"/>
    <w:rsid w:val="009D16C1"/>
    <w:rsid w:val="009D2D70"/>
    <w:rsid w:val="009D2D8B"/>
    <w:rsid w:val="009D6357"/>
    <w:rsid w:val="009E05B8"/>
    <w:rsid w:val="009E061B"/>
    <w:rsid w:val="009E0B42"/>
    <w:rsid w:val="009E2912"/>
    <w:rsid w:val="009E3239"/>
    <w:rsid w:val="009E3D32"/>
    <w:rsid w:val="009E4735"/>
    <w:rsid w:val="009E63E0"/>
    <w:rsid w:val="009E6AF8"/>
    <w:rsid w:val="009E6C6C"/>
    <w:rsid w:val="009E6F06"/>
    <w:rsid w:val="009E7DA1"/>
    <w:rsid w:val="009F09D2"/>
    <w:rsid w:val="009F0D91"/>
    <w:rsid w:val="009F278C"/>
    <w:rsid w:val="009F3F32"/>
    <w:rsid w:val="009F3FCC"/>
    <w:rsid w:val="009F502E"/>
    <w:rsid w:val="00A003EE"/>
    <w:rsid w:val="00A00AFE"/>
    <w:rsid w:val="00A022F8"/>
    <w:rsid w:val="00A03C69"/>
    <w:rsid w:val="00A04DDF"/>
    <w:rsid w:val="00A078F2"/>
    <w:rsid w:val="00A07CE7"/>
    <w:rsid w:val="00A1113A"/>
    <w:rsid w:val="00A11BC4"/>
    <w:rsid w:val="00A11E92"/>
    <w:rsid w:val="00A12B8A"/>
    <w:rsid w:val="00A146E0"/>
    <w:rsid w:val="00A15EE5"/>
    <w:rsid w:val="00A17121"/>
    <w:rsid w:val="00A17BF0"/>
    <w:rsid w:val="00A17CC4"/>
    <w:rsid w:val="00A17E50"/>
    <w:rsid w:val="00A20190"/>
    <w:rsid w:val="00A2264E"/>
    <w:rsid w:val="00A23827"/>
    <w:rsid w:val="00A241EA"/>
    <w:rsid w:val="00A25205"/>
    <w:rsid w:val="00A25675"/>
    <w:rsid w:val="00A30185"/>
    <w:rsid w:val="00A374A2"/>
    <w:rsid w:val="00A3750B"/>
    <w:rsid w:val="00A37A82"/>
    <w:rsid w:val="00A37B13"/>
    <w:rsid w:val="00A41D35"/>
    <w:rsid w:val="00A42919"/>
    <w:rsid w:val="00A46CD8"/>
    <w:rsid w:val="00A47191"/>
    <w:rsid w:val="00A47D7B"/>
    <w:rsid w:val="00A528FB"/>
    <w:rsid w:val="00A53530"/>
    <w:rsid w:val="00A5399B"/>
    <w:rsid w:val="00A53C61"/>
    <w:rsid w:val="00A540D2"/>
    <w:rsid w:val="00A54A11"/>
    <w:rsid w:val="00A54DFD"/>
    <w:rsid w:val="00A55394"/>
    <w:rsid w:val="00A55E58"/>
    <w:rsid w:val="00A565E8"/>
    <w:rsid w:val="00A60045"/>
    <w:rsid w:val="00A60381"/>
    <w:rsid w:val="00A6058D"/>
    <w:rsid w:val="00A6107E"/>
    <w:rsid w:val="00A616E4"/>
    <w:rsid w:val="00A61FE8"/>
    <w:rsid w:val="00A622F3"/>
    <w:rsid w:val="00A63E20"/>
    <w:rsid w:val="00A649BA"/>
    <w:rsid w:val="00A65621"/>
    <w:rsid w:val="00A65CA5"/>
    <w:rsid w:val="00A65CF3"/>
    <w:rsid w:val="00A65D9B"/>
    <w:rsid w:val="00A65ED8"/>
    <w:rsid w:val="00A672C9"/>
    <w:rsid w:val="00A673D9"/>
    <w:rsid w:val="00A70BCC"/>
    <w:rsid w:val="00A71295"/>
    <w:rsid w:val="00A722F0"/>
    <w:rsid w:val="00A72BF7"/>
    <w:rsid w:val="00A72C6B"/>
    <w:rsid w:val="00A739AF"/>
    <w:rsid w:val="00A73CDC"/>
    <w:rsid w:val="00A741E6"/>
    <w:rsid w:val="00A7439E"/>
    <w:rsid w:val="00A7492F"/>
    <w:rsid w:val="00A768D5"/>
    <w:rsid w:val="00A7723F"/>
    <w:rsid w:val="00A7758C"/>
    <w:rsid w:val="00A77653"/>
    <w:rsid w:val="00A800F7"/>
    <w:rsid w:val="00A80571"/>
    <w:rsid w:val="00A8125E"/>
    <w:rsid w:val="00A8163D"/>
    <w:rsid w:val="00A84282"/>
    <w:rsid w:val="00A85FBA"/>
    <w:rsid w:val="00A8685F"/>
    <w:rsid w:val="00A868BE"/>
    <w:rsid w:val="00A90940"/>
    <w:rsid w:val="00A91562"/>
    <w:rsid w:val="00A94610"/>
    <w:rsid w:val="00A94C16"/>
    <w:rsid w:val="00A94CD1"/>
    <w:rsid w:val="00A94D9F"/>
    <w:rsid w:val="00A951CF"/>
    <w:rsid w:val="00A9561B"/>
    <w:rsid w:val="00A95636"/>
    <w:rsid w:val="00A956A3"/>
    <w:rsid w:val="00A95E79"/>
    <w:rsid w:val="00A96707"/>
    <w:rsid w:val="00A97171"/>
    <w:rsid w:val="00A97656"/>
    <w:rsid w:val="00A97ED5"/>
    <w:rsid w:val="00AA01E0"/>
    <w:rsid w:val="00AA1800"/>
    <w:rsid w:val="00AA1D58"/>
    <w:rsid w:val="00AA1EED"/>
    <w:rsid w:val="00AA5249"/>
    <w:rsid w:val="00AA5C5E"/>
    <w:rsid w:val="00AA667B"/>
    <w:rsid w:val="00AA6960"/>
    <w:rsid w:val="00AA7D7A"/>
    <w:rsid w:val="00AB0302"/>
    <w:rsid w:val="00AB21E3"/>
    <w:rsid w:val="00AB245E"/>
    <w:rsid w:val="00AB2E3F"/>
    <w:rsid w:val="00AB3B26"/>
    <w:rsid w:val="00AB64C2"/>
    <w:rsid w:val="00AB7625"/>
    <w:rsid w:val="00AB7961"/>
    <w:rsid w:val="00AB7D2A"/>
    <w:rsid w:val="00AC0018"/>
    <w:rsid w:val="00AC005D"/>
    <w:rsid w:val="00AC0992"/>
    <w:rsid w:val="00AC3000"/>
    <w:rsid w:val="00AC4A79"/>
    <w:rsid w:val="00AC5D17"/>
    <w:rsid w:val="00AC65DE"/>
    <w:rsid w:val="00AC7793"/>
    <w:rsid w:val="00AD01B5"/>
    <w:rsid w:val="00AD1041"/>
    <w:rsid w:val="00AD2677"/>
    <w:rsid w:val="00AD37CA"/>
    <w:rsid w:val="00AD3B52"/>
    <w:rsid w:val="00AD407D"/>
    <w:rsid w:val="00AD43A5"/>
    <w:rsid w:val="00AD5E7B"/>
    <w:rsid w:val="00AD6A88"/>
    <w:rsid w:val="00AD6D9E"/>
    <w:rsid w:val="00AD6E6D"/>
    <w:rsid w:val="00AD7754"/>
    <w:rsid w:val="00AE0780"/>
    <w:rsid w:val="00AE342C"/>
    <w:rsid w:val="00AE3F65"/>
    <w:rsid w:val="00AE4762"/>
    <w:rsid w:val="00AE5DC3"/>
    <w:rsid w:val="00AE5DD2"/>
    <w:rsid w:val="00AE77F3"/>
    <w:rsid w:val="00AF0246"/>
    <w:rsid w:val="00AF19D8"/>
    <w:rsid w:val="00AF36CA"/>
    <w:rsid w:val="00AF4DA8"/>
    <w:rsid w:val="00AF4FCA"/>
    <w:rsid w:val="00AF736F"/>
    <w:rsid w:val="00B004E4"/>
    <w:rsid w:val="00B0198E"/>
    <w:rsid w:val="00B0321C"/>
    <w:rsid w:val="00B04303"/>
    <w:rsid w:val="00B055EF"/>
    <w:rsid w:val="00B10677"/>
    <w:rsid w:val="00B106C0"/>
    <w:rsid w:val="00B120B0"/>
    <w:rsid w:val="00B137DB"/>
    <w:rsid w:val="00B1595F"/>
    <w:rsid w:val="00B15D9E"/>
    <w:rsid w:val="00B16851"/>
    <w:rsid w:val="00B174AF"/>
    <w:rsid w:val="00B201FC"/>
    <w:rsid w:val="00B24694"/>
    <w:rsid w:val="00B253B7"/>
    <w:rsid w:val="00B26132"/>
    <w:rsid w:val="00B26337"/>
    <w:rsid w:val="00B26588"/>
    <w:rsid w:val="00B270D3"/>
    <w:rsid w:val="00B2744E"/>
    <w:rsid w:val="00B311DF"/>
    <w:rsid w:val="00B333CC"/>
    <w:rsid w:val="00B33BA4"/>
    <w:rsid w:val="00B33F54"/>
    <w:rsid w:val="00B34F30"/>
    <w:rsid w:val="00B36736"/>
    <w:rsid w:val="00B3723E"/>
    <w:rsid w:val="00B37B71"/>
    <w:rsid w:val="00B37CDC"/>
    <w:rsid w:val="00B41BC2"/>
    <w:rsid w:val="00B41EEA"/>
    <w:rsid w:val="00B424CE"/>
    <w:rsid w:val="00B42A7A"/>
    <w:rsid w:val="00B43AF2"/>
    <w:rsid w:val="00B448D2"/>
    <w:rsid w:val="00B459BB"/>
    <w:rsid w:val="00B46C8F"/>
    <w:rsid w:val="00B5117F"/>
    <w:rsid w:val="00B52436"/>
    <w:rsid w:val="00B52812"/>
    <w:rsid w:val="00B5353B"/>
    <w:rsid w:val="00B53579"/>
    <w:rsid w:val="00B54231"/>
    <w:rsid w:val="00B543DC"/>
    <w:rsid w:val="00B54F72"/>
    <w:rsid w:val="00B60DAA"/>
    <w:rsid w:val="00B6191C"/>
    <w:rsid w:val="00B63988"/>
    <w:rsid w:val="00B6561E"/>
    <w:rsid w:val="00B65C7D"/>
    <w:rsid w:val="00B6666C"/>
    <w:rsid w:val="00B672A2"/>
    <w:rsid w:val="00B6787A"/>
    <w:rsid w:val="00B71729"/>
    <w:rsid w:val="00B7193B"/>
    <w:rsid w:val="00B71F89"/>
    <w:rsid w:val="00B72982"/>
    <w:rsid w:val="00B72BA5"/>
    <w:rsid w:val="00B736E1"/>
    <w:rsid w:val="00B758AC"/>
    <w:rsid w:val="00B76092"/>
    <w:rsid w:val="00B7707E"/>
    <w:rsid w:val="00B77106"/>
    <w:rsid w:val="00B80024"/>
    <w:rsid w:val="00B812AB"/>
    <w:rsid w:val="00B8264E"/>
    <w:rsid w:val="00B82746"/>
    <w:rsid w:val="00B8465C"/>
    <w:rsid w:val="00B8604B"/>
    <w:rsid w:val="00B86F61"/>
    <w:rsid w:val="00B87658"/>
    <w:rsid w:val="00B9039B"/>
    <w:rsid w:val="00B9229E"/>
    <w:rsid w:val="00B92341"/>
    <w:rsid w:val="00B92971"/>
    <w:rsid w:val="00B93E83"/>
    <w:rsid w:val="00B9443B"/>
    <w:rsid w:val="00B94DE1"/>
    <w:rsid w:val="00B9766D"/>
    <w:rsid w:val="00BA01C1"/>
    <w:rsid w:val="00BA0714"/>
    <w:rsid w:val="00BA0C09"/>
    <w:rsid w:val="00BA0EC9"/>
    <w:rsid w:val="00BA2BFE"/>
    <w:rsid w:val="00BA523C"/>
    <w:rsid w:val="00BA5327"/>
    <w:rsid w:val="00BA5C60"/>
    <w:rsid w:val="00BA6027"/>
    <w:rsid w:val="00BA7C30"/>
    <w:rsid w:val="00BA7D0C"/>
    <w:rsid w:val="00BA7E41"/>
    <w:rsid w:val="00BB3D2C"/>
    <w:rsid w:val="00BB43AA"/>
    <w:rsid w:val="00BB5118"/>
    <w:rsid w:val="00BB517A"/>
    <w:rsid w:val="00BB62FF"/>
    <w:rsid w:val="00BB63CA"/>
    <w:rsid w:val="00BC0013"/>
    <w:rsid w:val="00BC03C8"/>
    <w:rsid w:val="00BC052B"/>
    <w:rsid w:val="00BC08B7"/>
    <w:rsid w:val="00BC23A0"/>
    <w:rsid w:val="00BC35D8"/>
    <w:rsid w:val="00BC39AB"/>
    <w:rsid w:val="00BC4958"/>
    <w:rsid w:val="00BC4B99"/>
    <w:rsid w:val="00BC548A"/>
    <w:rsid w:val="00BD243B"/>
    <w:rsid w:val="00BD2726"/>
    <w:rsid w:val="00BD2C14"/>
    <w:rsid w:val="00BD31F9"/>
    <w:rsid w:val="00BD6244"/>
    <w:rsid w:val="00BE1203"/>
    <w:rsid w:val="00BE1F7B"/>
    <w:rsid w:val="00BE2ADB"/>
    <w:rsid w:val="00BE3382"/>
    <w:rsid w:val="00BE3AD5"/>
    <w:rsid w:val="00BE4A3E"/>
    <w:rsid w:val="00BE60A0"/>
    <w:rsid w:val="00BE7FFC"/>
    <w:rsid w:val="00BF18A9"/>
    <w:rsid w:val="00BF244F"/>
    <w:rsid w:val="00BF2475"/>
    <w:rsid w:val="00BF2DDB"/>
    <w:rsid w:val="00BF39A9"/>
    <w:rsid w:val="00BF5115"/>
    <w:rsid w:val="00BF52CE"/>
    <w:rsid w:val="00BF5970"/>
    <w:rsid w:val="00BF6097"/>
    <w:rsid w:val="00BF6219"/>
    <w:rsid w:val="00C01160"/>
    <w:rsid w:val="00C03526"/>
    <w:rsid w:val="00C03808"/>
    <w:rsid w:val="00C03FED"/>
    <w:rsid w:val="00C07EFB"/>
    <w:rsid w:val="00C106C7"/>
    <w:rsid w:val="00C12619"/>
    <w:rsid w:val="00C13B02"/>
    <w:rsid w:val="00C13FE9"/>
    <w:rsid w:val="00C140FC"/>
    <w:rsid w:val="00C14FA7"/>
    <w:rsid w:val="00C156D9"/>
    <w:rsid w:val="00C1665C"/>
    <w:rsid w:val="00C167F2"/>
    <w:rsid w:val="00C16932"/>
    <w:rsid w:val="00C219C8"/>
    <w:rsid w:val="00C21A57"/>
    <w:rsid w:val="00C21D0F"/>
    <w:rsid w:val="00C226E2"/>
    <w:rsid w:val="00C22A93"/>
    <w:rsid w:val="00C22C5A"/>
    <w:rsid w:val="00C23034"/>
    <w:rsid w:val="00C2318D"/>
    <w:rsid w:val="00C23446"/>
    <w:rsid w:val="00C23CC5"/>
    <w:rsid w:val="00C2411E"/>
    <w:rsid w:val="00C24AC9"/>
    <w:rsid w:val="00C253BA"/>
    <w:rsid w:val="00C25DFF"/>
    <w:rsid w:val="00C2658B"/>
    <w:rsid w:val="00C27ACC"/>
    <w:rsid w:val="00C3008A"/>
    <w:rsid w:val="00C32013"/>
    <w:rsid w:val="00C32263"/>
    <w:rsid w:val="00C344CF"/>
    <w:rsid w:val="00C359E8"/>
    <w:rsid w:val="00C40B4C"/>
    <w:rsid w:val="00C410E1"/>
    <w:rsid w:val="00C41A8C"/>
    <w:rsid w:val="00C430F0"/>
    <w:rsid w:val="00C43ABF"/>
    <w:rsid w:val="00C455C7"/>
    <w:rsid w:val="00C47393"/>
    <w:rsid w:val="00C47A53"/>
    <w:rsid w:val="00C50463"/>
    <w:rsid w:val="00C509F0"/>
    <w:rsid w:val="00C52D7F"/>
    <w:rsid w:val="00C53A49"/>
    <w:rsid w:val="00C55200"/>
    <w:rsid w:val="00C55EF2"/>
    <w:rsid w:val="00C56BF4"/>
    <w:rsid w:val="00C57FC8"/>
    <w:rsid w:val="00C60A48"/>
    <w:rsid w:val="00C62618"/>
    <w:rsid w:val="00C64487"/>
    <w:rsid w:val="00C65ED9"/>
    <w:rsid w:val="00C70875"/>
    <w:rsid w:val="00C70890"/>
    <w:rsid w:val="00C7155F"/>
    <w:rsid w:val="00C73F7B"/>
    <w:rsid w:val="00C741EA"/>
    <w:rsid w:val="00C75298"/>
    <w:rsid w:val="00C77707"/>
    <w:rsid w:val="00C81687"/>
    <w:rsid w:val="00C81A37"/>
    <w:rsid w:val="00C82198"/>
    <w:rsid w:val="00C82517"/>
    <w:rsid w:val="00C8286D"/>
    <w:rsid w:val="00C844CE"/>
    <w:rsid w:val="00C87204"/>
    <w:rsid w:val="00C875C2"/>
    <w:rsid w:val="00C91130"/>
    <w:rsid w:val="00C92CCA"/>
    <w:rsid w:val="00C93C6B"/>
    <w:rsid w:val="00C93C9F"/>
    <w:rsid w:val="00C94A60"/>
    <w:rsid w:val="00C953E9"/>
    <w:rsid w:val="00C9615A"/>
    <w:rsid w:val="00CA22AE"/>
    <w:rsid w:val="00CA328F"/>
    <w:rsid w:val="00CA494F"/>
    <w:rsid w:val="00CA4D35"/>
    <w:rsid w:val="00CA6A22"/>
    <w:rsid w:val="00CA6F1B"/>
    <w:rsid w:val="00CA7449"/>
    <w:rsid w:val="00CA761C"/>
    <w:rsid w:val="00CA7909"/>
    <w:rsid w:val="00CB0D28"/>
    <w:rsid w:val="00CB14A7"/>
    <w:rsid w:val="00CB2587"/>
    <w:rsid w:val="00CB36D3"/>
    <w:rsid w:val="00CB443C"/>
    <w:rsid w:val="00CB5534"/>
    <w:rsid w:val="00CB7A72"/>
    <w:rsid w:val="00CC0D12"/>
    <w:rsid w:val="00CC0FA3"/>
    <w:rsid w:val="00CC0FFE"/>
    <w:rsid w:val="00CC18C5"/>
    <w:rsid w:val="00CC1ABA"/>
    <w:rsid w:val="00CC46B6"/>
    <w:rsid w:val="00CC5D03"/>
    <w:rsid w:val="00CC7E56"/>
    <w:rsid w:val="00CD06B0"/>
    <w:rsid w:val="00CD2DC9"/>
    <w:rsid w:val="00CD2E26"/>
    <w:rsid w:val="00CD3964"/>
    <w:rsid w:val="00CD3A31"/>
    <w:rsid w:val="00CD4D6E"/>
    <w:rsid w:val="00CD6A44"/>
    <w:rsid w:val="00CD77C9"/>
    <w:rsid w:val="00CE02BD"/>
    <w:rsid w:val="00CE0916"/>
    <w:rsid w:val="00CE115A"/>
    <w:rsid w:val="00CE22FF"/>
    <w:rsid w:val="00CE3D07"/>
    <w:rsid w:val="00CE40F3"/>
    <w:rsid w:val="00CE52F5"/>
    <w:rsid w:val="00CE60CD"/>
    <w:rsid w:val="00CE6B72"/>
    <w:rsid w:val="00CE6F77"/>
    <w:rsid w:val="00CF0558"/>
    <w:rsid w:val="00CF0CC3"/>
    <w:rsid w:val="00CF101B"/>
    <w:rsid w:val="00CF22B1"/>
    <w:rsid w:val="00CF2714"/>
    <w:rsid w:val="00CF36CB"/>
    <w:rsid w:val="00CF3996"/>
    <w:rsid w:val="00CF4271"/>
    <w:rsid w:val="00CF44B3"/>
    <w:rsid w:val="00CF45A0"/>
    <w:rsid w:val="00CF501F"/>
    <w:rsid w:val="00CF52DD"/>
    <w:rsid w:val="00CF545D"/>
    <w:rsid w:val="00CF634D"/>
    <w:rsid w:val="00CF6635"/>
    <w:rsid w:val="00CF681D"/>
    <w:rsid w:val="00CF6A09"/>
    <w:rsid w:val="00D006C0"/>
    <w:rsid w:val="00D01611"/>
    <w:rsid w:val="00D02803"/>
    <w:rsid w:val="00D03422"/>
    <w:rsid w:val="00D05D5B"/>
    <w:rsid w:val="00D06624"/>
    <w:rsid w:val="00D07EB7"/>
    <w:rsid w:val="00D11065"/>
    <w:rsid w:val="00D12F86"/>
    <w:rsid w:val="00D140B4"/>
    <w:rsid w:val="00D14888"/>
    <w:rsid w:val="00D14C62"/>
    <w:rsid w:val="00D15019"/>
    <w:rsid w:val="00D15072"/>
    <w:rsid w:val="00D158A1"/>
    <w:rsid w:val="00D170AD"/>
    <w:rsid w:val="00D21057"/>
    <w:rsid w:val="00D21449"/>
    <w:rsid w:val="00D21AFD"/>
    <w:rsid w:val="00D2444B"/>
    <w:rsid w:val="00D26823"/>
    <w:rsid w:val="00D273ED"/>
    <w:rsid w:val="00D275B7"/>
    <w:rsid w:val="00D27B2E"/>
    <w:rsid w:val="00D317A5"/>
    <w:rsid w:val="00D3493E"/>
    <w:rsid w:val="00D34CA3"/>
    <w:rsid w:val="00D412FD"/>
    <w:rsid w:val="00D419CD"/>
    <w:rsid w:val="00D43256"/>
    <w:rsid w:val="00D43E72"/>
    <w:rsid w:val="00D460E9"/>
    <w:rsid w:val="00D460FB"/>
    <w:rsid w:val="00D4683C"/>
    <w:rsid w:val="00D4692A"/>
    <w:rsid w:val="00D50011"/>
    <w:rsid w:val="00D503ED"/>
    <w:rsid w:val="00D515E2"/>
    <w:rsid w:val="00D51EB1"/>
    <w:rsid w:val="00D54DAB"/>
    <w:rsid w:val="00D552AA"/>
    <w:rsid w:val="00D55CC1"/>
    <w:rsid w:val="00D565F2"/>
    <w:rsid w:val="00D56D59"/>
    <w:rsid w:val="00D57016"/>
    <w:rsid w:val="00D5720C"/>
    <w:rsid w:val="00D579E5"/>
    <w:rsid w:val="00D60369"/>
    <w:rsid w:val="00D6074A"/>
    <w:rsid w:val="00D6189E"/>
    <w:rsid w:val="00D64708"/>
    <w:rsid w:val="00D64768"/>
    <w:rsid w:val="00D671FC"/>
    <w:rsid w:val="00D673A0"/>
    <w:rsid w:val="00D674CB"/>
    <w:rsid w:val="00D70187"/>
    <w:rsid w:val="00D71BE1"/>
    <w:rsid w:val="00D721E6"/>
    <w:rsid w:val="00D722CF"/>
    <w:rsid w:val="00D72A1E"/>
    <w:rsid w:val="00D732AC"/>
    <w:rsid w:val="00D735F3"/>
    <w:rsid w:val="00D73998"/>
    <w:rsid w:val="00D739AF"/>
    <w:rsid w:val="00D74702"/>
    <w:rsid w:val="00D74C72"/>
    <w:rsid w:val="00D76092"/>
    <w:rsid w:val="00D766D6"/>
    <w:rsid w:val="00D767A9"/>
    <w:rsid w:val="00D76A7D"/>
    <w:rsid w:val="00D809A5"/>
    <w:rsid w:val="00D82047"/>
    <w:rsid w:val="00D8238F"/>
    <w:rsid w:val="00D858A8"/>
    <w:rsid w:val="00D85C02"/>
    <w:rsid w:val="00D8697F"/>
    <w:rsid w:val="00D877AB"/>
    <w:rsid w:val="00D906F1"/>
    <w:rsid w:val="00D908E5"/>
    <w:rsid w:val="00D90B12"/>
    <w:rsid w:val="00D90CF4"/>
    <w:rsid w:val="00D918D8"/>
    <w:rsid w:val="00D918E8"/>
    <w:rsid w:val="00D92348"/>
    <w:rsid w:val="00D93045"/>
    <w:rsid w:val="00D964D0"/>
    <w:rsid w:val="00D974FC"/>
    <w:rsid w:val="00DA0182"/>
    <w:rsid w:val="00DA05E9"/>
    <w:rsid w:val="00DA6F55"/>
    <w:rsid w:val="00DA70CA"/>
    <w:rsid w:val="00DB08FD"/>
    <w:rsid w:val="00DB15C2"/>
    <w:rsid w:val="00DB17AD"/>
    <w:rsid w:val="00DB2684"/>
    <w:rsid w:val="00DB2D2C"/>
    <w:rsid w:val="00DB3DFD"/>
    <w:rsid w:val="00DB502E"/>
    <w:rsid w:val="00DB56DA"/>
    <w:rsid w:val="00DB5A1D"/>
    <w:rsid w:val="00DB7373"/>
    <w:rsid w:val="00DB7492"/>
    <w:rsid w:val="00DB7F25"/>
    <w:rsid w:val="00DC0818"/>
    <w:rsid w:val="00DC20A4"/>
    <w:rsid w:val="00DC3B0E"/>
    <w:rsid w:val="00DC421B"/>
    <w:rsid w:val="00DC4B67"/>
    <w:rsid w:val="00DC5147"/>
    <w:rsid w:val="00DC5BF5"/>
    <w:rsid w:val="00DC634F"/>
    <w:rsid w:val="00DC7603"/>
    <w:rsid w:val="00DD002F"/>
    <w:rsid w:val="00DD151B"/>
    <w:rsid w:val="00DD2A62"/>
    <w:rsid w:val="00DD3336"/>
    <w:rsid w:val="00DD53C3"/>
    <w:rsid w:val="00DD5E8D"/>
    <w:rsid w:val="00DD6516"/>
    <w:rsid w:val="00DD693B"/>
    <w:rsid w:val="00DD76B4"/>
    <w:rsid w:val="00DE0297"/>
    <w:rsid w:val="00DE1DB0"/>
    <w:rsid w:val="00DE33FC"/>
    <w:rsid w:val="00DE3FD2"/>
    <w:rsid w:val="00DE42C8"/>
    <w:rsid w:val="00DE5AD8"/>
    <w:rsid w:val="00DE5F0C"/>
    <w:rsid w:val="00DE6171"/>
    <w:rsid w:val="00DE67C0"/>
    <w:rsid w:val="00DE690D"/>
    <w:rsid w:val="00DF0239"/>
    <w:rsid w:val="00DF0B7E"/>
    <w:rsid w:val="00DF210D"/>
    <w:rsid w:val="00DF286B"/>
    <w:rsid w:val="00DF4484"/>
    <w:rsid w:val="00DF693D"/>
    <w:rsid w:val="00DF6FB2"/>
    <w:rsid w:val="00DF7BE1"/>
    <w:rsid w:val="00E0061E"/>
    <w:rsid w:val="00E00B15"/>
    <w:rsid w:val="00E00D6B"/>
    <w:rsid w:val="00E01022"/>
    <w:rsid w:val="00E04A08"/>
    <w:rsid w:val="00E06154"/>
    <w:rsid w:val="00E06255"/>
    <w:rsid w:val="00E065EA"/>
    <w:rsid w:val="00E06958"/>
    <w:rsid w:val="00E07CE9"/>
    <w:rsid w:val="00E11661"/>
    <w:rsid w:val="00E11D5D"/>
    <w:rsid w:val="00E13A23"/>
    <w:rsid w:val="00E149A5"/>
    <w:rsid w:val="00E169AF"/>
    <w:rsid w:val="00E20227"/>
    <w:rsid w:val="00E2118A"/>
    <w:rsid w:val="00E2125F"/>
    <w:rsid w:val="00E23794"/>
    <w:rsid w:val="00E24440"/>
    <w:rsid w:val="00E24C2C"/>
    <w:rsid w:val="00E26E36"/>
    <w:rsid w:val="00E27C7E"/>
    <w:rsid w:val="00E32A2D"/>
    <w:rsid w:val="00E35C3F"/>
    <w:rsid w:val="00E364F7"/>
    <w:rsid w:val="00E367D2"/>
    <w:rsid w:val="00E37708"/>
    <w:rsid w:val="00E41270"/>
    <w:rsid w:val="00E41914"/>
    <w:rsid w:val="00E41E0E"/>
    <w:rsid w:val="00E42042"/>
    <w:rsid w:val="00E440CC"/>
    <w:rsid w:val="00E4469C"/>
    <w:rsid w:val="00E45C38"/>
    <w:rsid w:val="00E45F11"/>
    <w:rsid w:val="00E4687F"/>
    <w:rsid w:val="00E46BBC"/>
    <w:rsid w:val="00E50E3C"/>
    <w:rsid w:val="00E5175D"/>
    <w:rsid w:val="00E52CB4"/>
    <w:rsid w:val="00E54208"/>
    <w:rsid w:val="00E54407"/>
    <w:rsid w:val="00E56CC1"/>
    <w:rsid w:val="00E57FB2"/>
    <w:rsid w:val="00E621F1"/>
    <w:rsid w:val="00E64BCC"/>
    <w:rsid w:val="00E64C1F"/>
    <w:rsid w:val="00E65116"/>
    <w:rsid w:val="00E651A7"/>
    <w:rsid w:val="00E6551A"/>
    <w:rsid w:val="00E67695"/>
    <w:rsid w:val="00E72238"/>
    <w:rsid w:val="00E72843"/>
    <w:rsid w:val="00E73DF0"/>
    <w:rsid w:val="00E746EA"/>
    <w:rsid w:val="00E7594C"/>
    <w:rsid w:val="00E76958"/>
    <w:rsid w:val="00E77341"/>
    <w:rsid w:val="00E77D31"/>
    <w:rsid w:val="00E8060D"/>
    <w:rsid w:val="00E816E0"/>
    <w:rsid w:val="00E82A33"/>
    <w:rsid w:val="00E82C4B"/>
    <w:rsid w:val="00E845B2"/>
    <w:rsid w:val="00E85A64"/>
    <w:rsid w:val="00E85F7A"/>
    <w:rsid w:val="00E869C0"/>
    <w:rsid w:val="00E870B4"/>
    <w:rsid w:val="00E91D0C"/>
    <w:rsid w:val="00E927AF"/>
    <w:rsid w:val="00E92F8B"/>
    <w:rsid w:val="00E93A31"/>
    <w:rsid w:val="00E95846"/>
    <w:rsid w:val="00E95FF3"/>
    <w:rsid w:val="00E96CD5"/>
    <w:rsid w:val="00E97BF7"/>
    <w:rsid w:val="00E97D15"/>
    <w:rsid w:val="00EA230C"/>
    <w:rsid w:val="00EA2675"/>
    <w:rsid w:val="00EA33B8"/>
    <w:rsid w:val="00EA4445"/>
    <w:rsid w:val="00EA4861"/>
    <w:rsid w:val="00EA582E"/>
    <w:rsid w:val="00EA6A60"/>
    <w:rsid w:val="00EA7324"/>
    <w:rsid w:val="00EA75C5"/>
    <w:rsid w:val="00EB02EB"/>
    <w:rsid w:val="00EB0874"/>
    <w:rsid w:val="00EB3391"/>
    <w:rsid w:val="00EB34AF"/>
    <w:rsid w:val="00EB6D0F"/>
    <w:rsid w:val="00EB7828"/>
    <w:rsid w:val="00EB7A0D"/>
    <w:rsid w:val="00EC0E3C"/>
    <w:rsid w:val="00EC19B9"/>
    <w:rsid w:val="00EC1B49"/>
    <w:rsid w:val="00EC39BD"/>
    <w:rsid w:val="00EC3CFE"/>
    <w:rsid w:val="00EC4A1B"/>
    <w:rsid w:val="00EC57A8"/>
    <w:rsid w:val="00EC5EF3"/>
    <w:rsid w:val="00EC6077"/>
    <w:rsid w:val="00EC61D5"/>
    <w:rsid w:val="00EC6794"/>
    <w:rsid w:val="00EC6EE3"/>
    <w:rsid w:val="00ED3B66"/>
    <w:rsid w:val="00ED4223"/>
    <w:rsid w:val="00ED6037"/>
    <w:rsid w:val="00ED62AD"/>
    <w:rsid w:val="00EE07B3"/>
    <w:rsid w:val="00EE11F2"/>
    <w:rsid w:val="00EE16F6"/>
    <w:rsid w:val="00EE184D"/>
    <w:rsid w:val="00EE2745"/>
    <w:rsid w:val="00EE32B3"/>
    <w:rsid w:val="00EE3BFF"/>
    <w:rsid w:val="00EE6580"/>
    <w:rsid w:val="00EE72A9"/>
    <w:rsid w:val="00EF031F"/>
    <w:rsid w:val="00EF06F1"/>
    <w:rsid w:val="00EF22BF"/>
    <w:rsid w:val="00EF27D1"/>
    <w:rsid w:val="00EF3DE6"/>
    <w:rsid w:val="00EF4EC4"/>
    <w:rsid w:val="00EF51B1"/>
    <w:rsid w:val="00EF5267"/>
    <w:rsid w:val="00EF5800"/>
    <w:rsid w:val="00EF697D"/>
    <w:rsid w:val="00F019F4"/>
    <w:rsid w:val="00F01BD4"/>
    <w:rsid w:val="00F01D9D"/>
    <w:rsid w:val="00F051C0"/>
    <w:rsid w:val="00F122C0"/>
    <w:rsid w:val="00F137D4"/>
    <w:rsid w:val="00F14E8C"/>
    <w:rsid w:val="00F17985"/>
    <w:rsid w:val="00F20CA2"/>
    <w:rsid w:val="00F21145"/>
    <w:rsid w:val="00F22431"/>
    <w:rsid w:val="00F22570"/>
    <w:rsid w:val="00F23524"/>
    <w:rsid w:val="00F23603"/>
    <w:rsid w:val="00F2412F"/>
    <w:rsid w:val="00F24EB2"/>
    <w:rsid w:val="00F2555E"/>
    <w:rsid w:val="00F3164E"/>
    <w:rsid w:val="00F318E7"/>
    <w:rsid w:val="00F32318"/>
    <w:rsid w:val="00F32CBB"/>
    <w:rsid w:val="00F349E5"/>
    <w:rsid w:val="00F349E9"/>
    <w:rsid w:val="00F357FF"/>
    <w:rsid w:val="00F35D88"/>
    <w:rsid w:val="00F36801"/>
    <w:rsid w:val="00F37C96"/>
    <w:rsid w:val="00F40630"/>
    <w:rsid w:val="00F40E7A"/>
    <w:rsid w:val="00F41546"/>
    <w:rsid w:val="00F41B37"/>
    <w:rsid w:val="00F43D29"/>
    <w:rsid w:val="00F44CA5"/>
    <w:rsid w:val="00F4679E"/>
    <w:rsid w:val="00F47254"/>
    <w:rsid w:val="00F530B9"/>
    <w:rsid w:val="00F540FF"/>
    <w:rsid w:val="00F54782"/>
    <w:rsid w:val="00F54B84"/>
    <w:rsid w:val="00F551FA"/>
    <w:rsid w:val="00F56119"/>
    <w:rsid w:val="00F56904"/>
    <w:rsid w:val="00F56980"/>
    <w:rsid w:val="00F56EEA"/>
    <w:rsid w:val="00F57CFD"/>
    <w:rsid w:val="00F60CFB"/>
    <w:rsid w:val="00F61AD5"/>
    <w:rsid w:val="00F62609"/>
    <w:rsid w:val="00F6306B"/>
    <w:rsid w:val="00F6496D"/>
    <w:rsid w:val="00F661D3"/>
    <w:rsid w:val="00F66799"/>
    <w:rsid w:val="00F669C2"/>
    <w:rsid w:val="00F66A5F"/>
    <w:rsid w:val="00F721E8"/>
    <w:rsid w:val="00F725BD"/>
    <w:rsid w:val="00F7323C"/>
    <w:rsid w:val="00F73B1A"/>
    <w:rsid w:val="00F73DE7"/>
    <w:rsid w:val="00F73E67"/>
    <w:rsid w:val="00F7451D"/>
    <w:rsid w:val="00F74752"/>
    <w:rsid w:val="00F74FD7"/>
    <w:rsid w:val="00F7554D"/>
    <w:rsid w:val="00F76089"/>
    <w:rsid w:val="00F770A6"/>
    <w:rsid w:val="00F81FCE"/>
    <w:rsid w:val="00F82846"/>
    <w:rsid w:val="00F83644"/>
    <w:rsid w:val="00F83C74"/>
    <w:rsid w:val="00F84B9A"/>
    <w:rsid w:val="00F85131"/>
    <w:rsid w:val="00F8562C"/>
    <w:rsid w:val="00F86176"/>
    <w:rsid w:val="00F87605"/>
    <w:rsid w:val="00F903EE"/>
    <w:rsid w:val="00F90ACC"/>
    <w:rsid w:val="00F91BB5"/>
    <w:rsid w:val="00F91CC9"/>
    <w:rsid w:val="00F928E3"/>
    <w:rsid w:val="00F92CC3"/>
    <w:rsid w:val="00F95183"/>
    <w:rsid w:val="00F953DF"/>
    <w:rsid w:val="00F954BA"/>
    <w:rsid w:val="00F95C18"/>
    <w:rsid w:val="00F96871"/>
    <w:rsid w:val="00F96977"/>
    <w:rsid w:val="00F9713D"/>
    <w:rsid w:val="00FA1F02"/>
    <w:rsid w:val="00FA2391"/>
    <w:rsid w:val="00FA4F0A"/>
    <w:rsid w:val="00FA609B"/>
    <w:rsid w:val="00FA683E"/>
    <w:rsid w:val="00FA687F"/>
    <w:rsid w:val="00FA6D30"/>
    <w:rsid w:val="00FB1ABB"/>
    <w:rsid w:val="00FB1DE1"/>
    <w:rsid w:val="00FB2ED6"/>
    <w:rsid w:val="00FB375F"/>
    <w:rsid w:val="00FB4E94"/>
    <w:rsid w:val="00FB6AB6"/>
    <w:rsid w:val="00FC15B7"/>
    <w:rsid w:val="00FC169F"/>
    <w:rsid w:val="00FC175D"/>
    <w:rsid w:val="00FC3C9A"/>
    <w:rsid w:val="00FC6D0A"/>
    <w:rsid w:val="00FC712F"/>
    <w:rsid w:val="00FD0832"/>
    <w:rsid w:val="00FD099E"/>
    <w:rsid w:val="00FD1290"/>
    <w:rsid w:val="00FD18A8"/>
    <w:rsid w:val="00FD34CA"/>
    <w:rsid w:val="00FD452C"/>
    <w:rsid w:val="00FD45CF"/>
    <w:rsid w:val="00FD49AF"/>
    <w:rsid w:val="00FD4D5C"/>
    <w:rsid w:val="00FD59C7"/>
    <w:rsid w:val="00FD5AE4"/>
    <w:rsid w:val="00FD6136"/>
    <w:rsid w:val="00FD684C"/>
    <w:rsid w:val="00FD685F"/>
    <w:rsid w:val="00FD7D37"/>
    <w:rsid w:val="00FE2366"/>
    <w:rsid w:val="00FE2AEE"/>
    <w:rsid w:val="00FE4918"/>
    <w:rsid w:val="00FE4DD8"/>
    <w:rsid w:val="00FE740B"/>
    <w:rsid w:val="00FE7F83"/>
    <w:rsid w:val="00FF115D"/>
    <w:rsid w:val="00FF4A05"/>
    <w:rsid w:val="00FF4D9F"/>
    <w:rsid w:val="00FF5C49"/>
    <w:rsid w:val="00FF6819"/>
    <w:rsid w:val="06C223B3"/>
    <w:rsid w:val="0761540D"/>
    <w:rsid w:val="08E344EC"/>
    <w:rsid w:val="0C341C65"/>
    <w:rsid w:val="0F4E1861"/>
    <w:rsid w:val="10206529"/>
    <w:rsid w:val="11391687"/>
    <w:rsid w:val="1196350A"/>
    <w:rsid w:val="13DB15D3"/>
    <w:rsid w:val="1D311410"/>
    <w:rsid w:val="1F504BD0"/>
    <w:rsid w:val="1FF94B78"/>
    <w:rsid w:val="2173705F"/>
    <w:rsid w:val="26BD507D"/>
    <w:rsid w:val="27824DA7"/>
    <w:rsid w:val="30BF4BCD"/>
    <w:rsid w:val="354558B0"/>
    <w:rsid w:val="397F5E4B"/>
    <w:rsid w:val="3DCD4871"/>
    <w:rsid w:val="3F882ED0"/>
    <w:rsid w:val="3FB6313B"/>
    <w:rsid w:val="41A41676"/>
    <w:rsid w:val="4639344F"/>
    <w:rsid w:val="4AFE4DFC"/>
    <w:rsid w:val="4EA74F0F"/>
    <w:rsid w:val="574116FA"/>
    <w:rsid w:val="58674908"/>
    <w:rsid w:val="59025BED"/>
    <w:rsid w:val="5DB650BD"/>
    <w:rsid w:val="66443FCF"/>
    <w:rsid w:val="68596ECA"/>
    <w:rsid w:val="74261481"/>
    <w:rsid w:val="77F94365"/>
    <w:rsid w:val="7DA84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9"/>
    <w:pPr>
      <w:keepNext/>
      <w:keepLines/>
      <w:spacing w:before="260" w:after="260" w:line="416" w:lineRule="auto"/>
      <w:outlineLvl w:val="1"/>
    </w:pPr>
    <w:rPr>
      <w:rFonts w:ascii="Cambria" w:hAnsi="Cambria"/>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35"/>
    <w:rPr>
      <w:rFonts w:ascii="宋体" w:hAnsi="宋体" w:eastAsia="Verdana" w:cs="Calibri"/>
      <w:sz w:val="20"/>
    </w:rPr>
  </w:style>
  <w:style w:type="paragraph" w:styleId="5">
    <w:name w:val="Body Text"/>
    <w:basedOn w:val="1"/>
    <w:link w:val="27"/>
    <w:unhideWhenUsed/>
    <w:qFormat/>
    <w:uiPriority w:val="99"/>
    <w:pPr>
      <w:spacing w:after="120"/>
    </w:pPr>
  </w:style>
  <w:style w:type="paragraph" w:styleId="6">
    <w:name w:val="Body Text Indent"/>
    <w:basedOn w:val="1"/>
    <w:link w:val="29"/>
    <w:qFormat/>
    <w:uiPriority w:val="0"/>
    <w:pPr>
      <w:ind w:firstLine="482" w:firstLineChars="200"/>
    </w:pPr>
    <w:rPr>
      <w:b/>
      <w:bCs/>
      <w:sz w:val="24"/>
      <w:szCs w:val="24"/>
    </w:rPr>
  </w:style>
  <w:style w:type="paragraph" w:styleId="7">
    <w:name w:val="toc 3"/>
    <w:basedOn w:val="1"/>
    <w:next w:val="1"/>
    <w:unhideWhenUsed/>
    <w:qFormat/>
    <w:uiPriority w:val="39"/>
    <w:pPr>
      <w:ind w:left="840" w:leftChars="400"/>
    </w:pPr>
  </w:style>
  <w:style w:type="paragraph" w:styleId="8">
    <w:name w:val="Balloon Text"/>
    <w:basedOn w:val="1"/>
    <w:link w:val="30"/>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rFonts w:ascii="Calibri" w:hAnsi="Calibri"/>
      <w:sz w:val="18"/>
      <w:szCs w:val="18"/>
    </w:rPr>
  </w:style>
  <w:style w:type="paragraph" w:styleId="10">
    <w:name w:val="header"/>
    <w:basedOn w:val="1"/>
    <w:link w:val="28"/>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4">
    <w:name w:val="Body Text First Indent"/>
    <w:basedOn w:val="5"/>
    <w:link w:val="21"/>
    <w:unhideWhenUsed/>
    <w:qFormat/>
    <w:uiPriority w:val="99"/>
    <w:pPr>
      <w:ind w:firstLine="420" w:firstLineChars="100"/>
    </w:p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b/>
      <w:bCs/>
    </w:rPr>
  </w:style>
  <w:style w:type="character" w:styleId="19">
    <w:name w:val="Hyperlink"/>
    <w:unhideWhenUsed/>
    <w:qFormat/>
    <w:uiPriority w:val="99"/>
    <w:rPr>
      <w:color w:val="0000FF"/>
      <w:u w:val="single"/>
    </w:rPr>
  </w:style>
  <w:style w:type="character" w:customStyle="1" w:styleId="20">
    <w:name w:val="正文文本 (2) + MingLiU"/>
    <w:qFormat/>
    <w:uiPriority w:val="0"/>
    <w:rPr>
      <w:rFonts w:ascii="MingLiU" w:hAnsi="MingLiU" w:eastAsia="MingLiU" w:cs="MingLiU"/>
      <w:b/>
      <w:bCs/>
      <w:color w:val="000000"/>
      <w:spacing w:val="0"/>
      <w:w w:val="100"/>
      <w:position w:val="0"/>
      <w:sz w:val="30"/>
      <w:szCs w:val="30"/>
      <w:shd w:val="clear" w:color="auto" w:fill="FFFFFF"/>
      <w:lang w:val="zh-TW" w:eastAsia="zh-TW" w:bidi="zh-TW"/>
    </w:rPr>
  </w:style>
  <w:style w:type="character" w:customStyle="1" w:styleId="21">
    <w:name w:val="正文文本首行缩进 字符"/>
    <w:link w:val="14"/>
    <w:semiHidden/>
    <w:qFormat/>
    <w:uiPriority w:val="99"/>
    <w:rPr>
      <w:rFonts w:ascii="Times New Roman" w:hAnsi="Times New Roman" w:eastAsia="宋体" w:cs="Times New Roman"/>
      <w:szCs w:val="20"/>
    </w:rPr>
  </w:style>
  <w:style w:type="character" w:customStyle="1" w:styleId="22">
    <w:name w:val="页脚 字符"/>
    <w:link w:val="9"/>
    <w:qFormat/>
    <w:uiPriority w:val="99"/>
    <w:rPr>
      <w:sz w:val="18"/>
      <w:szCs w:val="18"/>
    </w:rPr>
  </w:style>
  <w:style w:type="character" w:customStyle="1" w:styleId="23">
    <w:name w:val="标题 1 字符"/>
    <w:link w:val="2"/>
    <w:qFormat/>
    <w:uiPriority w:val="9"/>
    <w:rPr>
      <w:rFonts w:ascii="Times New Roman" w:hAnsi="Times New Roman" w:eastAsia="宋体" w:cs="Times New Roman"/>
      <w:b/>
      <w:bCs/>
      <w:kern w:val="44"/>
      <w:sz w:val="44"/>
      <w:szCs w:val="44"/>
    </w:rPr>
  </w:style>
  <w:style w:type="character" w:customStyle="1" w:styleId="24">
    <w:name w:val="标题 2 字符"/>
    <w:link w:val="3"/>
    <w:qFormat/>
    <w:uiPriority w:val="9"/>
    <w:rPr>
      <w:rFonts w:ascii="Cambria" w:hAnsi="Cambria" w:eastAsia="宋体" w:cs="Times New Roman"/>
      <w:b/>
      <w:bCs/>
      <w:sz w:val="32"/>
      <w:szCs w:val="32"/>
    </w:rPr>
  </w:style>
  <w:style w:type="character" w:customStyle="1" w:styleId="25">
    <w:name w:val="正文文本 (2)_"/>
    <w:link w:val="26"/>
    <w:qFormat/>
    <w:uiPriority w:val="0"/>
    <w:rPr>
      <w:rFonts w:ascii="Arial Unicode MS" w:hAnsi="Arial Unicode MS" w:eastAsia="Arial Unicode MS" w:cs="Arial Unicode MS"/>
      <w:sz w:val="30"/>
      <w:szCs w:val="30"/>
      <w:shd w:val="clear" w:color="auto" w:fill="FFFFFF"/>
    </w:rPr>
  </w:style>
  <w:style w:type="paragraph" w:customStyle="1" w:styleId="26">
    <w:name w:val="正文文本 (2)2"/>
    <w:basedOn w:val="1"/>
    <w:link w:val="25"/>
    <w:qFormat/>
    <w:uiPriority w:val="0"/>
    <w:pPr>
      <w:shd w:val="clear" w:color="auto" w:fill="FFFFFF"/>
      <w:spacing w:before="360" w:after="600" w:line="0" w:lineRule="atLeast"/>
      <w:jc w:val="right"/>
    </w:pPr>
    <w:rPr>
      <w:rFonts w:ascii="Arial Unicode MS" w:hAnsi="Arial Unicode MS" w:eastAsia="Arial Unicode MS" w:cs="Arial Unicode MS"/>
      <w:sz w:val="30"/>
      <w:szCs w:val="30"/>
    </w:rPr>
  </w:style>
  <w:style w:type="character" w:customStyle="1" w:styleId="27">
    <w:name w:val="正文文本 字符"/>
    <w:link w:val="5"/>
    <w:semiHidden/>
    <w:uiPriority w:val="99"/>
    <w:rPr>
      <w:rFonts w:ascii="Times New Roman" w:hAnsi="Times New Roman" w:eastAsia="宋体" w:cs="Times New Roman"/>
      <w:szCs w:val="20"/>
    </w:rPr>
  </w:style>
  <w:style w:type="character" w:customStyle="1" w:styleId="28">
    <w:name w:val="页眉 字符"/>
    <w:link w:val="10"/>
    <w:qFormat/>
    <w:uiPriority w:val="99"/>
    <w:rPr>
      <w:sz w:val="18"/>
      <w:szCs w:val="18"/>
    </w:rPr>
  </w:style>
  <w:style w:type="character" w:customStyle="1" w:styleId="29">
    <w:name w:val="正文文本缩进 字符"/>
    <w:link w:val="6"/>
    <w:qFormat/>
    <w:uiPriority w:val="0"/>
    <w:rPr>
      <w:rFonts w:ascii="Times New Roman" w:hAnsi="Times New Roman" w:eastAsia="宋体" w:cs="Times New Roman"/>
      <w:b/>
      <w:bCs/>
      <w:sz w:val="24"/>
      <w:szCs w:val="24"/>
    </w:rPr>
  </w:style>
  <w:style w:type="character" w:customStyle="1" w:styleId="30">
    <w:name w:val="批注框文本 字符"/>
    <w:link w:val="8"/>
    <w:semiHidden/>
    <w:qFormat/>
    <w:uiPriority w:val="99"/>
    <w:rPr>
      <w:rFonts w:ascii="Times New Roman" w:hAnsi="Times New Roman" w:eastAsia="宋体" w:cs="Times New Roman"/>
      <w:sz w:val="18"/>
      <w:szCs w:val="18"/>
    </w:rPr>
  </w:style>
  <w:style w:type="paragraph" w:customStyle="1" w:styleId="31">
    <w:name w:val="Table Paragraph"/>
    <w:basedOn w:val="1"/>
    <w:qFormat/>
    <w:uiPriority w:val="1"/>
    <w:pPr>
      <w:autoSpaceDE w:val="0"/>
      <w:autoSpaceDN w:val="0"/>
      <w:jc w:val="left"/>
    </w:pPr>
    <w:rPr>
      <w:rFonts w:ascii="宋体" w:hAnsi="宋体" w:cs="宋体"/>
      <w:kern w:val="0"/>
      <w:sz w:val="22"/>
      <w:szCs w:val="22"/>
      <w:lang w:val="zh-CN" w:bidi="zh-CN"/>
    </w:rPr>
  </w:style>
  <w:style w:type="paragraph" w:customStyle="1" w:styleId="32">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3">
    <w:name w:val="Char Char Char Char"/>
    <w:basedOn w:val="1"/>
    <w:qFormat/>
    <w:uiPriority w:val="0"/>
    <w:rPr>
      <w:szCs w:val="24"/>
    </w:rPr>
  </w:style>
  <w:style w:type="paragraph" w:customStyle="1" w:styleId="34">
    <w:name w:val="Char"/>
    <w:basedOn w:val="1"/>
    <w:uiPriority w:val="0"/>
    <w:pPr>
      <w:tabs>
        <w:tab w:val="left" w:pos="432"/>
      </w:tabs>
      <w:spacing w:before="156" w:beforeLines="50" w:after="156" w:afterLines="50" w:line="365" w:lineRule="atLeast"/>
      <w:ind w:left="432" w:hanging="432"/>
      <w:textAlignment w:val="bottom"/>
    </w:pPr>
    <w:rPr>
      <w:kern w:val="0"/>
      <w:sz w:val="20"/>
    </w:rPr>
  </w:style>
  <w:style w:type="paragraph" w:customStyle="1" w:styleId="35">
    <w:name w:val="修订1"/>
    <w:semiHidden/>
    <w:qFormat/>
    <w:uiPriority w:val="99"/>
    <w:rPr>
      <w:rFonts w:ascii="Times New Roman" w:hAnsi="Times New Roman" w:eastAsia="宋体" w:cs="Times New Roman"/>
      <w:kern w:val="2"/>
      <w:sz w:val="21"/>
      <w:lang w:val="en-US" w:eastAsia="zh-CN" w:bidi="ar-SA"/>
    </w:rPr>
  </w:style>
  <w:style w:type="paragraph" w:customStyle="1" w:styleId="36">
    <w:name w:val="正文文本 (3)1"/>
    <w:basedOn w:val="1"/>
    <w:qFormat/>
    <w:uiPriority w:val="0"/>
    <w:pPr>
      <w:shd w:val="clear" w:color="auto" w:fill="FFFFFF"/>
      <w:spacing w:line="562" w:lineRule="exact"/>
      <w:ind w:firstLine="680"/>
      <w:jc w:val="distribute"/>
    </w:pPr>
    <w:rPr>
      <w:rFonts w:ascii="MingLiU" w:hAnsi="MingLiU" w:eastAsia="MingLiU" w:cs="MingLiU"/>
      <w:b/>
      <w:bCs/>
      <w:sz w:val="30"/>
      <w:szCs w:val="30"/>
    </w:rPr>
  </w:style>
  <w:style w:type="paragraph" w:customStyle="1" w:styleId="37">
    <w:name w:val="Char Char1"/>
    <w:qFormat/>
    <w:uiPriority w:val="0"/>
    <w:pPr>
      <w:widowControl w:val="0"/>
      <w:jc w:val="both"/>
    </w:pPr>
    <w:rPr>
      <w:rFonts w:ascii="Tahoma" w:hAnsi="Tahoma" w:eastAsia="宋体" w:cs="Times New Roman"/>
      <w:kern w:val="2"/>
      <w:sz w:val="24"/>
      <w:lang w:val="en-US" w:eastAsia="zh-CN" w:bidi="ar-SA"/>
    </w:rPr>
  </w:style>
  <w:style w:type="paragraph" w:styleId="38">
    <w:name w:val="List Paragraph"/>
    <w:basedOn w:val="1"/>
    <w:qFormat/>
    <w:uiPriority w:val="34"/>
    <w:pPr>
      <w:ind w:firstLine="420" w:firstLineChars="200"/>
    </w:pPr>
  </w:style>
  <w:style w:type="character" w:customStyle="1" w:styleId="39">
    <w:name w:val="ql-author-8185946"/>
    <w:basedOn w:val="1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Users\weijianliang\Desktop\2021\&#28201;&#24030;&#21830;&#21153;&#21313;&#22235;&#20116;\&#28201;&#24030;&#24066;&#21830;&#21153;&#21457;&#23637;&#8220;&#21313;&#22235;&#20116;&#8221;&#35268;&#21010;2021030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G:\Users\weijianliang\Desktop\2021\温州商务十四五\温州市商务发展“十四五”规划20210309.dotx</Template>
  <Company>Microsoft</Company>
  <Pages>58</Pages>
  <Words>6514</Words>
  <Characters>37136</Characters>
  <Lines>309</Lines>
  <Paragraphs>87</Paragraphs>
  <TotalTime>0</TotalTime>
  <ScaleCrop>false</ScaleCrop>
  <LinksUpToDate>false</LinksUpToDate>
  <CharactersWithSpaces>43563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2021-06-23T03:34:00Z</dcterms:created>
  <dc:creator>Microsoft Office User</dc:creator>
  <cp:lastModifiedBy>Karen</cp:lastModifiedBy>
  <cp:lastPrinted>2021-03-17T06:15:00Z</cp:lastPrinted>
  <dcterms:modified xsi:type="dcterms:W3CDTF">2021-06-30T08:53:41Z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345546DA26134333BA847F4A06CCE76E</vt:lpwstr>
  </property>
</Properties>
</file>