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rPr>
      </w:pPr>
      <w:bookmarkStart w:id="12" w:name="_GoBack"/>
      <w:bookmarkEnd w:id="12"/>
      <w:r>
        <w:rPr>
          <w:rFonts w:hint="eastAsia" w:ascii="方正小标宋简体" w:hAnsi="方正小标宋简体" w:eastAsia="方正小标宋简体" w:cs="方正小标宋简体"/>
          <w:b w:val="0"/>
          <w:bCs/>
          <w:sz w:val="44"/>
          <w:szCs w:val="44"/>
        </w:rPr>
        <w:t>温州市社会发展和基本公共服务体系</w:t>
      </w:r>
      <w:bookmarkStart w:id="0" w:name="_Toc23025"/>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“十四五”规划</w:t>
      </w:r>
      <w:bookmarkEnd w:id="0"/>
      <w:r>
        <w:rPr>
          <w:rFonts w:hint="eastAsia" w:ascii="方正小标宋简体" w:hAnsi="方正小标宋简体" w:eastAsia="方正小标宋简体" w:cs="方正小标宋简体"/>
          <w:b w:val="0"/>
          <w:bCs/>
          <w:sz w:val="44"/>
          <w:szCs w:val="44"/>
          <w:lang w:eastAsia="zh-CN"/>
        </w:rPr>
        <w:t>起草说明</w:t>
      </w:r>
    </w:p>
    <w:p>
      <w:pPr>
        <w:pStyle w:val="4"/>
        <w:bidi w:val="0"/>
        <w:spacing w:before="0" w:after="0" w:line="600" w:lineRule="exact"/>
        <w:ind w:firstLine="643" w:firstLineChars="200"/>
        <w:rPr>
          <w:rFonts w:hint="eastAsia"/>
          <w:lang w:val="en-US" w:eastAsia="zh-CN"/>
        </w:rPr>
      </w:pPr>
    </w:p>
    <w:p>
      <w:pPr>
        <w:pStyle w:val="4"/>
        <w:bidi w:val="0"/>
        <w:spacing w:before="0" w:after="0" w:line="600" w:lineRule="exact"/>
        <w:ind w:firstLine="640" w:firstLineChars="200"/>
        <w:rPr>
          <w:rFonts w:hint="eastAsia" w:ascii="黑体" w:hAnsi="黑体" w:eastAsia="黑体" w:cs="黑体"/>
          <w:b w:val="0"/>
          <w:bCs/>
          <w:lang w:val="en-US" w:eastAsia="zh-CN"/>
        </w:rPr>
      </w:pPr>
      <w:r>
        <w:rPr>
          <w:rFonts w:hint="eastAsia" w:ascii="黑体" w:hAnsi="黑体" w:eastAsia="黑体" w:cs="黑体"/>
          <w:b w:val="0"/>
          <w:bCs/>
          <w:lang w:val="en-US" w:eastAsia="zh-CN"/>
        </w:rPr>
        <w:t>一、起草背景</w:t>
      </w:r>
    </w:p>
    <w:p>
      <w:pPr>
        <w:spacing w:beforeLines="0" w:afterLines="0" w:line="600" w:lineRule="exact"/>
        <w:ind w:firstLine="640" w:firstLineChars="200"/>
        <w:rPr>
          <w:rFonts w:hint="eastAsia" w:ascii="仿宋_GB2312" w:hAnsi="楷体" w:eastAsia="仿宋_GB2312" w:cs="Times New Roman"/>
          <w:color w:val="000000"/>
          <w:sz w:val="32"/>
          <w:szCs w:val="32"/>
          <w:lang w:val="en-US" w:eastAsia="zh-CN"/>
        </w:rPr>
      </w:pPr>
      <w:r>
        <w:rPr>
          <w:rFonts w:hint="eastAsia" w:ascii="仿宋_GB2312" w:hAnsi="楷体" w:eastAsia="仿宋_GB2312" w:cs="Times New Roman"/>
          <w:color w:val="000000"/>
          <w:sz w:val="32"/>
          <w:szCs w:val="32"/>
          <w:lang w:val="en-US" w:eastAsia="zh-CN"/>
        </w:rPr>
        <w:t>“十四五”时期是我国全面建成小康社会、实现第一个百年奋斗目标之后，乘势而上开启全面建设社会主义现代化国家新征程、向第二个百年奋斗目标进军的第一个五年。</w:t>
      </w:r>
      <w:r>
        <w:rPr>
          <w:rFonts w:hint="eastAsia" w:ascii="仿宋_GB2312" w:hAnsi="楷体" w:eastAsia="仿宋_GB2312"/>
          <w:color w:val="000000"/>
          <w:sz w:val="32"/>
          <w:szCs w:val="32"/>
        </w:rPr>
        <w:t>我国社会主要矛盾已经转化为人民日益增长的美好生活需要和不平衡不充分的发展之间的矛盾，</w:t>
      </w:r>
      <w:r>
        <w:rPr>
          <w:rFonts w:hint="eastAsia" w:ascii="仿宋_GB2312" w:hAnsi="楷体" w:eastAsia="仿宋_GB2312"/>
          <w:color w:val="000000"/>
          <w:sz w:val="32"/>
          <w:szCs w:val="32"/>
          <w:lang w:eastAsia="zh-CN"/>
        </w:rPr>
        <w:t>全市人民</w:t>
      </w:r>
      <w:r>
        <w:rPr>
          <w:rFonts w:hint="eastAsia" w:ascii="仿宋_GB2312" w:hAnsi="楷体" w:eastAsia="仿宋_GB2312"/>
          <w:color w:val="000000"/>
          <w:sz w:val="32"/>
          <w:szCs w:val="32"/>
        </w:rPr>
        <w:t>对优质公共服务、社会和谐稳定、社会公平正义提出了更高要求。</w:t>
      </w:r>
      <w:r>
        <w:rPr>
          <w:rFonts w:hint="eastAsia" w:ascii="仿宋_GB2312" w:hAnsi="仿宋_GB2312" w:eastAsia="仿宋_GB2312" w:cs="仿宋_GB2312"/>
          <w:b w:val="0"/>
          <w:kern w:val="2"/>
          <w:sz w:val="32"/>
          <w:szCs w:val="32"/>
          <w:lang w:val="en-US" w:eastAsia="zh-CN" w:bidi="ar-SA"/>
        </w:rPr>
        <w:t>为贯彻落实习近平新时代中国特色社会主义思想，坚持“以人民为中心”的发展思想，加快社会发展，提升基本公共服务均等化水平，进一步增强全市人民的获得感、幸福感、安全感，</w:t>
      </w:r>
      <w:r>
        <w:rPr>
          <w:rFonts w:hint="eastAsia" w:ascii="仿宋_GB2312" w:hAnsi="楷体" w:eastAsia="仿宋_GB2312" w:cs="Times New Roman"/>
          <w:color w:val="000000"/>
          <w:sz w:val="32"/>
          <w:szCs w:val="32"/>
          <w:lang w:val="en-US" w:eastAsia="zh-CN"/>
        </w:rPr>
        <w:t>我委组织编制《温州市社会发展和基本公共服务体系“十四五”规划》。</w:t>
      </w:r>
    </w:p>
    <w:p>
      <w:pPr>
        <w:pStyle w:val="4"/>
        <w:bidi w:val="0"/>
        <w:spacing w:before="0" w:after="0" w:line="600" w:lineRule="exact"/>
        <w:ind w:firstLine="640" w:firstLineChars="200"/>
        <w:rPr>
          <w:rFonts w:hint="eastAsia" w:ascii="黑体" w:hAnsi="黑体" w:eastAsia="黑体" w:cs="黑体"/>
          <w:b w:val="0"/>
          <w:bCs/>
          <w:lang w:val="en-US" w:eastAsia="zh-CN"/>
        </w:rPr>
      </w:pPr>
      <w:r>
        <w:rPr>
          <w:rFonts w:hint="eastAsia" w:ascii="黑体" w:hAnsi="黑体" w:eastAsia="黑体" w:cs="黑体"/>
          <w:b w:val="0"/>
          <w:bCs/>
          <w:lang w:val="en-US" w:eastAsia="zh-CN"/>
        </w:rPr>
        <w:t>二、主要工作</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仿宋_GB2312" w:hAnsi="楷体" w:eastAsia="仿宋_GB2312" w:cs="Times New Roman"/>
          <w:color w:val="000000"/>
          <w:sz w:val="32"/>
          <w:szCs w:val="32"/>
          <w:lang w:val="en-US" w:eastAsia="zh-CN"/>
        </w:rPr>
        <w:t>《规划》于2020年6月启动，主要开展了三方面工作：</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一是成立工作专班。</w:t>
      </w:r>
      <w:r>
        <w:rPr>
          <w:rFonts w:hint="eastAsia" w:ascii="仿宋_GB2312" w:hAnsi="楷体" w:eastAsia="仿宋_GB2312" w:cs="Times New Roman"/>
          <w:color w:val="000000"/>
          <w:sz w:val="32"/>
          <w:szCs w:val="32"/>
          <w:lang w:val="en-US" w:eastAsia="zh-CN"/>
        </w:rPr>
        <w:t>抽调社会处、温州设计集团温州市经济建设规划院等单位组成工作专班，群策群力、集思广益。</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二是组织专题调研。</w:t>
      </w:r>
      <w:r>
        <w:rPr>
          <w:rFonts w:hint="eastAsia" w:ascii="仿宋_GB2312" w:hAnsi="楷体" w:eastAsia="仿宋_GB2312" w:cs="Times New Roman"/>
          <w:color w:val="000000"/>
          <w:sz w:val="32"/>
          <w:szCs w:val="32"/>
          <w:lang w:val="en-US" w:eastAsia="zh-CN"/>
        </w:rPr>
        <w:t>针对我市社会发展和基本公共服务存在的难点、痛点、堵点问题，赴各有关单位开展专题调研。</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default"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三是广泛征求意见。</w:t>
      </w:r>
      <w:r>
        <w:rPr>
          <w:rFonts w:hint="eastAsia" w:ascii="仿宋_GB2312" w:hAnsi="楷体" w:eastAsia="仿宋_GB2312" w:cs="Times New Roman"/>
          <w:color w:val="000000"/>
          <w:sz w:val="32"/>
          <w:szCs w:val="32"/>
          <w:lang w:val="en-US" w:eastAsia="zh-CN"/>
        </w:rPr>
        <w:t>在三次书面征求意见基础上，4、5月，我们就《规划》两次召开部门征求意见会，并于6月召开了专家评审会。7月13日，市司法局对《规划》出具了合法性审查意见。6月30日-7月29日，《规划》在网上公开征求意见，并对网民关注热点进行了回应。</w:t>
      </w:r>
    </w:p>
    <w:p>
      <w:pPr>
        <w:pStyle w:val="4"/>
        <w:bidi w:val="0"/>
        <w:spacing w:before="0" w:after="0" w:line="600" w:lineRule="exact"/>
        <w:ind w:firstLine="640" w:firstLineChars="200"/>
        <w:rPr>
          <w:rFonts w:hint="eastAsia" w:ascii="黑体" w:hAnsi="黑体" w:eastAsia="黑体" w:cs="黑体"/>
          <w:b w:val="0"/>
          <w:bCs/>
          <w:lang w:val="en-US" w:eastAsia="zh-CN"/>
        </w:rPr>
      </w:pPr>
      <w:r>
        <w:rPr>
          <w:rFonts w:hint="eastAsia" w:ascii="黑体" w:hAnsi="黑体" w:eastAsia="黑体" w:cs="黑体"/>
          <w:b w:val="0"/>
          <w:bCs/>
          <w:lang w:val="en-US" w:eastAsia="zh-CN"/>
        </w:rPr>
        <w:t>三、主要内容</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仿宋_GB2312" w:hAnsi="楷体" w:eastAsia="仿宋_GB2312" w:cs="Times New Roman"/>
          <w:color w:val="000000"/>
          <w:sz w:val="32"/>
          <w:szCs w:val="32"/>
          <w:lang w:val="en-US" w:eastAsia="zh-CN"/>
        </w:rPr>
        <w:t>《规划》共分为十四章，主要内容如下：</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前言部分：</w:t>
      </w:r>
      <w:r>
        <w:rPr>
          <w:rFonts w:hint="eastAsia" w:ascii="仿宋_GB2312" w:hAnsi="楷体" w:eastAsia="仿宋_GB2312" w:cs="Times New Roman"/>
          <w:color w:val="000000"/>
          <w:sz w:val="32"/>
          <w:szCs w:val="32"/>
          <w:lang w:val="en-US" w:eastAsia="zh-CN"/>
        </w:rPr>
        <w:t>阐述规划编制的背景、依据、规划期限和规划定位，规划期2021-2025年。</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第一章 现实基础。</w:t>
      </w:r>
      <w:r>
        <w:rPr>
          <w:rFonts w:hint="eastAsia" w:ascii="仿宋_GB2312" w:hAnsi="楷体" w:eastAsia="仿宋_GB2312" w:cs="Times New Roman"/>
          <w:color w:val="000000"/>
          <w:sz w:val="32"/>
          <w:szCs w:val="32"/>
          <w:lang w:val="en-US" w:eastAsia="zh-CN"/>
        </w:rPr>
        <w:t>分析了“十三五”发展成绩和面临形势。</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第二章 总体思路。</w:t>
      </w:r>
      <w:bookmarkStart w:id="1" w:name="_Toc4632"/>
      <w:bookmarkStart w:id="2" w:name="_Toc2180"/>
      <w:bookmarkStart w:id="3" w:name="_Toc10634"/>
      <w:bookmarkStart w:id="4" w:name="_Toc15600"/>
      <w:bookmarkStart w:id="5" w:name="_Toc20864"/>
      <w:bookmarkStart w:id="6" w:name="_Toc3078"/>
      <w:r>
        <w:rPr>
          <w:rFonts w:hint="eastAsia" w:ascii="楷体_GB2312" w:hAnsi="楷体_GB2312" w:eastAsia="楷体_GB2312" w:cs="楷体_GB2312"/>
          <w:color w:val="000000"/>
          <w:sz w:val="32"/>
          <w:szCs w:val="32"/>
          <w:lang w:val="en-US" w:eastAsia="zh-CN"/>
        </w:rPr>
        <w:t>提</w:t>
      </w:r>
      <w:r>
        <w:rPr>
          <w:rFonts w:hint="eastAsia" w:ascii="仿宋_GB2312" w:hAnsi="楷体" w:eastAsia="仿宋_GB2312" w:cs="Times New Roman"/>
          <w:color w:val="000000"/>
          <w:sz w:val="32"/>
          <w:szCs w:val="32"/>
          <w:lang w:val="en-US" w:eastAsia="zh-CN"/>
        </w:rPr>
        <w:t>出了“十四五”时期温州市社会发展和基本公共服务主要指标</w:t>
      </w:r>
      <w:bookmarkEnd w:id="1"/>
      <w:bookmarkEnd w:id="2"/>
      <w:bookmarkEnd w:id="3"/>
      <w:bookmarkEnd w:id="4"/>
      <w:bookmarkEnd w:id="5"/>
      <w:bookmarkEnd w:id="6"/>
      <w:r>
        <w:rPr>
          <w:rFonts w:hint="eastAsia" w:ascii="仿宋_GB2312" w:hAnsi="楷体" w:eastAsia="仿宋_GB2312" w:cs="Times New Roman"/>
          <w:color w:val="000000"/>
          <w:sz w:val="32"/>
          <w:szCs w:val="32"/>
          <w:lang w:val="en-US" w:eastAsia="zh-CN"/>
        </w:rPr>
        <w:t>，包括12个方面，58个指标。</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第三章 创新推进共同富裕的公共服务供给机制。</w:t>
      </w:r>
      <w:r>
        <w:rPr>
          <w:rFonts w:hint="eastAsia" w:ascii="仿宋_GB2312" w:hAnsi="楷体" w:eastAsia="仿宋_GB2312" w:cs="Times New Roman"/>
          <w:color w:val="000000"/>
          <w:sz w:val="32"/>
          <w:szCs w:val="32"/>
          <w:lang w:val="en-US" w:eastAsia="zh-CN"/>
        </w:rPr>
        <w:t>以均等化、数字化、多元化为导向，创新公共服务供给机制，助力共同富裕。</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第四章 构建人口均衡发展格局。</w:t>
      </w:r>
      <w:r>
        <w:rPr>
          <w:rFonts w:hint="eastAsia" w:ascii="仿宋_GB2312" w:hAnsi="楷体" w:eastAsia="仿宋_GB2312" w:cs="Times New Roman"/>
          <w:color w:val="000000"/>
          <w:sz w:val="32"/>
          <w:szCs w:val="32"/>
          <w:lang w:val="en-US" w:eastAsia="zh-CN"/>
        </w:rPr>
        <w:t>包括建设千万级人口大都市、建设生育友好型社会、完善家庭发展支撑体系等。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第五章 推动更充分更高质量就业。</w:t>
      </w:r>
      <w:r>
        <w:rPr>
          <w:rFonts w:hint="eastAsia" w:ascii="仿宋_GB2312" w:hAnsi="楷体" w:eastAsia="仿宋_GB2312" w:cs="Times New Roman"/>
          <w:color w:val="000000"/>
          <w:sz w:val="32"/>
          <w:szCs w:val="32"/>
          <w:lang w:val="en-US" w:eastAsia="zh-CN"/>
        </w:rPr>
        <w:t>提出要完善积极就业政策体系、保障重点群体就业、深化构建和谐劳动关系、建设体现效率促进公平的收入分配体系等。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第六章 打响“学在温州”品牌。</w:t>
      </w:r>
      <w:r>
        <w:rPr>
          <w:rFonts w:hint="eastAsia" w:ascii="仿宋_GB2312" w:hAnsi="楷体" w:eastAsia="仿宋_GB2312" w:cs="Times New Roman"/>
          <w:color w:val="000000"/>
          <w:sz w:val="32"/>
          <w:szCs w:val="32"/>
          <w:lang w:val="en-US" w:eastAsia="zh-CN"/>
        </w:rPr>
        <w:t>明确推进基础教育优质均衡发展、建设浙南高等教育高地、建设职业教育产教融合先行区、增强教育发展活力等。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第七章 提供舒适品质的城乡宜居服务。</w:t>
      </w:r>
      <w:r>
        <w:rPr>
          <w:rFonts w:hint="eastAsia" w:ascii="仿宋_GB2312" w:hAnsi="楷体" w:eastAsia="仿宋_GB2312" w:cs="Times New Roman"/>
          <w:color w:val="000000"/>
          <w:sz w:val="32"/>
          <w:szCs w:val="32"/>
          <w:lang w:val="en-US" w:eastAsia="zh-CN"/>
        </w:rPr>
        <w:t>包括全面落实房地产长效机制、完善住房保障体系、全面推进城市有机更新。</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第八章 建设新时代文化温州。</w:t>
      </w:r>
      <w:r>
        <w:rPr>
          <w:rFonts w:hint="eastAsia" w:ascii="仿宋_GB2312" w:hAnsi="楷体" w:eastAsia="仿宋_GB2312" w:cs="Times New Roman"/>
          <w:color w:val="000000"/>
          <w:sz w:val="32"/>
          <w:szCs w:val="32"/>
          <w:lang w:val="en-US" w:eastAsia="zh-CN"/>
        </w:rPr>
        <w:t>包括牢牢把握思想文化政治方向、构建均衡优质普惠公共文化服务体系、推进文化产业高质量发展、加快拓展文旅融合深度广度。</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第九章 健全完善全民健身服务体系。</w:t>
      </w:r>
      <w:r>
        <w:rPr>
          <w:rFonts w:hint="eastAsia" w:ascii="仿宋_GB2312" w:hAnsi="楷体" w:eastAsia="仿宋_GB2312" w:cs="Times New Roman"/>
          <w:color w:val="000000"/>
          <w:sz w:val="32"/>
          <w:szCs w:val="32"/>
          <w:lang w:val="en-US" w:eastAsia="zh-CN"/>
        </w:rPr>
        <w:t>包括加强公共体育设施建设、提升体育公共服务水平、广泛开展全民健身活动等。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第十章 创深化健康温州建设。</w:t>
      </w:r>
      <w:r>
        <w:rPr>
          <w:rFonts w:hint="eastAsia" w:ascii="仿宋_GB2312" w:hAnsi="楷体" w:eastAsia="仿宋_GB2312" w:cs="Times New Roman"/>
          <w:color w:val="000000"/>
          <w:sz w:val="32"/>
          <w:szCs w:val="32"/>
          <w:lang w:val="en-US" w:eastAsia="zh-CN"/>
        </w:rPr>
        <w:t>研究提出构建强大公共卫生体系、提升优质高效整合型医疗卫生服务能力、打造医疗高地中心城市、深化医药卫生体制改革。</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第十一章 打造“幸福颐养”家园。</w:t>
      </w:r>
      <w:r>
        <w:rPr>
          <w:rFonts w:hint="eastAsia" w:ascii="仿宋_GB2312" w:hAnsi="楷体" w:eastAsia="仿宋_GB2312" w:cs="Times New Roman"/>
          <w:color w:val="000000"/>
          <w:sz w:val="32"/>
          <w:szCs w:val="32"/>
          <w:lang w:val="en-US" w:eastAsia="zh-CN"/>
        </w:rPr>
        <w:t>包括建立健全养老服务体系、加快推进养老产业发展、构建爱老敬老社会环境。</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第十二章 提供更有温度的民生保障服务。</w:t>
      </w:r>
      <w:r>
        <w:rPr>
          <w:rFonts w:hint="eastAsia" w:ascii="仿宋_GB2312" w:hAnsi="楷体" w:eastAsia="仿宋_GB2312" w:cs="Times New Roman"/>
          <w:color w:val="000000"/>
          <w:sz w:val="32"/>
          <w:szCs w:val="32"/>
          <w:lang w:val="en-US" w:eastAsia="zh-CN"/>
        </w:rPr>
        <w:t>提出要完善新时代救助制度体系、筑牢重点群体关爱服务体系、健全公共法律服务体系等。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第十三章 增进社会和谐创造美好生活。</w:t>
      </w:r>
      <w:r>
        <w:rPr>
          <w:rFonts w:hint="eastAsia" w:ascii="仿宋_GB2312" w:hAnsi="楷体" w:eastAsia="仿宋_GB2312" w:cs="Times New Roman"/>
          <w:color w:val="000000"/>
          <w:sz w:val="32"/>
          <w:szCs w:val="32"/>
          <w:lang w:val="en-US" w:eastAsia="zh-CN"/>
        </w:rPr>
        <w:t>明确完善市域社会治理新格局、防范化解公共安全风险、提供安全优质的生活服务等。</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第十四章 保障措施。</w:t>
      </w:r>
      <w:r>
        <w:rPr>
          <w:rFonts w:hint="eastAsia" w:ascii="仿宋_GB2312" w:hAnsi="楷体" w:eastAsia="仿宋_GB2312" w:cs="Times New Roman"/>
          <w:color w:val="000000"/>
          <w:sz w:val="32"/>
          <w:szCs w:val="32"/>
          <w:lang w:val="en-US" w:eastAsia="zh-CN"/>
        </w:rPr>
        <w:t>包括加强组织领导、加强实施分工、加强督查考核。</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default" w:ascii="仿宋_GB2312" w:hAnsi="楷体" w:eastAsia="仿宋_GB2312" w:cs="Times New Roman"/>
          <w:color w:val="000000"/>
          <w:sz w:val="32"/>
          <w:szCs w:val="32"/>
          <w:lang w:val="en-US" w:eastAsia="zh-CN"/>
        </w:rPr>
      </w:pPr>
      <w:r>
        <w:rPr>
          <w:rFonts w:hint="eastAsia" w:ascii="仿宋_GB2312" w:hAnsi="楷体" w:eastAsia="仿宋_GB2312" w:cs="Times New Roman"/>
          <w:color w:val="000000"/>
          <w:sz w:val="32"/>
          <w:szCs w:val="32"/>
          <w:lang w:val="en-US" w:eastAsia="zh-CN"/>
        </w:rPr>
        <w:t>《规划》附件由两部分组成，包括重点项目分类汇总表</w:t>
      </w:r>
      <w:bookmarkStart w:id="7" w:name="_Toc28559"/>
      <w:bookmarkStart w:id="8" w:name="_Toc16813"/>
      <w:r>
        <w:rPr>
          <w:rFonts w:hint="eastAsia" w:ascii="仿宋_GB2312" w:hAnsi="楷体" w:eastAsia="仿宋_GB2312" w:cs="Times New Roman"/>
          <w:color w:val="000000"/>
          <w:sz w:val="32"/>
          <w:szCs w:val="32"/>
          <w:lang w:val="en-US" w:eastAsia="zh-CN"/>
        </w:rPr>
        <w:t>、</w:t>
      </w:r>
      <w:bookmarkEnd w:id="7"/>
      <w:bookmarkEnd w:id="8"/>
      <w:bookmarkStart w:id="9" w:name="_Toc8949"/>
      <w:bookmarkStart w:id="10" w:name="_Toc30483"/>
      <w:bookmarkStart w:id="11" w:name="_Toc18536"/>
      <w:r>
        <w:rPr>
          <w:rFonts w:hint="eastAsia" w:ascii="仿宋_GB2312" w:hAnsi="楷体" w:eastAsia="仿宋_GB2312" w:cs="Times New Roman"/>
          <w:color w:val="000000"/>
          <w:sz w:val="32"/>
          <w:szCs w:val="32"/>
          <w:lang w:val="en-US" w:eastAsia="zh-Hans"/>
        </w:rPr>
        <w:t>重大项目表</w:t>
      </w:r>
      <w:bookmarkEnd w:id="9"/>
      <w:bookmarkEnd w:id="10"/>
      <w:bookmarkEnd w:id="11"/>
      <w:r>
        <w:rPr>
          <w:rFonts w:hint="eastAsia" w:ascii="仿宋_GB2312" w:hAnsi="楷体" w:eastAsia="仿宋_GB2312" w:cs="Times New Roman"/>
          <w:color w:val="000000"/>
          <w:sz w:val="32"/>
          <w:szCs w:val="32"/>
          <w:lang w:val="en-US" w:eastAsia="zh-CN"/>
        </w:rPr>
        <w:t>。《规划》共安排51个重大项目，“十四五”计划投资1881亿元。</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default" w:ascii="仿宋_GB2312" w:hAnsi="楷体" w:eastAsia="仿宋_GB2312" w:cs="Times New Roman"/>
          <w:color w:val="000000"/>
          <w:sz w:val="32"/>
          <w:szCs w:val="32"/>
          <w:lang w:val="en-US" w:eastAsia="zh-CN"/>
        </w:rPr>
      </w:pPr>
      <w:r>
        <w:rPr>
          <w:rFonts w:hint="eastAsia" w:ascii="仿宋_GB2312" w:hAnsi="楷体" w:eastAsia="仿宋_GB2312" w:cs="Times New Roman"/>
          <w:color w:val="000000"/>
          <w:sz w:val="32"/>
          <w:szCs w:val="32"/>
          <w:lang w:val="en-US" w:eastAsia="zh-CN"/>
        </w:rPr>
        <w:t>此外，在基本公共服务体系构建方面，《规划》设置了“住有所居”“老有所养”等16个专栏，涉及10个基本公共服务领域，共计102项内容，系统、清晰地向老百姓“亮”出了我市基本公共服务体系的主要内容。</w:t>
      </w:r>
    </w:p>
    <w:p>
      <w:pPr>
        <w:pStyle w:val="4"/>
        <w:bidi w:val="0"/>
        <w:spacing w:before="0" w:after="0" w:line="600" w:lineRule="exact"/>
        <w:ind w:firstLine="640" w:firstLineChars="200"/>
        <w:rPr>
          <w:rFonts w:hint="eastAsia" w:ascii="黑体" w:hAnsi="黑体" w:eastAsia="黑体" w:cs="黑体"/>
          <w:b w:val="0"/>
          <w:bCs/>
          <w:lang w:val="en-US" w:eastAsia="zh-CN"/>
        </w:rPr>
      </w:pPr>
      <w:r>
        <w:rPr>
          <w:rFonts w:hint="eastAsia" w:ascii="黑体" w:hAnsi="黑体" w:eastAsia="黑体" w:cs="黑体"/>
          <w:b w:val="0"/>
          <w:bCs/>
          <w:lang w:val="en-US" w:eastAsia="zh-CN"/>
        </w:rPr>
        <w:t>四、规划亮点和创新</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一是聚焦群众关心的热点难点。</w:t>
      </w:r>
      <w:r>
        <w:rPr>
          <w:rFonts w:hint="eastAsia" w:ascii="仿宋_GB2312" w:hAnsi="楷体" w:eastAsia="仿宋_GB2312" w:cs="Times New Roman"/>
          <w:color w:val="000000"/>
          <w:sz w:val="32"/>
          <w:szCs w:val="32"/>
          <w:lang w:val="en-US" w:eastAsia="zh-CN"/>
        </w:rPr>
        <w:t>《规划》结合地方财政承受能力，聚焦人口、就业、教育、住房、医疗、养老等与群众密切相关的领域。</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二是将社会发展和基本公共服务有机融合。</w:t>
      </w:r>
      <w:r>
        <w:rPr>
          <w:rFonts w:hint="eastAsia" w:ascii="仿宋_GB2312" w:hAnsi="楷体" w:eastAsia="仿宋_GB2312" w:cs="Times New Roman"/>
          <w:color w:val="000000"/>
          <w:sz w:val="32"/>
          <w:szCs w:val="32"/>
          <w:lang w:val="en-US" w:eastAsia="zh-CN"/>
        </w:rPr>
        <w:t>《规划》融合《浙江省公共服务提升“十四五”规划》和《浙江省社会发展“十四五”规划》，既对我市基本公共服务进行了兜底保障，又从发展角度对未来五年我市民生发展进行了系统安排，既“保基本”、又体现了“高质量”。</w:t>
      </w:r>
    </w:p>
    <w:p>
      <w:pPr>
        <w:pageBreakBefore w:val="0"/>
        <w:numPr>
          <w:ilvl w:val="0"/>
          <w:numId w:val="0"/>
        </w:numPr>
        <w:kinsoku/>
        <w:wordWrap/>
        <w:overflowPunct/>
        <w:topLinePunct w:val="0"/>
        <w:autoSpaceDE/>
        <w:autoSpaceDN/>
        <w:bidi w:val="0"/>
        <w:spacing w:beforeLines="0" w:afterLines="0" w:line="600" w:lineRule="exact"/>
        <w:ind w:firstLine="640" w:firstLineChars="200"/>
        <w:textAlignment w:val="auto"/>
        <w:outlineLvl w:val="9"/>
        <w:rPr>
          <w:rFonts w:hint="eastAsia" w:ascii="仿宋_GB2312" w:hAnsi="楷体" w:eastAsia="仿宋_GB2312" w:cs="Times New Roman"/>
          <w:color w:val="000000"/>
          <w:sz w:val="32"/>
          <w:szCs w:val="32"/>
          <w:lang w:val="en-US" w:eastAsia="zh-CN"/>
        </w:rPr>
      </w:pPr>
      <w:r>
        <w:rPr>
          <w:rFonts w:hint="eastAsia" w:ascii="楷体_GB2312" w:hAnsi="楷体_GB2312" w:eastAsia="楷体_GB2312" w:cs="楷体_GB2312"/>
          <w:color w:val="000000"/>
          <w:sz w:val="32"/>
          <w:szCs w:val="32"/>
          <w:lang w:val="en-US" w:eastAsia="zh-CN"/>
        </w:rPr>
        <w:t>三是注重以数字化改革引领。</w:t>
      </w:r>
      <w:r>
        <w:rPr>
          <w:rFonts w:hint="eastAsia" w:ascii="仿宋_GB2312" w:hAnsi="楷体" w:eastAsia="仿宋_GB2312" w:cs="Times New Roman"/>
          <w:color w:val="000000"/>
          <w:sz w:val="32"/>
          <w:szCs w:val="32"/>
          <w:lang w:val="en-US" w:eastAsia="zh-CN"/>
        </w:rPr>
        <w:t>《规划》以我市数字社会系统建设为契机，以数字化改革引领社会事业改革，提升基本公共服务效率，实现公共服务覆盖更广人群、服务类型更加多元、服务质量明显提升，提高老百姓获得感、幸福感、安全感。</w:t>
      </w:r>
    </w:p>
    <w:p>
      <w:pPr>
        <w:pStyle w:val="2"/>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EE77A"/>
    <w:rsid w:val="034E79D4"/>
    <w:rsid w:val="066C5CF6"/>
    <w:rsid w:val="0B554DBC"/>
    <w:rsid w:val="0D932D7F"/>
    <w:rsid w:val="12C41F31"/>
    <w:rsid w:val="13195F5D"/>
    <w:rsid w:val="17A909B5"/>
    <w:rsid w:val="1E6E4703"/>
    <w:rsid w:val="1EA255B6"/>
    <w:rsid w:val="22E66661"/>
    <w:rsid w:val="29F46577"/>
    <w:rsid w:val="2A660FE0"/>
    <w:rsid w:val="2AEF626A"/>
    <w:rsid w:val="2B5E67ED"/>
    <w:rsid w:val="2F7732F3"/>
    <w:rsid w:val="33573FCC"/>
    <w:rsid w:val="343C2DB4"/>
    <w:rsid w:val="36410AC8"/>
    <w:rsid w:val="3667259D"/>
    <w:rsid w:val="372C3A1E"/>
    <w:rsid w:val="38FC0160"/>
    <w:rsid w:val="39EF6213"/>
    <w:rsid w:val="40AC5681"/>
    <w:rsid w:val="40CC718E"/>
    <w:rsid w:val="47A62DE0"/>
    <w:rsid w:val="4D0321B2"/>
    <w:rsid w:val="4E0F029A"/>
    <w:rsid w:val="4E13631B"/>
    <w:rsid w:val="54E96C46"/>
    <w:rsid w:val="5A3A0553"/>
    <w:rsid w:val="5BBF9F26"/>
    <w:rsid w:val="5DBF7890"/>
    <w:rsid w:val="5F3973E2"/>
    <w:rsid w:val="68DB6168"/>
    <w:rsid w:val="6A34166B"/>
    <w:rsid w:val="6FDEE77A"/>
    <w:rsid w:val="70CC1FFD"/>
    <w:rsid w:val="77D69309"/>
    <w:rsid w:val="7FCAAE66"/>
    <w:rsid w:val="7FDF9EBA"/>
    <w:rsid w:val="7FF04F92"/>
    <w:rsid w:val="AFE722DC"/>
    <w:rsid w:val="BDFD95A7"/>
    <w:rsid w:val="FBEE46C7"/>
    <w:rsid w:val="FFF628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100" w:beforeLines="0" w:beforeAutospacing="0" w:after="90" w:afterLines="0" w:afterAutospacing="0" w:line="576" w:lineRule="auto"/>
      <w:outlineLvl w:val="0"/>
    </w:pPr>
    <w:rPr>
      <w:rFonts w:eastAsia="仿宋_GB2312"/>
      <w:b/>
      <w:kern w:val="44"/>
      <w:sz w:val="32"/>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qFormat/>
    <w:uiPriority w:val="99"/>
    <w:pPr>
      <w:widowControl w:val="0"/>
      <w:jc w:val="both"/>
    </w:pPr>
    <w:rPr>
      <w:rFonts w:ascii="宋体" w:hAnsi="宋体" w:eastAsia="宋体" w:cs="Times New Roman"/>
      <w:color w:val="000000"/>
      <w:kern w:val="2"/>
      <w:sz w:val="28"/>
      <w:szCs w:val="28"/>
      <w:lang w:val="en-US" w:eastAsia="zh-CN" w:bidi="ar-SA"/>
    </w:rPr>
  </w:style>
  <w:style w:type="paragraph" w:styleId="3">
    <w:name w:val="Body Text First Indent"/>
    <w:basedOn w:val="2"/>
    <w:next w:val="1"/>
    <w:qFormat/>
    <w:uiPriority w:val="99"/>
    <w:pPr>
      <w:widowControl w:val="0"/>
      <w:spacing w:after="0" w:line="500" w:lineRule="exact"/>
      <w:ind w:firstLine="420"/>
      <w:jc w:val="both"/>
    </w:pPr>
    <w:rPr>
      <w:rFonts w:ascii="宋体" w:hAnsi="宋体" w:eastAsia="宋体" w:cs="Times New Roman"/>
      <w:color w:val="000000"/>
      <w:kern w:val="2"/>
      <w:sz w:val="28"/>
      <w:szCs w:val="28"/>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2021-06-23T17:31:00Z</dcterms:created>
  <dc:creator>greatwall</dc:creator>
  <cp:lastModifiedBy>a</cp:lastModifiedBy>
  <dcterms:modified xsi:type="dcterms:W3CDTF">2021-12-29T02:24:01Z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19249732_btnclosed</vt:lpwstr>
  </property>
  <property fmtid="{D5CDD505-2E9C-101B-9397-08002B2CF9AE}" pid="4" name="ICV">
    <vt:lpwstr>135680EFD5564E3F8526700909F4B15D</vt:lpwstr>
  </property>
</Properties>
</file>