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9487" w14:textId="77777777" w:rsidR="006512BA" w:rsidRDefault="00A00B30">
      <w:pPr>
        <w:pStyle w:val="aa"/>
        <w:widowControl/>
        <w:spacing w:beforeAutospacing="0" w:afterAutospacing="0" w:line="560" w:lineRule="exact"/>
        <w:jc w:val="both"/>
        <w:rPr>
          <w:rFonts w:ascii="Times New Roman" w:eastAsia="方正小标宋简体" w:hAnsi="Times New Roman"/>
          <w:b/>
          <w:sz w:val="44"/>
          <w:szCs w:val="52"/>
        </w:rPr>
      </w:pPr>
      <w:r>
        <w:rPr>
          <w:rFonts w:ascii="Times New Roman" w:eastAsia="方正小标宋简体" w:hAnsi="Times New Roman" w:hint="eastAsia"/>
          <w:b/>
          <w:sz w:val="44"/>
          <w:szCs w:val="52"/>
        </w:rPr>
        <w:t>金华市</w:t>
      </w:r>
      <w:proofErr w:type="gramStart"/>
      <w:r>
        <w:rPr>
          <w:rFonts w:ascii="Times New Roman" w:eastAsia="方正小标宋简体" w:hAnsi="Times New Roman" w:hint="eastAsia"/>
          <w:b/>
          <w:sz w:val="44"/>
          <w:szCs w:val="52"/>
        </w:rPr>
        <w:t>婺</w:t>
      </w:r>
      <w:proofErr w:type="gramEnd"/>
      <w:r>
        <w:rPr>
          <w:rFonts w:ascii="Times New Roman" w:eastAsia="方正小标宋简体" w:hAnsi="Times New Roman" w:hint="eastAsia"/>
          <w:b/>
          <w:sz w:val="44"/>
          <w:szCs w:val="52"/>
        </w:rPr>
        <w:t>城区工业企业亩产效益综合评价办法</w:t>
      </w:r>
    </w:p>
    <w:p w14:paraId="3F2FA448" w14:textId="77777777" w:rsidR="006512BA" w:rsidRDefault="00A00B30">
      <w:pPr>
        <w:pStyle w:val="aa"/>
        <w:widowControl/>
        <w:spacing w:beforeAutospacing="0" w:afterAutospacing="0"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年修订）</w:t>
      </w:r>
    </w:p>
    <w:p w14:paraId="21BE4290" w14:textId="77777777" w:rsidR="006512BA" w:rsidRDefault="00A00B30">
      <w:pPr>
        <w:pStyle w:val="aa"/>
        <w:widowControl/>
        <w:spacing w:beforeAutospacing="0" w:afterAutospacing="0"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14:paraId="1B0C5114" w14:textId="77777777" w:rsidR="006512BA" w:rsidRDefault="006512BA">
      <w:pPr>
        <w:pStyle w:val="aa"/>
        <w:widowControl/>
        <w:spacing w:beforeAutospacing="0" w:afterAutospacing="0" w:line="560" w:lineRule="exact"/>
        <w:jc w:val="center"/>
        <w:rPr>
          <w:rFonts w:ascii="楷体_GB2312" w:eastAsia="楷体_GB2312" w:hAnsi="楷体_GB2312" w:cs="楷体_GB2312"/>
          <w:sz w:val="32"/>
          <w:szCs w:val="32"/>
        </w:rPr>
      </w:pPr>
    </w:p>
    <w:p w14:paraId="428F19AC" w14:textId="77777777" w:rsidR="006512BA" w:rsidRDefault="00A00B30">
      <w:pPr>
        <w:pStyle w:val="aa"/>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为深化“亩均论英雄”改革，深入推进资源要素市场化配置，激发各类市场主体创新活力，不断提高全要素生产率，加快实现实体经济高质量发展。结合我区评价实际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特制定本办法。</w:t>
      </w:r>
    </w:p>
    <w:p w14:paraId="06D8B82D" w14:textId="77777777" w:rsidR="006512BA" w:rsidRDefault="00A00B30">
      <w:pPr>
        <w:pStyle w:val="aa"/>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一、评价对象</w:t>
      </w:r>
    </w:p>
    <w:p w14:paraId="431E3DE9" w14:textId="77777777" w:rsidR="006512BA" w:rsidRDefault="00A00B30">
      <w:pPr>
        <w:pStyle w:val="aa"/>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除采矿业，以及电力、燃气、水的生产和供应业外，</w:t>
      </w:r>
      <w:r>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工业企业全部纳入评价范围。</w:t>
      </w:r>
    </w:p>
    <w:p w14:paraId="7A39E9E2" w14:textId="77777777" w:rsidR="006512BA" w:rsidRDefault="00A00B30">
      <w:pPr>
        <w:pStyle w:val="aa"/>
        <w:widowControl/>
        <w:numPr>
          <w:ilvl w:val="0"/>
          <w:numId w:val="1"/>
        </w:numPr>
        <w:spacing w:beforeAutospacing="0" w:afterAutospacing="0" w:line="560" w:lineRule="exact"/>
        <w:ind w:firstLine="585"/>
        <w:rPr>
          <w:rFonts w:ascii="仿宋_GB2312" w:eastAsia="仿宋_GB2312" w:hAnsi="仿宋_GB2312" w:cs="仿宋_GB2312"/>
          <w:sz w:val="32"/>
          <w:szCs w:val="32"/>
        </w:rPr>
      </w:pPr>
      <w:r>
        <w:rPr>
          <w:rFonts w:ascii="仿宋_GB2312" w:eastAsia="仿宋_GB2312" w:hAnsi="仿宋_GB2312" w:cs="仿宋_GB2312"/>
          <w:sz w:val="32"/>
          <w:szCs w:val="32"/>
        </w:rPr>
        <w:t>规</w:t>
      </w:r>
      <w:r>
        <w:rPr>
          <w:rFonts w:ascii="仿宋_GB2312" w:eastAsia="仿宋_GB2312" w:hAnsi="仿宋_GB2312" w:cs="仿宋_GB2312" w:hint="eastAsia"/>
          <w:sz w:val="32"/>
          <w:szCs w:val="32"/>
        </w:rPr>
        <w:t>模以</w:t>
      </w:r>
      <w:r>
        <w:rPr>
          <w:rFonts w:ascii="仿宋_GB2312" w:eastAsia="仿宋_GB2312" w:hAnsi="仿宋_GB2312" w:cs="仿宋_GB2312"/>
          <w:sz w:val="32"/>
          <w:szCs w:val="32"/>
        </w:rPr>
        <w:t>上工业企业</w:t>
      </w:r>
    </w:p>
    <w:p w14:paraId="1ACE85EE" w14:textId="77777777" w:rsidR="006512BA" w:rsidRDefault="00A00B30">
      <w:pPr>
        <w:pStyle w:val="aa"/>
        <w:widowControl/>
        <w:numPr>
          <w:ilvl w:val="0"/>
          <w:numId w:val="1"/>
        </w:numPr>
        <w:spacing w:beforeAutospacing="0" w:afterAutospacing="0" w:line="560" w:lineRule="exact"/>
        <w:ind w:firstLine="585"/>
        <w:rPr>
          <w:rFonts w:ascii="仿宋_GB2312" w:eastAsia="仿宋_GB2312" w:hAnsi="仿宋_GB2312" w:cs="仿宋_GB2312"/>
          <w:sz w:val="32"/>
          <w:szCs w:val="32"/>
        </w:rPr>
      </w:pPr>
      <w:r>
        <w:rPr>
          <w:rFonts w:ascii="仿宋_GB2312" w:eastAsia="仿宋_GB2312" w:hAnsi="仿宋_GB2312" w:cs="仿宋_GB2312" w:hint="eastAsia"/>
          <w:sz w:val="32"/>
          <w:szCs w:val="32"/>
        </w:rPr>
        <w:t>规模以下工业企业</w:t>
      </w:r>
    </w:p>
    <w:p w14:paraId="7FF4B4A1"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二、评价指标</w:t>
      </w:r>
    </w:p>
    <w:p w14:paraId="69C27507"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（一）规模以上工业企业评价指标</w:t>
      </w:r>
    </w:p>
    <w:p w14:paraId="64108726" w14:textId="77777777" w:rsidR="006512BA" w:rsidRDefault="00A00B30">
      <w:pPr>
        <w:spacing w:line="560" w:lineRule="exact"/>
        <w:ind w:firstLineChars="200" w:firstLine="640"/>
        <w:rPr>
          <w:rFonts w:ascii="仿宋_GB2312" w:eastAsia="仿宋_GB2312"/>
          <w:sz w:val="32"/>
          <w:szCs w:val="32"/>
        </w:rPr>
      </w:pPr>
      <w:r>
        <w:rPr>
          <w:rFonts w:ascii="仿宋_GB2312" w:eastAsia="仿宋_GB2312" w:hint="eastAsia"/>
          <w:sz w:val="32"/>
          <w:szCs w:val="32"/>
        </w:rPr>
        <w:t>亩均税收、亩均工业增加值、单位能耗工业增加值、单位排</w:t>
      </w:r>
      <w:proofErr w:type="gramStart"/>
      <w:r>
        <w:rPr>
          <w:rFonts w:ascii="仿宋_GB2312" w:eastAsia="仿宋_GB2312" w:hint="eastAsia"/>
          <w:sz w:val="32"/>
          <w:szCs w:val="32"/>
        </w:rPr>
        <w:t>放工业</w:t>
      </w:r>
      <w:proofErr w:type="gramEnd"/>
      <w:r>
        <w:rPr>
          <w:rFonts w:ascii="仿宋_GB2312" w:eastAsia="仿宋_GB2312" w:hint="eastAsia"/>
          <w:sz w:val="32"/>
          <w:szCs w:val="32"/>
        </w:rPr>
        <w:t>增加值、研究与试验发展经费支出占营业收入比重、全员劳动生产率。</w:t>
      </w:r>
    </w:p>
    <w:p w14:paraId="691DB570"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（二）规模以下工业企业评价指标</w:t>
      </w:r>
    </w:p>
    <w:p w14:paraId="33C67476"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亩均税收、亩均销售收入、单位用电税收。</w:t>
      </w:r>
    </w:p>
    <w:p w14:paraId="5F6EA67C"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三、计分方法</w:t>
      </w:r>
    </w:p>
    <w:p w14:paraId="32F5D829"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规模以上和规模以下企业按其评价指标分别计分。对评价年度首次列入规模以上企业的，给予两年特别保护期，两年内可申</w:t>
      </w:r>
      <w:r>
        <w:rPr>
          <w:rFonts w:ascii="仿宋_GB2312" w:eastAsia="仿宋_GB2312" w:hAnsi="仿宋_GB2312" w:cs="仿宋_GB2312" w:hint="eastAsia"/>
          <w:sz w:val="32"/>
          <w:szCs w:val="32"/>
        </w:rPr>
        <w:lastRenderedPageBreak/>
        <w:t>请继续作为规模以下企业进行评价。企业综合评价得分为单项指标数据得分之和，再加上各类加分项。单项指标得分为该指标评价年度的数据除以基准值再乘以权重。</w:t>
      </w:r>
    </w:p>
    <w:p w14:paraId="1C727311"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（一）指标权重设置</w:t>
      </w:r>
    </w:p>
    <w:p w14:paraId="6DB5024E"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综合评价得分采用百分制。规模以上工业企业：亩均税收占</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，亩均工业增加值占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，单位能耗工业增加值占</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，单位排放工业增加值占</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，研究与试验发展经费支出占营业收入比重占</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，全员劳动生产率占</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。规模以下工业企业：亩均税收占</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，亩均销售收入占</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，单位用电税收占</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14:paraId="54264DD7"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（二）指标基准值设置</w:t>
      </w:r>
    </w:p>
    <w:p w14:paraId="5C851356" w14:textId="77777777" w:rsidR="006512BA" w:rsidRDefault="00A00B30">
      <w:pPr>
        <w:pStyle w:val="aa"/>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规模以上工业企业：亩均税收</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亩，亩均工业增加值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亩，单位能耗工业增加值</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吨标煤，单位排放工业增加值</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吨，研究与试验发展经费支出占营业收入比重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，全员劳动生产率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人·年。规模以下工业企业：</w:t>
      </w:r>
      <w:r>
        <w:rPr>
          <w:rFonts w:ascii="仿宋_GB2312" w:eastAsia="仿宋_GB2312" w:hint="eastAsia"/>
          <w:sz w:val="32"/>
          <w:szCs w:val="32"/>
        </w:rPr>
        <w:t>亩均税收</w:t>
      </w:r>
      <w:r>
        <w:rPr>
          <w:rFonts w:ascii="仿宋_GB2312" w:eastAsia="仿宋_GB2312" w:hint="eastAsia"/>
          <w:sz w:val="32"/>
          <w:szCs w:val="32"/>
        </w:rPr>
        <w:t>6</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亩，亩均销售收入</w:t>
      </w:r>
      <w:r>
        <w:rPr>
          <w:rFonts w:ascii="仿宋_GB2312" w:eastAsia="仿宋_GB2312" w:hint="eastAsia"/>
          <w:sz w:val="32"/>
          <w:szCs w:val="32"/>
        </w:rPr>
        <w:t>120</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亩，单位用电税收</w:t>
      </w:r>
      <w:r>
        <w:rPr>
          <w:rFonts w:ascii="仿宋_GB2312" w:eastAsia="仿宋_GB2312" w:hint="eastAsia"/>
          <w:sz w:val="32"/>
          <w:szCs w:val="32"/>
        </w:rPr>
        <w:t>1.5</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万千</w:t>
      </w:r>
      <w:r>
        <w:rPr>
          <w:rFonts w:ascii="仿宋_GB2312" w:eastAsia="仿宋_GB2312" w:hint="eastAsia"/>
          <w:sz w:val="32"/>
          <w:szCs w:val="32"/>
        </w:rPr>
        <w:t>瓦时。</w:t>
      </w:r>
    </w:p>
    <w:p w14:paraId="7843A919" w14:textId="77777777" w:rsidR="006512BA" w:rsidRDefault="00A00B30">
      <w:pPr>
        <w:pStyle w:val="aa"/>
        <w:spacing w:beforeAutospacing="0" w:afterAutospacing="0" w:line="5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（三）计分规则</w:t>
      </w:r>
    </w:p>
    <w:p w14:paraId="56BB22A3"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单项指标最高得分为基本分的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倍，最低为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分。企业某项指标为负值或空缺的，该项得分为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分，其中主要污染物排放指标为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，且销售收入不为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的，单位排放工业增加值指标按基</w:t>
      </w:r>
      <w:r>
        <w:rPr>
          <w:rFonts w:ascii="仿宋_GB2312" w:eastAsia="仿宋_GB2312" w:hAnsi="仿宋_GB2312" w:cs="仿宋_GB2312" w:hint="eastAsia"/>
          <w:sz w:val="32"/>
          <w:szCs w:val="32"/>
        </w:rPr>
        <w:t>本分的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倍赋分。存在环境违法行为，受到行政处罚的，单位排放工业增加值指标得分为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w:t>
      </w:r>
    </w:p>
    <w:p w14:paraId="642C991C"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（四）总税收加分</w:t>
      </w:r>
    </w:p>
    <w:p w14:paraId="1DFAB578"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int="eastAsia"/>
          <w:sz w:val="32"/>
          <w:szCs w:val="32"/>
        </w:rPr>
        <w:lastRenderedPageBreak/>
        <w:t>上年度税收总额超过</w:t>
      </w:r>
      <w:r>
        <w:rPr>
          <w:rFonts w:ascii="仿宋_GB2312" w:eastAsia="仿宋_GB2312" w:hint="eastAsia"/>
          <w:sz w:val="32"/>
          <w:szCs w:val="32"/>
        </w:rPr>
        <w:t>1000</w:t>
      </w:r>
      <w:r>
        <w:rPr>
          <w:rFonts w:ascii="仿宋_GB2312" w:eastAsia="仿宋_GB2312" w:hint="eastAsia"/>
          <w:sz w:val="32"/>
          <w:szCs w:val="32"/>
        </w:rPr>
        <w:t>万元的企业，每增加</w:t>
      </w:r>
      <w:r>
        <w:rPr>
          <w:rFonts w:ascii="仿宋_GB2312" w:eastAsia="仿宋_GB2312" w:hint="eastAsia"/>
          <w:sz w:val="32"/>
          <w:szCs w:val="32"/>
        </w:rPr>
        <w:t>100</w:t>
      </w:r>
      <w:r>
        <w:rPr>
          <w:rFonts w:ascii="仿宋_GB2312" w:eastAsia="仿宋_GB2312" w:hint="eastAsia"/>
          <w:sz w:val="32"/>
          <w:szCs w:val="32"/>
        </w:rPr>
        <w:t>万元加</w:t>
      </w:r>
      <w:r>
        <w:rPr>
          <w:rFonts w:ascii="仿宋_GB2312" w:eastAsia="仿宋_GB2312" w:hint="eastAsia"/>
          <w:sz w:val="32"/>
          <w:szCs w:val="32"/>
        </w:rPr>
        <w:t>1</w:t>
      </w:r>
      <w:r>
        <w:rPr>
          <w:rFonts w:ascii="仿宋_GB2312" w:eastAsia="仿宋_GB2312" w:hint="eastAsia"/>
          <w:sz w:val="32"/>
          <w:szCs w:val="32"/>
        </w:rPr>
        <w:t>分（不足</w:t>
      </w:r>
      <w:r>
        <w:rPr>
          <w:rFonts w:ascii="仿宋_GB2312" w:eastAsia="仿宋_GB2312" w:hint="eastAsia"/>
          <w:sz w:val="32"/>
          <w:szCs w:val="32"/>
        </w:rPr>
        <w:t>100</w:t>
      </w:r>
      <w:r>
        <w:rPr>
          <w:rFonts w:ascii="仿宋_GB2312" w:eastAsia="仿宋_GB2312" w:hint="eastAsia"/>
          <w:sz w:val="32"/>
          <w:szCs w:val="32"/>
        </w:rPr>
        <w:t>万元的部分按比例计算），最高加</w:t>
      </w:r>
      <w:r>
        <w:rPr>
          <w:rFonts w:ascii="仿宋_GB2312" w:eastAsia="仿宋_GB2312" w:hint="eastAsia"/>
          <w:sz w:val="32"/>
          <w:szCs w:val="32"/>
        </w:rPr>
        <w:t>20</w:t>
      </w:r>
      <w:r>
        <w:rPr>
          <w:rFonts w:ascii="仿宋_GB2312" w:eastAsia="仿宋_GB2312" w:hint="eastAsia"/>
          <w:sz w:val="32"/>
          <w:szCs w:val="32"/>
        </w:rPr>
        <w:t>分。</w:t>
      </w:r>
    </w:p>
    <w:p w14:paraId="36107E75"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（五）亩均税收超额加分</w:t>
      </w:r>
    </w:p>
    <w:p w14:paraId="31D01B62"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亩均税收超过</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亩的规模以上工业企业，亩均税收超过</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亩的规模以下工</w:t>
      </w:r>
      <w:r>
        <w:rPr>
          <w:rFonts w:ascii="仿宋_GB2312" w:eastAsia="仿宋_GB2312" w:hAnsi="仿宋_GB2312" w:cs="仿宋_GB2312" w:hint="eastAsia"/>
          <w:sz w:val="32"/>
          <w:szCs w:val="32"/>
        </w:rPr>
        <w:t>业企业，每增加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亩加</w:t>
      </w:r>
      <w:proofErr w:type="gramEnd"/>
      <w:r>
        <w:rPr>
          <w:rFonts w:ascii="仿宋_GB2312" w:eastAsia="仿宋_GB2312" w:hAnsi="仿宋_GB2312" w:cs="仿宋_GB2312" w:hint="eastAsia"/>
          <w:sz w:val="32"/>
          <w:szCs w:val="32"/>
        </w:rPr>
        <w:t>0.4</w:t>
      </w:r>
      <w:r>
        <w:rPr>
          <w:rFonts w:ascii="仿宋_GB2312" w:eastAsia="仿宋_GB2312" w:hAnsi="仿宋_GB2312" w:cs="仿宋_GB2312" w:hint="eastAsia"/>
          <w:sz w:val="32"/>
          <w:szCs w:val="32"/>
        </w:rPr>
        <w:t>分，最高加</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w:t>
      </w:r>
    </w:p>
    <w:p w14:paraId="17B74004"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）亩均</w:t>
      </w:r>
      <w:r>
        <w:rPr>
          <w:rFonts w:ascii="楷体_GB2312" w:eastAsia="楷体_GB2312" w:hAnsi="楷体_GB2312" w:cs="楷体_GB2312" w:hint="eastAsia"/>
          <w:sz w:val="32"/>
          <w:szCs w:val="32"/>
        </w:rPr>
        <w:t>社保费</w:t>
      </w:r>
      <w:r>
        <w:rPr>
          <w:rFonts w:ascii="楷体_GB2312" w:eastAsia="楷体_GB2312" w:hAnsi="楷体_GB2312" w:cs="楷体_GB2312" w:hint="eastAsia"/>
          <w:sz w:val="32"/>
          <w:szCs w:val="32"/>
        </w:rPr>
        <w:t>加分</w:t>
      </w:r>
    </w:p>
    <w:p w14:paraId="6C1FA2E1"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亩均社保费（企业缴纳部分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企业用地面积）超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亩的企业，每增加</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万加</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分，最高加</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分，不足</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万元的部分不加分。</w:t>
      </w:r>
    </w:p>
    <w:p w14:paraId="14B8923E"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工业投资</w:t>
      </w:r>
      <w:r>
        <w:rPr>
          <w:rFonts w:ascii="楷体_GB2312" w:eastAsia="楷体_GB2312" w:hAnsi="楷体_GB2312" w:cs="楷体_GB2312" w:hint="eastAsia"/>
          <w:sz w:val="32"/>
          <w:szCs w:val="32"/>
        </w:rPr>
        <w:t>加分</w:t>
      </w:r>
    </w:p>
    <w:p w14:paraId="07CF1BC9"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企业年度固定资产入库投资额超</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万的，每超</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万的加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分，最高加</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分，不足</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万元的部分按比例加分。</w:t>
      </w:r>
    </w:p>
    <w:p w14:paraId="2F699788"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八</w:t>
      </w:r>
      <w:r>
        <w:rPr>
          <w:rFonts w:ascii="楷体_GB2312" w:eastAsia="楷体_GB2312" w:hAnsi="楷体_GB2312" w:cs="楷体_GB2312" w:hint="eastAsia"/>
          <w:sz w:val="32"/>
          <w:szCs w:val="32"/>
        </w:rPr>
        <w:t>）其他加分</w:t>
      </w:r>
    </w:p>
    <w:p w14:paraId="00E70803" w14:textId="77777777" w:rsidR="006512BA" w:rsidRDefault="00A00B30">
      <w:pPr>
        <w:pStyle w:val="aa"/>
        <w:widowControl/>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工业企业满足下表中相关条件的可以加分，单项类别中同时满足多种条件的不重复加分。</w:t>
      </w:r>
    </w:p>
    <w:p w14:paraId="3A2B1922" w14:textId="77777777" w:rsidR="006512BA" w:rsidRDefault="006512BA">
      <w:pPr>
        <w:pStyle w:val="aa"/>
        <w:widowControl/>
        <w:spacing w:beforeAutospacing="0" w:afterAutospacing="0" w:line="240" w:lineRule="exact"/>
        <w:ind w:firstLineChars="200" w:firstLine="640"/>
        <w:jc w:val="both"/>
        <w:rPr>
          <w:rFonts w:ascii="仿宋_GB2312" w:eastAsia="仿宋_GB2312" w:hAnsi="仿宋_GB2312" w:cs="仿宋_GB2312"/>
          <w:sz w:val="32"/>
          <w:szCs w:val="32"/>
        </w:rPr>
      </w:pPr>
    </w:p>
    <w:tbl>
      <w:tblPr>
        <w:tblStyle w:val="ab"/>
        <w:tblW w:w="0" w:type="auto"/>
        <w:jc w:val="center"/>
        <w:tblLook w:val="04A0" w:firstRow="1" w:lastRow="0" w:firstColumn="1" w:lastColumn="0" w:noHBand="0" w:noVBand="1"/>
      </w:tblPr>
      <w:tblGrid>
        <w:gridCol w:w="1586"/>
        <w:gridCol w:w="4416"/>
        <w:gridCol w:w="3002"/>
      </w:tblGrid>
      <w:tr w:rsidR="006512BA" w14:paraId="31A37261" w14:textId="77777777">
        <w:trPr>
          <w:jc w:val="center"/>
        </w:trPr>
        <w:tc>
          <w:tcPr>
            <w:tcW w:w="1586" w:type="dxa"/>
          </w:tcPr>
          <w:p w14:paraId="226FF01E" w14:textId="77777777" w:rsidR="006512BA" w:rsidRDefault="00A00B30">
            <w:pPr>
              <w:pStyle w:val="aa"/>
              <w:widowControl/>
              <w:spacing w:beforeAutospacing="0" w:afterAutospacing="0" w:line="3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类别</w:t>
            </w:r>
          </w:p>
        </w:tc>
        <w:tc>
          <w:tcPr>
            <w:tcW w:w="4416" w:type="dxa"/>
          </w:tcPr>
          <w:p w14:paraId="3B5B67C5" w14:textId="77777777" w:rsidR="006512BA" w:rsidRDefault="00A00B30">
            <w:pPr>
              <w:pStyle w:val="aa"/>
              <w:widowControl/>
              <w:spacing w:beforeAutospacing="0" w:afterAutospacing="0" w:line="3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条件</w:t>
            </w:r>
          </w:p>
        </w:tc>
        <w:tc>
          <w:tcPr>
            <w:tcW w:w="3002" w:type="dxa"/>
          </w:tcPr>
          <w:p w14:paraId="3CA8C53C" w14:textId="77777777" w:rsidR="006512BA" w:rsidRDefault="00A00B30">
            <w:pPr>
              <w:pStyle w:val="aa"/>
              <w:widowControl/>
              <w:spacing w:beforeAutospacing="0" w:afterAutospacing="0" w:line="3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加分数</w:t>
            </w:r>
          </w:p>
        </w:tc>
      </w:tr>
      <w:tr w:rsidR="006512BA" w14:paraId="7163AEBD" w14:textId="77777777">
        <w:trPr>
          <w:jc w:val="center"/>
        </w:trPr>
        <w:tc>
          <w:tcPr>
            <w:tcW w:w="1586" w:type="dxa"/>
            <w:vAlign w:val="center"/>
          </w:tcPr>
          <w:p w14:paraId="6667B613"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Ⅰ</w:t>
            </w:r>
          </w:p>
        </w:tc>
        <w:tc>
          <w:tcPr>
            <w:tcW w:w="4416" w:type="dxa"/>
            <w:vAlign w:val="center"/>
          </w:tcPr>
          <w:p w14:paraId="33C0D1A4" w14:textId="77777777" w:rsidR="006512BA" w:rsidRDefault="00A00B30">
            <w:pPr>
              <w:pStyle w:val="aa"/>
              <w:widowControl/>
              <w:spacing w:beforeAutospacing="0" w:afterAutospacing="0" w:line="3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省级及以上（重点）企业研究院、工程技术研究中心、制造业创新中心、高新技术研发中心、企业技术中心及产业创新服务综合体等创新平台或载体，以及拥有省级以上领军人才、省级博士后工作站和完成国家、省级引才计划申报的企业。</w:t>
            </w:r>
          </w:p>
        </w:tc>
        <w:tc>
          <w:tcPr>
            <w:tcW w:w="3002" w:type="dxa"/>
            <w:vAlign w:val="center"/>
          </w:tcPr>
          <w:p w14:paraId="07375926"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r>
      <w:tr w:rsidR="006512BA" w14:paraId="02F0CCA8" w14:textId="77777777">
        <w:trPr>
          <w:jc w:val="center"/>
        </w:trPr>
        <w:tc>
          <w:tcPr>
            <w:tcW w:w="1586" w:type="dxa"/>
            <w:vAlign w:val="center"/>
          </w:tcPr>
          <w:p w14:paraId="183381BF"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Ⅱ</w:t>
            </w:r>
          </w:p>
        </w:tc>
        <w:tc>
          <w:tcPr>
            <w:tcW w:w="4416" w:type="dxa"/>
            <w:vAlign w:val="center"/>
          </w:tcPr>
          <w:p w14:paraId="0B05443F"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当年列入省重大产业项目</w:t>
            </w:r>
          </w:p>
        </w:tc>
        <w:tc>
          <w:tcPr>
            <w:tcW w:w="3002" w:type="dxa"/>
            <w:vAlign w:val="center"/>
          </w:tcPr>
          <w:p w14:paraId="6417DFC7"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r>
      <w:tr w:rsidR="006512BA" w14:paraId="3987E723" w14:textId="77777777">
        <w:trPr>
          <w:jc w:val="center"/>
        </w:trPr>
        <w:tc>
          <w:tcPr>
            <w:tcW w:w="1586" w:type="dxa"/>
            <w:vAlign w:val="center"/>
          </w:tcPr>
          <w:p w14:paraId="6AE80A11"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Ⅲ</w:t>
            </w:r>
          </w:p>
        </w:tc>
        <w:tc>
          <w:tcPr>
            <w:tcW w:w="4416" w:type="dxa"/>
            <w:vAlign w:val="center"/>
          </w:tcPr>
          <w:p w14:paraId="62D7217E"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当年列入省技术改造重点项目</w:t>
            </w:r>
          </w:p>
        </w:tc>
        <w:tc>
          <w:tcPr>
            <w:tcW w:w="3002" w:type="dxa"/>
            <w:vAlign w:val="center"/>
          </w:tcPr>
          <w:p w14:paraId="722CBE28"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r>
      <w:tr w:rsidR="006512BA" w14:paraId="2D9B8181" w14:textId="77777777">
        <w:trPr>
          <w:jc w:val="center"/>
        </w:trPr>
        <w:tc>
          <w:tcPr>
            <w:tcW w:w="1586" w:type="dxa"/>
            <w:vAlign w:val="center"/>
          </w:tcPr>
          <w:p w14:paraId="2DBB050E"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Ⅳ</w:t>
            </w:r>
          </w:p>
        </w:tc>
        <w:tc>
          <w:tcPr>
            <w:tcW w:w="4416" w:type="dxa"/>
            <w:vAlign w:val="center"/>
          </w:tcPr>
          <w:p w14:paraId="7ABDADAB"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拥有发明专利的</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上企业</w:t>
            </w:r>
          </w:p>
        </w:tc>
        <w:tc>
          <w:tcPr>
            <w:tcW w:w="3002" w:type="dxa"/>
            <w:vAlign w:val="center"/>
          </w:tcPr>
          <w:p w14:paraId="59BC732E" w14:textId="77777777" w:rsidR="006512BA" w:rsidRDefault="00A00B30">
            <w:pPr>
              <w:pStyle w:val="aa"/>
              <w:widowControl/>
              <w:spacing w:beforeAutospacing="0" w:afterAutospacing="0"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bl>
    <w:p w14:paraId="41C40AE1" w14:textId="77777777" w:rsidR="006512BA" w:rsidRDefault="00A00B30">
      <w:pPr>
        <w:pStyle w:val="aa"/>
        <w:spacing w:beforeAutospacing="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lastRenderedPageBreak/>
        <w:t>四、分类设置</w:t>
      </w:r>
    </w:p>
    <w:p w14:paraId="18E22B7D" w14:textId="77777777" w:rsidR="006512BA" w:rsidRDefault="00A00B30">
      <w:pPr>
        <w:pStyle w:val="aa"/>
        <w:spacing w:beforeAutospacing="0" w:afterAutospacing="0" w:line="560" w:lineRule="exact"/>
        <w:ind w:firstLineChars="200" w:firstLine="640"/>
        <w:jc w:val="both"/>
        <w:rPr>
          <w:rFonts w:ascii="黑体" w:eastAsia="黑体" w:hAnsi="黑体" w:cs="黑体"/>
          <w:sz w:val="32"/>
          <w:szCs w:val="32"/>
        </w:rPr>
      </w:pPr>
      <w:r>
        <w:rPr>
          <w:rFonts w:ascii="楷体_GB2312" w:eastAsia="楷体_GB2312" w:hAnsi="楷体_GB2312" w:cs="楷体_GB2312" w:hint="eastAsia"/>
          <w:sz w:val="32"/>
          <w:szCs w:val="32"/>
        </w:rPr>
        <w:t>（一）分类类别和比例</w:t>
      </w:r>
    </w:p>
    <w:p w14:paraId="37AB1468"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根据评价年度企业监测评价数据，</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城区拥有土地使用权的企业按照规模以上、规模以下两个类别分别计算企业绩效综合评价得分，</w:t>
      </w:r>
      <w:r>
        <w:rPr>
          <w:rFonts w:ascii="仿宋_GB2312" w:eastAsia="仿宋_GB2312" w:hAnsi="仿宋_GB2312" w:cs="仿宋_GB2312" w:hint="eastAsia"/>
          <w:sz w:val="32"/>
          <w:szCs w:val="32"/>
        </w:rPr>
        <w:t>分高耗能和非高耗能两大类，其中高耗能不再细分评价分类，按</w:t>
      </w:r>
      <w:r>
        <w:rPr>
          <w:rFonts w:ascii="仿宋_GB2312" w:eastAsia="仿宋_GB2312" w:hAnsi="仿宋_GB2312" w:cs="仿宋_GB2312" w:hint="eastAsia"/>
          <w:sz w:val="32"/>
          <w:szCs w:val="32"/>
        </w:rPr>
        <w:t>规模以上、规模以下分别排序</w:t>
      </w:r>
      <w:r>
        <w:rPr>
          <w:rFonts w:ascii="仿宋_GB2312" w:eastAsia="仿宋_GB2312" w:hAnsi="仿宋_GB2312" w:cs="仿宋_GB2312" w:hint="eastAsia"/>
          <w:sz w:val="32"/>
          <w:szCs w:val="32"/>
        </w:rPr>
        <w:t>；非高耗能按</w:t>
      </w:r>
      <w:r>
        <w:rPr>
          <w:rFonts w:ascii="仿宋_GB2312" w:eastAsia="仿宋_GB2312" w:hAnsi="仿宋_GB2312" w:cs="仿宋_GB2312" w:hint="eastAsia"/>
          <w:sz w:val="32"/>
          <w:szCs w:val="32"/>
        </w:rPr>
        <w:t>汽车及其他运输设备、机械电子、金属制品、医药化工、纺织服装和其他制造业等六大</w:t>
      </w:r>
      <w:r>
        <w:rPr>
          <w:rFonts w:ascii="仿宋_GB2312" w:eastAsia="仿宋_GB2312" w:hAnsi="仿宋_GB2312" w:cs="仿宋_GB2312" w:hint="eastAsia"/>
          <w:sz w:val="32"/>
          <w:szCs w:val="32"/>
        </w:rPr>
        <w:t>分类</w:t>
      </w:r>
      <w:r>
        <w:rPr>
          <w:rFonts w:ascii="仿宋_GB2312" w:eastAsia="仿宋_GB2312" w:hAnsi="仿宋_GB2312" w:cs="仿宋_GB2312" w:hint="eastAsia"/>
          <w:sz w:val="32"/>
          <w:szCs w:val="32"/>
        </w:rPr>
        <w:t>，规模以上、规模以下分别分类排序，在行业中划分</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四类。企业亩产效益评价分类如下：</w:t>
      </w:r>
    </w:p>
    <w:p w14:paraId="393AA3E3"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1.A</w:t>
      </w:r>
      <w:r>
        <w:rPr>
          <w:rFonts w:ascii="仿宋_GB2312" w:eastAsia="仿宋_GB2312" w:hAnsi="仿宋_GB2312" w:cs="仿宋_GB2312" w:hint="eastAsia"/>
          <w:b/>
          <w:sz w:val="32"/>
          <w:szCs w:val="32"/>
        </w:rPr>
        <w:t>类（重点发展类）：</w:t>
      </w:r>
      <w:r>
        <w:rPr>
          <w:rFonts w:ascii="仿宋_GB2312" w:eastAsia="仿宋_GB2312" w:hAnsi="仿宋_GB2312" w:cs="仿宋_GB2312" w:hint="eastAsia"/>
          <w:sz w:val="32"/>
          <w:szCs w:val="32"/>
        </w:rPr>
        <w:t>指资源占用产出高、经营效益好、转型发展成效明显的企业。</w:t>
      </w:r>
    </w:p>
    <w:p w14:paraId="19AE0798"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高耗能类别中</w:t>
      </w:r>
      <w:r>
        <w:rPr>
          <w:rFonts w:ascii="仿宋_GB2312" w:eastAsia="仿宋_GB2312" w:hAnsi="仿宋_GB2312" w:cs="仿宋_GB2312" w:hint="eastAsia"/>
          <w:sz w:val="32"/>
          <w:szCs w:val="32"/>
        </w:rPr>
        <w:t>综合评价得分排名规模以上前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）和规模以下前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（含）的企业</w:t>
      </w:r>
      <w:r>
        <w:rPr>
          <w:rFonts w:ascii="仿宋_GB2312" w:eastAsia="仿宋_GB2312" w:hAnsi="仿宋_GB2312" w:cs="仿宋_GB2312" w:hint="eastAsia"/>
          <w:sz w:val="32"/>
          <w:szCs w:val="32"/>
        </w:rPr>
        <w:t>。</w:t>
      </w:r>
    </w:p>
    <w:p w14:paraId="44661AAD"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非高耗能类别中</w:t>
      </w:r>
      <w:r>
        <w:rPr>
          <w:rFonts w:ascii="仿宋_GB2312" w:eastAsia="仿宋_GB2312" w:hAnsi="仿宋_GB2312" w:cs="仿宋_GB2312" w:hint="eastAsia"/>
          <w:sz w:val="32"/>
          <w:szCs w:val="32"/>
        </w:rPr>
        <w:t>综合评价得分行业排名规模以上前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（含）和规模以下前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（含）的企业。</w:t>
      </w:r>
    </w:p>
    <w:p w14:paraId="1C1A2B21"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首次通过出让获得工业用地使用权的企业，自取得土地使用权（以土地出让合同所载时间为准）起的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个评价年度内（</w:t>
      </w:r>
      <w:proofErr w:type="gramStart"/>
      <w:r>
        <w:rPr>
          <w:rFonts w:ascii="仿宋_GB2312" w:eastAsia="仿宋_GB2312" w:hAnsi="仿宋_GB2312" w:cs="仿宋_GB2312" w:hint="eastAsia"/>
          <w:sz w:val="32"/>
          <w:szCs w:val="32"/>
        </w:rPr>
        <w:t>建设期加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roofErr w:type="gramEnd"/>
      <w:r>
        <w:rPr>
          <w:rFonts w:ascii="仿宋_GB2312" w:eastAsia="仿宋_GB2312" w:hAnsi="仿宋_GB2312" w:cs="仿宋_GB2312" w:hint="eastAsia"/>
          <w:sz w:val="32"/>
          <w:szCs w:val="32"/>
        </w:rPr>
        <w:t>过渡期），且</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投资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亿元以上的重大产业项目投资企业。</w:t>
      </w:r>
    </w:p>
    <w:p w14:paraId="32F54105"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2.B</w:t>
      </w:r>
      <w:r>
        <w:rPr>
          <w:rFonts w:ascii="仿宋_GB2312" w:eastAsia="仿宋_GB2312" w:hAnsi="仿宋_GB2312" w:cs="仿宋_GB2312" w:hint="eastAsia"/>
          <w:b/>
          <w:sz w:val="32"/>
          <w:szCs w:val="32"/>
        </w:rPr>
        <w:t>类（鼓励提升类）：</w:t>
      </w:r>
      <w:r>
        <w:rPr>
          <w:rFonts w:ascii="仿宋_GB2312" w:eastAsia="仿宋_GB2312" w:hAnsi="仿宋_GB2312" w:cs="仿宋_GB2312" w:hint="eastAsia"/>
          <w:sz w:val="32"/>
          <w:szCs w:val="32"/>
        </w:rPr>
        <w:t>指资源占用产出较高、经营效益较好，但转型发展水平有待进一步提升的企业。</w:t>
      </w:r>
    </w:p>
    <w:p w14:paraId="05CC20DB"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高耗能类别中</w:t>
      </w:r>
      <w:r>
        <w:rPr>
          <w:rFonts w:ascii="仿宋_GB2312" w:eastAsia="仿宋_GB2312" w:hAnsi="仿宋_GB2312" w:cs="仿宋_GB2312" w:hint="eastAsia"/>
          <w:sz w:val="32"/>
          <w:szCs w:val="32"/>
        </w:rPr>
        <w:t>综合评价得分行业排名规模以上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（含）和规模以下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（含）的企业</w:t>
      </w:r>
      <w:r>
        <w:rPr>
          <w:rFonts w:ascii="仿宋_GB2312" w:eastAsia="仿宋_GB2312" w:hAnsi="仿宋_GB2312" w:cs="仿宋_GB2312" w:hint="eastAsia"/>
          <w:sz w:val="32"/>
          <w:szCs w:val="32"/>
        </w:rPr>
        <w:t>。</w:t>
      </w:r>
    </w:p>
    <w:p w14:paraId="03152257" w14:textId="77777777" w:rsidR="006512BA" w:rsidRDefault="00A00B30">
      <w:pPr>
        <w:pStyle w:val="aa"/>
        <w:spacing w:beforeAutospacing="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非高耗能类别中</w:t>
      </w:r>
      <w:r>
        <w:rPr>
          <w:rFonts w:ascii="仿宋_GB2312" w:eastAsia="仿宋_GB2312" w:hAnsi="仿宋_GB2312" w:cs="仿宋_GB2312" w:hint="eastAsia"/>
          <w:sz w:val="32"/>
          <w:szCs w:val="32"/>
        </w:rPr>
        <w:t>综合评价得分行业排名规模以上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（含）和规模以下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（含）的企业。</w:t>
      </w:r>
    </w:p>
    <w:p w14:paraId="5CD32098" w14:textId="77777777" w:rsidR="006512BA" w:rsidRDefault="00A00B30">
      <w:pPr>
        <w:pStyle w:val="aa"/>
        <w:spacing w:beforeAutospacing="0" w:afterAutospacing="0" w:line="560" w:lineRule="exact"/>
        <w:ind w:firstLine="58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首次通过出让获得工业用地使用权的企业，自取得</w:t>
      </w:r>
      <w:r>
        <w:rPr>
          <w:rFonts w:ascii="仿宋_GB2312" w:eastAsia="仿宋_GB2312" w:hAnsi="Times New Roman" w:hint="eastAsia"/>
          <w:color w:val="000000" w:themeColor="text1"/>
          <w:kern w:val="32"/>
          <w:sz w:val="32"/>
        </w:rPr>
        <w:t>土地使用权日</w:t>
      </w:r>
      <w:r>
        <w:rPr>
          <w:rFonts w:ascii="仿宋_GB2312" w:eastAsia="仿宋_GB2312" w:hAnsi="仿宋_GB2312" w:cs="仿宋_GB2312" w:hint="eastAsia"/>
          <w:sz w:val="32"/>
          <w:szCs w:val="32"/>
        </w:rPr>
        <w:t>（以土地出让合同所载时间为准）起的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个评价年度内（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roofErr w:type="gramStart"/>
      <w:r>
        <w:rPr>
          <w:rFonts w:ascii="仿宋_GB2312" w:eastAsia="仿宋_GB2312" w:hAnsi="仿宋_GB2312" w:cs="仿宋_GB2312" w:hint="eastAsia"/>
          <w:sz w:val="32"/>
          <w:szCs w:val="32"/>
        </w:rPr>
        <w:t>建设期加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roofErr w:type="gramEnd"/>
      <w:r>
        <w:rPr>
          <w:rFonts w:ascii="仿宋_GB2312" w:eastAsia="仿宋_GB2312" w:hAnsi="仿宋_GB2312" w:cs="仿宋_GB2312" w:hint="eastAsia"/>
          <w:sz w:val="32"/>
          <w:szCs w:val="32"/>
        </w:rPr>
        <w:t>过渡期）的企业。</w:t>
      </w:r>
    </w:p>
    <w:p w14:paraId="2A9661E1" w14:textId="44A351B5" w:rsidR="006512BA" w:rsidRDefault="00A00B30">
      <w:pPr>
        <w:pStyle w:val="aa"/>
        <w:spacing w:beforeAutospacing="0" w:afterAutospacing="0" w:line="560" w:lineRule="exact"/>
        <w:ind w:firstLine="585"/>
        <w:jc w:val="both"/>
        <w:rPr>
          <w:rFonts w:ascii="仿宋_GB2312" w:eastAsia="仿宋_GB2312" w:hAnsi="仿宋_GB2312" w:cs="仿宋_GB2312"/>
          <w:color w:val="00B050"/>
          <w:sz w:val="32"/>
          <w:szCs w:val="32"/>
        </w:rPr>
      </w:pPr>
      <w:r>
        <w:rPr>
          <w:rFonts w:ascii="仿宋_GB2312" w:eastAsia="仿宋_GB2312" w:hAnsi="仿宋_GB2312" w:cs="仿宋_GB2312" w:hint="eastAsia"/>
          <w:sz w:val="32"/>
          <w:szCs w:val="32"/>
        </w:rPr>
        <w:t>通过企业之间转让（以</w:t>
      </w:r>
      <w:hyperlink r:id="rId8" w:tgtFrame="_blank" w:history="1">
        <w:r w:rsidR="00D56CF3" w:rsidRPr="00D56CF3">
          <w:rPr>
            <w:rFonts w:ascii="仿宋_GB2312" w:eastAsia="仿宋_GB2312" w:hAnsi="仿宋_GB2312" w:cs="仿宋_GB2312" w:hint="eastAsia"/>
            <w:sz w:val="32"/>
            <w:szCs w:val="32"/>
          </w:rPr>
          <w:t>合同</w:t>
        </w:r>
        <w:proofErr w:type="gramStart"/>
        <w:r w:rsidR="00D56CF3" w:rsidRPr="00D56CF3">
          <w:rPr>
            <w:rFonts w:ascii="仿宋_GB2312" w:eastAsia="仿宋_GB2312" w:hAnsi="仿宋_GB2312" w:cs="仿宋_GB2312" w:hint="eastAsia"/>
            <w:sz w:val="32"/>
            <w:szCs w:val="32"/>
          </w:rPr>
          <w:t>签定</w:t>
        </w:r>
        <w:proofErr w:type="gramEnd"/>
      </w:hyperlink>
      <w:r>
        <w:rPr>
          <w:rFonts w:ascii="仿宋_GB2312" w:eastAsia="仿宋_GB2312" w:hAnsi="仿宋_GB2312" w:cs="仿宋_GB2312" w:hint="eastAsia"/>
          <w:sz w:val="32"/>
          <w:szCs w:val="32"/>
        </w:rPr>
        <w:t>时间为准</w:t>
      </w:r>
      <w:r>
        <w:rPr>
          <w:rFonts w:ascii="仿宋_GB2312" w:eastAsia="仿宋_GB2312" w:hAnsi="仿宋_GB2312" w:cs="仿宋_GB2312" w:hint="eastAsia"/>
          <w:sz w:val="32"/>
          <w:szCs w:val="32"/>
        </w:rPr>
        <w:t>，交易标的为厂房或土地</w:t>
      </w:r>
      <w:r>
        <w:rPr>
          <w:rFonts w:ascii="仿宋_GB2312" w:eastAsia="仿宋_GB2312" w:hAnsi="仿宋_GB2312" w:cs="仿宋_GB2312" w:hint="eastAsia"/>
          <w:sz w:val="32"/>
          <w:szCs w:val="32"/>
        </w:rPr>
        <w:t>）或法院拍卖（以司法裁定书出具时间为准</w:t>
      </w:r>
      <w:r>
        <w:rPr>
          <w:rFonts w:ascii="仿宋_GB2312" w:eastAsia="仿宋_GB2312" w:hAnsi="仿宋_GB2312" w:cs="仿宋_GB2312" w:hint="eastAsia"/>
          <w:sz w:val="32"/>
          <w:szCs w:val="32"/>
        </w:rPr>
        <w:t>，交易标的为厂房或土地</w:t>
      </w:r>
      <w:r>
        <w:rPr>
          <w:rFonts w:ascii="仿宋_GB2312" w:eastAsia="仿宋_GB2312" w:hAnsi="仿宋_GB2312" w:cs="仿宋_GB2312" w:hint="eastAsia"/>
          <w:sz w:val="32"/>
          <w:szCs w:val="32"/>
        </w:rPr>
        <w:t>）首次获得工业用地使用权，在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年过渡期内的企业，可享受一次直接定档</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w:t>
      </w:r>
      <w:r>
        <w:rPr>
          <w:rFonts w:ascii="仿宋_GB2312" w:eastAsia="仿宋_GB2312" w:hAnsi="仿宋_GB2312" w:cs="仿宋_GB2312" w:hint="eastAsia"/>
          <w:color w:val="00B050"/>
          <w:sz w:val="32"/>
          <w:szCs w:val="32"/>
        </w:rPr>
        <w:t>。</w:t>
      </w:r>
    </w:p>
    <w:p w14:paraId="6635CC7A" w14:textId="77777777" w:rsidR="006512BA" w:rsidRDefault="00A00B30">
      <w:pPr>
        <w:pStyle w:val="aa"/>
        <w:spacing w:beforeAutospacing="0" w:afterAutospacing="0" w:line="560" w:lineRule="exact"/>
        <w:ind w:firstLine="585"/>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3.C</w:t>
      </w:r>
      <w:r>
        <w:rPr>
          <w:rFonts w:ascii="仿宋_GB2312" w:eastAsia="仿宋_GB2312" w:hAnsi="仿宋_GB2312" w:cs="仿宋_GB2312" w:hint="eastAsia"/>
          <w:b/>
          <w:sz w:val="32"/>
          <w:szCs w:val="32"/>
        </w:rPr>
        <w:t>类（帮扶整治类）：</w:t>
      </w:r>
      <w:r>
        <w:rPr>
          <w:rFonts w:ascii="仿宋_GB2312" w:eastAsia="仿宋_GB2312" w:hAnsi="仿宋_GB2312" w:cs="仿宋_GB2312" w:hint="eastAsia"/>
          <w:sz w:val="32"/>
          <w:szCs w:val="32"/>
        </w:rPr>
        <w:t>指资源利用效率偏低、综合效益不佳，需要重点帮扶、重点整治的企业。</w:t>
      </w:r>
    </w:p>
    <w:p w14:paraId="38F2590F" w14:textId="77777777" w:rsidR="006512BA" w:rsidRDefault="00A00B30">
      <w:pPr>
        <w:pStyle w:val="aa"/>
        <w:spacing w:beforeAutospacing="0" w:afterAutospacing="0" w:line="560" w:lineRule="exact"/>
        <w:ind w:firstLine="58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高耗能类别中</w:t>
      </w:r>
      <w:r>
        <w:rPr>
          <w:rFonts w:ascii="仿宋_GB2312" w:eastAsia="仿宋_GB2312" w:hAnsi="仿宋_GB2312" w:cs="仿宋_GB2312" w:hint="eastAsia"/>
          <w:sz w:val="32"/>
          <w:szCs w:val="32"/>
        </w:rPr>
        <w:t>综合评价得分行业排名规模以上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（含）和规模以下</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（含）的企业。</w:t>
      </w:r>
    </w:p>
    <w:p w14:paraId="444F6E23" w14:textId="77777777" w:rsidR="006512BA" w:rsidRDefault="00A00B30">
      <w:pPr>
        <w:pStyle w:val="aa"/>
        <w:spacing w:beforeAutospacing="0" w:afterAutospacing="0" w:line="560" w:lineRule="exact"/>
        <w:ind w:firstLine="585"/>
        <w:jc w:val="both"/>
        <w:rPr>
          <w:rFonts w:ascii="仿宋_GB2312" w:eastAsia="仿宋_GB2312" w:hAnsi="仿宋_GB2312" w:cs="仿宋_GB2312"/>
          <w:color w:val="00B050"/>
          <w:sz w:val="32"/>
          <w:szCs w:val="32"/>
        </w:rPr>
      </w:pPr>
      <w:r>
        <w:rPr>
          <w:rFonts w:ascii="仿宋_GB2312" w:eastAsia="仿宋_GB2312" w:hAnsi="仿宋_GB2312" w:cs="仿宋_GB2312" w:hint="eastAsia"/>
          <w:sz w:val="32"/>
          <w:szCs w:val="32"/>
        </w:rPr>
        <w:t>非高耗能类别中</w:t>
      </w:r>
      <w:r>
        <w:rPr>
          <w:rFonts w:ascii="仿宋_GB2312" w:eastAsia="仿宋_GB2312" w:hAnsi="仿宋_GB2312" w:cs="仿宋_GB2312" w:hint="eastAsia"/>
          <w:sz w:val="32"/>
          <w:szCs w:val="32"/>
        </w:rPr>
        <w:t>综合评价得分行业排名规模以上</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（含）和规模以下</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（含）的企业。</w:t>
      </w:r>
    </w:p>
    <w:p w14:paraId="36411ED0" w14:textId="77777777" w:rsidR="006512BA" w:rsidRDefault="00A00B30">
      <w:pPr>
        <w:pStyle w:val="aa"/>
        <w:spacing w:beforeAutospacing="0" w:afterAutospacing="0" w:line="560" w:lineRule="exact"/>
        <w:ind w:firstLine="592"/>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4.D</w:t>
      </w:r>
      <w:r>
        <w:rPr>
          <w:rFonts w:ascii="仿宋_GB2312" w:eastAsia="仿宋_GB2312" w:hAnsi="仿宋_GB2312" w:cs="仿宋_GB2312" w:hint="eastAsia"/>
          <w:b/>
          <w:sz w:val="32"/>
          <w:szCs w:val="32"/>
        </w:rPr>
        <w:t>类（淘汰关停类）：</w:t>
      </w:r>
      <w:r>
        <w:rPr>
          <w:rFonts w:ascii="仿宋_GB2312" w:eastAsia="仿宋_GB2312" w:hAnsi="仿宋_GB2312" w:cs="仿宋_GB2312" w:hint="eastAsia"/>
          <w:sz w:val="32"/>
          <w:szCs w:val="32"/>
        </w:rPr>
        <w:t>指国家、省有关产业政策明令禁止或淘汰的企业，污染物排放、安全生产、能耗限额等不达标且整改无望或整改后仍不达标的企业，以及其他依法淘汰关停的企业。</w:t>
      </w:r>
    </w:p>
    <w:p w14:paraId="7B47F331" w14:textId="77777777" w:rsidR="006512BA" w:rsidRDefault="00A00B30">
      <w:pPr>
        <w:pStyle w:val="aa"/>
        <w:spacing w:beforeAutospacing="0" w:afterAutospacing="0" w:line="560" w:lineRule="exact"/>
        <w:ind w:firstLine="59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高耗能类别中</w:t>
      </w:r>
      <w:r>
        <w:rPr>
          <w:rFonts w:ascii="仿宋_GB2312" w:eastAsia="仿宋_GB2312" w:hAnsi="仿宋_GB2312" w:cs="仿宋_GB2312" w:hint="eastAsia"/>
          <w:sz w:val="32"/>
          <w:szCs w:val="32"/>
        </w:rPr>
        <w:t>综合评价得分行业排名规模以上后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（不含）、规模以下后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（不含）的企业</w:t>
      </w:r>
      <w:r>
        <w:rPr>
          <w:rFonts w:ascii="仿宋_GB2312" w:eastAsia="仿宋_GB2312" w:hAnsi="仿宋_GB2312" w:cs="仿宋_GB2312" w:hint="eastAsia"/>
          <w:sz w:val="32"/>
          <w:szCs w:val="32"/>
        </w:rPr>
        <w:t>。</w:t>
      </w:r>
    </w:p>
    <w:p w14:paraId="124992A5" w14:textId="77777777" w:rsidR="006512BA" w:rsidRDefault="00A00B30">
      <w:pPr>
        <w:pStyle w:val="aa"/>
        <w:spacing w:beforeAutospacing="0" w:afterAutospacing="0" w:line="560" w:lineRule="exact"/>
        <w:ind w:firstLine="59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非高耗能类别中</w:t>
      </w:r>
      <w:r>
        <w:rPr>
          <w:rFonts w:ascii="仿宋_GB2312" w:eastAsia="仿宋_GB2312" w:hAnsi="仿宋_GB2312" w:cs="仿宋_GB2312" w:hint="eastAsia"/>
          <w:sz w:val="32"/>
          <w:szCs w:val="32"/>
        </w:rPr>
        <w:t>综合评价得分行业排名规模以上后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（不含）、规模以下后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（不含）的企业。</w:t>
      </w:r>
    </w:p>
    <w:p w14:paraId="2B8B7086" w14:textId="77777777" w:rsidR="006512BA" w:rsidRDefault="00A00B30">
      <w:pPr>
        <w:pStyle w:val="aa"/>
        <w:spacing w:beforeAutospacing="0" w:afterAutospacing="0" w:line="560" w:lineRule="exact"/>
        <w:ind w:firstLine="59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用地登记</w:t>
      </w:r>
      <w:r>
        <w:rPr>
          <w:rFonts w:ascii="仿宋_GB2312" w:eastAsia="仿宋_GB2312" w:hAnsi="仿宋_GB2312" w:cs="仿宋_GB2312" w:hint="eastAsia"/>
          <w:sz w:val="32"/>
          <w:szCs w:val="32"/>
        </w:rPr>
        <w:t>面积超过</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亩，且在评价年度前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年均未上</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的企业，直接列为</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类（全资或控股的子公司已经是</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上企业且已申请合并评价并纳入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上企业评价的</w:t>
      </w:r>
      <w:r>
        <w:rPr>
          <w:rFonts w:ascii="仿宋_GB2312" w:eastAsia="仿宋_GB2312" w:hAnsi="仿宋_GB2312" w:cs="仿宋_GB2312" w:hint="eastAsia"/>
          <w:sz w:val="32"/>
          <w:szCs w:val="32"/>
        </w:rPr>
        <w:t>、企业注册成立不满三年的</w:t>
      </w:r>
      <w:r>
        <w:rPr>
          <w:rFonts w:ascii="仿宋_GB2312" w:eastAsia="仿宋_GB2312" w:hAnsi="仿宋_GB2312" w:cs="仿宋_GB2312" w:hint="eastAsia"/>
          <w:sz w:val="32"/>
          <w:szCs w:val="32"/>
        </w:rPr>
        <w:t>除外）。</w:t>
      </w:r>
    </w:p>
    <w:p w14:paraId="1F68A171" w14:textId="77777777" w:rsidR="006512BA" w:rsidRDefault="00A00B30">
      <w:pPr>
        <w:pStyle w:val="aa"/>
        <w:spacing w:beforeAutospacing="0" w:afterAutospacing="0" w:line="560" w:lineRule="exact"/>
        <w:ind w:firstLine="649"/>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《浙江省淘汰落后生产能力指导目录（</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年本）》及金华市淘汰落后产能相关标准，需实施企业整体关停淘汰的企业。</w:t>
      </w:r>
    </w:p>
    <w:p w14:paraId="0C0640F3" w14:textId="77777777" w:rsidR="006512BA" w:rsidRDefault="00A00B30">
      <w:pPr>
        <w:pStyle w:val="aa"/>
        <w:spacing w:beforeAutospacing="0" w:afterAutospacing="0" w:line="560" w:lineRule="exact"/>
        <w:ind w:firstLine="64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另外，</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城区如在金华</w:t>
      </w:r>
      <w:r>
        <w:rPr>
          <w:rFonts w:ascii="仿宋_GB2312" w:eastAsia="仿宋_GB2312" w:hAnsi="仿宋_GB2312" w:cs="仿宋_GB2312" w:hint="eastAsia"/>
          <w:sz w:val="32"/>
          <w:szCs w:val="32"/>
        </w:rPr>
        <w:t>市区上</w:t>
      </w:r>
      <w:proofErr w:type="gramStart"/>
      <w:r>
        <w:rPr>
          <w:rFonts w:ascii="仿宋_GB2312" w:eastAsia="仿宋_GB2312" w:hAnsi="仿宋_GB2312" w:cs="仿宋_GB2312" w:hint="eastAsia"/>
          <w:sz w:val="32"/>
          <w:szCs w:val="32"/>
        </w:rPr>
        <w:t>一评价</w:t>
      </w:r>
      <w:proofErr w:type="gramEnd"/>
      <w:r>
        <w:rPr>
          <w:rFonts w:ascii="仿宋_GB2312" w:eastAsia="仿宋_GB2312" w:hAnsi="仿宋_GB2312" w:cs="仿宋_GB2312" w:hint="eastAsia"/>
          <w:sz w:val="32"/>
          <w:szCs w:val="32"/>
        </w:rPr>
        <w:t>年度企业亩均税收或亩均税收增速排名第一的，</w:t>
      </w:r>
      <w:r>
        <w:rPr>
          <w:rFonts w:ascii="仿宋_GB2312" w:eastAsia="仿宋_GB2312" w:hAnsi="仿宋_GB2312" w:cs="仿宋_GB2312" w:hint="eastAsia"/>
          <w:sz w:val="32"/>
          <w:szCs w:val="32"/>
        </w:rPr>
        <w:t>非高耗能类别中</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规模以上企业占比可提升至</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，两项指标均为第一名的可提升至</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，规模以上企业</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占比作相应调整。</w:t>
      </w:r>
    </w:p>
    <w:p w14:paraId="66F65609" w14:textId="77777777" w:rsidR="006512BA" w:rsidRDefault="00A00B30">
      <w:pPr>
        <w:pStyle w:val="aa"/>
        <w:numPr>
          <w:ilvl w:val="0"/>
          <w:numId w:val="2"/>
        </w:numPr>
        <w:spacing w:beforeAutospacing="0" w:afterAutospacing="0" w:line="560" w:lineRule="exact"/>
        <w:ind w:left="0"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特别调整规则</w:t>
      </w:r>
    </w:p>
    <w:p w14:paraId="134F741C"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全区统一设置限档、提档、豁免、合并等</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项调整规则，在计算出排序结果后，对既符合提档又</w:t>
      </w:r>
      <w:proofErr w:type="gramStart"/>
      <w:r>
        <w:rPr>
          <w:rFonts w:ascii="仿宋_GB2312" w:eastAsia="仿宋_GB2312" w:hAnsi="仿宋_GB2312" w:cs="仿宋_GB2312" w:hint="eastAsia"/>
          <w:sz w:val="32"/>
          <w:szCs w:val="32"/>
        </w:rPr>
        <w:t>符合限档的</w:t>
      </w:r>
      <w:proofErr w:type="gramEnd"/>
      <w:r>
        <w:rPr>
          <w:rFonts w:ascii="仿宋_GB2312" w:eastAsia="仿宋_GB2312" w:hAnsi="仿宋_GB2312" w:cs="仿宋_GB2312" w:hint="eastAsia"/>
          <w:sz w:val="32"/>
          <w:szCs w:val="32"/>
        </w:rPr>
        <w:t>企业，实行限档；对既符合提档又符合豁免的企业，只能择</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调整。</w:t>
      </w:r>
      <w:proofErr w:type="gramStart"/>
      <w:r>
        <w:rPr>
          <w:rFonts w:ascii="仿宋_GB2312" w:eastAsia="仿宋_GB2312" w:hAnsi="仿宋_GB2312" w:cs="仿宋_GB2312" w:hint="eastAsia"/>
          <w:sz w:val="32"/>
          <w:szCs w:val="32"/>
        </w:rPr>
        <w:t>提档只</w:t>
      </w:r>
      <w:proofErr w:type="gramEnd"/>
      <w:r>
        <w:rPr>
          <w:rFonts w:ascii="仿宋_GB2312" w:eastAsia="仿宋_GB2312" w:hAnsi="仿宋_GB2312" w:cs="仿宋_GB2312" w:hint="eastAsia"/>
          <w:sz w:val="32"/>
          <w:szCs w:val="32"/>
        </w:rPr>
        <w:t>提一档，不得跳档。另外，对于首次获得工业用地的且处于建设期或过渡期内的直接定档企业不适用特别调整规则。</w:t>
      </w:r>
      <w:r>
        <w:rPr>
          <w:rFonts w:ascii="仿宋_GB2312" w:eastAsia="仿宋_GB2312" w:hAnsi="仿宋_GB2312" w:cs="仿宋_GB2312" w:hint="eastAsia"/>
          <w:color w:val="111F2C"/>
          <w:sz w:val="32"/>
          <w:szCs w:val="32"/>
          <w:shd w:val="clear" w:color="auto" w:fill="FFFFFF"/>
        </w:rPr>
        <w:t>小</w:t>
      </w:r>
      <w:proofErr w:type="gramStart"/>
      <w:r>
        <w:rPr>
          <w:rFonts w:ascii="仿宋_GB2312" w:eastAsia="仿宋_GB2312" w:hAnsi="仿宋_GB2312" w:cs="仿宋_GB2312" w:hint="eastAsia"/>
          <w:color w:val="111F2C"/>
          <w:sz w:val="32"/>
          <w:szCs w:val="32"/>
          <w:shd w:val="clear" w:color="auto" w:fill="FFFFFF"/>
        </w:rPr>
        <w:t>微企业园持地主体</w:t>
      </w:r>
      <w:proofErr w:type="gramEnd"/>
      <w:r>
        <w:rPr>
          <w:rFonts w:ascii="仿宋_GB2312" w:eastAsia="仿宋_GB2312" w:hAnsi="仿宋_GB2312" w:cs="仿宋_GB2312" w:hint="eastAsia"/>
          <w:color w:val="111F2C"/>
          <w:sz w:val="32"/>
          <w:szCs w:val="32"/>
          <w:shd w:val="clear" w:color="auto" w:fill="FFFFFF"/>
        </w:rPr>
        <w:t>年度企业分类评价，参照当年度小</w:t>
      </w:r>
      <w:proofErr w:type="gramStart"/>
      <w:r>
        <w:rPr>
          <w:rFonts w:ascii="仿宋_GB2312" w:eastAsia="仿宋_GB2312" w:hAnsi="仿宋_GB2312" w:cs="仿宋_GB2312" w:hint="eastAsia"/>
          <w:color w:val="111F2C"/>
          <w:sz w:val="32"/>
          <w:szCs w:val="32"/>
          <w:shd w:val="clear" w:color="auto" w:fill="FFFFFF"/>
        </w:rPr>
        <w:t>微企业</w:t>
      </w:r>
      <w:proofErr w:type="gramEnd"/>
      <w:r>
        <w:rPr>
          <w:rFonts w:ascii="仿宋_GB2312" w:eastAsia="仿宋_GB2312" w:hAnsi="仿宋_GB2312" w:cs="仿宋_GB2312" w:hint="eastAsia"/>
          <w:color w:val="111F2C"/>
          <w:sz w:val="32"/>
          <w:szCs w:val="32"/>
          <w:shd w:val="clear" w:color="auto" w:fill="FFFFFF"/>
        </w:rPr>
        <w:t>园绩效评价结果。</w:t>
      </w:r>
    </w:p>
    <w:p w14:paraId="6A260BAB" w14:textId="77777777" w:rsidR="006512BA" w:rsidRDefault="00A00B30">
      <w:pPr>
        <w:pStyle w:val="aa"/>
        <w:spacing w:beforeAutospacing="0" w:afterAutospacing="0" w:line="56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限档</w:t>
      </w:r>
    </w:p>
    <w:p w14:paraId="509A937C"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不符合产业发展导向的企业，不列入</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类。评价年度纳税</w:t>
      </w: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万元以下的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和纳税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万元以下的</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下企业</w:t>
      </w:r>
      <w:r>
        <w:rPr>
          <w:rFonts w:ascii="仿宋_GB2312" w:eastAsia="仿宋_GB2312" w:hAnsi="仿宋_GB2312" w:cs="仿宋_GB2312" w:hint="eastAsia"/>
          <w:sz w:val="32"/>
          <w:szCs w:val="32"/>
        </w:rPr>
        <w:t>不列入</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w:t>
      </w:r>
      <w:proofErr w:type="gramStart"/>
      <w:r>
        <w:rPr>
          <w:rFonts w:ascii="仿宋_GB2312" w:eastAsia="仿宋_GB2312" w:hAnsi="仿宋_GB2312" w:cs="仿宋_GB2312" w:hint="eastAsia"/>
          <w:sz w:val="32"/>
          <w:szCs w:val="32"/>
        </w:rPr>
        <w:t>除</w:t>
      </w:r>
      <w:r>
        <w:rPr>
          <w:rFonts w:ascii="仿宋_GB2312" w:eastAsia="仿宋_GB2312" w:hAnsi="仿宋_GB2312" w:cs="仿宋_GB2312" w:hint="eastAsia"/>
          <w:sz w:val="32"/>
          <w:szCs w:val="32"/>
        </w:rPr>
        <w:t>实际</w:t>
      </w:r>
      <w:proofErr w:type="gramEnd"/>
      <w:r>
        <w:rPr>
          <w:rFonts w:ascii="仿宋_GB2312" w:eastAsia="仿宋_GB2312" w:hAnsi="仿宋_GB2312" w:cs="仿宋_GB2312" w:hint="eastAsia"/>
          <w:sz w:val="32"/>
          <w:szCs w:val="32"/>
        </w:rPr>
        <w:t>投资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亿元以上重大产业项目外）。拥有土地使用权的企业，其出租面积大于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的，不列入</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类。评价年度发生生产安全事故、重大环境责任事故、重大食品安全事故和重大税收违法案件实施联合惩戒措施的，不列入</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类。亩均税收低于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万的企业不列入</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w:t>
      </w:r>
    </w:p>
    <w:p w14:paraId="5518D942" w14:textId="77777777" w:rsidR="006512BA" w:rsidRDefault="00A00B30">
      <w:pPr>
        <w:pStyle w:val="aa"/>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提档</w:t>
      </w:r>
    </w:p>
    <w:p w14:paraId="35539151" w14:textId="77777777" w:rsidR="006512BA" w:rsidRDefault="00A00B30">
      <w:pPr>
        <w:tabs>
          <w:tab w:val="left" w:pos="312"/>
        </w:tabs>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有效期内的国家高新技术企业评价结果可上调一档，最高上调到</w:t>
      </w:r>
      <w:r>
        <w:rPr>
          <w:rFonts w:ascii="仿宋_GB2312" w:eastAsia="仿宋_GB2312" w:hAnsi="仿宋_GB2312" w:cs="仿宋_GB2312" w:hint="eastAsia"/>
          <w:kern w:val="0"/>
          <w:sz w:val="32"/>
          <w:szCs w:val="32"/>
        </w:rPr>
        <w:t>B</w:t>
      </w:r>
      <w:r>
        <w:rPr>
          <w:rFonts w:ascii="仿宋_GB2312" w:eastAsia="仿宋_GB2312" w:hAnsi="仿宋_GB2312" w:cs="仿宋_GB2312" w:hint="eastAsia"/>
          <w:kern w:val="0"/>
          <w:sz w:val="32"/>
          <w:szCs w:val="32"/>
        </w:rPr>
        <w:t>类。</w:t>
      </w:r>
    </w:p>
    <w:p w14:paraId="61FAB02F" w14:textId="77777777" w:rsidR="006512BA" w:rsidRDefault="00A00B30">
      <w:pPr>
        <w:pStyle w:val="aa"/>
        <w:spacing w:beforeAutospacing="0" w:afterAutospacing="0" w:line="56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豁免</w:t>
      </w:r>
    </w:p>
    <w:p w14:paraId="6945DA28"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获得企业研发（技术）中心、重点企业研究院、重点实验室所在企业，“三名”培育试点企业，市级或区级政府质量奖企业，农业龙头企业，以及“品字标浙江制造”企业等原则上不列入</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类。</w:t>
      </w:r>
    </w:p>
    <w:p w14:paraId="37CF1DA1" w14:textId="77777777" w:rsidR="006512BA" w:rsidRDefault="00A00B30">
      <w:pPr>
        <w:tabs>
          <w:tab w:val="left" w:pos="312"/>
        </w:tabs>
        <w:autoSpaceDN w:val="0"/>
        <w:adjustRightIn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合并</w:t>
      </w:r>
    </w:p>
    <w:p w14:paraId="1FB06EF3" w14:textId="77777777" w:rsidR="006512BA" w:rsidRDefault="00A00B30">
      <w:pPr>
        <w:tabs>
          <w:tab w:val="left" w:pos="312"/>
        </w:tabs>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企业集团下属制造业企业（集团控股公司和全资子公司）要求合并评价的，由集团公司提出申请，经金华市</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深化“亩均论英雄”改革领导小组办公室（以下简称“区亩均办”）确认后，按集团公司合并会计报表口径进行合并评价。集团公司参股企业仍以纳税主体为单位进行评价。企业下属无独立法人资格的分公司（制造业）要求合并评价的，由企业总公司提出申请，</w:t>
      </w:r>
      <w:r>
        <w:rPr>
          <w:rFonts w:ascii="仿宋_GB2312" w:eastAsia="仿宋_GB2312" w:hAnsi="仿宋_GB2312" w:cs="仿宋_GB2312" w:hint="eastAsia"/>
          <w:sz w:val="32"/>
          <w:szCs w:val="32"/>
        </w:rPr>
        <w:t>经区亩均办确认后，进行合并评价。</w:t>
      </w:r>
    </w:p>
    <w:p w14:paraId="4E9D225D" w14:textId="77777777" w:rsidR="006512BA" w:rsidRDefault="00A00B30">
      <w:pPr>
        <w:tabs>
          <w:tab w:val="left" w:pos="312"/>
        </w:tabs>
        <w:autoSpaceDN w:val="0"/>
        <w:adjustRightInd w:val="0"/>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在同一产权所有人（共同产权所有人或集团公司）的同一块土地上，注册有多个工业企业（制造业）法人单位，且投资人之间存在夫妻或直系亲属关系（控股关系或同属一个集团公司控股），要求合并评价的，由企业提出申请，经区亩均办确认后，进行合并评价。</w:t>
      </w:r>
    </w:p>
    <w:p w14:paraId="7D3C2B90"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被合并企业按照合并评价企业的评价等级享受相应政策。</w:t>
      </w:r>
    </w:p>
    <w:p w14:paraId="08603518"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合并只适用于</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城区内（除金华开发区</w:t>
      </w:r>
      <w:r>
        <w:rPr>
          <w:rFonts w:ascii="仿宋_GB2312" w:eastAsia="仿宋_GB2312" w:hAnsi="仿宋_GB2312" w:cs="仿宋_GB2312" w:hint="eastAsia"/>
          <w:sz w:val="32"/>
          <w:szCs w:val="32"/>
        </w:rPr>
        <w:t>和金磐扶贫经济开发区</w:t>
      </w:r>
      <w:r>
        <w:rPr>
          <w:rFonts w:ascii="仿宋_GB2312" w:eastAsia="仿宋_GB2312" w:hAnsi="仿宋_GB2312" w:cs="仿宋_GB2312" w:hint="eastAsia"/>
          <w:sz w:val="32"/>
          <w:szCs w:val="32"/>
        </w:rPr>
        <w:t>）企业之间，不适用于跨区企业间的合并。</w:t>
      </w:r>
    </w:p>
    <w:p w14:paraId="6DE17DE8"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五、数据审核流程及动态管理</w:t>
      </w:r>
    </w:p>
    <w:p w14:paraId="7EA82337"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按照“谁主管、谁统计、谁负责、谁审核”的原则，加强数据统计、核实和上报</w:t>
      </w:r>
      <w:r>
        <w:rPr>
          <w:rFonts w:ascii="仿宋_GB2312" w:eastAsia="仿宋_GB2312" w:hAnsi="仿宋_GB2312" w:cs="仿宋_GB2312" w:hint="eastAsia"/>
          <w:sz w:val="32"/>
          <w:szCs w:val="32"/>
        </w:rPr>
        <w:t>等工作，确保数据准确。</w:t>
      </w:r>
    </w:p>
    <w:p w14:paraId="135BF197"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区统计局负责核实规模以上企业综合能耗、工业增加值、研究与试验发展经费支出、年平均职工人数</w:t>
      </w:r>
      <w:r>
        <w:rPr>
          <w:rFonts w:ascii="仿宋_GB2312" w:eastAsia="仿宋_GB2312" w:hAnsi="仿宋_GB2312" w:cs="仿宋_GB2312" w:hint="eastAsia"/>
          <w:sz w:val="32"/>
          <w:szCs w:val="32"/>
        </w:rPr>
        <w:t>、企业年度固定资产入库投资额</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上企业营业收入</w:t>
      </w:r>
      <w:r>
        <w:rPr>
          <w:rFonts w:ascii="仿宋_GB2312" w:eastAsia="仿宋_GB2312" w:hAnsi="仿宋_GB2312" w:cs="仿宋_GB2312" w:hint="eastAsia"/>
          <w:sz w:val="32"/>
          <w:szCs w:val="32"/>
        </w:rPr>
        <w:t>，提供</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上企业名单及其主营业务行业代码、首次升</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企业名单等数据</w:t>
      </w:r>
      <w:r>
        <w:rPr>
          <w:rFonts w:ascii="仿宋_GB2312" w:eastAsia="仿宋_GB2312" w:hAnsi="仿宋_GB2312" w:cs="仿宋_GB2312" w:hint="eastAsia"/>
          <w:sz w:val="32"/>
          <w:szCs w:val="32"/>
        </w:rPr>
        <w:t>。</w:t>
      </w:r>
    </w:p>
    <w:p w14:paraId="494FE407"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区税务局负责提供企业缴纳税收、销售收入、用地面积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征收城镇土地使用税时的土地面积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上企业研发费用加计扣除减免金额（按</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法定税率计算）</w:t>
      </w:r>
      <w:r>
        <w:rPr>
          <w:rFonts w:ascii="仿宋_GB2312" w:eastAsia="仿宋_GB2312" w:hAnsi="仿宋_GB2312" w:cs="仿宋_GB2312" w:hint="eastAsia"/>
          <w:sz w:val="32"/>
          <w:szCs w:val="32"/>
        </w:rPr>
        <w:t>、</w:t>
      </w:r>
      <w:r>
        <w:rPr>
          <w:rFonts w:ascii="仿宋_GB2312" w:eastAsia="仿宋_GB2312" w:hAnsi="仿宋_GB2312" w:cs="仿宋_GB2312" w:hint="eastAsia"/>
          <w:spacing w:val="-4"/>
          <w:sz w:val="32"/>
          <w:szCs w:val="32"/>
        </w:rPr>
        <w:t>残疾人</w:t>
      </w:r>
      <w:r>
        <w:rPr>
          <w:rFonts w:ascii="仿宋_GB2312" w:eastAsia="仿宋_GB2312" w:hAnsi="仿宋_GB2312" w:cs="仿宋_GB2312" w:hint="eastAsia"/>
          <w:spacing w:val="-4"/>
          <w:sz w:val="32"/>
          <w:szCs w:val="32"/>
        </w:rPr>
        <w:t>辅助性就业机构按照国家有关规定享受的税费优惠金额及社保费企业缴纳部分</w:t>
      </w:r>
      <w:r>
        <w:rPr>
          <w:rFonts w:ascii="仿宋_GB2312" w:eastAsia="仿宋_GB2312" w:hAnsi="仿宋_GB2312" w:cs="仿宋_GB2312" w:hint="eastAsia"/>
          <w:sz w:val="32"/>
          <w:szCs w:val="32"/>
        </w:rPr>
        <w:t>等数据、重大税收违法案件实施联合惩戒措施的企</w:t>
      </w:r>
      <w:r>
        <w:rPr>
          <w:rFonts w:ascii="仿宋_GB2312" w:eastAsia="仿宋_GB2312" w:hAnsi="仿宋_GB2312" w:cs="仿宋_GB2312" w:hint="eastAsia"/>
          <w:sz w:val="32"/>
          <w:szCs w:val="32"/>
        </w:rPr>
        <w:t>业名单</w:t>
      </w:r>
      <w:r>
        <w:rPr>
          <w:rFonts w:ascii="仿宋_GB2312" w:eastAsia="仿宋_GB2312" w:hAnsi="仿宋_GB2312" w:cs="仿宋_GB2312" w:hint="eastAsia"/>
          <w:sz w:val="32"/>
          <w:szCs w:val="32"/>
        </w:rPr>
        <w:t>。</w:t>
      </w:r>
    </w:p>
    <w:p w14:paraId="18EBC6E6"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区自然资源和规划分局负责提供企业用地数据</w:t>
      </w:r>
      <w:r>
        <w:rPr>
          <w:rFonts w:ascii="仿宋_GB2312" w:eastAsia="仿宋_GB2312" w:hAnsi="仿宋_GB2312" w:cs="仿宋_GB2312" w:hint="eastAsia"/>
          <w:sz w:val="32"/>
          <w:szCs w:val="32"/>
        </w:rPr>
        <w:t>。</w:t>
      </w:r>
    </w:p>
    <w:p w14:paraId="283A1DAE"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区生态环境分局负责提供企业排放数据、环境违法行为当年</w:t>
      </w:r>
      <w:r>
        <w:rPr>
          <w:rFonts w:ascii="仿宋_GB2312" w:eastAsia="仿宋_GB2312" w:hAnsi="仿宋_GB2312" w:cs="仿宋_GB2312" w:hint="eastAsia"/>
          <w:sz w:val="32"/>
          <w:szCs w:val="32"/>
        </w:rPr>
        <w:lastRenderedPageBreak/>
        <w:t>受行政处罚的企业名单、评价年度发生重大环境责任事故的企业名单</w:t>
      </w:r>
      <w:r>
        <w:rPr>
          <w:rFonts w:ascii="仿宋_GB2312" w:eastAsia="仿宋_GB2312" w:hAnsi="仿宋_GB2312" w:cs="仿宋_GB2312" w:hint="eastAsia"/>
          <w:sz w:val="32"/>
          <w:szCs w:val="32"/>
        </w:rPr>
        <w:t>。</w:t>
      </w:r>
    </w:p>
    <w:p w14:paraId="5891518F"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城供电分公司负责提供企业用电量数据</w:t>
      </w:r>
      <w:r>
        <w:rPr>
          <w:rFonts w:ascii="仿宋_GB2312" w:eastAsia="仿宋_GB2312" w:hAnsi="仿宋_GB2312" w:cs="仿宋_GB2312" w:hint="eastAsia"/>
          <w:sz w:val="32"/>
          <w:szCs w:val="32"/>
        </w:rPr>
        <w:t>。</w:t>
      </w:r>
    </w:p>
    <w:p w14:paraId="59F2C160"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区市场监管局负责提供企业基础信息、评价年度内发生重大食品安全事故的企业名单、获得市区两级政府质量奖企业名单、</w:t>
      </w:r>
      <w:r>
        <w:rPr>
          <w:rFonts w:ascii="仿宋_GB2312" w:eastAsia="仿宋_GB2312" w:hAnsi="仿宋_GB2312" w:cs="仿宋_GB2312" w:hint="eastAsia"/>
          <w:sz w:val="32"/>
          <w:szCs w:val="32"/>
        </w:rPr>
        <w:t>拥有发明专利的企业名单和</w:t>
      </w:r>
      <w:r>
        <w:rPr>
          <w:rFonts w:ascii="仿宋_GB2312" w:eastAsia="仿宋_GB2312" w:hAnsi="仿宋_GB2312" w:cs="仿宋_GB2312" w:hint="eastAsia"/>
          <w:sz w:val="32"/>
          <w:szCs w:val="32"/>
        </w:rPr>
        <w:t>“品字标”浙江制造企业名单</w:t>
      </w:r>
      <w:r>
        <w:rPr>
          <w:rFonts w:ascii="仿宋_GB2312" w:eastAsia="仿宋_GB2312" w:hAnsi="仿宋_GB2312" w:cs="仿宋_GB2312" w:hint="eastAsia"/>
          <w:sz w:val="32"/>
          <w:szCs w:val="32"/>
        </w:rPr>
        <w:t>。</w:t>
      </w:r>
    </w:p>
    <w:p w14:paraId="50F16554"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提供评价年度当年列入省重大产业项目清单</w:t>
      </w:r>
      <w:r>
        <w:rPr>
          <w:rFonts w:ascii="仿宋_GB2312" w:eastAsia="仿宋_GB2312" w:hAnsi="仿宋_GB2312" w:cs="仿宋_GB2312" w:hint="eastAsia"/>
          <w:sz w:val="32"/>
          <w:szCs w:val="32"/>
        </w:rPr>
        <w:t>和高耗能企业名单。</w:t>
      </w:r>
    </w:p>
    <w:p w14:paraId="57C91F1B"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区科技局负责提供评价年度末仍在</w:t>
      </w:r>
      <w:r>
        <w:rPr>
          <w:rFonts w:ascii="仿宋_GB2312" w:eastAsia="仿宋_GB2312" w:hAnsi="仿宋_GB2312" w:cs="仿宋_GB2312" w:hint="eastAsia"/>
          <w:sz w:val="32"/>
          <w:szCs w:val="32"/>
        </w:rPr>
        <w:t>有效期内的国家高新技术企业名单，市级及以上企业研发中心、重点企业研究院、重点实验室所在企业清单，省级及以上（重点）企业研究院、工程技术研究中心、高新技术研发中心及产业创新服务综合体等创新平台或载体清单</w:t>
      </w:r>
      <w:r>
        <w:rPr>
          <w:rFonts w:ascii="仿宋_GB2312" w:eastAsia="仿宋_GB2312" w:hAnsi="仿宋_GB2312" w:cs="仿宋_GB2312" w:hint="eastAsia"/>
          <w:sz w:val="32"/>
          <w:szCs w:val="32"/>
        </w:rPr>
        <w:t>。</w:t>
      </w:r>
    </w:p>
    <w:p w14:paraId="59BB359C"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区应急管理局提供评价年度内发生生产安全事故的企业</w:t>
      </w:r>
      <w:r>
        <w:rPr>
          <w:rFonts w:ascii="仿宋_GB2312" w:eastAsia="仿宋_GB2312" w:hAnsi="仿宋_GB2312" w:cs="仿宋_GB2312" w:hint="eastAsia"/>
          <w:sz w:val="32"/>
          <w:szCs w:val="32"/>
        </w:rPr>
        <w:t>。</w:t>
      </w:r>
    </w:p>
    <w:p w14:paraId="7E04839A"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区农业农村局提供评价年度末仍在有效期内的农业龙头企业名单</w:t>
      </w:r>
      <w:r>
        <w:rPr>
          <w:rFonts w:ascii="仿宋_GB2312" w:eastAsia="仿宋_GB2312" w:hAnsi="仿宋_GB2312" w:cs="仿宋_GB2312" w:hint="eastAsia"/>
          <w:sz w:val="32"/>
          <w:szCs w:val="32"/>
        </w:rPr>
        <w:t>。</w:t>
      </w:r>
    </w:p>
    <w:p w14:paraId="0E39944C"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区委组织部提供拥有省级以上领军人才的企业名单和完成国家、省级引才计划申报的企业名单</w:t>
      </w:r>
      <w:r>
        <w:rPr>
          <w:rFonts w:ascii="仿宋_GB2312" w:eastAsia="仿宋_GB2312" w:hAnsi="仿宋_GB2312" w:cs="仿宋_GB2312" w:hint="eastAsia"/>
          <w:sz w:val="32"/>
          <w:szCs w:val="32"/>
        </w:rPr>
        <w:t>。</w:t>
      </w:r>
    </w:p>
    <w:p w14:paraId="51FAEA12"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区人力社保局提供有效期内拥有省级博士后工作站的企业名单</w:t>
      </w:r>
      <w:r>
        <w:rPr>
          <w:rFonts w:ascii="仿宋_GB2312" w:eastAsia="仿宋_GB2312" w:hAnsi="仿宋_GB2312" w:cs="仿宋_GB2312" w:hint="eastAsia"/>
          <w:sz w:val="32"/>
          <w:szCs w:val="32"/>
        </w:rPr>
        <w:t>。</w:t>
      </w:r>
    </w:p>
    <w:p w14:paraId="21F292CD"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区民政局和公安分局分别核实合并企业中股东之间是否存在夫妻关系和直系亲属关系</w:t>
      </w:r>
      <w:r>
        <w:rPr>
          <w:rFonts w:ascii="仿宋_GB2312" w:eastAsia="仿宋_GB2312" w:hAnsi="仿宋_GB2312" w:cs="仿宋_GB2312" w:hint="eastAsia"/>
          <w:sz w:val="32"/>
          <w:szCs w:val="32"/>
        </w:rPr>
        <w:t>。</w:t>
      </w:r>
    </w:p>
    <w:p w14:paraId="71F68947"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区经济商务局负责对区有关部门提供的各项指标数据进行汇总和评价分类。区有关部门于每年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月底前将上一年度（即评价年度）相关数据提供给区经济商务局。涉及其它调整事项的由区有关部门认定和提供。企业不按时登录评价系统确认、上报评价数据，导致评价结果差错引起的后果，由企业自行承担。</w:t>
      </w:r>
    </w:p>
    <w:p w14:paraId="19FD5B96"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根据企业每年综合评价结果，对</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类企业分类实行动态管理，原则上在每年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月底前按照企业上一年度（即评价年度）数据进行评价，并</w:t>
      </w:r>
      <w:proofErr w:type="gramStart"/>
      <w:r>
        <w:rPr>
          <w:rFonts w:ascii="仿宋_GB2312" w:eastAsia="仿宋_GB2312" w:hAnsi="仿宋_GB2312" w:cs="仿宋_GB2312" w:hint="eastAsia"/>
          <w:sz w:val="32"/>
          <w:szCs w:val="32"/>
        </w:rPr>
        <w:t>按评价</w:t>
      </w:r>
      <w:proofErr w:type="gramEnd"/>
      <w:r>
        <w:rPr>
          <w:rFonts w:ascii="仿宋_GB2312" w:eastAsia="仿宋_GB2312" w:hAnsi="仿宋_GB2312" w:cs="仿宋_GB2312" w:hint="eastAsia"/>
          <w:sz w:val="32"/>
          <w:szCs w:val="32"/>
        </w:rPr>
        <w:t>得分调整分类。强化公开公</w:t>
      </w:r>
      <w:r>
        <w:rPr>
          <w:rFonts w:ascii="仿宋_GB2312" w:eastAsia="仿宋_GB2312" w:hAnsi="仿宋_GB2312" w:cs="仿宋_GB2312" w:hint="eastAsia"/>
          <w:sz w:val="32"/>
          <w:szCs w:val="32"/>
        </w:rPr>
        <w:t>示，企业综合评价结果确定前应经区政府审定，并公开公示。</w:t>
      </w:r>
    </w:p>
    <w:p w14:paraId="27AF4776"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六、结果应用</w:t>
      </w:r>
    </w:p>
    <w:p w14:paraId="0A5535AA" w14:textId="77777777" w:rsidR="006512BA" w:rsidRDefault="00A00B30">
      <w:pPr>
        <w:pStyle w:val="aa"/>
        <w:spacing w:beforeAutospacing="0" w:afterAutospacing="0" w:line="560" w:lineRule="exact"/>
        <w:ind w:firstLine="64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对综合评价确定的</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类企业，依法依规实施企业差别化城镇土地使用税、用地、用能、用水、排污以及创新要素、金融、财政等政策，具体由区有关部门组织实施。</w:t>
      </w:r>
    </w:p>
    <w:p w14:paraId="01F86C4A"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类企业</w:t>
      </w:r>
    </w:p>
    <w:p w14:paraId="325F08D5"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保障用地、用能、用水、排污、信贷等方面需求。</w:t>
      </w:r>
    </w:p>
    <w:p w14:paraId="02E2A4D5"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减免城镇土地使用税，对纳税主体与土地使用权证名称不一致的，不予减征。</w:t>
      </w:r>
      <w:r>
        <w:rPr>
          <w:rFonts w:ascii="仿宋_GB2312" w:eastAsia="仿宋_GB2312" w:hAnsi="仿宋_GB2312" w:cs="仿宋_GB2312" w:hint="eastAsia"/>
          <w:sz w:val="32"/>
          <w:szCs w:val="32"/>
        </w:rPr>
        <w:t>省</w:t>
      </w:r>
      <w:r>
        <w:rPr>
          <w:rFonts w:ascii="仿宋_GB2312" w:eastAsia="仿宋_GB2312" w:hAnsi="仿宋_GB2312" w:cs="仿宋_GB2312" w:hint="eastAsia"/>
          <w:spacing w:val="-4"/>
          <w:sz w:val="32"/>
          <w:szCs w:val="32"/>
        </w:rPr>
        <w:t>政府等相关文件另有规定的，按有关政策执行。</w:t>
      </w:r>
    </w:p>
    <w:p w14:paraId="4BDA3481"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对年薪</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万元（含）以上的人才</w:t>
      </w:r>
      <w:r>
        <w:rPr>
          <w:rFonts w:ascii="仿宋_GB2312" w:eastAsia="仿宋_GB2312" w:hAnsi="仿宋_GB2312" w:cs="仿宋_GB2312" w:hint="eastAsia"/>
          <w:sz w:val="32"/>
          <w:szCs w:val="32"/>
        </w:rPr>
        <w:t>（企业法人代表除外）</w:t>
      </w:r>
      <w:r>
        <w:rPr>
          <w:rFonts w:ascii="仿宋_GB2312" w:eastAsia="仿宋_GB2312" w:hAnsi="仿宋_GB2312" w:cs="仿宋_GB2312" w:hint="eastAsia"/>
          <w:sz w:val="32"/>
          <w:szCs w:val="32"/>
        </w:rPr>
        <w:t>，按规定缴纳税收后，按照其年度工资薪金</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万元（含）以上</w:t>
      </w:r>
      <w:r>
        <w:rPr>
          <w:rFonts w:ascii="仿宋_GB2312" w:eastAsia="仿宋_GB2312" w:hAnsi="仿宋_GB2312" w:cs="仿宋_GB2312" w:hint="eastAsia"/>
          <w:sz w:val="32"/>
          <w:szCs w:val="32"/>
        </w:rPr>
        <w:t>两</w:t>
      </w:r>
      <w:r>
        <w:rPr>
          <w:rFonts w:ascii="仿宋_GB2312" w:eastAsia="仿宋_GB2312" w:hAnsi="仿宋_GB2312" w:cs="仿宋_GB2312" w:hint="eastAsia"/>
          <w:sz w:val="32"/>
          <w:szCs w:val="32"/>
        </w:rPr>
        <w:t>个档次，在不超过个人贡献度的前提下，分别按年度工资薪金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的比例给予奖励。</w:t>
      </w:r>
    </w:p>
    <w:p w14:paraId="0D1D0A64"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扶持政策按</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比率享受。</w:t>
      </w:r>
    </w:p>
    <w:p w14:paraId="2E245A6C"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B</w:t>
      </w:r>
      <w:r>
        <w:rPr>
          <w:rFonts w:ascii="楷体_GB2312" w:eastAsia="楷体_GB2312" w:hAnsi="楷体_GB2312" w:cs="楷体_GB2312" w:hint="eastAsia"/>
          <w:sz w:val="32"/>
          <w:szCs w:val="32"/>
        </w:rPr>
        <w:t>类企业</w:t>
      </w:r>
    </w:p>
    <w:p w14:paraId="43ADAEA3"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保障用地、用能、用水、排污、信贷等方面需求。</w:t>
      </w:r>
    </w:p>
    <w:p w14:paraId="79116F0A"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减免城镇土地使用税。对纳税主体与土地使用权证名称不一致的，不予减征。</w:t>
      </w:r>
      <w:r>
        <w:rPr>
          <w:rFonts w:ascii="仿宋_GB2312" w:eastAsia="仿宋_GB2312" w:hAnsi="仿宋_GB2312" w:cs="仿宋_GB2312" w:hint="eastAsia"/>
          <w:sz w:val="32"/>
          <w:szCs w:val="32"/>
        </w:rPr>
        <w:t>省</w:t>
      </w:r>
      <w:r>
        <w:rPr>
          <w:rFonts w:ascii="仿宋_GB2312" w:eastAsia="仿宋_GB2312" w:hAnsi="仿宋_GB2312" w:cs="仿宋_GB2312" w:hint="eastAsia"/>
          <w:spacing w:val="-4"/>
          <w:sz w:val="32"/>
          <w:szCs w:val="32"/>
        </w:rPr>
        <w:t>政府等相关文件另有规定的，按有关政策执行。</w:t>
      </w:r>
    </w:p>
    <w:p w14:paraId="2CDDCBF1"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对年薪</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万元（含）以上的人才</w:t>
      </w:r>
      <w:r>
        <w:rPr>
          <w:rFonts w:ascii="仿宋_GB2312" w:eastAsia="仿宋_GB2312" w:hAnsi="仿宋_GB2312" w:cs="仿宋_GB2312" w:hint="eastAsia"/>
          <w:sz w:val="32"/>
          <w:szCs w:val="32"/>
        </w:rPr>
        <w:t>（企业法人代表除外）</w:t>
      </w:r>
      <w:r>
        <w:rPr>
          <w:rFonts w:ascii="仿宋_GB2312" w:eastAsia="仿宋_GB2312" w:hAnsi="仿宋_GB2312" w:cs="仿宋_GB2312" w:hint="eastAsia"/>
          <w:sz w:val="32"/>
          <w:szCs w:val="32"/>
        </w:rPr>
        <w:t>，按规定缴纳税收后，按照其年度工资薪金</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万元（含）以上</w:t>
      </w:r>
      <w:r>
        <w:rPr>
          <w:rFonts w:ascii="仿宋_GB2312" w:eastAsia="仿宋_GB2312" w:hAnsi="仿宋_GB2312" w:cs="仿宋_GB2312" w:hint="eastAsia"/>
          <w:sz w:val="32"/>
          <w:szCs w:val="32"/>
        </w:rPr>
        <w:t>两</w:t>
      </w:r>
      <w:r>
        <w:rPr>
          <w:rFonts w:ascii="仿宋_GB2312" w:eastAsia="仿宋_GB2312" w:hAnsi="仿宋_GB2312" w:cs="仿宋_GB2312" w:hint="eastAsia"/>
          <w:sz w:val="32"/>
          <w:szCs w:val="32"/>
        </w:rPr>
        <w:t>个档次，在不超过个人贡献度的前提下，分别按年度工资薪金</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的比例奖励。</w:t>
      </w:r>
    </w:p>
    <w:p w14:paraId="53E5B963" w14:textId="77777777" w:rsidR="006512BA" w:rsidRDefault="00A00B30">
      <w:pPr>
        <w:pStyle w:val="aa"/>
        <w:spacing w:beforeAutospacing="0" w:afterAutospacing="0" w:line="560" w:lineRule="exact"/>
        <w:ind w:firstLine="64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扶持政策按</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的比率享受。</w:t>
      </w:r>
      <w:r>
        <w:rPr>
          <w:rFonts w:ascii="仿宋_GB2312" w:eastAsia="仿宋_GB2312" w:hAnsi="仿宋_GB2312" w:cs="仿宋_GB2312" w:hint="eastAsia"/>
          <w:spacing w:val="-4"/>
          <w:sz w:val="32"/>
          <w:szCs w:val="32"/>
        </w:rPr>
        <w:t>淘汰落后补助资金和分布式光伏补助资金除外，</w:t>
      </w:r>
      <w:r>
        <w:rPr>
          <w:rFonts w:ascii="仿宋_GB2312" w:eastAsia="仿宋_GB2312" w:hAnsi="仿宋_GB2312" w:cs="仿宋_GB2312" w:hint="eastAsia"/>
          <w:sz w:val="32"/>
          <w:szCs w:val="32"/>
        </w:rPr>
        <w:t>省级及以上</w:t>
      </w:r>
      <w:r>
        <w:rPr>
          <w:rFonts w:ascii="仿宋_GB2312" w:eastAsia="仿宋_GB2312" w:hAnsi="仿宋_GB2312" w:cs="仿宋_GB2312" w:hint="eastAsia"/>
          <w:sz w:val="32"/>
          <w:szCs w:val="32"/>
        </w:rPr>
        <w:t>资金按照上级规定执行。</w:t>
      </w:r>
    </w:p>
    <w:p w14:paraId="2F05E6D4"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C</w:t>
      </w:r>
      <w:r>
        <w:rPr>
          <w:rFonts w:ascii="楷体_GB2312" w:eastAsia="楷体_GB2312" w:hAnsi="楷体_GB2312" w:cs="楷体_GB2312" w:hint="eastAsia"/>
          <w:sz w:val="32"/>
          <w:szCs w:val="32"/>
        </w:rPr>
        <w:t>类企业</w:t>
      </w:r>
    </w:p>
    <w:p w14:paraId="10752105"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除技术改造以外，原则上不得增加用能和污染物排放总量指标。</w:t>
      </w:r>
    </w:p>
    <w:p w14:paraId="788073A9"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列为有序用电管理限电对象。</w:t>
      </w:r>
    </w:p>
    <w:p w14:paraId="72E21918"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城镇土地使用税不予减免。</w:t>
      </w:r>
      <w:r>
        <w:rPr>
          <w:rFonts w:ascii="仿宋_GB2312" w:eastAsia="仿宋_GB2312" w:hAnsi="仿宋_GB2312" w:cs="仿宋_GB2312" w:hint="eastAsia"/>
          <w:sz w:val="32"/>
          <w:szCs w:val="32"/>
        </w:rPr>
        <w:t>省</w:t>
      </w:r>
      <w:r>
        <w:rPr>
          <w:rFonts w:ascii="仿宋_GB2312" w:eastAsia="仿宋_GB2312" w:hAnsi="仿宋_GB2312" w:cs="仿宋_GB2312" w:hint="eastAsia"/>
          <w:spacing w:val="-4"/>
          <w:sz w:val="32"/>
          <w:szCs w:val="32"/>
        </w:rPr>
        <w:t>政府等相关文件另有规定的，按有关政策执行。</w:t>
      </w:r>
    </w:p>
    <w:p w14:paraId="66E9B3EA"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从严控制信用评级、贷款投放，以及财政应急周转资金使用政策。</w:t>
      </w:r>
    </w:p>
    <w:p w14:paraId="2EA7FE23" w14:textId="77777777" w:rsidR="006512BA" w:rsidRDefault="00A00B30">
      <w:pPr>
        <w:pStyle w:val="aa"/>
        <w:spacing w:beforeAutospacing="0" w:afterAutospacing="0" w:line="560" w:lineRule="exact"/>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扶持政策按</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的比率享受。</w:t>
      </w:r>
      <w:r>
        <w:rPr>
          <w:rFonts w:ascii="仿宋_GB2312" w:eastAsia="仿宋_GB2312" w:hAnsi="仿宋_GB2312" w:cs="仿宋_GB2312" w:hint="eastAsia"/>
          <w:spacing w:val="-4"/>
          <w:sz w:val="32"/>
          <w:szCs w:val="32"/>
        </w:rPr>
        <w:t>淘汰落后补助资金</w:t>
      </w:r>
      <w:r>
        <w:rPr>
          <w:rFonts w:ascii="仿宋_GB2312" w:eastAsia="仿宋_GB2312" w:hAnsi="仿宋_GB2312" w:cs="仿宋_GB2312" w:hint="eastAsia"/>
          <w:spacing w:val="-4"/>
          <w:sz w:val="32"/>
          <w:szCs w:val="32"/>
        </w:rPr>
        <w:lastRenderedPageBreak/>
        <w:t>和分布式光伏补助资金除外，</w:t>
      </w:r>
      <w:r>
        <w:rPr>
          <w:rFonts w:ascii="仿宋_GB2312" w:eastAsia="仿宋_GB2312" w:hAnsi="仿宋_GB2312" w:cs="仿宋_GB2312" w:hint="eastAsia"/>
          <w:sz w:val="32"/>
          <w:szCs w:val="32"/>
        </w:rPr>
        <w:t>省级及以上</w:t>
      </w:r>
      <w:r>
        <w:rPr>
          <w:rFonts w:ascii="仿宋_GB2312" w:eastAsia="仿宋_GB2312" w:hAnsi="仿宋_GB2312" w:cs="仿宋_GB2312" w:hint="eastAsia"/>
          <w:sz w:val="32"/>
          <w:szCs w:val="32"/>
        </w:rPr>
        <w:t>资金按照上级规定执行。</w:t>
      </w:r>
    </w:p>
    <w:p w14:paraId="7DCD4E4A" w14:textId="77777777" w:rsidR="006512BA" w:rsidRDefault="00A00B30">
      <w:pPr>
        <w:pStyle w:val="aa"/>
        <w:spacing w:beforeAutospacing="0" w:afterAutospacing="0" w:line="560" w:lineRule="exact"/>
        <w:ind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D</w:t>
      </w:r>
      <w:r>
        <w:rPr>
          <w:rFonts w:ascii="楷体_GB2312" w:eastAsia="楷体_GB2312" w:hAnsi="楷体_GB2312" w:cs="楷体_GB2312" w:hint="eastAsia"/>
          <w:sz w:val="32"/>
          <w:szCs w:val="32"/>
        </w:rPr>
        <w:t>类企业</w:t>
      </w:r>
    </w:p>
    <w:p w14:paraId="48417B52"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城镇土地使用税不予减免。</w:t>
      </w:r>
      <w:r>
        <w:rPr>
          <w:rFonts w:ascii="仿宋_GB2312" w:eastAsia="仿宋_GB2312" w:hAnsi="仿宋_GB2312" w:cs="仿宋_GB2312" w:hint="eastAsia"/>
          <w:sz w:val="32"/>
          <w:szCs w:val="32"/>
        </w:rPr>
        <w:t>省</w:t>
      </w:r>
      <w:r>
        <w:rPr>
          <w:rFonts w:ascii="仿宋_GB2312" w:eastAsia="仿宋_GB2312" w:hAnsi="仿宋_GB2312" w:cs="仿宋_GB2312" w:hint="eastAsia"/>
          <w:spacing w:val="-4"/>
          <w:sz w:val="32"/>
          <w:szCs w:val="32"/>
        </w:rPr>
        <w:t>政府等相关文件另有规定的，按有关政策执行。</w:t>
      </w:r>
    </w:p>
    <w:p w14:paraId="1324DE2C"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不得享受财政应急周转资金使用政策。</w:t>
      </w:r>
    </w:p>
    <w:p w14:paraId="086BE83F"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原则上不得享受</w:t>
      </w:r>
      <w:r>
        <w:rPr>
          <w:rFonts w:ascii="仿宋_GB2312" w:eastAsia="仿宋_GB2312" w:hAnsi="仿宋_GB2312" w:cs="仿宋_GB2312" w:hint="eastAsia"/>
          <w:sz w:val="32"/>
          <w:szCs w:val="32"/>
        </w:rPr>
        <w:t>各</w:t>
      </w:r>
      <w:proofErr w:type="gramStart"/>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财政</w:t>
      </w:r>
      <w:proofErr w:type="gramEnd"/>
      <w:r>
        <w:rPr>
          <w:rFonts w:ascii="仿宋_GB2312" w:eastAsia="仿宋_GB2312" w:hAnsi="仿宋_GB2312" w:cs="仿宋_GB2312" w:hint="eastAsia"/>
          <w:sz w:val="32"/>
          <w:szCs w:val="32"/>
        </w:rPr>
        <w:t>扶持政策</w:t>
      </w:r>
      <w:r>
        <w:rPr>
          <w:rFonts w:ascii="仿宋_GB2312" w:eastAsia="仿宋_GB2312" w:hAnsi="仿宋_GB2312" w:cs="仿宋_GB2312" w:hint="eastAsia"/>
          <w:sz w:val="32"/>
          <w:szCs w:val="32"/>
        </w:rPr>
        <w:t>。</w:t>
      </w:r>
      <w:r>
        <w:rPr>
          <w:rFonts w:ascii="仿宋_GB2312" w:eastAsia="仿宋_GB2312" w:hAnsi="仿宋_GB2312" w:cs="仿宋_GB2312" w:hint="eastAsia"/>
          <w:spacing w:val="-4"/>
          <w:sz w:val="32"/>
          <w:szCs w:val="32"/>
        </w:rPr>
        <w:t>淘汰落后补助资金和分布式光伏补助资金除外，</w:t>
      </w:r>
      <w:r>
        <w:rPr>
          <w:rFonts w:ascii="仿宋_GB2312" w:eastAsia="仿宋_GB2312" w:hAnsi="仿宋_GB2312" w:cs="仿宋_GB2312" w:hint="eastAsia"/>
          <w:sz w:val="32"/>
          <w:szCs w:val="32"/>
        </w:rPr>
        <w:t>省级及以上</w:t>
      </w:r>
      <w:r>
        <w:rPr>
          <w:rFonts w:ascii="仿宋_GB2312" w:eastAsia="仿宋_GB2312" w:hAnsi="仿宋_GB2312" w:cs="仿宋_GB2312" w:hint="eastAsia"/>
          <w:sz w:val="32"/>
          <w:szCs w:val="32"/>
        </w:rPr>
        <w:t>资金按照上级规定执行。</w:t>
      </w:r>
    </w:p>
    <w:p w14:paraId="2EB97D73"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列为有序用电和节能管理首先限电对象，不得参与电力直接交易试点。</w:t>
      </w:r>
    </w:p>
    <w:p w14:paraId="1D0E5FF9" w14:textId="77777777" w:rsidR="006512BA" w:rsidRDefault="00A00B30">
      <w:pPr>
        <w:spacing w:line="560" w:lineRule="exact"/>
        <w:ind w:firstLineChars="200" w:firstLine="640"/>
        <w:rPr>
          <w:rFonts w:ascii="仿宋_GB2312" w:eastAsia="仿宋_GB2312" w:hAnsi="仿宋_GB2312" w:cs="仿宋_GB2312"/>
          <w:spacing w:val="-4"/>
          <w:sz w:val="32"/>
          <w:szCs w:val="32"/>
        </w:rPr>
      </w:pPr>
      <w:r>
        <w:rPr>
          <w:rFonts w:ascii="仿宋_GB2312" w:eastAsia="仿宋_GB2312" w:hAnsi="仿宋_GB2312" w:cs="仿宋_GB2312" w:hint="eastAsia"/>
          <w:sz w:val="32"/>
          <w:szCs w:val="32"/>
        </w:rPr>
        <w:t>另外，</w:t>
      </w:r>
      <w:r>
        <w:rPr>
          <w:rFonts w:ascii="仿宋_GB2312" w:eastAsia="仿宋_GB2312" w:hAnsi="仿宋_GB2312" w:cs="仿宋_GB2312" w:hint="eastAsia"/>
          <w:spacing w:val="-4"/>
          <w:sz w:val="32"/>
          <w:szCs w:val="32"/>
        </w:rPr>
        <w:t>采矿业、电力、燃气、水的生产和供应业企业在资金兑现时，按</w:t>
      </w:r>
      <w:r>
        <w:rPr>
          <w:rFonts w:ascii="仿宋_GB2312" w:eastAsia="仿宋_GB2312" w:hAnsi="仿宋_GB2312" w:cs="仿宋_GB2312" w:hint="eastAsia"/>
          <w:spacing w:val="-4"/>
          <w:sz w:val="32"/>
          <w:szCs w:val="32"/>
        </w:rPr>
        <w:t>A</w:t>
      </w:r>
      <w:r>
        <w:rPr>
          <w:rFonts w:ascii="仿宋_GB2312" w:eastAsia="仿宋_GB2312" w:hAnsi="仿宋_GB2312" w:cs="仿宋_GB2312" w:hint="eastAsia"/>
          <w:spacing w:val="-4"/>
          <w:sz w:val="32"/>
          <w:szCs w:val="32"/>
        </w:rPr>
        <w:t>类企业参照执行，其余未参评企业</w:t>
      </w:r>
      <w:r>
        <w:rPr>
          <w:rFonts w:ascii="仿宋_GB2312" w:eastAsia="仿宋_GB2312" w:hAnsi="仿宋_GB2312" w:cs="仿宋_GB2312" w:hint="eastAsia"/>
          <w:spacing w:val="-4"/>
          <w:sz w:val="32"/>
          <w:szCs w:val="32"/>
        </w:rPr>
        <w:t>在资金兑现时，按</w:t>
      </w:r>
      <w:r>
        <w:rPr>
          <w:rFonts w:ascii="仿宋_GB2312" w:eastAsia="仿宋_GB2312" w:hAnsi="仿宋_GB2312" w:cs="仿宋_GB2312" w:hint="eastAsia"/>
          <w:spacing w:val="-4"/>
          <w:sz w:val="32"/>
          <w:szCs w:val="32"/>
        </w:rPr>
        <w:t>C</w:t>
      </w:r>
      <w:r>
        <w:rPr>
          <w:rFonts w:ascii="仿宋_GB2312" w:eastAsia="仿宋_GB2312" w:hAnsi="仿宋_GB2312" w:cs="仿宋_GB2312" w:hint="eastAsia"/>
          <w:spacing w:val="-4"/>
          <w:sz w:val="32"/>
          <w:szCs w:val="32"/>
        </w:rPr>
        <w:t>类企业参照执行。</w:t>
      </w:r>
      <w:r>
        <w:rPr>
          <w:rFonts w:ascii="仿宋_GB2312" w:eastAsia="仿宋_GB2312" w:hAnsi="仿宋_GB2312" w:cs="仿宋_GB2312" w:hint="eastAsia"/>
          <w:spacing w:val="-4"/>
          <w:sz w:val="32"/>
          <w:szCs w:val="32"/>
        </w:rPr>
        <w:t>当年新上</w:t>
      </w:r>
      <w:proofErr w:type="gramStart"/>
      <w:r>
        <w:rPr>
          <w:rFonts w:ascii="仿宋_GB2312" w:eastAsia="仿宋_GB2312" w:hAnsi="仿宋_GB2312" w:cs="仿宋_GB2312" w:hint="eastAsia"/>
          <w:spacing w:val="-4"/>
          <w:sz w:val="32"/>
          <w:szCs w:val="32"/>
        </w:rPr>
        <w:t>规</w:t>
      </w:r>
      <w:proofErr w:type="gramEnd"/>
      <w:r>
        <w:rPr>
          <w:rFonts w:ascii="仿宋_GB2312" w:eastAsia="仿宋_GB2312" w:hAnsi="仿宋_GB2312" w:cs="仿宋_GB2312" w:hint="eastAsia"/>
          <w:spacing w:val="-4"/>
          <w:sz w:val="32"/>
          <w:szCs w:val="32"/>
        </w:rPr>
        <w:t>的企业三年内不实施资源要素倒逼政策。</w:t>
      </w:r>
      <w:r>
        <w:rPr>
          <w:rFonts w:ascii="仿宋_GB2312" w:eastAsia="仿宋_GB2312" w:hAnsi="仿宋_GB2312" w:cs="仿宋_GB2312" w:hint="eastAsia"/>
          <w:spacing w:val="-4"/>
          <w:sz w:val="32"/>
          <w:szCs w:val="32"/>
        </w:rPr>
        <w:t>在新一轮评价结果公布前，按照上</w:t>
      </w:r>
      <w:proofErr w:type="gramStart"/>
      <w:r>
        <w:rPr>
          <w:rFonts w:ascii="仿宋_GB2312" w:eastAsia="仿宋_GB2312" w:hAnsi="仿宋_GB2312" w:cs="仿宋_GB2312" w:hint="eastAsia"/>
          <w:spacing w:val="-4"/>
          <w:sz w:val="32"/>
          <w:szCs w:val="32"/>
        </w:rPr>
        <w:t>一评价</w:t>
      </w:r>
      <w:proofErr w:type="gramEnd"/>
      <w:r>
        <w:rPr>
          <w:rFonts w:ascii="仿宋_GB2312" w:eastAsia="仿宋_GB2312" w:hAnsi="仿宋_GB2312" w:cs="仿宋_GB2312" w:hint="eastAsia"/>
          <w:spacing w:val="-4"/>
          <w:sz w:val="32"/>
          <w:szCs w:val="32"/>
        </w:rPr>
        <w:t>年度评价结果执行差别</w:t>
      </w:r>
      <w:proofErr w:type="gramStart"/>
      <w:r>
        <w:rPr>
          <w:rFonts w:ascii="仿宋_GB2312" w:eastAsia="仿宋_GB2312" w:hAnsi="仿宋_GB2312" w:cs="仿宋_GB2312" w:hint="eastAsia"/>
          <w:spacing w:val="-4"/>
          <w:sz w:val="32"/>
          <w:szCs w:val="32"/>
        </w:rPr>
        <w:t>化财政</w:t>
      </w:r>
      <w:proofErr w:type="gramEnd"/>
      <w:r>
        <w:rPr>
          <w:rFonts w:ascii="仿宋_GB2312" w:eastAsia="仿宋_GB2312" w:hAnsi="仿宋_GB2312" w:cs="仿宋_GB2312" w:hint="eastAsia"/>
          <w:spacing w:val="-4"/>
          <w:sz w:val="32"/>
          <w:szCs w:val="32"/>
        </w:rPr>
        <w:t>扶持政策，</w:t>
      </w:r>
      <w:r>
        <w:rPr>
          <w:rFonts w:ascii="仿宋_GB2312" w:eastAsia="仿宋_GB2312" w:hAnsi="仿宋_GB2312" w:cs="仿宋_GB2312" w:hint="eastAsia"/>
          <w:spacing w:val="-4"/>
          <w:sz w:val="32"/>
          <w:szCs w:val="32"/>
        </w:rPr>
        <w:t>从</w:t>
      </w:r>
      <w:r>
        <w:rPr>
          <w:rFonts w:ascii="仿宋_GB2312" w:eastAsia="仿宋_GB2312" w:hAnsi="仿宋_GB2312" w:cs="仿宋_GB2312" w:hint="eastAsia"/>
          <w:spacing w:val="-4"/>
          <w:sz w:val="32"/>
          <w:szCs w:val="32"/>
        </w:rPr>
        <w:t>新一轮评价结果公布之日起按新一轮评价结果执行差别</w:t>
      </w:r>
      <w:proofErr w:type="gramStart"/>
      <w:r>
        <w:rPr>
          <w:rFonts w:ascii="仿宋_GB2312" w:eastAsia="仿宋_GB2312" w:hAnsi="仿宋_GB2312" w:cs="仿宋_GB2312" w:hint="eastAsia"/>
          <w:spacing w:val="-4"/>
          <w:sz w:val="32"/>
          <w:szCs w:val="32"/>
        </w:rPr>
        <w:t>化财政</w:t>
      </w:r>
      <w:proofErr w:type="gramEnd"/>
      <w:r>
        <w:rPr>
          <w:rFonts w:ascii="仿宋_GB2312" w:eastAsia="仿宋_GB2312" w:hAnsi="仿宋_GB2312" w:cs="仿宋_GB2312" w:hint="eastAsia"/>
          <w:spacing w:val="-4"/>
          <w:sz w:val="32"/>
          <w:szCs w:val="32"/>
        </w:rPr>
        <w:t>扶持政策。</w:t>
      </w:r>
    </w:p>
    <w:p w14:paraId="4B8499F7" w14:textId="77777777" w:rsidR="006512BA" w:rsidRDefault="00A00B30">
      <w:pPr>
        <w:pStyle w:val="aa"/>
        <w:spacing w:beforeAutospacing="0" w:afterAutospacing="0" w:line="560" w:lineRule="exact"/>
        <w:ind w:firstLine="640"/>
        <w:jc w:val="both"/>
        <w:rPr>
          <w:rFonts w:ascii="黑体" w:eastAsia="黑体" w:hAnsi="黑体" w:cs="黑体"/>
          <w:sz w:val="32"/>
          <w:szCs w:val="32"/>
        </w:rPr>
      </w:pPr>
      <w:r>
        <w:rPr>
          <w:rFonts w:ascii="黑体" w:eastAsia="黑体" w:hAnsi="黑体" w:cs="黑体" w:hint="eastAsia"/>
          <w:sz w:val="32"/>
          <w:szCs w:val="32"/>
        </w:rPr>
        <w:t>七、其他</w:t>
      </w:r>
    </w:p>
    <w:p w14:paraId="39136FA6" w14:textId="77777777" w:rsidR="006512BA" w:rsidRDefault="00A00B30">
      <w:pPr>
        <w:pStyle w:val="aa"/>
        <w:spacing w:beforeAutospacing="0" w:afterAutospacing="0"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公布之日起</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日后施行</w:t>
      </w:r>
      <w:r>
        <w:rPr>
          <w:rFonts w:ascii="仿宋_GB2312" w:eastAsia="仿宋_GB2312" w:hAnsi="仿宋_GB2312" w:cs="仿宋_GB2312" w:hint="eastAsia"/>
          <w:sz w:val="32"/>
          <w:szCs w:val="32"/>
        </w:rPr>
        <w:t>，有效期</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年。本办法实施过程中，国家、省、市出台新的规定的，按新规定执行。区经济商务局可根据实施情况制定补充意见和实施细则。原《</w:t>
      </w:r>
      <w:r>
        <w:rPr>
          <w:rFonts w:ascii="仿宋_GB2312" w:eastAsia="仿宋_GB2312" w:hAnsi="仿宋_GB2312" w:cs="仿宋_GB2312" w:hint="eastAsia"/>
          <w:color w:val="000000"/>
          <w:sz w:val="32"/>
          <w:szCs w:val="32"/>
          <w:lang w:bidi="ar"/>
        </w:rPr>
        <w:t>金华市婺城区人民政府办公室关于印发金华市婺城区工业企业亩产效益综合评价办法</w:t>
      </w:r>
      <w:r>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t>2021</w:t>
      </w:r>
      <w:r>
        <w:rPr>
          <w:rFonts w:ascii="仿宋_GB2312" w:eastAsia="仿宋_GB2312" w:hAnsi="仿宋_GB2312" w:cs="仿宋_GB2312" w:hint="eastAsia"/>
          <w:color w:val="000000"/>
          <w:sz w:val="32"/>
          <w:szCs w:val="32"/>
          <w:lang w:bidi="ar"/>
        </w:rPr>
        <w:t>年修订）</w:t>
      </w:r>
      <w:r>
        <w:rPr>
          <w:rFonts w:ascii="仿宋_GB2312" w:eastAsia="仿宋_GB2312" w:hAnsi="仿宋_GB2312" w:cs="仿宋_GB2312" w:hint="eastAsia"/>
          <w:color w:val="000000"/>
          <w:sz w:val="32"/>
          <w:szCs w:val="32"/>
          <w:lang w:bidi="ar"/>
        </w:rPr>
        <w:t>的通知</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w:t>
      </w:r>
      <w:proofErr w:type="gramStart"/>
      <w:r>
        <w:rPr>
          <w:rFonts w:ascii="仿宋_GB2312" w:eastAsia="仿宋_GB2312" w:hAnsi="仿宋_GB2312" w:cs="仿宋_GB2312" w:hint="eastAsia"/>
          <w:color w:val="000000"/>
          <w:sz w:val="32"/>
          <w:szCs w:val="32"/>
          <w:lang w:bidi="ar"/>
        </w:rPr>
        <w:t>婺</w:t>
      </w:r>
      <w:proofErr w:type="gramEnd"/>
      <w:r>
        <w:rPr>
          <w:rFonts w:ascii="仿宋_GB2312" w:eastAsia="仿宋_GB2312" w:hAnsi="仿宋_GB2312" w:cs="仿宋_GB2312" w:hint="eastAsia"/>
          <w:color w:val="000000"/>
          <w:sz w:val="32"/>
          <w:szCs w:val="32"/>
          <w:lang w:bidi="ar"/>
        </w:rPr>
        <w:t>区政办〔</w:t>
      </w:r>
      <w:r>
        <w:rPr>
          <w:rFonts w:ascii="仿宋_GB2312" w:eastAsia="仿宋_GB2312" w:hAnsi="仿宋_GB2312" w:cs="仿宋_GB2312" w:hint="eastAsia"/>
          <w:color w:val="000000"/>
          <w:sz w:val="32"/>
          <w:szCs w:val="32"/>
          <w:lang w:bidi="ar"/>
        </w:rPr>
        <w:t>202</w:t>
      </w:r>
      <w:r>
        <w:rPr>
          <w:rFonts w:ascii="仿宋_GB2312" w:eastAsia="仿宋_GB2312" w:hAnsi="仿宋_GB2312" w:cs="仿宋_GB2312" w:hint="eastAsia"/>
          <w:color w:val="000000"/>
          <w:sz w:val="32"/>
          <w:szCs w:val="32"/>
          <w:lang w:bidi="ar"/>
        </w:rPr>
        <w:t>1</w:t>
      </w:r>
      <w:r>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lastRenderedPageBreak/>
        <w:t>1</w:t>
      </w:r>
      <w:r>
        <w:rPr>
          <w:rFonts w:ascii="仿宋_GB2312" w:eastAsia="仿宋_GB2312" w:hAnsi="仿宋_GB2312" w:cs="仿宋_GB2312" w:hint="eastAsia"/>
          <w:color w:val="000000"/>
          <w:sz w:val="32"/>
          <w:szCs w:val="32"/>
          <w:lang w:bidi="ar"/>
        </w:rPr>
        <w:t>4</w:t>
      </w:r>
      <w:r>
        <w:rPr>
          <w:rFonts w:ascii="仿宋_GB2312" w:eastAsia="仿宋_GB2312" w:hAnsi="仿宋_GB2312" w:cs="仿宋_GB2312" w:hint="eastAsia"/>
          <w:color w:val="000000"/>
          <w:sz w:val="32"/>
          <w:szCs w:val="32"/>
          <w:lang w:bidi="ar"/>
        </w:rPr>
        <w:t>号）同时废止。</w:t>
      </w:r>
    </w:p>
    <w:p w14:paraId="39AF01C1"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金华市</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城区工业企业亩产效益综合评价体系及</w:t>
      </w:r>
    </w:p>
    <w:p w14:paraId="09E329C6" w14:textId="77777777" w:rsidR="006512BA" w:rsidRDefault="00A00B30">
      <w:pPr>
        <w:pStyle w:val="aa"/>
        <w:widowControl/>
        <w:spacing w:beforeAutospacing="0" w:afterAutospacing="0" w:line="560" w:lineRule="exact"/>
        <w:ind w:firstLineChars="603" w:firstLine="1930"/>
        <w:rPr>
          <w:rFonts w:ascii="仿宋_GB2312" w:eastAsia="仿宋_GB2312" w:hAnsi="仿宋_GB2312" w:cs="仿宋_GB2312"/>
          <w:sz w:val="32"/>
          <w:szCs w:val="32"/>
        </w:rPr>
      </w:pPr>
      <w:r>
        <w:rPr>
          <w:rFonts w:ascii="仿宋_GB2312" w:eastAsia="仿宋_GB2312" w:hAnsi="仿宋_GB2312" w:cs="仿宋_GB2312" w:hint="eastAsia"/>
          <w:sz w:val="32"/>
          <w:szCs w:val="32"/>
        </w:rPr>
        <w:t>行业分类说明</w:t>
      </w:r>
    </w:p>
    <w:p w14:paraId="6AC6508B" w14:textId="77777777" w:rsidR="006512BA" w:rsidRDefault="00A00B30">
      <w:pPr>
        <w:pStyle w:val="aa"/>
        <w:widowControl/>
        <w:spacing w:beforeAutospacing="0" w:afterAutospacing="0" w:line="560" w:lineRule="exact"/>
        <w:ind w:firstLineChars="503" w:firstLine="161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区级有关部门清单</w:t>
      </w:r>
    </w:p>
    <w:p w14:paraId="550CC680" w14:textId="77777777" w:rsidR="006512BA" w:rsidRDefault="00A00B30">
      <w:pPr>
        <w:pStyle w:val="aa"/>
        <w:widowControl/>
        <w:spacing w:beforeAutospacing="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66280CD1" w14:textId="77777777" w:rsidR="006512BA" w:rsidRDefault="006512BA">
      <w:pPr>
        <w:pStyle w:val="aa"/>
        <w:widowControl/>
        <w:spacing w:beforeAutospacing="0" w:afterAutospacing="0" w:line="600" w:lineRule="exact"/>
        <w:rPr>
          <w:rFonts w:ascii="仿宋_GB2312" w:eastAsia="仿宋_GB2312" w:hAnsi="仿宋_GB2312" w:cs="仿宋_GB2312"/>
          <w:sz w:val="32"/>
          <w:szCs w:val="32"/>
        </w:rPr>
      </w:pPr>
    </w:p>
    <w:p w14:paraId="2980927B" w14:textId="77777777" w:rsidR="006512BA" w:rsidRDefault="006512BA">
      <w:pPr>
        <w:pStyle w:val="aa"/>
        <w:widowControl/>
        <w:spacing w:beforeAutospacing="0" w:afterAutospacing="0" w:line="600" w:lineRule="exact"/>
        <w:rPr>
          <w:rFonts w:ascii="仿宋_GB2312" w:eastAsia="仿宋_GB2312" w:hAnsi="仿宋_GB2312" w:cs="仿宋_GB2312"/>
          <w:sz w:val="32"/>
          <w:szCs w:val="32"/>
        </w:rPr>
      </w:pPr>
    </w:p>
    <w:p w14:paraId="44804962" w14:textId="77777777" w:rsidR="006512BA" w:rsidRDefault="006512BA">
      <w:pPr>
        <w:pStyle w:val="aa"/>
        <w:widowControl/>
        <w:spacing w:beforeAutospacing="0" w:afterAutospacing="0" w:line="600" w:lineRule="exact"/>
        <w:rPr>
          <w:rFonts w:ascii="黑体" w:eastAsia="黑体" w:hAnsi="黑体" w:cs="黑体"/>
          <w:sz w:val="32"/>
          <w:szCs w:val="32"/>
        </w:rPr>
      </w:pPr>
    </w:p>
    <w:p w14:paraId="088C0022" w14:textId="77777777" w:rsidR="006512BA" w:rsidRDefault="006512BA">
      <w:pPr>
        <w:pStyle w:val="aa"/>
        <w:widowControl/>
        <w:spacing w:beforeAutospacing="0" w:afterAutospacing="0" w:line="600" w:lineRule="exact"/>
        <w:rPr>
          <w:rFonts w:ascii="黑体" w:eastAsia="黑体" w:hAnsi="黑体" w:cs="黑体"/>
          <w:sz w:val="32"/>
          <w:szCs w:val="32"/>
        </w:rPr>
      </w:pPr>
    </w:p>
    <w:p w14:paraId="7DEDCF6C" w14:textId="77777777" w:rsidR="006512BA" w:rsidRDefault="006512BA">
      <w:pPr>
        <w:pStyle w:val="aa"/>
        <w:widowControl/>
        <w:spacing w:beforeAutospacing="0" w:afterAutospacing="0" w:line="600" w:lineRule="exact"/>
        <w:rPr>
          <w:rFonts w:ascii="黑体" w:eastAsia="黑体" w:hAnsi="黑体" w:cs="黑体"/>
          <w:sz w:val="32"/>
          <w:szCs w:val="32"/>
        </w:rPr>
      </w:pPr>
    </w:p>
    <w:p w14:paraId="273B4F7B" w14:textId="77777777" w:rsidR="006512BA" w:rsidRDefault="006512BA">
      <w:pPr>
        <w:pStyle w:val="aa"/>
        <w:widowControl/>
        <w:spacing w:beforeAutospacing="0" w:afterAutospacing="0" w:line="600" w:lineRule="exact"/>
        <w:rPr>
          <w:rFonts w:ascii="黑体" w:eastAsia="黑体" w:hAnsi="黑体" w:cs="黑体"/>
          <w:sz w:val="32"/>
          <w:szCs w:val="32"/>
        </w:rPr>
      </w:pPr>
    </w:p>
    <w:p w14:paraId="2964F53B" w14:textId="77777777" w:rsidR="006512BA" w:rsidRDefault="006512BA">
      <w:pPr>
        <w:pStyle w:val="aa"/>
        <w:widowControl/>
        <w:spacing w:beforeAutospacing="0" w:afterAutospacing="0" w:line="600" w:lineRule="exact"/>
        <w:rPr>
          <w:rFonts w:ascii="黑体" w:eastAsia="黑体" w:hAnsi="黑体" w:cs="黑体"/>
          <w:sz w:val="32"/>
          <w:szCs w:val="32"/>
        </w:rPr>
      </w:pPr>
    </w:p>
    <w:p w14:paraId="2120A038" w14:textId="77777777" w:rsidR="006512BA" w:rsidRDefault="006512BA">
      <w:pPr>
        <w:pStyle w:val="aa"/>
        <w:widowControl/>
        <w:spacing w:beforeAutospacing="0" w:afterAutospacing="0" w:line="600" w:lineRule="exact"/>
        <w:rPr>
          <w:rFonts w:ascii="黑体" w:eastAsia="黑体" w:hAnsi="黑体" w:cs="黑体"/>
          <w:sz w:val="32"/>
          <w:szCs w:val="32"/>
        </w:rPr>
      </w:pPr>
    </w:p>
    <w:p w14:paraId="7BAF3844" w14:textId="77777777" w:rsidR="006512BA" w:rsidRDefault="006512BA">
      <w:pPr>
        <w:pStyle w:val="aa"/>
        <w:widowControl/>
        <w:spacing w:beforeAutospacing="0" w:afterAutospacing="0" w:line="600" w:lineRule="exact"/>
        <w:rPr>
          <w:rFonts w:ascii="黑体" w:eastAsia="黑体" w:hAnsi="黑体" w:cs="黑体"/>
          <w:sz w:val="32"/>
          <w:szCs w:val="32"/>
        </w:rPr>
      </w:pPr>
    </w:p>
    <w:p w14:paraId="0C0E8430" w14:textId="77777777" w:rsidR="006512BA" w:rsidRDefault="006512BA">
      <w:pPr>
        <w:pStyle w:val="aa"/>
        <w:widowControl/>
        <w:spacing w:beforeAutospacing="0" w:afterAutospacing="0" w:line="600" w:lineRule="exact"/>
        <w:rPr>
          <w:rFonts w:ascii="黑体" w:eastAsia="黑体" w:hAnsi="黑体" w:cs="黑体"/>
          <w:sz w:val="32"/>
          <w:szCs w:val="32"/>
        </w:rPr>
      </w:pPr>
    </w:p>
    <w:p w14:paraId="23F1E61A" w14:textId="77777777" w:rsidR="006512BA" w:rsidRDefault="006512BA">
      <w:pPr>
        <w:pStyle w:val="aa"/>
        <w:widowControl/>
        <w:spacing w:beforeAutospacing="0" w:afterAutospacing="0" w:line="600" w:lineRule="exact"/>
        <w:rPr>
          <w:rFonts w:ascii="黑体" w:eastAsia="黑体" w:hAnsi="黑体" w:cs="黑体"/>
          <w:sz w:val="32"/>
          <w:szCs w:val="32"/>
        </w:rPr>
      </w:pPr>
    </w:p>
    <w:p w14:paraId="121543EC" w14:textId="77777777" w:rsidR="006512BA" w:rsidRDefault="006512BA">
      <w:pPr>
        <w:pStyle w:val="aa"/>
        <w:widowControl/>
        <w:spacing w:beforeAutospacing="0" w:afterAutospacing="0" w:line="600" w:lineRule="exact"/>
        <w:rPr>
          <w:rFonts w:ascii="黑体" w:eastAsia="黑体" w:hAnsi="黑体" w:cs="黑体"/>
          <w:sz w:val="32"/>
          <w:szCs w:val="32"/>
        </w:rPr>
      </w:pPr>
    </w:p>
    <w:p w14:paraId="54DB6B5B" w14:textId="77777777" w:rsidR="006512BA" w:rsidRDefault="006512BA">
      <w:pPr>
        <w:pStyle w:val="aa"/>
        <w:widowControl/>
        <w:spacing w:beforeAutospacing="0" w:afterAutospacing="0" w:line="600" w:lineRule="exact"/>
        <w:rPr>
          <w:rFonts w:ascii="黑体" w:eastAsia="黑体" w:hAnsi="黑体" w:cs="黑体"/>
          <w:sz w:val="32"/>
          <w:szCs w:val="32"/>
        </w:rPr>
      </w:pPr>
    </w:p>
    <w:p w14:paraId="00B26BDD" w14:textId="77777777" w:rsidR="006512BA" w:rsidRDefault="006512BA">
      <w:pPr>
        <w:pStyle w:val="aa"/>
        <w:widowControl/>
        <w:spacing w:beforeAutospacing="0" w:afterAutospacing="0" w:line="600" w:lineRule="exact"/>
        <w:rPr>
          <w:rFonts w:ascii="黑体" w:eastAsia="黑体" w:hAnsi="黑体" w:cs="黑体"/>
          <w:sz w:val="32"/>
          <w:szCs w:val="32"/>
        </w:rPr>
      </w:pPr>
    </w:p>
    <w:p w14:paraId="57E09CAE" w14:textId="77777777" w:rsidR="006512BA" w:rsidRDefault="006512BA">
      <w:pPr>
        <w:pStyle w:val="aa"/>
        <w:widowControl/>
        <w:spacing w:beforeAutospacing="0" w:afterAutospacing="0" w:line="600" w:lineRule="exact"/>
        <w:rPr>
          <w:rFonts w:ascii="黑体" w:eastAsia="黑体" w:hAnsi="黑体" w:cs="黑体"/>
          <w:sz w:val="32"/>
          <w:szCs w:val="32"/>
        </w:rPr>
      </w:pPr>
    </w:p>
    <w:p w14:paraId="5EE79D2C" w14:textId="77777777" w:rsidR="006512BA" w:rsidRDefault="006512BA">
      <w:pPr>
        <w:pStyle w:val="aa"/>
        <w:widowControl/>
        <w:spacing w:beforeAutospacing="0" w:afterAutospacing="0" w:line="600" w:lineRule="exact"/>
        <w:rPr>
          <w:rFonts w:ascii="黑体" w:eastAsia="黑体" w:hAnsi="黑体" w:cs="黑体"/>
          <w:sz w:val="32"/>
          <w:szCs w:val="32"/>
        </w:rPr>
      </w:pPr>
    </w:p>
    <w:p w14:paraId="76857DBE" w14:textId="77777777" w:rsidR="006512BA" w:rsidRDefault="00A00B30">
      <w:pPr>
        <w:pStyle w:val="aa"/>
        <w:widowControl/>
        <w:spacing w:beforeAutospacing="0" w:afterAutospacing="0"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14:paraId="7A35DD47" w14:textId="77777777" w:rsidR="006512BA" w:rsidRDefault="006512BA">
      <w:pPr>
        <w:pStyle w:val="aa"/>
        <w:widowControl/>
        <w:spacing w:beforeAutospacing="0" w:afterAutospacing="0" w:line="560" w:lineRule="exact"/>
        <w:rPr>
          <w:rFonts w:ascii="黑体" w:eastAsia="黑体" w:hAnsi="黑体" w:cs="黑体"/>
          <w:sz w:val="32"/>
          <w:szCs w:val="32"/>
        </w:rPr>
      </w:pPr>
    </w:p>
    <w:p w14:paraId="7F76E559" w14:textId="77777777" w:rsidR="006512BA" w:rsidRDefault="00A00B30">
      <w:pPr>
        <w:pStyle w:val="aa"/>
        <w:widowControl/>
        <w:spacing w:beforeAutospacing="0" w:afterAutospacing="0" w:line="560" w:lineRule="exact"/>
        <w:jc w:val="center"/>
        <w:rPr>
          <w:rFonts w:ascii="Times New Roman" w:eastAsia="方正小标宋简体" w:hAnsi="Times New Roman"/>
          <w:b/>
          <w:bCs/>
          <w:sz w:val="44"/>
          <w:szCs w:val="52"/>
        </w:rPr>
      </w:pPr>
      <w:r>
        <w:rPr>
          <w:rFonts w:ascii="Times New Roman" w:eastAsia="方正小标宋简体" w:hAnsi="Times New Roman" w:hint="eastAsia"/>
          <w:b/>
          <w:bCs/>
          <w:sz w:val="44"/>
          <w:szCs w:val="52"/>
        </w:rPr>
        <w:t>金华市</w:t>
      </w:r>
      <w:proofErr w:type="gramStart"/>
      <w:r>
        <w:rPr>
          <w:rFonts w:ascii="Times New Roman" w:eastAsia="方正小标宋简体" w:hAnsi="Times New Roman" w:hint="eastAsia"/>
          <w:b/>
          <w:bCs/>
          <w:sz w:val="44"/>
          <w:szCs w:val="52"/>
        </w:rPr>
        <w:t>婺</w:t>
      </w:r>
      <w:proofErr w:type="gramEnd"/>
      <w:r>
        <w:rPr>
          <w:rFonts w:ascii="Times New Roman" w:eastAsia="方正小标宋简体" w:hAnsi="Times New Roman" w:hint="eastAsia"/>
          <w:b/>
          <w:bCs/>
          <w:sz w:val="44"/>
          <w:szCs w:val="52"/>
        </w:rPr>
        <w:t>城区工业企业亩产效益综合评价</w:t>
      </w:r>
    </w:p>
    <w:p w14:paraId="0F499194" w14:textId="77777777" w:rsidR="006512BA" w:rsidRDefault="00A00B30">
      <w:pPr>
        <w:pStyle w:val="aa"/>
        <w:widowControl/>
        <w:spacing w:beforeAutospacing="0" w:afterAutospacing="0" w:line="560" w:lineRule="exact"/>
        <w:jc w:val="center"/>
        <w:rPr>
          <w:rFonts w:ascii="Times New Roman" w:eastAsia="方正小标宋简体" w:hAnsi="Times New Roman"/>
          <w:b/>
          <w:bCs/>
          <w:sz w:val="44"/>
          <w:szCs w:val="52"/>
        </w:rPr>
      </w:pPr>
      <w:r>
        <w:rPr>
          <w:rFonts w:ascii="Times New Roman" w:eastAsia="方正小标宋简体" w:hAnsi="Times New Roman" w:hint="eastAsia"/>
          <w:b/>
          <w:bCs/>
          <w:sz w:val="44"/>
          <w:szCs w:val="52"/>
        </w:rPr>
        <w:t>体系及行业分类说明</w:t>
      </w:r>
    </w:p>
    <w:p w14:paraId="14629331" w14:textId="77777777" w:rsidR="006512BA" w:rsidRDefault="006512BA">
      <w:pPr>
        <w:pStyle w:val="aa"/>
        <w:widowControl/>
        <w:spacing w:beforeAutospacing="0" w:afterAutospacing="0" w:line="560" w:lineRule="exact"/>
        <w:ind w:firstLine="585"/>
        <w:jc w:val="center"/>
        <w:rPr>
          <w:rFonts w:ascii="Times New Roman" w:eastAsia="方正小标宋简体" w:hAnsi="Times New Roman"/>
          <w:b/>
          <w:sz w:val="44"/>
          <w:szCs w:val="52"/>
        </w:rPr>
      </w:pPr>
    </w:p>
    <w:p w14:paraId="24B569A9" w14:textId="77777777" w:rsidR="006512BA" w:rsidRDefault="00A00B3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一、指标定义</w:t>
      </w:r>
    </w:p>
    <w:p w14:paraId="5EA34E56"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（一）税收实际贡献。指企业税费“实际入库数”合计，即“净入库数”合计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“实际入库数”中包含</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项税（费）种：增值税、消费税、企业所得税、个人所得税、房产税、城镇土地使用税、车船税、土地增值税、印花税、城市维护建设税、资源税，教育费附加、地方教育附加。其中：增值税实际入库数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增值税直接净入库税收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生产型出口企业发生的“免抵”税额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即征即退税额。</w:t>
      </w:r>
    </w:p>
    <w:p w14:paraId="3A012032"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（二）实际用地面积。指年末企业实际占用的土地面积。用地面积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已登记用地面积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承租用地面积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出租用地面积。其中：</w:t>
      </w: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已登记用地面积：是指企业经自然资源部门登记的土地面</w:t>
      </w:r>
      <w:r>
        <w:rPr>
          <w:rFonts w:ascii="仿宋_GB2312" w:eastAsia="仿宋_GB2312" w:hAnsi="仿宋_GB2312" w:cs="仿宋_GB2312" w:hint="eastAsia"/>
          <w:sz w:val="32"/>
          <w:szCs w:val="32"/>
        </w:rPr>
        <w:t>积；</w:t>
      </w: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承租用地面积：是指企业依法租赁取得的实际用地面积，</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若企业租赁标准厂房或无法准确计算用地面积，则根据企业租赁的建筑面积与容积率之比计算企业租赁的用地面积；</w:t>
      </w: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出租用地面积：是指工业企业依法将自用土地或厂房出租给其他企业的用地面积；</w:t>
      </w: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经批准的项目新增土地面积在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年建设期、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年过渡期内可不计入用地面积。</w:t>
      </w:r>
    </w:p>
    <w:p w14:paraId="583CE7AB"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工业增加值。指工业企业在报告期内以货币形式表现的工业生产活动的最终成果；是企业全部生产活动的总成果扣除在生产过程中消耗或转移的物质产品和劳务价值后的余额；是企业生产过程中新增加的价值。工业</w:t>
      </w:r>
      <w:r>
        <w:rPr>
          <w:rFonts w:ascii="仿宋_GB2312" w:eastAsia="仿宋_GB2312" w:hAnsi="仿宋_GB2312" w:cs="仿宋_GB2312" w:hint="eastAsia"/>
          <w:sz w:val="32"/>
          <w:szCs w:val="32"/>
        </w:rPr>
        <w:t>增加值按收入法计算。</w:t>
      </w:r>
    </w:p>
    <w:p w14:paraId="33906C3B"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总用能（能源消费量）。指工业企业在工业生产活动和非工业生产活动中消费的能源，包括工业生产活动中作为燃料、动力的能源，生产工艺中使用的能源，用于能源加工转换的能源；非工业生产活动中使用的能源。主要</w:t>
      </w:r>
      <w:proofErr w:type="gramStart"/>
      <w:r>
        <w:rPr>
          <w:rFonts w:ascii="仿宋_GB2312" w:eastAsia="仿宋_GB2312" w:hAnsi="仿宋_GB2312" w:cs="仿宋_GB2312" w:hint="eastAsia"/>
          <w:sz w:val="32"/>
          <w:szCs w:val="32"/>
        </w:rPr>
        <w:t>能源折标换算</w:t>
      </w:r>
      <w:proofErr w:type="gramEnd"/>
      <w:r>
        <w:rPr>
          <w:rFonts w:ascii="仿宋_GB2312" w:eastAsia="仿宋_GB2312" w:hAnsi="仿宋_GB2312" w:cs="仿宋_GB2312" w:hint="eastAsia"/>
          <w:sz w:val="32"/>
          <w:szCs w:val="32"/>
        </w:rPr>
        <w:t>方法如下：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吨原煤</w:t>
      </w:r>
      <w:r>
        <w:rPr>
          <w:rFonts w:ascii="仿宋_GB2312" w:eastAsia="仿宋_GB2312" w:hAnsi="仿宋_GB2312" w:cs="仿宋_GB2312" w:hint="eastAsia"/>
          <w:sz w:val="32"/>
          <w:szCs w:val="32"/>
        </w:rPr>
        <w:t>=0.7143</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吨煤制品</w:t>
      </w:r>
      <w:r>
        <w:rPr>
          <w:rFonts w:ascii="仿宋_GB2312" w:eastAsia="仿宋_GB2312" w:hAnsi="仿宋_GB2312" w:cs="仿宋_GB2312" w:hint="eastAsia"/>
          <w:sz w:val="32"/>
          <w:szCs w:val="32"/>
        </w:rPr>
        <w:t>=0.5286</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万立方米天然气（气态）</w:t>
      </w:r>
      <w:r>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吨天然气（液态）</w:t>
      </w:r>
      <w:r>
        <w:rPr>
          <w:rFonts w:ascii="仿宋_GB2312" w:eastAsia="仿宋_GB2312" w:hAnsi="仿宋_GB2312" w:cs="仿宋_GB2312" w:hint="eastAsia"/>
          <w:sz w:val="32"/>
          <w:szCs w:val="32"/>
        </w:rPr>
        <w:t>=1.7572</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吨汽油（煤油）</w:t>
      </w:r>
      <w:r>
        <w:rPr>
          <w:rFonts w:ascii="仿宋_GB2312" w:eastAsia="仿宋_GB2312" w:hAnsi="仿宋_GB2312" w:cs="仿宋_GB2312" w:hint="eastAsia"/>
          <w:sz w:val="32"/>
          <w:szCs w:val="32"/>
        </w:rPr>
        <w:t>=1.4714</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吨柴油</w:t>
      </w:r>
      <w:r>
        <w:rPr>
          <w:rFonts w:ascii="仿宋_GB2312" w:eastAsia="仿宋_GB2312" w:hAnsi="仿宋_GB2312" w:cs="仿宋_GB2312" w:hint="eastAsia"/>
          <w:sz w:val="32"/>
          <w:szCs w:val="32"/>
        </w:rPr>
        <w:t>=1.4571</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吨液化石油气</w:t>
      </w:r>
      <w:r>
        <w:rPr>
          <w:rFonts w:ascii="仿宋_GB2312" w:eastAsia="仿宋_GB2312" w:hAnsi="仿宋_GB2312" w:cs="仿宋_GB2312" w:hint="eastAsia"/>
          <w:sz w:val="32"/>
          <w:szCs w:val="32"/>
        </w:rPr>
        <w:t>=1.7143</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吨蒸汽</w:t>
      </w:r>
      <w:r>
        <w:rPr>
          <w:rFonts w:ascii="仿宋_GB2312" w:eastAsia="仿宋_GB2312" w:hAnsi="仿宋_GB2312" w:cs="仿宋_GB2312" w:hint="eastAsia"/>
          <w:sz w:val="32"/>
          <w:szCs w:val="32"/>
        </w:rPr>
        <w:t>=0.102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吨标煤；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万度电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2.84</w:t>
      </w:r>
      <w:r>
        <w:rPr>
          <w:rFonts w:ascii="仿宋_GB2312" w:eastAsia="仿宋_GB2312" w:hAnsi="仿宋_GB2312" w:cs="仿宋_GB2312" w:hint="eastAsia"/>
          <w:sz w:val="32"/>
          <w:szCs w:val="32"/>
        </w:rPr>
        <w:t>吨标煤。</w:t>
      </w:r>
    </w:p>
    <w:p w14:paraId="4694D67F"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（五）总用电量：企业实际用电总量。若企业有多个用电户号（电表）的，按每个用电户号（电表）合计计算。</w:t>
      </w:r>
    </w:p>
    <w:p w14:paraId="56F58F6A"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（六）主要污染物排放量。现阶段采用排污权核准量，待排污许可证全覆盖后，统一采用排污许可证登载的排污许可量数据，主要污染物指标包括化学需氧量、氨氮、二氧化硫和氮氧化物等。</w:t>
      </w:r>
    </w:p>
    <w:p w14:paraId="258BC813"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（七）销售收入（营业收入）。指企业确认的销售商品、提供劳务等营业收入。根据会计“营业收入”科目的期末贷方余额（结转前）填报。</w:t>
      </w:r>
    </w:p>
    <w:p w14:paraId="7E875053"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研究与试验发展经费支出。指报告期内企业内部研发活动的直接支出，以及用于研发活动的管理费、服务费以及外协加工费等支出。不包括当年形成用于研发的固定资产支出、委托外单位开展研发的经费支出、生产性活动支出、归还贷款支出以及购买专利等无形资产支出。</w:t>
      </w:r>
    </w:p>
    <w:p w14:paraId="28216EAC"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（九）从业人员年平均人数。指年度平均拥有的从业人员数。以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个月的平均人数相加之和除以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求得，月平均人数是以报告月内每天实有的全部人数相</w:t>
      </w:r>
      <w:r>
        <w:rPr>
          <w:rFonts w:ascii="仿宋_GB2312" w:eastAsia="仿宋_GB2312" w:hAnsi="仿宋_GB2312" w:cs="仿宋_GB2312" w:hint="eastAsia"/>
          <w:sz w:val="32"/>
          <w:szCs w:val="32"/>
        </w:rPr>
        <w:t>加之和，除以报告月的日历日数。</w:t>
      </w:r>
    </w:p>
    <w:p w14:paraId="259F9354" w14:textId="77777777" w:rsidR="006512BA" w:rsidRDefault="00A00B30">
      <w:pPr>
        <w:widowControl/>
        <w:tabs>
          <w:tab w:val="left" w:pos="312"/>
        </w:tabs>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Style w:val="NormalCharacter"/>
          <w:rFonts w:eastAsia="仿宋_GB2312" w:cs="仿宋_GB2312" w:hint="eastAsia"/>
          <w:sz w:val="32"/>
          <w:szCs w:val="32"/>
        </w:rPr>
        <w:t>社保费：指由用人单位及其职工参加社会保险并缴纳的社会保险费，包括基本养老保险费、基本医疗保险费、工伤保险费、失业保险费和生育保险费。</w:t>
      </w:r>
    </w:p>
    <w:p w14:paraId="75E3C4FF" w14:textId="77777777" w:rsidR="006512BA" w:rsidRDefault="00A00B3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二、计算方法</w:t>
      </w:r>
    </w:p>
    <w:p w14:paraId="3E094F6A" w14:textId="77777777" w:rsidR="006512BA" w:rsidRDefault="00A00B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（一）亩均税收（单位：万元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亩）</w:t>
      </w:r>
    </w:p>
    <w:p w14:paraId="06387B30"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亩均税收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税收实际贡献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实际用地面积</w:t>
      </w:r>
    </w:p>
    <w:p w14:paraId="3FDAA692" w14:textId="77777777" w:rsidR="006512BA" w:rsidRDefault="00A00B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（二）亩均工业增加值（单位：万元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亩）</w:t>
      </w:r>
    </w:p>
    <w:p w14:paraId="4235097A"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亩均工业增加值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工业增加值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实际用地面积</w:t>
      </w:r>
    </w:p>
    <w:p w14:paraId="07B97061" w14:textId="77777777" w:rsidR="006512BA" w:rsidRDefault="00A00B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（三）单位能耗工业增加值（单位：万元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吨标煤）</w:t>
      </w:r>
    </w:p>
    <w:p w14:paraId="7018F1A8"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单位能耗工业增加值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工业增加值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总用能</w:t>
      </w:r>
    </w:p>
    <w:p w14:paraId="07FBB19F"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（四）单位排放工业增加值（单位：万元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吨）</w:t>
      </w:r>
    </w:p>
    <w:p w14:paraId="5DD9D057"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单位排放工业增加值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工业增加值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主要污染物排放量</w:t>
      </w:r>
    </w:p>
    <w:p w14:paraId="081A8090" w14:textId="77777777" w:rsidR="006512BA" w:rsidRDefault="00A00B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（五）全员劳动生产率（单位：万元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人·年）</w:t>
      </w:r>
    </w:p>
    <w:p w14:paraId="7BC2B773"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全员劳动生产率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工业增加值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从业人员年平均人数</w:t>
      </w:r>
    </w:p>
    <w:p w14:paraId="7804BE3F" w14:textId="77777777" w:rsidR="006512BA" w:rsidRDefault="00A00B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（六）研究与试验发展经费支出占营业收入比重</w:t>
      </w:r>
    </w:p>
    <w:p w14:paraId="6903604F"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研究与试验发展经费支出占营业收入比重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研究与试验发展经费支出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营业</w:t>
      </w:r>
      <w:r>
        <w:rPr>
          <w:rFonts w:ascii="仿宋_GB2312" w:eastAsia="仿宋_GB2312" w:hAnsi="仿宋_GB2312" w:cs="仿宋_GB2312" w:hint="eastAsia"/>
          <w:sz w:val="32"/>
          <w:szCs w:val="32"/>
        </w:rPr>
        <w:t>收入</w:t>
      </w:r>
    </w:p>
    <w:p w14:paraId="4192A66B" w14:textId="77777777" w:rsidR="006512BA" w:rsidRDefault="00A00B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（七）单位用电税收（单位：万元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万千瓦时）</w:t>
      </w:r>
    </w:p>
    <w:p w14:paraId="32072A0B"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单位用电税收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税收实际贡献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总用电量</w:t>
      </w:r>
    </w:p>
    <w:p w14:paraId="57E4B34C" w14:textId="77777777" w:rsidR="006512BA" w:rsidRDefault="00A00B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（八）亩均销售收入（单位：万元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亩）</w:t>
      </w:r>
    </w:p>
    <w:p w14:paraId="7BBF5980" w14:textId="77777777" w:rsidR="006512BA" w:rsidRDefault="00A00B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亩均销售收入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销售收入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实际用地面积</w:t>
      </w:r>
    </w:p>
    <w:p w14:paraId="76D97D1B" w14:textId="77777777" w:rsidR="006512BA" w:rsidRDefault="00A00B30">
      <w:pPr>
        <w:pStyle w:val="aa"/>
        <w:widowControl/>
        <w:numPr>
          <w:ilvl w:val="0"/>
          <w:numId w:val="3"/>
        </w:numPr>
        <w:spacing w:beforeAutospacing="0" w:afterAutospacing="0" w:line="560" w:lineRule="exact"/>
        <w:ind w:firstLineChars="200" w:firstLine="640"/>
        <w:rPr>
          <w:rFonts w:ascii="黑体" w:eastAsia="黑体" w:hAnsi="黑体" w:cs="黑体"/>
          <w:sz w:val="32"/>
          <w:szCs w:val="32"/>
        </w:rPr>
      </w:pPr>
      <w:r>
        <w:rPr>
          <w:rFonts w:ascii="黑体" w:eastAsia="黑体" w:hAnsi="黑体" w:cs="黑体" w:hint="eastAsia"/>
          <w:sz w:val="32"/>
          <w:szCs w:val="32"/>
        </w:rPr>
        <w:t>行业分类</w:t>
      </w:r>
    </w:p>
    <w:p w14:paraId="10A16D85"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（一）汽车及其他运输设备：</w:t>
      </w:r>
      <w:r>
        <w:rPr>
          <w:rFonts w:ascii="仿宋_GB2312" w:eastAsia="仿宋_GB2312" w:hAnsi="仿宋_GB2312" w:cs="仿宋_GB2312" w:hint="eastAsia"/>
          <w:sz w:val="32"/>
          <w:szCs w:val="32"/>
        </w:rPr>
        <w:t>包括汽车制造业；铁路、船舶、航空航天和其他运输设备制造业。</w:t>
      </w:r>
    </w:p>
    <w:p w14:paraId="1BF352C6"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（二）机械电子：</w:t>
      </w:r>
      <w:r>
        <w:rPr>
          <w:rFonts w:ascii="仿宋_GB2312" w:eastAsia="仿宋_GB2312" w:hAnsi="仿宋_GB2312" w:cs="仿宋_GB2312" w:hint="eastAsia"/>
          <w:sz w:val="32"/>
          <w:szCs w:val="32"/>
        </w:rPr>
        <w:t>包括通用设备制造业；专用设备制造业；电气机械和器材制造业；计算机、通信和其他电子设备制造业；仪器仪表制造业；金属制品、机械和设备修理业。</w:t>
      </w:r>
    </w:p>
    <w:p w14:paraId="60BB2608"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（三）金属制品</w:t>
      </w:r>
      <w:r>
        <w:rPr>
          <w:rFonts w:ascii="仿宋_GB2312" w:eastAsia="仿宋_GB2312" w:hAnsi="仿宋_GB2312" w:cs="仿宋_GB2312" w:hint="eastAsia"/>
          <w:sz w:val="32"/>
          <w:szCs w:val="32"/>
        </w:rPr>
        <w:t>：金属制品业。</w:t>
      </w:r>
    </w:p>
    <w:p w14:paraId="06AEF247" w14:textId="77777777" w:rsidR="006512BA" w:rsidRDefault="00A00B30">
      <w:pPr>
        <w:spacing w:line="560" w:lineRule="exact"/>
        <w:ind w:firstLineChars="200" w:firstLine="640"/>
        <w:rPr>
          <w:rFonts w:ascii="仿宋_GB2312" w:eastAsia="仿宋_GB2312"/>
          <w:sz w:val="32"/>
          <w:szCs w:val="32"/>
        </w:rPr>
      </w:pPr>
      <w:r>
        <w:rPr>
          <w:rFonts w:ascii="楷体_GB2312" w:eastAsia="楷体_GB2312" w:hint="eastAsia"/>
          <w:sz w:val="32"/>
          <w:szCs w:val="32"/>
        </w:rPr>
        <w:t>（四）医药化工：</w:t>
      </w:r>
      <w:r>
        <w:rPr>
          <w:rFonts w:ascii="仿宋_GB2312" w:eastAsia="仿宋_GB2312" w:hint="eastAsia"/>
          <w:sz w:val="32"/>
          <w:szCs w:val="32"/>
        </w:rPr>
        <w:t>包括医药制造业</w:t>
      </w:r>
      <w:r>
        <w:rPr>
          <w:rFonts w:ascii="仿宋_GB2312" w:eastAsia="仿宋_GB2312" w:hint="eastAsia"/>
          <w:sz w:val="32"/>
          <w:szCs w:val="32"/>
        </w:rPr>
        <w:t>;</w:t>
      </w:r>
      <w:r>
        <w:rPr>
          <w:rFonts w:ascii="仿宋_GB2312" w:eastAsia="仿宋_GB2312" w:hint="eastAsia"/>
          <w:sz w:val="32"/>
          <w:szCs w:val="32"/>
        </w:rPr>
        <w:t>化学原料和化学制品制造业</w:t>
      </w:r>
      <w:r>
        <w:rPr>
          <w:rFonts w:ascii="仿宋_GB2312" w:eastAsia="仿宋_GB2312" w:hAnsi="仿宋_GB2312" w:cs="仿宋_GB2312" w:hint="eastAsia"/>
          <w:sz w:val="32"/>
          <w:szCs w:val="32"/>
        </w:rPr>
        <w:t>（非高耗能）</w:t>
      </w:r>
      <w:r>
        <w:rPr>
          <w:rFonts w:ascii="仿宋_GB2312" w:eastAsia="仿宋_GB2312" w:hint="eastAsia"/>
          <w:sz w:val="32"/>
          <w:szCs w:val="32"/>
        </w:rPr>
        <w:t>。</w:t>
      </w:r>
    </w:p>
    <w:p w14:paraId="00913A74"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（五）纺织服装：</w:t>
      </w:r>
      <w:r>
        <w:rPr>
          <w:rFonts w:ascii="仿宋_GB2312" w:eastAsia="仿宋_GB2312" w:hAnsi="仿宋_GB2312" w:cs="仿宋_GB2312" w:hint="eastAsia"/>
          <w:sz w:val="32"/>
          <w:szCs w:val="32"/>
        </w:rPr>
        <w:t>包括纺织业</w:t>
      </w:r>
      <w:r>
        <w:rPr>
          <w:rFonts w:ascii="仿宋_GB2312" w:eastAsia="仿宋_GB2312" w:hAnsi="仿宋_GB2312" w:cs="仿宋_GB2312" w:hint="eastAsia"/>
          <w:sz w:val="32"/>
          <w:szCs w:val="32"/>
        </w:rPr>
        <w:t>（非高耗能）</w:t>
      </w:r>
      <w:r>
        <w:rPr>
          <w:rFonts w:ascii="仿宋_GB2312" w:eastAsia="仿宋_GB2312" w:hAnsi="仿宋_GB2312" w:cs="仿宋_GB2312" w:hint="eastAsia"/>
          <w:sz w:val="32"/>
          <w:szCs w:val="32"/>
        </w:rPr>
        <w:t>；纺织服装、服饰业；皮革、毛皮、羽毛及其制品和制鞋业；化学纤维制造业</w:t>
      </w:r>
      <w:r>
        <w:rPr>
          <w:rFonts w:ascii="仿宋_GB2312" w:eastAsia="仿宋_GB2312" w:hAnsi="仿宋_GB2312" w:cs="仿宋_GB2312" w:hint="eastAsia"/>
          <w:sz w:val="32"/>
          <w:szCs w:val="32"/>
        </w:rPr>
        <w:t>（非高耗能）</w:t>
      </w:r>
      <w:r>
        <w:rPr>
          <w:rFonts w:ascii="仿宋_GB2312" w:eastAsia="仿宋_GB2312" w:hAnsi="仿宋_GB2312" w:cs="仿宋_GB2312" w:hint="eastAsia"/>
          <w:sz w:val="32"/>
          <w:szCs w:val="32"/>
        </w:rPr>
        <w:t>。</w:t>
      </w:r>
    </w:p>
    <w:p w14:paraId="5E7C3181" w14:textId="77777777" w:rsidR="006512BA" w:rsidRDefault="00A00B30">
      <w:pPr>
        <w:pStyle w:val="aa"/>
        <w:widowControl/>
        <w:spacing w:beforeAutospacing="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（六）其他制造业：</w:t>
      </w:r>
      <w:r>
        <w:rPr>
          <w:rFonts w:ascii="仿宋_GB2312" w:eastAsia="仿宋_GB2312" w:hAnsi="仿宋_GB2312" w:cs="仿宋_GB2312" w:hint="eastAsia"/>
          <w:sz w:val="32"/>
          <w:szCs w:val="32"/>
        </w:rPr>
        <w:t>包括农副食品加工业；食品制造业；酒、饮料和精制茶制造业；木材加工和</w:t>
      </w:r>
      <w:proofErr w:type="gramStart"/>
      <w:r>
        <w:rPr>
          <w:rFonts w:ascii="仿宋_GB2312" w:eastAsia="仿宋_GB2312" w:hAnsi="仿宋_GB2312" w:cs="仿宋_GB2312" w:hint="eastAsia"/>
          <w:sz w:val="32"/>
          <w:szCs w:val="32"/>
        </w:rPr>
        <w:t>木、</w:t>
      </w:r>
      <w:proofErr w:type="gramEnd"/>
      <w:r>
        <w:rPr>
          <w:rFonts w:ascii="仿宋_GB2312" w:eastAsia="仿宋_GB2312" w:hAnsi="仿宋_GB2312" w:cs="仿宋_GB2312" w:hint="eastAsia"/>
          <w:sz w:val="32"/>
          <w:szCs w:val="32"/>
        </w:rPr>
        <w:t>竹等制品业；家具制造业；造纸和纸制品业</w:t>
      </w:r>
      <w:r>
        <w:rPr>
          <w:rFonts w:ascii="仿宋_GB2312" w:eastAsia="仿宋_GB2312" w:hAnsi="仿宋_GB2312" w:cs="仿宋_GB2312" w:hint="eastAsia"/>
          <w:sz w:val="32"/>
          <w:szCs w:val="32"/>
        </w:rPr>
        <w:t>（非高耗能）</w:t>
      </w:r>
      <w:r>
        <w:rPr>
          <w:rFonts w:ascii="仿宋_GB2312" w:eastAsia="仿宋_GB2312" w:hAnsi="仿宋_GB2312" w:cs="仿宋_GB2312" w:hint="eastAsia"/>
          <w:sz w:val="32"/>
          <w:szCs w:val="32"/>
        </w:rPr>
        <w:t>；印刷和记录媒介复印业；文教、</w:t>
      </w:r>
      <w:r>
        <w:rPr>
          <w:rFonts w:ascii="仿宋_GB2312" w:eastAsia="仿宋_GB2312" w:hAnsi="仿宋_GB2312" w:cs="仿宋_GB2312" w:hint="eastAsia"/>
          <w:sz w:val="32"/>
          <w:szCs w:val="32"/>
        </w:rPr>
        <w:lastRenderedPageBreak/>
        <w:t>工美、体育和娱乐用品制造业；石油加工、炼焦和核燃料加工业</w:t>
      </w:r>
      <w:r>
        <w:rPr>
          <w:rFonts w:ascii="仿宋_GB2312" w:eastAsia="仿宋_GB2312" w:hAnsi="仿宋_GB2312" w:cs="仿宋_GB2312" w:hint="eastAsia"/>
          <w:sz w:val="32"/>
          <w:szCs w:val="32"/>
        </w:rPr>
        <w:t>（非高耗能）</w:t>
      </w:r>
      <w:r>
        <w:rPr>
          <w:rFonts w:ascii="仿宋_GB2312" w:eastAsia="仿宋_GB2312" w:hAnsi="仿宋_GB2312" w:cs="仿宋_GB2312" w:hint="eastAsia"/>
          <w:sz w:val="32"/>
          <w:szCs w:val="32"/>
        </w:rPr>
        <w:t>；橡胶和塑料制品业；非金属矿物制品业</w:t>
      </w:r>
      <w:r>
        <w:rPr>
          <w:rFonts w:ascii="仿宋_GB2312" w:eastAsia="仿宋_GB2312" w:hAnsi="仿宋_GB2312" w:cs="仿宋_GB2312" w:hint="eastAsia"/>
          <w:sz w:val="32"/>
          <w:szCs w:val="32"/>
        </w:rPr>
        <w:t>（非高耗能）</w:t>
      </w:r>
      <w:r>
        <w:rPr>
          <w:rFonts w:ascii="仿宋_GB2312" w:eastAsia="仿宋_GB2312" w:hAnsi="仿宋_GB2312" w:cs="仿宋_GB2312" w:hint="eastAsia"/>
          <w:sz w:val="32"/>
          <w:szCs w:val="32"/>
        </w:rPr>
        <w:t>；黑色金属冶炼和压延加工业</w:t>
      </w:r>
      <w:r>
        <w:rPr>
          <w:rFonts w:ascii="仿宋_GB2312" w:eastAsia="仿宋_GB2312" w:hAnsi="仿宋_GB2312" w:cs="仿宋_GB2312" w:hint="eastAsia"/>
          <w:sz w:val="32"/>
          <w:szCs w:val="32"/>
        </w:rPr>
        <w:t>（非高耗能）</w:t>
      </w:r>
      <w:r>
        <w:rPr>
          <w:rFonts w:ascii="仿宋_GB2312" w:eastAsia="仿宋_GB2312" w:hAnsi="仿宋_GB2312" w:cs="仿宋_GB2312" w:hint="eastAsia"/>
          <w:sz w:val="32"/>
          <w:szCs w:val="32"/>
        </w:rPr>
        <w:t>；有色金属冶炼和压延加工业</w:t>
      </w:r>
      <w:r>
        <w:rPr>
          <w:rFonts w:ascii="仿宋_GB2312" w:eastAsia="仿宋_GB2312" w:hAnsi="仿宋_GB2312" w:cs="仿宋_GB2312" w:hint="eastAsia"/>
          <w:sz w:val="32"/>
          <w:szCs w:val="32"/>
        </w:rPr>
        <w:t>（非高耗能）</w:t>
      </w:r>
      <w:r>
        <w:rPr>
          <w:rFonts w:ascii="仿宋_GB2312" w:eastAsia="仿宋_GB2312" w:hAnsi="仿宋_GB2312" w:cs="仿宋_GB2312" w:hint="eastAsia"/>
          <w:sz w:val="32"/>
          <w:szCs w:val="32"/>
        </w:rPr>
        <w:t>；废弃资源综合利用业；其他制造业。</w:t>
      </w:r>
    </w:p>
    <w:p w14:paraId="5D841900" w14:textId="77777777" w:rsidR="006512BA" w:rsidRDefault="006512BA">
      <w:pPr>
        <w:spacing w:line="600" w:lineRule="exact"/>
        <w:ind w:firstLineChars="200" w:firstLine="640"/>
        <w:rPr>
          <w:rFonts w:ascii="Times New Roman" w:eastAsia="仿宋_GB2312" w:hAnsi="Times New Roman" w:cs="Times New Roman"/>
          <w:sz w:val="32"/>
          <w:szCs w:val="32"/>
        </w:rPr>
        <w:sectPr w:rsidR="006512BA">
          <w:footerReference w:type="even" r:id="rId9"/>
          <w:footerReference w:type="default" r:id="rId10"/>
          <w:pgSz w:w="11906" w:h="16838"/>
          <w:pgMar w:top="1985" w:right="1531" w:bottom="1985" w:left="1531" w:header="851" w:footer="992" w:gutter="0"/>
          <w:cols w:space="0"/>
          <w:docGrid w:linePitch="447" w:charSpace="-5544"/>
        </w:sectPr>
      </w:pPr>
    </w:p>
    <w:p w14:paraId="2FBFF2F6" w14:textId="77777777" w:rsidR="006512BA" w:rsidRDefault="00A00B30">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14:paraId="71D898A9" w14:textId="77777777" w:rsidR="006512BA" w:rsidRDefault="006512BA">
      <w:pPr>
        <w:spacing w:line="600" w:lineRule="exact"/>
        <w:rPr>
          <w:rFonts w:ascii="黑体" w:eastAsia="黑体" w:hAnsi="黑体" w:cs="黑体"/>
          <w:sz w:val="32"/>
          <w:szCs w:val="32"/>
        </w:rPr>
      </w:pPr>
    </w:p>
    <w:p w14:paraId="1D658EAC" w14:textId="77777777" w:rsidR="006512BA" w:rsidRDefault="00A00B30">
      <w:pPr>
        <w:pStyle w:val="aa"/>
        <w:widowControl/>
        <w:spacing w:beforeAutospacing="0" w:afterAutospacing="0" w:line="600" w:lineRule="exact"/>
        <w:jc w:val="center"/>
        <w:rPr>
          <w:rFonts w:ascii="Times New Roman" w:eastAsia="方正小标宋简体" w:hAnsi="Times New Roman"/>
          <w:b/>
          <w:sz w:val="44"/>
          <w:szCs w:val="52"/>
        </w:rPr>
      </w:pPr>
      <w:r>
        <w:rPr>
          <w:rFonts w:ascii="Times New Roman" w:eastAsia="方正小标宋简体" w:hAnsi="Times New Roman" w:hint="eastAsia"/>
          <w:b/>
          <w:sz w:val="44"/>
          <w:szCs w:val="52"/>
        </w:rPr>
        <w:t>区级有关部门清单</w:t>
      </w:r>
    </w:p>
    <w:p w14:paraId="5C1F18F3" w14:textId="77777777" w:rsidR="006512BA" w:rsidRDefault="006512BA">
      <w:pPr>
        <w:pStyle w:val="aa"/>
        <w:widowControl/>
        <w:spacing w:beforeAutospacing="0" w:afterAutospacing="0" w:line="600" w:lineRule="exact"/>
        <w:jc w:val="center"/>
        <w:rPr>
          <w:rFonts w:ascii="Times New Roman" w:eastAsia="方正小标宋简体" w:hAnsi="Times New Roman"/>
          <w:sz w:val="44"/>
          <w:szCs w:val="52"/>
        </w:rPr>
      </w:pPr>
    </w:p>
    <w:p w14:paraId="300D1285" w14:textId="77777777" w:rsidR="006512BA" w:rsidRDefault="00A00B30">
      <w:pPr>
        <w:pStyle w:val="aa"/>
        <w:widowControl/>
        <w:spacing w:beforeAutospacing="0" w:afterAutospacing="0"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委组织部、区发改局、区经济商务局、区科技局、区公安分局、区民政局、区财政局、区人力社保局、区农业农村局、区应急管理局、区市场监管局、区统计局、区自然资源和规划分局、区生态环境分局、区税务局、</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城供电分公司。</w:t>
      </w:r>
    </w:p>
    <w:p w14:paraId="008C55E8" w14:textId="77777777" w:rsidR="006512BA" w:rsidRDefault="006512BA">
      <w:pPr>
        <w:pStyle w:val="aa"/>
        <w:widowControl/>
        <w:spacing w:beforeAutospacing="0" w:afterAutospacing="0" w:line="600" w:lineRule="exact"/>
        <w:ind w:firstLine="640"/>
        <w:jc w:val="both"/>
        <w:rPr>
          <w:rFonts w:ascii="仿宋_GB2312" w:eastAsia="仿宋_GB2312" w:hAnsi="仿宋_GB2312" w:cs="仿宋_GB2312"/>
          <w:sz w:val="32"/>
          <w:szCs w:val="32"/>
        </w:rPr>
      </w:pPr>
    </w:p>
    <w:p w14:paraId="22C853BD"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7A4144D0"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34F9CC06"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6E14C5FD"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2DFC6383"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468261F2"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12F45416"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424A9B4C"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43347B24"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4F64E753"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6D0B2D6C" w14:textId="77777777" w:rsidR="006512BA" w:rsidRDefault="006512BA">
      <w:pPr>
        <w:pStyle w:val="aa"/>
        <w:widowControl/>
        <w:spacing w:beforeAutospacing="0" w:afterAutospacing="0" w:line="560" w:lineRule="exact"/>
        <w:ind w:firstLine="640"/>
        <w:jc w:val="both"/>
        <w:rPr>
          <w:rFonts w:ascii="仿宋_GB2312" w:eastAsia="仿宋_GB2312" w:hAnsi="仿宋_GB2312" w:cs="仿宋_GB2312"/>
          <w:sz w:val="32"/>
          <w:szCs w:val="32"/>
        </w:rPr>
      </w:pPr>
    </w:p>
    <w:p w14:paraId="60DA7301" w14:textId="77777777" w:rsidR="006512BA" w:rsidRDefault="00A00B30">
      <w:pPr>
        <w:kinsoku w:val="0"/>
        <w:spacing w:line="700" w:lineRule="exact"/>
        <w:textAlignment w:val="baseline"/>
        <w:rPr>
          <w:rFonts w:ascii="仿宋_GB2312" w:hAnsi="仿宋_GB2312" w:cs="仿宋_GB2312"/>
          <w:szCs w:val="32"/>
        </w:rPr>
      </w:pPr>
      <w:r>
        <w:rPr>
          <w:rFonts w:ascii="仿宋_GB2312" w:hAnsi="仿宋_GB2312" w:cs="仿宋_GB2312"/>
          <w:noProof/>
          <w:szCs w:val="32"/>
        </w:rPr>
        <w:drawing>
          <wp:anchor distT="0" distB="0" distL="114300" distR="114300" simplePos="0" relativeHeight="251659264" behindDoc="0" locked="0" layoutInCell="1" allowOverlap="1" wp14:anchorId="377AE76C" wp14:editId="010CEFF5">
            <wp:simplePos x="0" y="0"/>
            <wp:positionH relativeFrom="column">
              <wp:posOffset>4830445</wp:posOffset>
            </wp:positionH>
            <wp:positionV relativeFrom="paragraph">
              <wp:posOffset>9330690</wp:posOffset>
            </wp:positionV>
            <wp:extent cx="1798320" cy="530225"/>
            <wp:effectExtent l="0" t="0" r="0" b="31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98320" cy="530225"/>
                    </a:xfrm>
                    <a:prstGeom prst="rect">
                      <a:avLst/>
                    </a:prstGeom>
                    <a:noFill/>
                    <a:ln>
                      <a:noFill/>
                    </a:ln>
                  </pic:spPr>
                </pic:pic>
              </a:graphicData>
            </a:graphic>
          </wp:anchor>
        </w:drawing>
      </w:r>
    </w:p>
    <w:sectPr w:rsidR="006512BA">
      <w:headerReference w:type="default" r:id="rId12"/>
      <w:footerReference w:type="default" r:id="rId13"/>
      <w:pgSz w:w="11906" w:h="16838"/>
      <w:pgMar w:top="1985" w:right="1531" w:bottom="1985"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4E231" w14:textId="77777777" w:rsidR="00A00B30" w:rsidRDefault="00A00B30">
      <w:r>
        <w:separator/>
      </w:r>
    </w:p>
  </w:endnote>
  <w:endnote w:type="continuationSeparator" w:id="0">
    <w:p w14:paraId="74013582" w14:textId="77777777" w:rsidR="00A00B30" w:rsidRDefault="00A0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6AE4" w14:textId="77777777" w:rsidR="006512BA" w:rsidRDefault="00A00B30">
    <w:pPr>
      <w:pStyle w:val="a7"/>
      <w:framePr w:w="7711" w:h="556" w:hRule="exact" w:wrap="around" w:vAnchor="text" w:hAnchor="page" w:x="1936" w:y="-745"/>
      <w:spacing w:before="120" w:after="720"/>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ac"/>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c"/>
        <w:rFonts w:ascii="Times New Roman" w:hAnsi="Times New Roman" w:cs="Times New Roman"/>
        <w:sz w:val="28"/>
        <w:szCs w:val="28"/>
      </w:rPr>
      <w:t>2</w:t>
    </w:r>
    <w:r>
      <w:rPr>
        <w:rFonts w:ascii="Times New Roman" w:hAnsi="Times New Roman" w:cs="Times New Roman"/>
        <w:sz w:val="28"/>
        <w:szCs w:val="28"/>
      </w:rPr>
      <w:fldChar w:fldCharType="end"/>
    </w:r>
    <w:r>
      <w:rPr>
        <w:rStyle w:val="ac"/>
        <w:rFonts w:ascii="Times New Roman" w:hAnsi="Times New Roman" w:cs="Times New Roman"/>
        <w:sz w:val="28"/>
        <w:szCs w:val="28"/>
      </w:rPr>
      <w:t xml:space="preserve"> —</w:t>
    </w:r>
  </w:p>
  <w:p w14:paraId="4C5DA636" w14:textId="77777777" w:rsidR="006512BA" w:rsidRDefault="006512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AC1C" w14:textId="77777777" w:rsidR="006512BA" w:rsidRDefault="00A00B30">
    <w:pPr>
      <w:pStyle w:val="a7"/>
      <w:framePr w:w="7711" w:h="556" w:hRule="exact" w:wrap="around" w:vAnchor="text" w:hAnchor="page" w:x="2296" w:y="-745"/>
      <w:spacing w:before="120" w:after="720"/>
      <w:ind w:firstLineChars="2400" w:firstLine="6720"/>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ac"/>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c"/>
        <w:rFonts w:ascii="Times New Roman" w:hAnsi="Times New Roman" w:cs="Times New Roman"/>
        <w:sz w:val="28"/>
        <w:szCs w:val="28"/>
      </w:rPr>
      <w:t>1</w:t>
    </w:r>
    <w:r>
      <w:rPr>
        <w:rFonts w:ascii="Times New Roman" w:hAnsi="Times New Roman" w:cs="Times New Roman"/>
        <w:sz w:val="28"/>
        <w:szCs w:val="28"/>
      </w:rPr>
      <w:fldChar w:fldCharType="end"/>
    </w:r>
    <w:r>
      <w:rPr>
        <w:rStyle w:val="ac"/>
        <w:rFonts w:ascii="Times New Roman" w:hAnsi="Times New Roman" w:cs="Times New Roman"/>
        <w:sz w:val="28"/>
        <w:szCs w:val="28"/>
      </w:rPr>
      <w:t xml:space="preserve"> —</w:t>
    </w:r>
  </w:p>
  <w:p w14:paraId="54A75A4E" w14:textId="77777777" w:rsidR="006512BA" w:rsidRDefault="006512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5B7E" w14:textId="77777777" w:rsidR="006512BA" w:rsidRDefault="00A00B30">
    <w:pPr>
      <w:pStyle w:val="a7"/>
      <w:framePr w:w="7711" w:h="556" w:hRule="exact" w:wrap="around" w:vAnchor="text" w:hAnchor="page" w:x="2356" w:y="-775"/>
      <w:spacing w:before="120" w:after="720"/>
      <w:ind w:firstLineChars="2400" w:firstLine="6720"/>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ac"/>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c"/>
        <w:rFonts w:ascii="Times New Roman" w:hAnsi="Times New Roman" w:cs="Times New Roman"/>
        <w:sz w:val="28"/>
        <w:szCs w:val="28"/>
      </w:rPr>
      <w:t>21</w:t>
    </w:r>
    <w:r>
      <w:rPr>
        <w:rFonts w:ascii="Times New Roman" w:hAnsi="Times New Roman" w:cs="Times New Roman"/>
        <w:sz w:val="28"/>
        <w:szCs w:val="28"/>
      </w:rPr>
      <w:fldChar w:fldCharType="end"/>
    </w:r>
    <w:r>
      <w:rPr>
        <w:rStyle w:val="ac"/>
        <w:rFonts w:ascii="Times New Roman" w:hAnsi="Times New Roman" w:cs="Times New Roman"/>
        <w:sz w:val="28"/>
        <w:szCs w:val="28"/>
      </w:rPr>
      <w:t xml:space="preserve"> —</w:t>
    </w:r>
  </w:p>
  <w:p w14:paraId="6A39D51A" w14:textId="77777777" w:rsidR="006512BA" w:rsidRDefault="006512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245B" w14:textId="77777777" w:rsidR="00A00B30" w:rsidRDefault="00A00B30">
      <w:r>
        <w:separator/>
      </w:r>
    </w:p>
  </w:footnote>
  <w:footnote w:type="continuationSeparator" w:id="0">
    <w:p w14:paraId="1C45AF12" w14:textId="77777777" w:rsidR="00A00B30" w:rsidRDefault="00A00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53EE" w14:textId="77777777" w:rsidR="006512BA" w:rsidRDefault="006512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A39353"/>
    <w:multiLevelType w:val="singleLevel"/>
    <w:tmpl w:val="E8A39353"/>
    <w:lvl w:ilvl="0">
      <w:start w:val="2"/>
      <w:numFmt w:val="chineseCounting"/>
      <w:suff w:val="nothing"/>
      <w:lvlText w:val="（%1）"/>
      <w:lvlJc w:val="left"/>
      <w:pPr>
        <w:ind w:left="2978" w:firstLine="0"/>
      </w:pPr>
      <w:rPr>
        <w:rFonts w:hint="eastAsia"/>
      </w:rPr>
    </w:lvl>
  </w:abstractNum>
  <w:abstractNum w:abstractNumId="1" w15:restartNumberingAfterBreak="0">
    <w:nsid w:val="13B5DA76"/>
    <w:multiLevelType w:val="singleLevel"/>
    <w:tmpl w:val="13B5DA76"/>
    <w:lvl w:ilvl="0">
      <w:start w:val="3"/>
      <w:numFmt w:val="chineseCounting"/>
      <w:suff w:val="nothing"/>
      <w:lvlText w:val="%1、"/>
      <w:lvlJc w:val="left"/>
      <w:rPr>
        <w:rFonts w:hint="eastAsia"/>
      </w:rPr>
    </w:lvl>
  </w:abstractNum>
  <w:abstractNum w:abstractNumId="2" w15:restartNumberingAfterBreak="0">
    <w:nsid w:val="2DD76534"/>
    <w:multiLevelType w:val="singleLevel"/>
    <w:tmpl w:val="2DD76534"/>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AF"/>
    <w:rsid w:val="000166C9"/>
    <w:rsid w:val="00020D3A"/>
    <w:rsid w:val="000938AC"/>
    <w:rsid w:val="000F07F3"/>
    <w:rsid w:val="000F1E8F"/>
    <w:rsid w:val="00101136"/>
    <w:rsid w:val="0013575F"/>
    <w:rsid w:val="001E1AD8"/>
    <w:rsid w:val="00236EA7"/>
    <w:rsid w:val="00283537"/>
    <w:rsid w:val="002F6490"/>
    <w:rsid w:val="0031096D"/>
    <w:rsid w:val="003A527C"/>
    <w:rsid w:val="003C0CA9"/>
    <w:rsid w:val="003D328D"/>
    <w:rsid w:val="004341D2"/>
    <w:rsid w:val="004444AF"/>
    <w:rsid w:val="00451118"/>
    <w:rsid w:val="004C20AF"/>
    <w:rsid w:val="005E4B65"/>
    <w:rsid w:val="0060513B"/>
    <w:rsid w:val="006512BA"/>
    <w:rsid w:val="00764203"/>
    <w:rsid w:val="00776A4A"/>
    <w:rsid w:val="007845F4"/>
    <w:rsid w:val="007D517A"/>
    <w:rsid w:val="007F5497"/>
    <w:rsid w:val="00866DDE"/>
    <w:rsid w:val="00892E48"/>
    <w:rsid w:val="008E2B9E"/>
    <w:rsid w:val="00917635"/>
    <w:rsid w:val="00956A22"/>
    <w:rsid w:val="009606D9"/>
    <w:rsid w:val="009735E0"/>
    <w:rsid w:val="00A00B30"/>
    <w:rsid w:val="00A07307"/>
    <w:rsid w:val="00A30E73"/>
    <w:rsid w:val="00A46C4A"/>
    <w:rsid w:val="00A977B0"/>
    <w:rsid w:val="00AF22F0"/>
    <w:rsid w:val="00B1464C"/>
    <w:rsid w:val="00B21CFB"/>
    <w:rsid w:val="00B67713"/>
    <w:rsid w:val="00B8729C"/>
    <w:rsid w:val="00BA1C55"/>
    <w:rsid w:val="00BB2701"/>
    <w:rsid w:val="00C0523E"/>
    <w:rsid w:val="00C06F6E"/>
    <w:rsid w:val="00C108BB"/>
    <w:rsid w:val="00C20922"/>
    <w:rsid w:val="00C67CA8"/>
    <w:rsid w:val="00CA7B67"/>
    <w:rsid w:val="00CE79DF"/>
    <w:rsid w:val="00D56CF3"/>
    <w:rsid w:val="00D744A9"/>
    <w:rsid w:val="00DC7270"/>
    <w:rsid w:val="00DE56A8"/>
    <w:rsid w:val="00E01E9A"/>
    <w:rsid w:val="00E42CB1"/>
    <w:rsid w:val="00E9007B"/>
    <w:rsid w:val="00ED76A1"/>
    <w:rsid w:val="00F16061"/>
    <w:rsid w:val="00F24897"/>
    <w:rsid w:val="00F87F7D"/>
    <w:rsid w:val="00FA2CB8"/>
    <w:rsid w:val="0154786A"/>
    <w:rsid w:val="01C71A37"/>
    <w:rsid w:val="02404054"/>
    <w:rsid w:val="02C42B0B"/>
    <w:rsid w:val="04F17140"/>
    <w:rsid w:val="04F73D7B"/>
    <w:rsid w:val="05052FC7"/>
    <w:rsid w:val="056B6E6F"/>
    <w:rsid w:val="057C7989"/>
    <w:rsid w:val="05890A0C"/>
    <w:rsid w:val="05A54A46"/>
    <w:rsid w:val="06D135FF"/>
    <w:rsid w:val="08DA5B10"/>
    <w:rsid w:val="09AC040D"/>
    <w:rsid w:val="09BE3D27"/>
    <w:rsid w:val="0A1A012F"/>
    <w:rsid w:val="0A930F40"/>
    <w:rsid w:val="0B773DEA"/>
    <w:rsid w:val="0CE97240"/>
    <w:rsid w:val="0D7A48F8"/>
    <w:rsid w:val="0DEF19D4"/>
    <w:rsid w:val="0E4A3343"/>
    <w:rsid w:val="0E944D26"/>
    <w:rsid w:val="10823FCA"/>
    <w:rsid w:val="11C47146"/>
    <w:rsid w:val="11E34101"/>
    <w:rsid w:val="12A35AF6"/>
    <w:rsid w:val="12A65AAC"/>
    <w:rsid w:val="13260829"/>
    <w:rsid w:val="13E759E3"/>
    <w:rsid w:val="14572B83"/>
    <w:rsid w:val="148A0076"/>
    <w:rsid w:val="150323E5"/>
    <w:rsid w:val="15484371"/>
    <w:rsid w:val="15641F84"/>
    <w:rsid w:val="16075804"/>
    <w:rsid w:val="171972C3"/>
    <w:rsid w:val="17924513"/>
    <w:rsid w:val="189E5829"/>
    <w:rsid w:val="190E4EA6"/>
    <w:rsid w:val="194A2B94"/>
    <w:rsid w:val="19921EE5"/>
    <w:rsid w:val="1A440900"/>
    <w:rsid w:val="1A610269"/>
    <w:rsid w:val="1B1A39A3"/>
    <w:rsid w:val="1BD34278"/>
    <w:rsid w:val="1D054362"/>
    <w:rsid w:val="1DE446A1"/>
    <w:rsid w:val="1E070E5D"/>
    <w:rsid w:val="1EC87169"/>
    <w:rsid w:val="1FAC001C"/>
    <w:rsid w:val="1FCE7130"/>
    <w:rsid w:val="247A0F5D"/>
    <w:rsid w:val="2498658B"/>
    <w:rsid w:val="267F4E9C"/>
    <w:rsid w:val="2719323D"/>
    <w:rsid w:val="275A0AEE"/>
    <w:rsid w:val="277800D1"/>
    <w:rsid w:val="27A84972"/>
    <w:rsid w:val="27B62124"/>
    <w:rsid w:val="280678CC"/>
    <w:rsid w:val="2887330C"/>
    <w:rsid w:val="29855ED1"/>
    <w:rsid w:val="29B23CE3"/>
    <w:rsid w:val="2BCC3934"/>
    <w:rsid w:val="2C9F6460"/>
    <w:rsid w:val="2CB42657"/>
    <w:rsid w:val="2D40698F"/>
    <w:rsid w:val="2DF10750"/>
    <w:rsid w:val="2E467544"/>
    <w:rsid w:val="2FAC4F76"/>
    <w:rsid w:val="2FE97907"/>
    <w:rsid w:val="30252468"/>
    <w:rsid w:val="3089424C"/>
    <w:rsid w:val="31686428"/>
    <w:rsid w:val="31DD2B4D"/>
    <w:rsid w:val="31FD5CCD"/>
    <w:rsid w:val="32A60685"/>
    <w:rsid w:val="34026260"/>
    <w:rsid w:val="34465E3C"/>
    <w:rsid w:val="34941D6F"/>
    <w:rsid w:val="34A91CD7"/>
    <w:rsid w:val="359849EB"/>
    <w:rsid w:val="35EF1178"/>
    <w:rsid w:val="35F87D70"/>
    <w:rsid w:val="38722631"/>
    <w:rsid w:val="38B73370"/>
    <w:rsid w:val="39687C9C"/>
    <w:rsid w:val="399B374C"/>
    <w:rsid w:val="39CA727F"/>
    <w:rsid w:val="3AC962F6"/>
    <w:rsid w:val="3AD941E3"/>
    <w:rsid w:val="3B755752"/>
    <w:rsid w:val="3B876254"/>
    <w:rsid w:val="3B9E4723"/>
    <w:rsid w:val="3E6B13E3"/>
    <w:rsid w:val="3EAF2AF2"/>
    <w:rsid w:val="3EEA6FE2"/>
    <w:rsid w:val="3F9E64EC"/>
    <w:rsid w:val="423D2248"/>
    <w:rsid w:val="43495E38"/>
    <w:rsid w:val="45F25D3B"/>
    <w:rsid w:val="47B00FDD"/>
    <w:rsid w:val="48A06A0F"/>
    <w:rsid w:val="499B5065"/>
    <w:rsid w:val="49B7659F"/>
    <w:rsid w:val="4A4759B8"/>
    <w:rsid w:val="4BF063CF"/>
    <w:rsid w:val="4DCC43DD"/>
    <w:rsid w:val="4DF81F2A"/>
    <w:rsid w:val="4F725463"/>
    <w:rsid w:val="51951F85"/>
    <w:rsid w:val="553344C0"/>
    <w:rsid w:val="556A5F8A"/>
    <w:rsid w:val="56E20235"/>
    <w:rsid w:val="577742E3"/>
    <w:rsid w:val="58D462A3"/>
    <w:rsid w:val="59193194"/>
    <w:rsid w:val="593A211C"/>
    <w:rsid w:val="59676935"/>
    <w:rsid w:val="597A602B"/>
    <w:rsid w:val="5A743390"/>
    <w:rsid w:val="5AA06A86"/>
    <w:rsid w:val="5D5F6951"/>
    <w:rsid w:val="5D996ED1"/>
    <w:rsid w:val="5F0E0EA9"/>
    <w:rsid w:val="5F376E47"/>
    <w:rsid w:val="604946E9"/>
    <w:rsid w:val="60C101AF"/>
    <w:rsid w:val="62515794"/>
    <w:rsid w:val="62B83C19"/>
    <w:rsid w:val="633E0DCF"/>
    <w:rsid w:val="63DE198E"/>
    <w:rsid w:val="652A1909"/>
    <w:rsid w:val="686C0E7D"/>
    <w:rsid w:val="69D711C2"/>
    <w:rsid w:val="69E37DFB"/>
    <w:rsid w:val="6B5F4EC4"/>
    <w:rsid w:val="6C4E63C6"/>
    <w:rsid w:val="6C5E5775"/>
    <w:rsid w:val="6CAB330E"/>
    <w:rsid w:val="6DA145BB"/>
    <w:rsid w:val="6DD01E0E"/>
    <w:rsid w:val="6E364FD7"/>
    <w:rsid w:val="6EA76DD0"/>
    <w:rsid w:val="6EFD5F3A"/>
    <w:rsid w:val="7058670F"/>
    <w:rsid w:val="70CC4130"/>
    <w:rsid w:val="712516A7"/>
    <w:rsid w:val="72296584"/>
    <w:rsid w:val="72D6489E"/>
    <w:rsid w:val="73036E50"/>
    <w:rsid w:val="76C50C7E"/>
    <w:rsid w:val="77D2352A"/>
    <w:rsid w:val="78D7374D"/>
    <w:rsid w:val="79021D0A"/>
    <w:rsid w:val="79DF596E"/>
    <w:rsid w:val="7A5A025C"/>
    <w:rsid w:val="7A5E062C"/>
    <w:rsid w:val="7A6A1430"/>
    <w:rsid w:val="7B635733"/>
    <w:rsid w:val="7D594DC8"/>
    <w:rsid w:val="7DBA5B0B"/>
    <w:rsid w:val="7EB30A4E"/>
    <w:rsid w:val="7FB70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1DAB89"/>
  <w15:docId w15:val="{69A70C32-C6E4-41AE-9FFC-37E962FA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link w:val="NormalCharacter"/>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Calibri" w:eastAsia="宋体" w:hAnsi="Calibri"/>
      <w:sz w:val="30"/>
      <w:szCs w:val="30"/>
    </w:rPr>
  </w:style>
  <w:style w:type="paragraph" w:styleId="a4">
    <w:name w:val="Normal Indent"/>
    <w:basedOn w:val="a"/>
    <w:qFormat/>
    <w:pPr>
      <w:ind w:firstLineChars="200" w:firstLine="42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a">
    <w:name w:val="Normal (Web)"/>
    <w:basedOn w:val="a"/>
    <w:qFormat/>
    <w:pPr>
      <w:spacing w:beforeAutospacing="1" w:afterAutospacing="1"/>
      <w:jc w:val="left"/>
    </w:pPr>
    <w:rPr>
      <w:rFonts w:cs="Times New Roman"/>
      <w:kern w:val="0"/>
      <w:sz w:val="24"/>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style>
  <w:style w:type="paragraph" w:customStyle="1" w:styleId="ad">
    <w:name w:val="密级缓急"/>
    <w:basedOn w:val="a"/>
    <w:qFormat/>
    <w:pPr>
      <w:jc w:val="right"/>
    </w:pPr>
    <w:rPr>
      <w:rFonts w:ascii="黑体" w:eastAsia="黑体" w:hAnsi="黑体" w:cs="宋体"/>
      <w:sz w:val="32"/>
      <w:szCs w:val="32"/>
    </w:rPr>
  </w:style>
  <w:style w:type="character" w:customStyle="1" w:styleId="a8">
    <w:name w:val="页脚 字符"/>
    <w:link w:val="a7"/>
    <w:qFormat/>
    <w:rPr>
      <w:rFonts w:asciiTheme="minorHAnsi" w:eastAsiaTheme="minorEastAsia" w:hAnsiTheme="minorHAnsi" w:cstheme="minorBidi"/>
      <w:kern w:val="2"/>
      <w:sz w:val="18"/>
      <w:szCs w:val="24"/>
    </w:rPr>
  </w:style>
  <w:style w:type="character" w:customStyle="1" w:styleId="a6">
    <w:name w:val="批注框文本 字符"/>
    <w:basedOn w:val="a1"/>
    <w:link w:val="a5"/>
    <w:qFormat/>
    <w:rPr>
      <w:rFonts w:asciiTheme="minorHAnsi" w:eastAsiaTheme="minorEastAsia" w:hAnsiTheme="minorHAnsi" w:cstheme="minorBidi"/>
      <w:kern w:val="2"/>
      <w:sz w:val="18"/>
      <w:szCs w:val="18"/>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 w:type="character" w:styleId="ae">
    <w:name w:val="Hyperlink"/>
    <w:basedOn w:val="a1"/>
    <w:uiPriority w:val="99"/>
    <w:unhideWhenUsed/>
    <w:rsid w:val="00D56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ocate.mqy.com.cn/MQY_Locate/locator/index_errorwordinfile.jsp?locate_type=3&amp;type=code&amp;parent=9Y9JN_quRmvU3eUQWwxi1NzLqKyqDlds3X2UQudY7uHd9MwjTNhUNMjQvtnsp2i5oG1pPaERqX9Dl1DBiZOdLA&amp;word=U1n0-uq4XHNfhbO1F9OsDw&amp;url=0p9caV_IvY7RTxjUpr0e18R2H6RLY82cNI0qop_L03BR51E1QvWnBFKzF965lpLcI4lVddloMaxC8Z2KkWzrmRYV6HTj27NTmBAcnS52yDGnP7eeIv0ObpnhVX5_P0Jp&amp;correctionWord=3Aqe8wzxWsBfhbO1F9OsDw&amp;is_cache_locate=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 通</cp:lastModifiedBy>
  <cp:revision>90</cp:revision>
  <cp:lastPrinted>2021-05-25T01:12:00Z</cp:lastPrinted>
  <dcterms:created xsi:type="dcterms:W3CDTF">2014-10-29T12:08:00Z</dcterms:created>
  <dcterms:modified xsi:type="dcterms:W3CDTF">2022-03-11T06:20:00Z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D4D581ED495247C29C76A04AA8EA1259</vt:lpwstr>
  </property>
</Properties>
</file>