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highlight w:val="none"/>
          <w:lang w:val="en-US" w:eastAsia="zh-CN"/>
        </w:rPr>
      </w:pPr>
      <w:bookmarkStart w:id="3" w:name="_GoBack"/>
      <w:bookmarkEnd w:id="3"/>
      <w:r>
        <w:rPr>
          <w:rFonts w:hint="eastAsia" w:ascii="仿宋_GB2312" w:hAnsi="仿宋_GB2312" w:eastAsia="仿宋_GB2312" w:cs="仿宋_GB2312"/>
          <w:sz w:val="32"/>
          <w:szCs w:val="32"/>
          <w:highlight w:val="none"/>
          <w:lang w:val="en-US" w:eastAsia="zh-CN"/>
        </w:rPr>
        <w:t xml:space="preserve">             </w:t>
      </w:r>
    </w:p>
    <w:p>
      <w:pPr>
        <w:spacing w:line="560" w:lineRule="exact"/>
        <w:jc w:val="both"/>
        <w:rPr>
          <w:rFonts w:hint="eastAsia" w:ascii="仿宋_GB2312" w:hAnsi="仿宋_GB2312" w:eastAsia="仿宋_GB2312" w:cs="仿宋_GB2312"/>
          <w:sz w:val="32"/>
          <w:szCs w:val="32"/>
          <w:highlight w:val="none"/>
          <w:lang w:val="en-US" w:eastAsia="zh-CN"/>
        </w:rPr>
      </w:pPr>
    </w:p>
    <w:p>
      <w:pPr>
        <w:spacing w:line="560" w:lineRule="exact"/>
        <w:jc w:val="center"/>
        <w:rPr>
          <w:rFonts w:hint="eastAsia" w:ascii="宋体" w:hAnsi="宋体" w:eastAsia="宋体" w:cs="方正小标宋简体"/>
          <w:b/>
          <w:bCs/>
          <w:sz w:val="44"/>
          <w:szCs w:val="44"/>
          <w:highlight w:val="none"/>
        </w:rPr>
      </w:pPr>
      <w:r>
        <w:rPr>
          <w:rFonts w:hint="eastAsia" w:ascii="宋体" w:hAnsi="宋体" w:cs="方正小标宋简体"/>
          <w:b/>
          <w:bCs/>
          <w:sz w:val="44"/>
          <w:szCs w:val="44"/>
          <w:highlight w:val="none"/>
          <w:lang w:eastAsia="zh-CN"/>
        </w:rPr>
        <w:t>浙江绍兴转型升级产业基金</w:t>
      </w:r>
      <w:r>
        <w:rPr>
          <w:rFonts w:hint="eastAsia" w:ascii="宋体" w:hAnsi="宋体" w:eastAsia="宋体" w:cs="方正小标宋简体"/>
          <w:b/>
          <w:bCs/>
          <w:sz w:val="44"/>
          <w:szCs w:val="44"/>
          <w:highlight w:val="none"/>
        </w:rPr>
        <w:t>管理办法</w:t>
      </w:r>
    </w:p>
    <w:p>
      <w:pPr>
        <w:spacing w:line="560" w:lineRule="exact"/>
        <w:jc w:val="center"/>
        <w:rPr>
          <w:rFonts w:hint="eastAsia" w:ascii="宋体" w:hAnsi="宋体" w:eastAsia="宋体" w:cs="方正小标宋简体"/>
          <w:b/>
          <w:bCs/>
          <w:sz w:val="44"/>
          <w:szCs w:val="44"/>
          <w:highlight w:val="none"/>
          <w:lang w:eastAsia="zh-CN"/>
        </w:rPr>
      </w:pPr>
      <w:r>
        <w:rPr>
          <w:rFonts w:hint="eastAsia" w:ascii="宋体" w:hAnsi="宋体" w:cs="方正小标宋简体"/>
          <w:b/>
          <w:bCs/>
          <w:sz w:val="44"/>
          <w:szCs w:val="44"/>
          <w:highlight w:val="none"/>
          <w:lang w:eastAsia="zh-CN"/>
        </w:rPr>
        <w:t>（征求意见稿）</w:t>
      </w:r>
    </w:p>
    <w:p>
      <w:pPr>
        <w:spacing w:line="560" w:lineRule="exact"/>
        <w:jc w:val="center"/>
        <w:rPr>
          <w:rFonts w:hint="eastAsia" w:ascii="黑体" w:hAnsi="黑体" w:eastAsia="黑体" w:cs="黑体"/>
          <w:b/>
          <w:bCs/>
          <w:sz w:val="32"/>
          <w:szCs w:val="32"/>
          <w:highlight w:val="none"/>
        </w:rPr>
      </w:pPr>
    </w:p>
    <w:p>
      <w:pPr>
        <w:jc w:val="center"/>
        <w:rPr>
          <w:rFonts w:hint="eastAsia"/>
          <w:sz w:val="32"/>
          <w:szCs w:val="32"/>
          <w:highlight w:val="none"/>
        </w:rPr>
      </w:pPr>
      <w:r>
        <w:rPr>
          <w:rFonts w:hint="eastAsia" w:ascii="黑体" w:hAnsi="黑体" w:eastAsia="黑体" w:cs="黑体"/>
          <w:sz w:val="32"/>
          <w:szCs w:val="32"/>
          <w:highlight w:val="none"/>
        </w:rPr>
        <w:t>第一章  总 则</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第一条</w:t>
      </w:r>
      <w:r>
        <w:rPr>
          <w:rFonts w:hint="eastAsia" w:ascii="仿宋_GB2312" w:eastAsia="仿宋_GB2312"/>
          <w:sz w:val="32"/>
          <w:szCs w:val="32"/>
          <w:highlight w:val="none"/>
        </w:rPr>
        <w:t xml:space="preserve"> 为规范和加强</w:t>
      </w:r>
      <w:r>
        <w:rPr>
          <w:rFonts w:hint="eastAsia" w:ascii="仿宋_GB2312" w:eastAsia="仿宋_GB2312"/>
          <w:sz w:val="32"/>
          <w:szCs w:val="32"/>
          <w:highlight w:val="none"/>
          <w:lang w:eastAsia="zh-CN"/>
        </w:rPr>
        <w:t>浙江绍兴转型升级产业基金</w:t>
      </w:r>
      <w:r>
        <w:rPr>
          <w:rFonts w:hint="eastAsia" w:ascii="仿宋_GB2312" w:hAnsi="仿宋" w:eastAsia="仿宋_GB2312" w:cs="仿宋"/>
          <w:sz w:val="32"/>
          <w:szCs w:val="32"/>
          <w:highlight w:val="none"/>
        </w:rPr>
        <w:t>（以下简称“</w:t>
      </w:r>
      <w:r>
        <w:rPr>
          <w:rFonts w:hint="eastAsia" w:ascii="仿宋_GB2312" w:eastAsia="仿宋_GB2312"/>
          <w:sz w:val="32"/>
          <w:szCs w:val="32"/>
          <w:highlight w:val="none"/>
          <w:lang w:eastAsia="zh-CN"/>
        </w:rPr>
        <w:t>转型升级</w:t>
      </w:r>
      <w:r>
        <w:rPr>
          <w:rFonts w:hint="eastAsia" w:ascii="仿宋_GB2312" w:hAnsi="仿宋" w:eastAsia="仿宋_GB2312" w:cs="仿宋"/>
          <w:sz w:val="32"/>
          <w:szCs w:val="32"/>
          <w:highlight w:val="none"/>
        </w:rPr>
        <w:t>基金</w:t>
      </w:r>
      <w:r>
        <w:rPr>
          <w:rFonts w:hint="eastAsia" w:ascii="仿宋_GB2312" w:eastAsia="仿宋_GB2312"/>
          <w:sz w:val="32"/>
          <w:szCs w:val="32"/>
          <w:highlight w:val="none"/>
        </w:rPr>
        <w:t>”或“基金”）的运作与管理，充分发挥政府产业基金的引导和放大作用，推进全市创业创新和产业转型升级，根据</w:t>
      </w:r>
      <w:r>
        <w:rPr>
          <w:rFonts w:hint="eastAsia" w:ascii="仿宋_GB2312" w:hAnsi="宋体" w:eastAsia="仿宋_GB2312"/>
          <w:snapToGrid w:val="0"/>
          <w:kern w:val="0"/>
          <w:sz w:val="32"/>
          <w:szCs w:val="32"/>
          <w:highlight w:val="none"/>
        </w:rPr>
        <w:t>《</w:t>
      </w:r>
      <w:r>
        <w:rPr>
          <w:rFonts w:hint="eastAsia" w:ascii="仿宋_GB2312" w:hAnsi="仿宋_GB2312" w:eastAsia="仿宋_GB2312" w:cs="仿宋_GB2312"/>
          <w:b w:val="0"/>
          <w:bCs w:val="0"/>
          <w:sz w:val="32"/>
          <w:szCs w:val="32"/>
        </w:rPr>
        <w:t>绍兴市人民政府办公室关于创新财政支持经济发展方式加快设立政府产业基金的意见</w:t>
      </w:r>
      <w:r>
        <w:rPr>
          <w:rFonts w:hint="eastAsia" w:ascii="仿宋_GB2312" w:hAnsi="宋体" w:eastAsia="仿宋_GB2312"/>
          <w:snapToGrid w:val="0"/>
          <w:kern w:val="0"/>
          <w:sz w:val="32"/>
          <w:szCs w:val="32"/>
          <w:highlight w:val="none"/>
        </w:rPr>
        <w:t>》（绍政办发〔2015〕54号）</w:t>
      </w:r>
      <w:r>
        <w:rPr>
          <w:rFonts w:hint="eastAsia" w:ascii="仿宋_GB2312" w:hAnsi="宋体" w:eastAsia="仿宋_GB2312"/>
          <w:snapToGrid w:val="0"/>
          <w:kern w:val="0"/>
          <w:sz w:val="32"/>
          <w:szCs w:val="32"/>
          <w:highlight w:val="none"/>
          <w:lang w:eastAsia="zh-CN"/>
        </w:rPr>
        <w:t>等</w:t>
      </w:r>
      <w:r>
        <w:rPr>
          <w:rFonts w:hint="eastAsia" w:ascii="仿宋_GB2312" w:eastAsia="仿宋_GB2312"/>
          <w:sz w:val="32"/>
          <w:szCs w:val="32"/>
          <w:highlight w:val="none"/>
        </w:rPr>
        <w:t>精神，特制定本管理办法。</w:t>
      </w:r>
    </w:p>
    <w:p>
      <w:pPr>
        <w:ind w:firstLine="643" w:firstLineChars="200"/>
        <w:rPr>
          <w:rFonts w:hint="eastAsia" w:ascii="仿宋_GB2312" w:eastAsia="仿宋_GB2312"/>
          <w:sz w:val="32"/>
          <w:szCs w:val="32"/>
          <w:highlight w:val="none"/>
        </w:rPr>
      </w:pPr>
      <w:r>
        <w:rPr>
          <w:rFonts w:hint="eastAsia" w:ascii="仿宋_GB2312" w:hAnsi="仿宋" w:eastAsia="仿宋_GB2312" w:cs="仿宋"/>
          <w:b/>
          <w:bCs/>
          <w:sz w:val="32"/>
          <w:szCs w:val="32"/>
          <w:highlight w:val="none"/>
        </w:rPr>
        <w:t xml:space="preserve">第二条 </w:t>
      </w:r>
      <w:r>
        <w:rPr>
          <w:rFonts w:hint="eastAsia" w:ascii="仿宋_GB2312" w:eastAsia="仿宋_GB2312"/>
          <w:sz w:val="32"/>
          <w:szCs w:val="32"/>
          <w:highlight w:val="none"/>
          <w:lang w:eastAsia="zh-CN"/>
        </w:rPr>
        <w:t>转型升级</w:t>
      </w:r>
      <w:r>
        <w:rPr>
          <w:rFonts w:hint="eastAsia" w:ascii="仿宋_GB2312" w:hAnsi="仿宋" w:eastAsia="仿宋_GB2312" w:cs="仿宋"/>
          <w:sz w:val="32"/>
          <w:szCs w:val="32"/>
          <w:highlight w:val="none"/>
        </w:rPr>
        <w:t>基金</w:t>
      </w:r>
      <w:r>
        <w:rPr>
          <w:rFonts w:hint="eastAsia" w:ascii="仿宋_GB2312" w:eastAsia="仿宋_GB2312"/>
          <w:sz w:val="32"/>
          <w:szCs w:val="32"/>
          <w:highlight w:val="none"/>
        </w:rPr>
        <w:t>由市政府主导设立,并按市场化进行运作,其设立宗旨是发挥财政资金的杠杆作用，实现政府主导与市场化运作的有效结合，引导金融资本和社会资本投入实体经济，推动全市创业创新和产业转型升级。</w:t>
      </w:r>
    </w:p>
    <w:p>
      <w:pPr>
        <w:ind w:firstLine="643" w:firstLineChars="200"/>
        <w:rPr>
          <w:rFonts w:hint="eastAsia" w:ascii="仿宋_GB2312" w:eastAsia="仿宋_GB2312"/>
          <w:sz w:val="32"/>
          <w:szCs w:val="32"/>
          <w:highlight w:val="none"/>
        </w:rPr>
      </w:pPr>
      <w:r>
        <w:rPr>
          <w:rFonts w:hint="eastAsia" w:ascii="仿宋_GB2312" w:hAnsi="仿宋" w:eastAsia="仿宋_GB2312" w:cs="仿宋"/>
          <w:b/>
          <w:bCs/>
          <w:sz w:val="32"/>
          <w:szCs w:val="32"/>
          <w:highlight w:val="none"/>
        </w:rPr>
        <w:t xml:space="preserve">第三条 </w:t>
      </w:r>
      <w:r>
        <w:rPr>
          <w:rFonts w:hint="eastAsia" w:ascii="仿宋_GB2312" w:eastAsia="仿宋_GB2312"/>
          <w:sz w:val="32"/>
          <w:szCs w:val="32"/>
          <w:highlight w:val="none"/>
          <w:lang w:eastAsia="zh-CN"/>
        </w:rPr>
        <w:t>转型升级</w:t>
      </w:r>
      <w:r>
        <w:rPr>
          <w:rFonts w:hint="eastAsia" w:ascii="仿宋_GB2312" w:hAnsi="仿宋" w:eastAsia="仿宋_GB2312" w:cs="仿宋"/>
          <w:sz w:val="32"/>
          <w:szCs w:val="32"/>
          <w:highlight w:val="none"/>
        </w:rPr>
        <w:t>基金</w:t>
      </w:r>
      <w:r>
        <w:rPr>
          <w:rFonts w:hint="eastAsia" w:ascii="仿宋_GB2312" w:eastAsia="仿宋_GB2312"/>
          <w:sz w:val="32"/>
          <w:szCs w:val="32"/>
          <w:highlight w:val="none"/>
        </w:rPr>
        <w:t>按照“政府引导、市场运作、分类管理、防范风险”的原则进行运作管理，充分贯彻落实市委、市政府经济发展战略，推进创业创新和产业转型升级，推动大众创业、万众创新。</w:t>
      </w:r>
    </w:p>
    <w:p>
      <w:pPr>
        <w:ind w:firstLine="643" w:firstLineChars="200"/>
        <w:rPr>
          <w:rFonts w:hint="eastAsia" w:ascii="仿宋_GB2312" w:eastAsia="仿宋_GB2312"/>
          <w:sz w:val="32"/>
          <w:szCs w:val="32"/>
          <w:highlight w:val="none"/>
        </w:rPr>
      </w:pPr>
      <w:r>
        <w:rPr>
          <w:rFonts w:hint="eastAsia" w:ascii="仿宋_GB2312" w:hAnsi="仿宋" w:eastAsia="仿宋_GB2312" w:cs="仿宋"/>
          <w:b/>
          <w:bCs/>
          <w:sz w:val="32"/>
          <w:szCs w:val="32"/>
          <w:highlight w:val="none"/>
        </w:rPr>
        <w:t xml:space="preserve">第四条 </w:t>
      </w:r>
      <w:r>
        <w:rPr>
          <w:rFonts w:hint="eastAsia" w:ascii="仿宋_GB2312" w:hAnsi="宋体" w:eastAsia="仿宋_GB2312" w:cs="宋体"/>
          <w:kern w:val="0"/>
          <w:sz w:val="32"/>
          <w:szCs w:val="32"/>
          <w:highlight w:val="none"/>
        </w:rPr>
        <w:t>基金</w:t>
      </w:r>
      <w:r>
        <w:rPr>
          <w:rFonts w:hint="eastAsia" w:ascii="仿宋_GB2312" w:eastAsia="仿宋_GB2312"/>
          <w:sz w:val="32"/>
          <w:szCs w:val="32"/>
          <w:highlight w:val="none"/>
          <w:lang w:eastAsia="zh-CN"/>
        </w:rPr>
        <w:t>设立</w:t>
      </w:r>
      <w:r>
        <w:rPr>
          <w:rFonts w:hint="eastAsia" w:ascii="仿宋_GB2312" w:eastAsia="仿宋_GB2312"/>
          <w:sz w:val="32"/>
          <w:szCs w:val="32"/>
          <w:highlight w:val="none"/>
        </w:rPr>
        <w:t>规模为20亿元（人民币，下同），资金来源为省、市财政专项出资，以后视运作和管理情况</w:t>
      </w:r>
      <w:r>
        <w:rPr>
          <w:rFonts w:hint="eastAsia" w:ascii="仿宋_GB2312" w:eastAsia="仿宋_GB2312"/>
          <w:sz w:val="32"/>
          <w:szCs w:val="32"/>
          <w:highlight w:val="none"/>
          <w:lang w:eastAsia="zh-CN"/>
        </w:rPr>
        <w:t>进行规模调整</w:t>
      </w:r>
      <w:r>
        <w:rPr>
          <w:rFonts w:hint="eastAsia" w:ascii="仿宋_GB2312" w:eastAsia="仿宋_GB2312"/>
          <w:sz w:val="32"/>
          <w:szCs w:val="32"/>
          <w:highlight w:val="none"/>
        </w:rPr>
        <w:t>。</w:t>
      </w:r>
    </w:p>
    <w:p>
      <w:pPr>
        <w:jc w:val="center"/>
        <w:rPr>
          <w:rFonts w:hint="eastAsia" w:ascii="黑体" w:hAnsi="黑体" w:eastAsia="黑体" w:cs="黑体"/>
          <w:b/>
          <w:bCs/>
          <w:sz w:val="32"/>
          <w:szCs w:val="3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第二章  组织架构</w:t>
      </w:r>
    </w:p>
    <w:p>
      <w:pPr>
        <w:ind w:firstLine="643" w:firstLineChars="200"/>
        <w:rPr>
          <w:rFonts w:hint="eastAsia" w:ascii="仿宋_GB2312" w:eastAsia="仿宋_GB2312"/>
          <w:sz w:val="32"/>
          <w:szCs w:val="32"/>
          <w:highlight w:val="none"/>
        </w:rPr>
      </w:pPr>
      <w:r>
        <w:rPr>
          <w:rFonts w:hint="eastAsia" w:ascii="仿宋_GB2312" w:hAnsi="仿宋" w:eastAsia="仿宋_GB2312" w:cs="仿宋"/>
          <w:b/>
          <w:bCs/>
          <w:sz w:val="32"/>
          <w:szCs w:val="32"/>
          <w:highlight w:val="none"/>
        </w:rPr>
        <w:t xml:space="preserve">第五条 </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组织架构包括基金管理委员会（以下简称“基金管委会”或“</w:t>
      </w:r>
      <w:r>
        <w:rPr>
          <w:rFonts w:hint="eastAsia" w:ascii="仿宋_GB2312" w:hAnsi="仿宋_GB2312" w:eastAsia="仿宋_GB2312" w:cs="仿宋_GB2312"/>
          <w:sz w:val="32"/>
          <w:szCs w:val="32"/>
          <w:highlight w:val="none"/>
        </w:rPr>
        <w:t>管委会</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及办公室</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财投公司（国投公司）、</w:t>
      </w:r>
      <w:r>
        <w:rPr>
          <w:rFonts w:hint="eastAsia" w:ascii="仿宋_GB2312" w:eastAsia="仿宋_GB2312"/>
          <w:sz w:val="32"/>
          <w:szCs w:val="32"/>
          <w:highlight w:val="none"/>
        </w:rPr>
        <w:t>基金公司、基金管理公司</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个层次，按照基金管理办法各司其职、各</w:t>
      </w:r>
      <w:r>
        <w:rPr>
          <w:rFonts w:hint="eastAsia" w:ascii="仿宋_GB2312" w:eastAsia="仿宋_GB2312"/>
          <w:sz w:val="32"/>
          <w:szCs w:val="32"/>
          <w:highlight w:val="none"/>
          <w:lang w:eastAsia="zh-CN"/>
        </w:rPr>
        <w:t>尽</w:t>
      </w:r>
      <w:r>
        <w:rPr>
          <w:rFonts w:hint="eastAsia" w:ascii="仿宋_GB2312" w:eastAsia="仿宋_GB2312"/>
          <w:sz w:val="32"/>
          <w:szCs w:val="32"/>
          <w:highlight w:val="none"/>
        </w:rPr>
        <w:t>其责。</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第六条</w:t>
      </w:r>
      <w:r>
        <w:rPr>
          <w:rFonts w:hint="eastAsia" w:ascii="仿宋_GB2312" w:hAnsi="仿宋_GB2312" w:eastAsia="仿宋_GB2312" w:cs="仿宋_GB2312"/>
          <w:sz w:val="32"/>
          <w:szCs w:val="32"/>
          <w:highlight w:val="none"/>
        </w:rPr>
        <w:t xml:space="preserve"> 基金管委会</w:t>
      </w:r>
      <w:r>
        <w:rPr>
          <w:rFonts w:hint="eastAsia" w:ascii="仿宋_GB2312" w:eastAsia="仿宋_GB2312"/>
          <w:sz w:val="32"/>
          <w:szCs w:val="32"/>
          <w:highlight w:val="none"/>
        </w:rPr>
        <w:t>由市长</w:t>
      </w:r>
      <w:r>
        <w:rPr>
          <w:rFonts w:hint="eastAsia" w:ascii="仿宋_GB2312" w:eastAsia="仿宋_GB2312"/>
          <w:sz w:val="32"/>
          <w:szCs w:val="32"/>
          <w:highlight w:val="none"/>
          <w:lang w:eastAsia="zh-CN"/>
        </w:rPr>
        <w:t>任</w:t>
      </w:r>
      <w:r>
        <w:rPr>
          <w:rFonts w:hint="eastAsia" w:ascii="仿宋_GB2312" w:eastAsia="仿宋_GB2312"/>
          <w:sz w:val="32"/>
          <w:szCs w:val="32"/>
          <w:highlight w:val="none"/>
        </w:rPr>
        <w:t>主任，</w:t>
      </w:r>
      <w:r>
        <w:rPr>
          <w:rFonts w:hint="eastAsia" w:ascii="仿宋_GB2312" w:eastAsia="仿宋_GB2312"/>
          <w:sz w:val="32"/>
          <w:szCs w:val="32"/>
          <w:highlight w:val="none"/>
          <w:lang w:eastAsia="zh-CN"/>
        </w:rPr>
        <w:t>常务</w:t>
      </w:r>
      <w:r>
        <w:rPr>
          <w:rFonts w:hint="eastAsia" w:ascii="仿宋_GB2312" w:eastAsia="仿宋_GB2312"/>
          <w:sz w:val="32"/>
          <w:szCs w:val="32"/>
          <w:highlight w:val="none"/>
        </w:rPr>
        <w:t>副市长任副主任，</w:t>
      </w:r>
      <w:r>
        <w:rPr>
          <w:rFonts w:hint="eastAsia" w:ascii="仿宋_GB2312" w:hAnsi="仿宋_GB2312" w:eastAsia="仿宋_GB2312" w:cs="仿宋_GB2312"/>
          <w:sz w:val="32"/>
          <w:szCs w:val="32"/>
          <w:highlight w:val="none"/>
        </w:rPr>
        <w:t>市政府分管副秘书长和市发改委、</w:t>
      </w:r>
      <w:r>
        <w:rPr>
          <w:rFonts w:hint="eastAsia" w:ascii="仿宋_GB2312" w:hAnsi="仿宋" w:eastAsia="仿宋_GB2312"/>
          <w:sz w:val="32"/>
          <w:szCs w:val="32"/>
          <w:highlight w:val="none"/>
        </w:rPr>
        <w:t>市经信</w:t>
      </w:r>
      <w:r>
        <w:rPr>
          <w:rFonts w:hint="eastAsia" w:ascii="仿宋_GB2312" w:hAnsi="仿宋" w:eastAsia="仿宋_GB2312"/>
          <w:sz w:val="32"/>
          <w:szCs w:val="32"/>
          <w:highlight w:val="none"/>
          <w:lang w:eastAsia="zh-CN"/>
        </w:rPr>
        <w:t>局</w:t>
      </w:r>
      <w:r>
        <w:rPr>
          <w:rFonts w:hint="eastAsia" w:ascii="仿宋_GB2312" w:hAnsi="仿宋" w:eastAsia="仿宋_GB2312"/>
          <w:sz w:val="32"/>
          <w:szCs w:val="32"/>
          <w:highlight w:val="none"/>
        </w:rPr>
        <w:t>、市科技局、市财政局、市国资委、市金融办等</w:t>
      </w:r>
      <w:r>
        <w:rPr>
          <w:rFonts w:hint="eastAsia" w:ascii="仿宋_GB2312" w:eastAsia="仿宋_GB2312"/>
          <w:sz w:val="32"/>
          <w:szCs w:val="32"/>
          <w:highlight w:val="none"/>
        </w:rPr>
        <w:t>部门负责人为成员，</w:t>
      </w:r>
      <w:r>
        <w:rPr>
          <w:rFonts w:hint="eastAsia" w:ascii="仿宋_GB2312" w:hAnsi="仿宋_GB2312" w:eastAsia="仿宋_GB2312" w:cs="仿宋_GB2312"/>
          <w:color w:val="auto"/>
          <w:sz w:val="32"/>
          <w:szCs w:val="32"/>
          <w:highlight w:val="none"/>
          <w:lang w:eastAsia="zh-CN"/>
        </w:rPr>
        <w:t>通过投资决策会议等方式实施</w:t>
      </w:r>
      <w:r>
        <w:rPr>
          <w:rFonts w:hint="eastAsia" w:ascii="仿宋_GB2312" w:hAnsi="仿宋_GB2312" w:eastAsia="仿宋_GB2312" w:cs="仿宋_GB2312"/>
          <w:color w:val="auto"/>
          <w:sz w:val="32"/>
          <w:szCs w:val="32"/>
          <w:highlight w:val="none"/>
        </w:rPr>
        <w:t>基金重大事项的决策和协调</w:t>
      </w:r>
      <w:r>
        <w:rPr>
          <w:rFonts w:hint="eastAsia" w:ascii="仿宋_GB2312" w:eastAsia="仿宋_GB2312"/>
          <w:sz w:val="32"/>
          <w:szCs w:val="32"/>
          <w:highlight w:val="none"/>
        </w:rPr>
        <w:t>。基金</w:t>
      </w:r>
      <w:r>
        <w:rPr>
          <w:rFonts w:hint="eastAsia" w:ascii="仿宋_GB2312" w:hAnsi="仿宋_GB2312" w:eastAsia="仿宋_GB2312" w:cs="仿宋_GB2312"/>
          <w:sz w:val="32"/>
          <w:szCs w:val="32"/>
          <w:highlight w:val="none"/>
        </w:rPr>
        <w:t>管委会办公室设在市财政局。</w:t>
      </w:r>
    </w:p>
    <w:p>
      <w:pPr>
        <w:ind w:firstLine="640" w:firstLineChars="200"/>
        <w:rPr>
          <w:rFonts w:hint="eastAsia" w:ascii="仿宋_GB2312" w:eastAsia="仿宋_GB2312"/>
          <w:sz w:val="32"/>
          <w:szCs w:val="32"/>
          <w:highlight w:val="none"/>
        </w:rPr>
      </w:pPr>
      <w:r>
        <w:rPr>
          <w:rFonts w:hint="eastAsia" w:ascii="仿宋_GB2312" w:hAnsi="宋体" w:eastAsia="仿宋_GB2312" w:cs="宋体"/>
          <w:kern w:val="0"/>
          <w:sz w:val="32"/>
          <w:szCs w:val="32"/>
          <w:highlight w:val="none"/>
        </w:rPr>
        <w:t>基金管委会下设投资决策委员会，由</w:t>
      </w:r>
      <w:r>
        <w:rPr>
          <w:rFonts w:hint="eastAsia" w:ascii="仿宋_GB2312" w:hAnsi="宋体" w:eastAsia="仿宋_GB2312" w:cs="宋体"/>
          <w:kern w:val="0"/>
          <w:sz w:val="32"/>
          <w:szCs w:val="32"/>
          <w:highlight w:val="none"/>
          <w:lang w:eastAsia="zh-CN"/>
        </w:rPr>
        <w:t>基金管委会副主任主持召开。</w:t>
      </w:r>
      <w:r>
        <w:rPr>
          <w:rFonts w:hint="eastAsia" w:ascii="仿宋_GB2312" w:hAnsi="宋体" w:eastAsia="仿宋_GB2312" w:cs="宋体"/>
          <w:kern w:val="0"/>
          <w:sz w:val="32"/>
          <w:szCs w:val="32"/>
          <w:highlight w:val="none"/>
        </w:rPr>
        <w:t>管委会办公室负责</w:t>
      </w:r>
      <w:r>
        <w:rPr>
          <w:rFonts w:hint="eastAsia" w:ascii="仿宋_GB2312" w:hAnsi="宋体" w:eastAsia="仿宋_GB2312" w:cs="宋体"/>
          <w:kern w:val="0"/>
          <w:sz w:val="32"/>
          <w:szCs w:val="32"/>
          <w:highlight w:val="none"/>
          <w:lang w:eastAsia="zh-CN"/>
        </w:rPr>
        <w:t>具体组织工作</w:t>
      </w:r>
      <w:r>
        <w:rPr>
          <w:rFonts w:hint="eastAsia" w:ascii="仿宋_GB2312" w:hAnsi="宋体" w:eastAsia="仿宋_GB2312" w:cs="宋体"/>
          <w:kern w:val="0"/>
          <w:sz w:val="32"/>
          <w:szCs w:val="32"/>
          <w:highlight w:val="none"/>
        </w:rPr>
        <w:t>，并根据项目情况，邀请相关的管委会成员单位主要负责人和外部专家参加，审议确定投资方案及相关实施计划。项目经投资决策会议审议后报管委会主任审定。</w:t>
      </w:r>
    </w:p>
    <w:p>
      <w:pPr>
        <w:ind w:firstLine="643" w:firstLineChars="200"/>
        <w:rPr>
          <w:rFonts w:hint="eastAsia" w:ascii="仿宋_GB2312" w:eastAsia="仿宋_GB2312"/>
          <w:sz w:val="32"/>
          <w:szCs w:val="32"/>
          <w:highlight w:val="none"/>
        </w:rPr>
      </w:pPr>
      <w:r>
        <w:rPr>
          <w:rFonts w:hint="eastAsia" w:ascii="仿宋_GB2312" w:hAnsi="仿宋_GB2312" w:eastAsia="仿宋_GB2312" w:cs="仿宋_GB2312"/>
          <w:b/>
          <w:bCs/>
          <w:sz w:val="32"/>
          <w:szCs w:val="32"/>
          <w:highlight w:val="none"/>
        </w:rPr>
        <w:t>第七条</w:t>
      </w:r>
      <w:r>
        <w:rPr>
          <w:rFonts w:hint="eastAsia" w:ascii="仿宋_GB2312" w:hAnsi="仿宋_GB2312" w:eastAsia="仿宋_GB2312" w:cs="仿宋_GB2312"/>
          <w:sz w:val="32"/>
          <w:szCs w:val="32"/>
          <w:highlight w:val="none"/>
        </w:rPr>
        <w:t xml:space="preserve"> </w:t>
      </w:r>
      <w:r>
        <w:rPr>
          <w:rFonts w:hint="eastAsia" w:ascii="仿宋_GB2312" w:eastAsia="仿宋_GB2312"/>
          <w:sz w:val="32"/>
          <w:szCs w:val="32"/>
          <w:highlight w:val="none"/>
        </w:rPr>
        <w:t>授权</w:t>
      </w:r>
      <w:r>
        <w:rPr>
          <w:rFonts w:hint="eastAsia" w:ascii="仿宋_GB2312" w:eastAsia="仿宋_GB2312"/>
          <w:sz w:val="32"/>
          <w:szCs w:val="32"/>
          <w:highlight w:val="none"/>
          <w:lang w:eastAsia="zh-CN"/>
        </w:rPr>
        <w:t>绍兴市财政投资有限公司（以下简称“市财投公司”）下属</w:t>
      </w:r>
      <w:r>
        <w:rPr>
          <w:rFonts w:hint="eastAsia" w:ascii="仿宋_GB2312" w:eastAsia="仿宋_GB2312"/>
          <w:sz w:val="32"/>
          <w:szCs w:val="32"/>
          <w:highlight w:val="none"/>
        </w:rPr>
        <w:t>绍兴</w:t>
      </w:r>
      <w:r>
        <w:rPr>
          <w:rFonts w:hint="eastAsia" w:ascii="仿宋_GB2312" w:hAnsi="宋体" w:eastAsia="仿宋_GB2312" w:cs="仿宋_GB2312"/>
          <w:sz w:val="32"/>
          <w:szCs w:val="32"/>
          <w:highlight w:val="none"/>
        </w:rPr>
        <w:t>市国有资产投资经营有限公司</w:t>
      </w:r>
      <w:r>
        <w:rPr>
          <w:rFonts w:hint="eastAsia" w:ascii="仿宋_GB2312" w:eastAsia="仿宋_GB2312"/>
          <w:sz w:val="32"/>
          <w:szCs w:val="32"/>
          <w:highlight w:val="none"/>
        </w:rPr>
        <w:t>（以下简称“市国投公司”）代行出资人职责，</w:t>
      </w:r>
      <w:r>
        <w:rPr>
          <w:rFonts w:hint="eastAsia" w:ascii="仿宋_GB2312" w:eastAsia="仿宋_GB2312"/>
          <w:sz w:val="32"/>
          <w:szCs w:val="32"/>
          <w:highlight w:val="none"/>
          <w:lang w:eastAsia="zh-CN"/>
        </w:rPr>
        <w:t>与浙江省产业基金有限公司合作</w:t>
      </w:r>
      <w:r>
        <w:rPr>
          <w:rFonts w:hint="eastAsia" w:ascii="仿宋_GB2312" w:eastAsia="仿宋_GB2312"/>
          <w:sz w:val="32"/>
          <w:szCs w:val="32"/>
          <w:highlight w:val="none"/>
        </w:rPr>
        <w:t>出资组建浙江绍兴转型升级产业基金有限公司作为基金法人（以下简称“基金公司”）。基金公司按《公司法》规定要求设立股东会、董事会和监事。</w:t>
      </w:r>
    </w:p>
    <w:p>
      <w:pPr>
        <w:ind w:firstLine="643" w:firstLineChars="200"/>
        <w:rPr>
          <w:rFonts w:hint="eastAsia" w:ascii="仿宋_GB2312" w:eastAsia="仿宋_GB2312"/>
          <w:sz w:val="32"/>
          <w:szCs w:val="32"/>
          <w:highlight w:val="none"/>
        </w:rPr>
      </w:pPr>
      <w:r>
        <w:rPr>
          <w:rFonts w:hint="eastAsia" w:ascii="仿宋_GB2312" w:hAnsi="仿宋_GB2312" w:eastAsia="仿宋_GB2312" w:cs="仿宋_GB2312"/>
          <w:b/>
          <w:bCs/>
          <w:sz w:val="32"/>
          <w:szCs w:val="32"/>
          <w:highlight w:val="none"/>
        </w:rPr>
        <w:t xml:space="preserve">第八条 </w:t>
      </w:r>
      <w:r>
        <w:rPr>
          <w:rFonts w:hint="eastAsia" w:ascii="仿宋_GB2312" w:hAnsi="仿宋_GB2312" w:eastAsia="仿宋_GB2312" w:cs="仿宋_GB2312"/>
          <w:bCs/>
          <w:sz w:val="32"/>
          <w:szCs w:val="32"/>
          <w:highlight w:val="none"/>
        </w:rPr>
        <w:t>基金公司负责聘用基金管理公司</w:t>
      </w:r>
      <w:r>
        <w:rPr>
          <w:rFonts w:hint="eastAsia" w:ascii="仿宋_GB2312" w:hAnsi="仿宋_GB2312" w:eastAsia="仿宋_GB2312" w:cs="仿宋_GB2312"/>
          <w:bCs/>
          <w:sz w:val="32"/>
          <w:szCs w:val="32"/>
          <w:highlight w:val="none"/>
          <w:lang w:eastAsia="zh-CN"/>
        </w:rPr>
        <w:t>，并与之签订委托管理协议</w:t>
      </w:r>
      <w:r>
        <w:rPr>
          <w:rFonts w:hint="eastAsia" w:ascii="仿宋_GB2312" w:hAnsi="仿宋_GB2312" w:eastAsia="仿宋_GB2312" w:cs="仿宋_GB2312"/>
          <w:bCs/>
          <w:sz w:val="32"/>
          <w:szCs w:val="32"/>
          <w:highlight w:val="none"/>
        </w:rPr>
        <w:t>。基金管理公司</w:t>
      </w:r>
      <w:r>
        <w:rPr>
          <w:rFonts w:hint="eastAsia" w:ascii="仿宋_GB2312" w:eastAsia="仿宋_GB2312"/>
          <w:sz w:val="32"/>
          <w:szCs w:val="32"/>
          <w:highlight w:val="none"/>
        </w:rPr>
        <w:t>按照委托</w:t>
      </w:r>
      <w:r>
        <w:rPr>
          <w:rFonts w:hint="eastAsia" w:ascii="仿宋_GB2312" w:eastAsia="仿宋_GB2312"/>
          <w:sz w:val="32"/>
          <w:szCs w:val="32"/>
          <w:highlight w:val="none"/>
          <w:lang w:eastAsia="zh-CN"/>
        </w:rPr>
        <w:t>管理</w:t>
      </w:r>
      <w:r>
        <w:rPr>
          <w:rFonts w:hint="eastAsia" w:ascii="仿宋_GB2312" w:eastAsia="仿宋_GB2312"/>
          <w:sz w:val="32"/>
          <w:szCs w:val="32"/>
          <w:highlight w:val="none"/>
        </w:rPr>
        <w:t>协议约定</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负责基金的具体投资和运作</w:t>
      </w:r>
      <w:r>
        <w:rPr>
          <w:rFonts w:hint="eastAsia" w:ascii="仿宋_GB2312" w:eastAsia="仿宋_GB2312"/>
          <w:sz w:val="32"/>
          <w:szCs w:val="32"/>
          <w:highlight w:val="none"/>
          <w:lang w:eastAsia="zh-CN"/>
        </w:rPr>
        <w:t>等工作</w:t>
      </w:r>
      <w:r>
        <w:rPr>
          <w:rFonts w:hint="eastAsia" w:ascii="仿宋_GB2312" w:eastAsia="仿宋_GB2312"/>
          <w:sz w:val="32"/>
          <w:szCs w:val="32"/>
          <w:highlight w:val="none"/>
        </w:rPr>
        <w:t>。</w:t>
      </w:r>
    </w:p>
    <w:p>
      <w:pPr>
        <w:jc w:val="center"/>
        <w:rPr>
          <w:rFonts w:hint="eastAsia" w:ascii="黑体" w:hAnsi="黑体" w:eastAsia="黑体" w:cs="黑体"/>
          <w:b/>
          <w:bCs/>
          <w:sz w:val="32"/>
          <w:szCs w:val="3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第三章  职责分工</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第九条</w:t>
      </w:r>
      <w:r>
        <w:rPr>
          <w:rFonts w:hint="eastAsia" w:ascii="仿宋_GB2312" w:eastAsia="仿宋_GB2312"/>
          <w:sz w:val="32"/>
          <w:szCs w:val="32"/>
          <w:highlight w:val="none"/>
        </w:rPr>
        <w:t xml:space="preserve"> 基金管委会、</w:t>
      </w:r>
      <w:r>
        <w:rPr>
          <w:rFonts w:hint="eastAsia" w:ascii="仿宋_GB2312" w:hAnsi="仿宋_GB2312" w:eastAsia="仿宋_GB2312" w:cs="仿宋_GB2312"/>
          <w:sz w:val="32"/>
          <w:szCs w:val="32"/>
          <w:highlight w:val="none"/>
        </w:rPr>
        <w:t>管委会办公室</w:t>
      </w:r>
      <w:r>
        <w:rPr>
          <w:rFonts w:hint="eastAsia" w:ascii="仿宋_GB2312" w:hAnsi="仿宋_GB2312" w:eastAsia="仿宋_GB2312" w:cs="仿宋_GB2312"/>
          <w:sz w:val="32"/>
          <w:szCs w:val="32"/>
          <w:highlight w:val="none"/>
          <w:lang w:eastAsia="zh-CN"/>
        </w:rPr>
        <w:t>、</w:t>
      </w:r>
      <w:r>
        <w:rPr>
          <w:rFonts w:hint="eastAsia" w:ascii="仿宋_GB2312" w:eastAsia="仿宋_GB2312"/>
          <w:sz w:val="32"/>
          <w:szCs w:val="32"/>
          <w:highlight w:val="none"/>
          <w:lang w:eastAsia="zh-CN"/>
        </w:rPr>
        <w:t>市财投公司（市国投公司）</w:t>
      </w:r>
      <w:r>
        <w:rPr>
          <w:rFonts w:hint="eastAsia" w:ascii="仿宋_GB2312" w:eastAsia="仿宋_GB2312"/>
          <w:sz w:val="32"/>
          <w:szCs w:val="32"/>
          <w:highlight w:val="none"/>
        </w:rPr>
        <w:t>、市</w:t>
      </w:r>
      <w:r>
        <w:rPr>
          <w:rFonts w:hint="eastAsia" w:ascii="仿宋_GB2312" w:eastAsia="仿宋_GB2312"/>
          <w:sz w:val="32"/>
          <w:szCs w:val="32"/>
          <w:highlight w:val="none"/>
          <w:lang w:eastAsia="zh-CN"/>
        </w:rPr>
        <w:t>级</w:t>
      </w:r>
      <w:r>
        <w:rPr>
          <w:rFonts w:hint="eastAsia" w:ascii="仿宋_GB2312" w:eastAsia="仿宋_GB2312"/>
          <w:sz w:val="32"/>
          <w:szCs w:val="32"/>
          <w:highlight w:val="none"/>
        </w:rPr>
        <w:t>行业主管部门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基金公司、基金管理公司</w:t>
      </w:r>
      <w:r>
        <w:rPr>
          <w:rFonts w:hint="eastAsia" w:ascii="仿宋_GB2312" w:eastAsia="仿宋_GB2312"/>
          <w:sz w:val="32"/>
          <w:szCs w:val="32"/>
          <w:highlight w:val="none"/>
          <w:lang w:eastAsia="zh-CN"/>
        </w:rPr>
        <w:t>应</w:t>
      </w:r>
      <w:r>
        <w:rPr>
          <w:rFonts w:hint="eastAsia" w:ascii="仿宋_GB2312" w:eastAsia="仿宋_GB2312"/>
          <w:sz w:val="32"/>
          <w:szCs w:val="32"/>
          <w:highlight w:val="none"/>
        </w:rPr>
        <w:t>明确</w:t>
      </w:r>
      <w:r>
        <w:rPr>
          <w:rFonts w:hint="eastAsia" w:ascii="仿宋_GB2312" w:eastAsia="仿宋_GB2312"/>
          <w:sz w:val="32"/>
          <w:szCs w:val="32"/>
          <w:highlight w:val="none"/>
          <w:lang w:eastAsia="zh-CN"/>
        </w:rPr>
        <w:t>各自</w:t>
      </w:r>
      <w:r>
        <w:rPr>
          <w:rFonts w:hint="eastAsia" w:ascii="仿宋_GB2312" w:eastAsia="仿宋_GB2312"/>
          <w:sz w:val="32"/>
          <w:szCs w:val="32"/>
          <w:highlight w:val="none"/>
        </w:rPr>
        <w:t>职责，根据国家预算、金融和财务等有关规定建立健全监督管理和内部控制制度，加强对基金</w:t>
      </w:r>
      <w:r>
        <w:rPr>
          <w:rFonts w:hint="eastAsia" w:ascii="仿宋_GB2312" w:eastAsia="仿宋_GB2312"/>
          <w:sz w:val="32"/>
          <w:szCs w:val="32"/>
          <w:highlight w:val="none"/>
          <w:lang w:eastAsia="zh-CN"/>
        </w:rPr>
        <w:t>投资</w:t>
      </w:r>
      <w:r>
        <w:rPr>
          <w:rFonts w:hint="eastAsia" w:ascii="仿宋_GB2312" w:eastAsia="仿宋_GB2312"/>
          <w:sz w:val="32"/>
          <w:szCs w:val="32"/>
          <w:highlight w:val="none"/>
        </w:rPr>
        <w:t>运作的监督管理及考核评价。</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第十条</w:t>
      </w:r>
      <w:r>
        <w:rPr>
          <w:rFonts w:hint="eastAsia" w:ascii="仿宋_GB2312" w:hAnsi="仿宋_GB2312" w:eastAsia="仿宋_GB2312" w:cs="仿宋_GB2312"/>
          <w:sz w:val="32"/>
          <w:szCs w:val="32"/>
          <w:highlight w:val="none"/>
        </w:rPr>
        <w:t xml:space="preserve"> 管委会主要职责：负责根据国家、省和市产业导向及相关规划，研究确定</w:t>
      </w:r>
      <w:r>
        <w:rPr>
          <w:rFonts w:hint="eastAsia" w:ascii="仿宋_GB2312" w:hAnsi="仿宋" w:eastAsia="仿宋_GB2312" w:cs="仿宋"/>
          <w:sz w:val="32"/>
          <w:szCs w:val="32"/>
          <w:highlight w:val="none"/>
          <w:lang w:eastAsia="zh-CN"/>
        </w:rPr>
        <w:t>基金</w:t>
      </w:r>
      <w:r>
        <w:rPr>
          <w:rFonts w:hint="eastAsia" w:ascii="仿宋_GB2312" w:hAnsi="仿宋_GB2312" w:eastAsia="仿宋_GB2312" w:cs="仿宋_GB2312"/>
          <w:sz w:val="32"/>
          <w:szCs w:val="32"/>
          <w:highlight w:val="none"/>
        </w:rPr>
        <w:t>的投资原则和投资要求，</w:t>
      </w:r>
      <w:r>
        <w:rPr>
          <w:rFonts w:hint="eastAsia" w:ascii="仿宋_GB2312" w:hAnsi="仿宋_GB2312" w:eastAsia="仿宋_GB2312" w:cs="仿宋_GB2312"/>
          <w:sz w:val="32"/>
          <w:szCs w:val="32"/>
          <w:highlight w:val="none"/>
          <w:lang w:eastAsia="zh-CN"/>
        </w:rPr>
        <w:t>决定</w:t>
      </w:r>
      <w:r>
        <w:rPr>
          <w:rFonts w:hint="eastAsia" w:ascii="仿宋_GB2312" w:hAnsi="仿宋_GB2312" w:eastAsia="仿宋_GB2312" w:cs="仿宋_GB2312"/>
          <w:sz w:val="32"/>
          <w:szCs w:val="32"/>
          <w:highlight w:val="none"/>
        </w:rPr>
        <w:t>基金的资金筹集计划，协调和决策基金相关重大事项。</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第十一条</w:t>
      </w:r>
      <w:r>
        <w:rPr>
          <w:rFonts w:hint="eastAsia" w:ascii="仿宋_GB2312" w:hAnsi="仿宋_GB2312" w:eastAsia="仿宋_GB2312" w:cs="仿宋_GB2312"/>
          <w:sz w:val="32"/>
          <w:szCs w:val="32"/>
          <w:highlight w:val="none"/>
        </w:rPr>
        <w:t xml:space="preserve"> 管委会办公室主要职责：负责管委会的日常工作，贯彻落实管委会有关基金发展的重大决策，牵头制定</w:t>
      </w:r>
      <w:r>
        <w:rPr>
          <w:rFonts w:hint="eastAsia" w:ascii="仿宋_GB2312" w:hAnsi="仿宋" w:eastAsia="仿宋_GB2312" w:cs="仿宋"/>
          <w:sz w:val="32"/>
          <w:szCs w:val="32"/>
          <w:highlight w:val="none"/>
          <w:lang w:eastAsia="zh-CN"/>
        </w:rPr>
        <w:t>基金</w:t>
      </w:r>
      <w:r>
        <w:rPr>
          <w:rFonts w:hint="eastAsia" w:ascii="仿宋_GB2312" w:hAnsi="仿宋_GB2312" w:eastAsia="仿宋_GB2312" w:cs="仿宋_GB2312"/>
          <w:sz w:val="32"/>
          <w:szCs w:val="32"/>
          <w:highlight w:val="none"/>
        </w:rPr>
        <w:t>管理办法，组织投资决策委员会对投资项目进行审议决策，协调基金运作管理中出现的问题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做好政策指导和统筹协调。</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第十二条</w:t>
      </w:r>
      <w:r>
        <w:rPr>
          <w:rFonts w:hint="eastAsia" w:ascii="仿宋_GB2312" w:hAnsi="仿宋_GB2312" w:eastAsia="仿宋_GB2312" w:cs="仿宋_GB2312"/>
          <w:sz w:val="32"/>
          <w:szCs w:val="32"/>
          <w:highlight w:val="none"/>
        </w:rPr>
        <w:t xml:space="preserve"> 市</w:t>
      </w:r>
      <w:r>
        <w:rPr>
          <w:rFonts w:hint="eastAsia" w:ascii="仿宋_GB2312" w:hAnsi="仿宋_GB2312" w:eastAsia="仿宋_GB2312" w:cs="仿宋_GB2312"/>
          <w:sz w:val="32"/>
          <w:szCs w:val="32"/>
          <w:highlight w:val="none"/>
          <w:lang w:eastAsia="zh-CN"/>
        </w:rPr>
        <w:t>财投公司</w:t>
      </w:r>
      <w:r>
        <w:rPr>
          <w:rFonts w:hint="eastAsia" w:ascii="仿宋_GB2312" w:hAnsi="仿宋_GB2312" w:eastAsia="仿宋_GB2312" w:cs="仿宋_GB2312"/>
          <w:sz w:val="32"/>
          <w:szCs w:val="32"/>
          <w:highlight w:val="none"/>
        </w:rPr>
        <w:t>主要职责：代表市政府履行出资人职责，筹措落实财政出资资金，</w:t>
      </w:r>
      <w:r>
        <w:rPr>
          <w:rFonts w:hint="eastAsia" w:ascii="仿宋_GB2312" w:hAnsi="仿宋" w:eastAsia="仿宋_GB2312"/>
          <w:sz w:val="32"/>
          <w:szCs w:val="32"/>
          <w:highlight w:val="none"/>
        </w:rPr>
        <w:t>组织对基金的考核评价和财务监管</w:t>
      </w:r>
      <w:r>
        <w:rPr>
          <w:rFonts w:hint="eastAsia" w:ascii="仿宋_GB2312" w:hAnsi="仿宋" w:eastAsia="仿宋_GB2312"/>
          <w:sz w:val="32"/>
          <w:szCs w:val="32"/>
          <w:highlight w:val="none"/>
          <w:lang w:eastAsia="zh-CN"/>
        </w:rPr>
        <w:t>，</w:t>
      </w:r>
      <w:r>
        <w:rPr>
          <w:rFonts w:hint="eastAsia" w:ascii="仿宋_GB2312" w:hAnsi="仿宋_GB2312" w:eastAsia="仿宋_GB2312" w:cs="仿宋_GB2312"/>
          <w:sz w:val="32"/>
          <w:szCs w:val="32"/>
          <w:highlight w:val="none"/>
        </w:rPr>
        <w:t>定期向基金管委会办公室报送基金运作情况</w:t>
      </w:r>
      <w:r>
        <w:rPr>
          <w:rFonts w:hint="eastAsia" w:ascii="仿宋_GB2312" w:hAnsi="仿宋_GB2312" w:eastAsia="仿宋_GB2312" w:cs="仿宋_GB2312"/>
          <w:sz w:val="32"/>
          <w:szCs w:val="32"/>
          <w:highlight w:val="none"/>
          <w:lang w:eastAsia="zh-CN"/>
        </w:rPr>
        <w:t>。市国投公司</w:t>
      </w:r>
      <w:r>
        <w:rPr>
          <w:rFonts w:hint="eastAsia" w:ascii="仿宋_GB2312" w:hAnsi="仿宋_GB2312" w:eastAsia="仿宋_GB2312" w:cs="仿宋_GB2312"/>
          <w:sz w:val="32"/>
          <w:szCs w:val="32"/>
          <w:highlight w:val="none"/>
        </w:rPr>
        <w:t>主要职责</w:t>
      </w:r>
      <w:r>
        <w:rPr>
          <w:rFonts w:hint="eastAsia" w:ascii="仿宋_GB2312" w:hAnsi="仿宋_GB2312" w:eastAsia="仿宋_GB2312" w:cs="仿宋_GB2312"/>
          <w:sz w:val="32"/>
          <w:szCs w:val="32"/>
          <w:highlight w:val="none"/>
          <w:lang w:eastAsia="zh-CN"/>
        </w:rPr>
        <w:t>：负责履行基金公司控股股东职责。</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第十三条</w:t>
      </w:r>
      <w:r>
        <w:rPr>
          <w:rFonts w:hint="eastAsia" w:ascii="仿宋_GB2312" w:hAnsi="仿宋_GB2312" w:eastAsia="仿宋_GB2312" w:cs="仿宋_GB2312"/>
          <w:sz w:val="32"/>
          <w:szCs w:val="32"/>
          <w:highlight w:val="none"/>
        </w:rPr>
        <w:t xml:space="preserve"> 行业主管部门主要职责：围绕我市经济社会发展战略和产业政策导向，提供投资信息和需求,</w:t>
      </w:r>
      <w:r>
        <w:rPr>
          <w:rFonts w:hint="eastAsia" w:ascii="仿宋_GB2312" w:hAnsi="仿宋_GB2312" w:eastAsia="仿宋_GB2312" w:cs="仿宋_GB2312"/>
          <w:sz w:val="32"/>
          <w:szCs w:val="32"/>
          <w:highlight w:val="none"/>
          <w:lang w:eastAsia="zh-CN"/>
        </w:rPr>
        <w:t>定期推荐重大投资项目，</w:t>
      </w:r>
      <w:r>
        <w:rPr>
          <w:rFonts w:hint="eastAsia" w:ascii="仿宋_GB2312" w:hAnsi="仿宋_GB2312" w:eastAsia="仿宋_GB2312" w:cs="仿宋_GB2312"/>
          <w:sz w:val="32"/>
          <w:szCs w:val="32"/>
          <w:highlight w:val="none"/>
        </w:rPr>
        <w:t>落实行业监管和项目对接服务，参与基金投资决策工作。</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第十四条</w:t>
      </w:r>
      <w:r>
        <w:rPr>
          <w:rFonts w:hint="eastAsia" w:ascii="仿宋_GB2312" w:hAnsi="仿宋_GB2312" w:eastAsia="仿宋_GB2312" w:cs="仿宋_GB2312"/>
          <w:sz w:val="32"/>
          <w:szCs w:val="32"/>
          <w:highlight w:val="none"/>
        </w:rPr>
        <w:t xml:space="preserve"> 基金公司主要职责：负责聘用基金管理公司，</w:t>
      </w:r>
      <w:r>
        <w:rPr>
          <w:rFonts w:hint="eastAsia" w:ascii="仿宋_GB2312" w:hAnsi="仿宋_GB2312" w:eastAsia="仿宋_GB2312" w:cs="仿宋_GB2312"/>
          <w:color w:val="auto"/>
          <w:sz w:val="32"/>
          <w:szCs w:val="32"/>
          <w:highlight w:val="none"/>
          <w:lang w:eastAsia="zh-CN"/>
        </w:rPr>
        <w:t>组织制定年度投资计划，</w:t>
      </w:r>
      <w:r>
        <w:rPr>
          <w:rFonts w:hint="eastAsia" w:ascii="仿宋_GB2312" w:hAnsi="仿宋_GB2312" w:eastAsia="仿宋_GB2312" w:cs="仿宋_GB2312"/>
          <w:sz w:val="32"/>
          <w:szCs w:val="32"/>
          <w:highlight w:val="none"/>
        </w:rPr>
        <w:t>做好基金年度财务审计和基金管理公司的考核评价，定期向</w:t>
      </w:r>
      <w:r>
        <w:rPr>
          <w:rFonts w:hint="eastAsia" w:ascii="仿宋_GB2312" w:hAnsi="仿宋_GB2312" w:eastAsia="仿宋_GB2312" w:cs="仿宋_GB2312"/>
          <w:sz w:val="32"/>
          <w:szCs w:val="32"/>
          <w:highlight w:val="none"/>
          <w:lang w:eastAsia="zh-CN"/>
        </w:rPr>
        <w:t>市财投公司和市国投公司</w:t>
      </w:r>
      <w:r>
        <w:rPr>
          <w:rFonts w:hint="eastAsia" w:ascii="仿宋_GB2312" w:hAnsi="仿宋_GB2312" w:eastAsia="仿宋_GB2312" w:cs="仿宋_GB2312"/>
          <w:sz w:val="32"/>
          <w:szCs w:val="32"/>
          <w:highlight w:val="none"/>
        </w:rPr>
        <w:t>报送基金运作情况。</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第十五条</w:t>
      </w:r>
      <w:r>
        <w:rPr>
          <w:rFonts w:hint="eastAsia" w:ascii="仿宋_GB2312" w:hAnsi="仿宋_GB2312" w:eastAsia="仿宋_GB2312" w:cs="仿宋_GB2312"/>
          <w:sz w:val="32"/>
          <w:szCs w:val="32"/>
          <w:highlight w:val="none"/>
        </w:rPr>
        <w:t xml:space="preserve"> 基金管理公司主要职责：负责收集和汇总</w:t>
      </w:r>
      <w:r>
        <w:rPr>
          <w:rFonts w:hint="eastAsia" w:ascii="仿宋_GB2312" w:hAnsi="仿宋" w:eastAsia="仿宋_GB2312" w:cs="仿宋"/>
          <w:sz w:val="32"/>
          <w:szCs w:val="32"/>
          <w:highlight w:val="none"/>
          <w:lang w:eastAsia="zh-CN"/>
        </w:rPr>
        <w:t>基金</w:t>
      </w:r>
      <w:r>
        <w:rPr>
          <w:rFonts w:hint="eastAsia" w:ascii="仿宋_GB2312" w:hAnsi="仿宋_GB2312" w:eastAsia="仿宋_GB2312" w:cs="仿宋_GB2312"/>
          <w:sz w:val="32"/>
          <w:szCs w:val="32"/>
          <w:highlight w:val="none"/>
        </w:rPr>
        <w:t>投资合作意向并进行筛选，按照审议决定的基金投资计划，开展对拟投资合作项目尽职调查、入股谈判、拟定章程或合伙协议、投后管理、基金退出等专业化运作，定期向基金公司报送基金运作情况。</w:t>
      </w: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第四章  投资原则和要求</w:t>
      </w:r>
    </w:p>
    <w:p>
      <w:pPr>
        <w:ind w:firstLine="643" w:firstLineChars="200"/>
        <w:rPr>
          <w:rFonts w:hint="eastAsia" w:ascii="仿宋_GB2312" w:eastAsia="仿宋_GB2312"/>
          <w:sz w:val="32"/>
          <w:szCs w:val="32"/>
          <w:highlight w:val="none"/>
        </w:rPr>
      </w:pPr>
      <w:r>
        <w:rPr>
          <w:rFonts w:hint="eastAsia" w:ascii="仿宋_GB2312" w:hAnsi="仿宋_GB2312" w:eastAsia="仿宋_GB2312" w:cs="仿宋_GB2312"/>
          <w:b/>
          <w:bCs/>
          <w:sz w:val="32"/>
          <w:szCs w:val="32"/>
          <w:highlight w:val="none"/>
        </w:rPr>
        <w:t xml:space="preserve">第十六条 </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投资项目应符合国家、省和我市产业政策以及相关产业发展规划，所投领域应具备良好的产业基础条件，有一定的人才、技术、项目储备，能够有效引领我市创业创新和产业转型升级。</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 xml:space="preserve">第十七条 </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重点投向</w:t>
      </w:r>
      <w:r>
        <w:rPr>
          <w:rFonts w:hint="eastAsia" w:ascii="仿宋_GB2312" w:eastAsia="仿宋_GB2312"/>
          <w:sz w:val="32"/>
          <w:szCs w:val="32"/>
          <w:highlight w:val="none"/>
          <w:lang w:eastAsia="zh-CN"/>
        </w:rPr>
        <w:t>省八大万亿产业以及我市重点扶持的</w:t>
      </w:r>
      <w:r>
        <w:rPr>
          <w:rFonts w:hint="eastAsia" w:ascii="仿宋_GB2312" w:eastAsia="仿宋_GB2312"/>
          <w:sz w:val="32"/>
          <w:szCs w:val="32"/>
          <w:highlight w:val="none"/>
        </w:rPr>
        <w:t>新兴产业</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传统产业</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经典产业</w:t>
      </w:r>
      <w:r>
        <w:rPr>
          <w:rFonts w:hint="eastAsia" w:ascii="仿宋_GB2312" w:eastAsia="仿宋_GB2312"/>
          <w:sz w:val="32"/>
          <w:szCs w:val="32"/>
          <w:highlight w:val="none"/>
          <w:lang w:eastAsia="zh-CN"/>
        </w:rPr>
        <w:t>等领域</w:t>
      </w:r>
      <w:r>
        <w:rPr>
          <w:rFonts w:hint="eastAsia" w:ascii="仿宋_GB2312" w:eastAsia="仿宋_GB2312"/>
          <w:sz w:val="32"/>
          <w:szCs w:val="32"/>
          <w:highlight w:val="none"/>
        </w:rPr>
        <w:t>，并适时作出调整。不得投向高污染、高能耗、落后产能</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eastAsia="zh-CN"/>
        </w:rPr>
        <w:t>各级政府</w:t>
      </w:r>
      <w:r>
        <w:rPr>
          <w:rFonts w:hint="eastAsia" w:ascii="仿宋_GB2312" w:hAnsi="仿宋_GB2312" w:eastAsia="仿宋_GB2312" w:cs="仿宋_GB2312"/>
          <w:color w:val="auto"/>
          <w:sz w:val="32"/>
          <w:szCs w:val="32"/>
          <w:highlight w:val="none"/>
          <w:lang w:val="en-US" w:eastAsia="zh-CN"/>
        </w:rPr>
        <w:t>禁止、</w:t>
      </w:r>
      <w:r>
        <w:rPr>
          <w:rFonts w:hint="eastAsia" w:ascii="仿宋_GB2312" w:hAnsi="仿宋_GB2312" w:eastAsia="仿宋_GB2312" w:cs="仿宋_GB2312"/>
          <w:color w:val="auto"/>
          <w:sz w:val="32"/>
          <w:szCs w:val="32"/>
          <w:highlight w:val="none"/>
        </w:rPr>
        <w:t>限制</w:t>
      </w:r>
      <w:r>
        <w:rPr>
          <w:rFonts w:hint="eastAsia" w:ascii="仿宋_GB2312" w:hAnsi="仿宋_GB2312" w:eastAsia="仿宋_GB2312" w:cs="仿宋_GB2312"/>
          <w:color w:val="auto"/>
          <w:sz w:val="32"/>
          <w:szCs w:val="32"/>
          <w:highlight w:val="none"/>
          <w:lang w:val="en-US" w:eastAsia="zh-CN"/>
        </w:rPr>
        <w:t>发展</w:t>
      </w:r>
      <w:r>
        <w:rPr>
          <w:rFonts w:hint="eastAsia" w:ascii="仿宋_GB2312" w:hAnsi="仿宋_GB2312" w:eastAsia="仿宋_GB2312" w:cs="仿宋_GB2312"/>
          <w:color w:val="auto"/>
          <w:sz w:val="32"/>
          <w:szCs w:val="32"/>
          <w:highlight w:val="none"/>
        </w:rPr>
        <w:t>行业</w:t>
      </w:r>
      <w:r>
        <w:rPr>
          <w:rFonts w:hint="eastAsia" w:ascii="仿宋_GB2312" w:eastAsia="仿宋_GB2312"/>
          <w:sz w:val="32"/>
          <w:szCs w:val="32"/>
          <w:highlight w:val="none"/>
        </w:rPr>
        <w:t>。</w:t>
      </w:r>
    </w:p>
    <w:p>
      <w:pPr>
        <w:ind w:firstLine="643" w:firstLineChars="200"/>
        <w:rPr>
          <w:rFonts w:hint="eastAsia" w:ascii="仿宋_GB2312" w:eastAsia="仿宋_GB2312"/>
          <w:sz w:val="32"/>
          <w:szCs w:val="32"/>
          <w:highlight w:val="none"/>
        </w:rPr>
      </w:pPr>
      <w:r>
        <w:rPr>
          <w:rFonts w:hint="eastAsia" w:ascii="仿宋_GB2312" w:hAnsi="仿宋" w:eastAsia="仿宋_GB2312" w:cs="仿宋"/>
          <w:b/>
          <w:bCs/>
          <w:sz w:val="32"/>
          <w:szCs w:val="32"/>
          <w:highlight w:val="none"/>
        </w:rPr>
        <w:t xml:space="preserve">第十八条 </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不得从事以下业务：</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1.投资</w:t>
      </w:r>
      <w:r>
        <w:rPr>
          <w:rFonts w:hint="eastAsia" w:ascii="仿宋_GB2312" w:eastAsia="仿宋_GB2312"/>
          <w:sz w:val="32"/>
          <w:szCs w:val="32"/>
          <w:highlight w:val="none"/>
          <w:lang w:eastAsia="zh-CN"/>
        </w:rPr>
        <w:t>二级市场股票</w:t>
      </w:r>
      <w:r>
        <w:rPr>
          <w:rFonts w:hint="eastAsia" w:ascii="仿宋_GB2312" w:eastAsia="仿宋_GB2312"/>
          <w:sz w:val="32"/>
          <w:szCs w:val="32"/>
          <w:highlight w:val="none"/>
        </w:rPr>
        <w:t>、期货、企业债券、信托产品、理财产品、保险计划及其他金融衍生品</w:t>
      </w:r>
      <w:r>
        <w:rPr>
          <w:rFonts w:hint="eastAsia" w:ascii="仿宋_GB2312" w:eastAsia="仿宋_GB2312"/>
          <w:color w:val="0000FF"/>
          <w:sz w:val="32"/>
          <w:szCs w:val="32"/>
          <w:highlight w:val="none"/>
          <w:lang w:eastAsia="zh-CN"/>
        </w:rPr>
        <w:t>（上市公司定向增发和优先股除外）</w:t>
      </w:r>
      <w:r>
        <w:rPr>
          <w:rFonts w:hint="eastAsia" w:ascii="仿宋_GB2312" w:eastAsia="仿宋_GB2312"/>
          <w:sz w:val="32"/>
          <w:szCs w:val="32"/>
          <w:highlight w:val="none"/>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2.从事担保、抵押、房地产（包括购买自用房地产）、委托贷款等业务；</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w:t>
      </w:r>
      <w:r>
        <w:rPr>
          <w:rFonts w:hint="eastAsia" w:ascii="仿宋_GB2312" w:hAnsi="仿宋_GB2312" w:eastAsia="仿宋_GB2312" w:cs="仿宋_GB2312"/>
          <w:color w:val="auto"/>
          <w:sz w:val="32"/>
          <w:szCs w:val="32"/>
          <w:highlight w:val="none"/>
        </w:rPr>
        <w:t>向任何第三方提供赞助、捐赠等支出</w:t>
      </w:r>
      <w:r>
        <w:rPr>
          <w:rFonts w:hint="eastAsia" w:ascii="仿宋_GB2312" w:eastAsia="仿宋_GB2312"/>
          <w:sz w:val="32"/>
          <w:szCs w:val="32"/>
          <w:highlight w:val="none"/>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4.吸收或变相吸收存款，或向任何第三</w:t>
      </w:r>
      <w:r>
        <w:rPr>
          <w:rFonts w:hint="eastAsia" w:ascii="仿宋_GB2312" w:eastAsia="仿宋_GB2312"/>
          <w:sz w:val="32"/>
          <w:szCs w:val="32"/>
          <w:highlight w:val="none"/>
          <w:lang w:eastAsia="zh-CN"/>
        </w:rPr>
        <w:t>方</w:t>
      </w:r>
      <w:r>
        <w:rPr>
          <w:rFonts w:hint="eastAsia" w:ascii="仿宋_GB2312" w:eastAsia="仿宋_GB2312"/>
          <w:sz w:val="32"/>
          <w:szCs w:val="32"/>
          <w:highlight w:val="none"/>
        </w:rPr>
        <w:t>提供贷款和资金拆借；</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5.进行承担无限连带责任的对外投资；</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6.</w:t>
      </w:r>
      <w:r>
        <w:rPr>
          <w:rFonts w:hint="eastAsia" w:ascii="仿宋_GB2312" w:hAnsi="仿宋_GB2312" w:eastAsia="仿宋_GB2312" w:cs="仿宋_GB2312"/>
          <w:color w:val="auto"/>
          <w:sz w:val="32"/>
          <w:szCs w:val="32"/>
          <w:highlight w:val="none"/>
        </w:rPr>
        <w:t>发行信托或集合理财产品募集资金</w:t>
      </w:r>
      <w:r>
        <w:rPr>
          <w:rFonts w:hint="eastAsia" w:ascii="仿宋_GB2312" w:eastAsia="仿宋_GB2312"/>
          <w:sz w:val="32"/>
          <w:szCs w:val="32"/>
          <w:highlight w:val="none"/>
        </w:rPr>
        <w:t>；</w:t>
      </w:r>
    </w:p>
    <w:p>
      <w:pPr>
        <w:spacing w:line="560" w:lineRule="exact"/>
        <w:ind w:firstLine="640" w:firstLineChars="0"/>
        <w:rPr>
          <w:rFonts w:hint="eastAsia" w:ascii="仿宋_GB2312" w:eastAsia="仿宋_GB2312"/>
          <w:sz w:val="32"/>
          <w:szCs w:val="32"/>
          <w:highlight w:val="none"/>
        </w:rPr>
      </w:pPr>
      <w:r>
        <w:rPr>
          <w:rFonts w:hint="eastAsia" w:ascii="仿宋_GB2312" w:hAnsi="仿宋_GB2312" w:eastAsia="仿宋_GB2312" w:cs="仿宋_GB2312"/>
          <w:color w:val="auto"/>
          <w:sz w:val="32"/>
          <w:szCs w:val="32"/>
          <w:highlight w:val="none"/>
          <w:lang w:val="en-US" w:eastAsia="zh-CN"/>
        </w:rPr>
        <w:t>经管委会批准的</w:t>
      </w:r>
      <w:r>
        <w:rPr>
          <w:rFonts w:hint="eastAsia" w:ascii="仿宋_GB2312" w:hAnsi="仿宋_GB2312" w:eastAsia="仿宋_GB2312" w:cs="仿宋_GB2312"/>
          <w:color w:val="auto"/>
          <w:sz w:val="32"/>
          <w:szCs w:val="32"/>
          <w:highlight w:val="none"/>
          <w:lang w:eastAsia="zh-CN"/>
        </w:rPr>
        <w:t>需要特别支持的重点领域或</w:t>
      </w:r>
      <w:r>
        <w:rPr>
          <w:rFonts w:hint="eastAsia" w:ascii="仿宋_GB2312" w:hAnsi="仿宋_GB2312" w:eastAsia="仿宋_GB2312" w:cs="仿宋_GB2312"/>
          <w:color w:val="auto"/>
          <w:sz w:val="32"/>
          <w:szCs w:val="32"/>
          <w:highlight w:val="none"/>
          <w:lang w:val="en-US" w:eastAsia="zh-CN"/>
        </w:rPr>
        <w:t>创新业务不受上述条款限制，法律法规明文禁止的除外。</w:t>
      </w:r>
    </w:p>
    <w:p>
      <w:pPr>
        <w:numPr>
          <w:ilvl w:val="-1"/>
          <w:numId w:val="0"/>
        </w:numPr>
        <w:ind w:firstLine="643" w:firstLineChars="200"/>
        <w:rPr>
          <w:rFonts w:hint="eastAsia" w:ascii="仿宋_GB2312" w:eastAsia="仿宋_GB2312"/>
          <w:sz w:val="32"/>
          <w:szCs w:val="32"/>
          <w:highlight w:val="none"/>
        </w:rPr>
      </w:pPr>
      <w:r>
        <w:rPr>
          <w:rFonts w:hint="eastAsia" w:ascii="仿宋_GB2312" w:hAnsi="仿宋_GB2312" w:eastAsia="仿宋_GB2312" w:cs="仿宋_GB2312"/>
          <w:b/>
          <w:bCs/>
          <w:sz w:val="32"/>
          <w:szCs w:val="32"/>
          <w:highlight w:val="none"/>
        </w:rPr>
        <w:t>第十九条</w:t>
      </w:r>
      <w:r>
        <w:rPr>
          <w:rFonts w:hint="eastAsia" w:ascii="仿宋_GB2312" w:hAnsi="仿宋_GB2312" w:eastAsia="仿宋_GB2312" w:cs="仿宋_GB2312"/>
          <w:sz w:val="32"/>
          <w:szCs w:val="32"/>
          <w:highlight w:val="none"/>
        </w:rPr>
        <w:t xml:space="preserve"> </w:t>
      </w:r>
      <w:r>
        <w:rPr>
          <w:rFonts w:hint="eastAsia" w:ascii="仿宋_GB2312" w:hAnsi="仿宋" w:eastAsia="仿宋_GB2312" w:cs="仿宋"/>
          <w:sz w:val="32"/>
          <w:szCs w:val="32"/>
          <w:highlight w:val="none"/>
          <w:lang w:eastAsia="zh-CN"/>
        </w:rPr>
        <w:t>基金</w:t>
      </w:r>
      <w:r>
        <w:rPr>
          <w:rFonts w:hint="eastAsia" w:ascii="仿宋_GB2312" w:hAnsi="新宋体" w:eastAsia="仿宋_GB2312"/>
          <w:sz w:val="32"/>
          <w:szCs w:val="32"/>
          <w:highlight w:val="none"/>
        </w:rPr>
        <w:t>以政府主导与市场化运作有效结合的方式，</w:t>
      </w:r>
      <w:r>
        <w:rPr>
          <w:rFonts w:hint="eastAsia" w:ascii="仿宋_GB2312" w:hAnsi="仿宋_GB2312" w:eastAsia="仿宋_GB2312" w:cs="仿宋_GB2312"/>
          <w:color w:val="auto"/>
          <w:sz w:val="32"/>
          <w:szCs w:val="32"/>
          <w:highlight w:val="none"/>
        </w:rPr>
        <w:t>采取“定向基金”为主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“非定向基金”“直接投资”为辅的模式进行运作</w:t>
      </w:r>
      <w:r>
        <w:rPr>
          <w:rFonts w:hint="eastAsia" w:ascii="仿宋_GB2312" w:eastAsia="仿宋_GB2312"/>
          <w:sz w:val="32"/>
          <w:szCs w:val="32"/>
          <w:highlight w:val="none"/>
          <w:lang w:eastAsia="zh-CN"/>
        </w:rPr>
        <w:t>，对单个子基金或企业的出资金额不超过转型升级基金规模的</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lang w:eastAsia="zh-CN"/>
        </w:rPr>
        <w:t>直投项目合计投资金额最高不超过</w:t>
      </w:r>
      <w:r>
        <w:rPr>
          <w:rFonts w:hint="eastAsia" w:ascii="仿宋_GB2312" w:hAnsi="仿宋" w:eastAsia="仿宋_GB2312" w:cs="仿宋"/>
          <w:sz w:val="32"/>
          <w:szCs w:val="32"/>
          <w:highlight w:val="none"/>
          <w:lang w:eastAsia="zh-CN"/>
        </w:rPr>
        <w:t>转型升级基金</w:t>
      </w:r>
      <w:r>
        <w:rPr>
          <w:rFonts w:hint="eastAsia" w:ascii="仿宋_GB2312" w:eastAsia="仿宋_GB2312"/>
          <w:sz w:val="32"/>
          <w:szCs w:val="32"/>
          <w:highlight w:val="none"/>
          <w:lang w:eastAsia="zh-CN"/>
        </w:rPr>
        <w:t>规模的</w:t>
      </w:r>
      <w:r>
        <w:rPr>
          <w:rFonts w:hint="eastAsia" w:ascii="仿宋_GB2312" w:eastAsia="仿宋_GB2312"/>
          <w:sz w:val="32"/>
          <w:szCs w:val="32"/>
          <w:highlight w:val="none"/>
          <w:lang w:val="en-US" w:eastAsia="zh-CN"/>
        </w:rPr>
        <w:t>30%</w:t>
      </w:r>
      <w:r>
        <w:rPr>
          <w:rFonts w:hint="eastAsia" w:ascii="仿宋_GB2312" w:eastAsia="仿宋_GB2312"/>
          <w:sz w:val="32"/>
          <w:szCs w:val="32"/>
          <w:highlight w:val="none"/>
        </w:rPr>
        <w:t>。产业基金投资原则上实行参股不控股。</w:t>
      </w:r>
    </w:p>
    <w:p>
      <w:pPr>
        <w:spacing w:line="240" w:lineRule="auto"/>
        <w:ind w:firstLine="643" w:firstLineChars="200"/>
        <w:rPr>
          <w:rFonts w:hint="eastAsia" w:ascii="仿宋_GB2312" w:eastAsia="仿宋_GB2312"/>
          <w:b/>
          <w:bCs/>
          <w:sz w:val="32"/>
          <w:szCs w:val="32"/>
          <w:highlight w:val="none"/>
        </w:rPr>
      </w:pPr>
      <w:r>
        <w:rPr>
          <w:rFonts w:hint="eastAsia" w:ascii="仿宋_GB2312" w:eastAsia="仿宋_GB2312"/>
          <w:b/>
          <w:sz w:val="32"/>
          <w:szCs w:val="32"/>
          <w:highlight w:val="none"/>
        </w:rPr>
        <w:t xml:space="preserve">第二十条 </w:t>
      </w:r>
      <w:r>
        <w:rPr>
          <w:rFonts w:hint="eastAsia" w:ascii="仿宋_GB2312" w:eastAsia="仿宋_GB2312"/>
          <w:b/>
          <w:bCs/>
          <w:sz w:val="32"/>
          <w:szCs w:val="32"/>
          <w:highlight w:val="none"/>
        </w:rPr>
        <w:t xml:space="preserve"> </w:t>
      </w:r>
      <w:r>
        <w:rPr>
          <w:rFonts w:hint="eastAsia" w:ascii="仿宋_GB2312" w:hAnsi="仿宋" w:eastAsia="仿宋_GB2312" w:cs="仿宋"/>
          <w:sz w:val="32"/>
          <w:szCs w:val="32"/>
          <w:highlight w:val="none"/>
          <w:lang w:eastAsia="zh-CN"/>
        </w:rPr>
        <w:t>转型升级基金</w:t>
      </w:r>
      <w:r>
        <w:rPr>
          <w:rFonts w:hint="eastAsia" w:ascii="仿宋_GB2312" w:eastAsia="仿宋_GB2312"/>
          <w:bCs/>
          <w:sz w:val="32"/>
          <w:szCs w:val="32"/>
          <w:highlight w:val="none"/>
        </w:rPr>
        <w:t>与</w:t>
      </w:r>
      <w:r>
        <w:rPr>
          <w:rFonts w:hint="eastAsia" w:ascii="仿宋_GB2312" w:eastAsia="仿宋_GB2312"/>
          <w:bCs/>
          <w:sz w:val="32"/>
          <w:szCs w:val="32"/>
          <w:highlight w:val="none"/>
          <w:lang w:eastAsia="zh-CN"/>
        </w:rPr>
        <w:t>其他政府产业基金、</w:t>
      </w:r>
      <w:r>
        <w:rPr>
          <w:rFonts w:hint="eastAsia" w:ascii="仿宋_GB2312" w:eastAsia="仿宋_GB2312"/>
          <w:bCs/>
          <w:sz w:val="32"/>
          <w:szCs w:val="32"/>
          <w:highlight w:val="none"/>
        </w:rPr>
        <w:t>社会资本</w:t>
      </w:r>
      <w:r>
        <w:rPr>
          <w:rFonts w:hint="eastAsia" w:ascii="仿宋_GB2312" w:eastAsia="仿宋_GB2312"/>
          <w:bCs/>
          <w:sz w:val="32"/>
          <w:szCs w:val="32"/>
          <w:highlight w:val="none"/>
          <w:lang w:eastAsia="zh-CN"/>
        </w:rPr>
        <w:t>等</w:t>
      </w:r>
      <w:r>
        <w:rPr>
          <w:rFonts w:hint="eastAsia" w:ascii="仿宋_GB2312" w:eastAsia="仿宋_GB2312"/>
          <w:bCs/>
          <w:sz w:val="32"/>
          <w:szCs w:val="32"/>
          <w:highlight w:val="none"/>
        </w:rPr>
        <w:t>合作设立的子基金，子基金</w:t>
      </w:r>
      <w:r>
        <w:rPr>
          <w:rFonts w:hint="eastAsia" w:ascii="仿宋_GB2312" w:eastAsia="仿宋_GB2312"/>
          <w:sz w:val="32"/>
          <w:szCs w:val="32"/>
          <w:highlight w:val="none"/>
        </w:rPr>
        <w:t>首期总规模不低于2亿元，</w:t>
      </w:r>
      <w:r>
        <w:rPr>
          <w:rFonts w:hint="eastAsia" w:ascii="仿宋_GB2312" w:hAnsi="仿宋" w:eastAsia="仿宋_GB2312" w:cs="仿宋"/>
          <w:sz w:val="32"/>
          <w:szCs w:val="32"/>
          <w:highlight w:val="none"/>
          <w:lang w:eastAsia="zh-CN"/>
        </w:rPr>
        <w:t>转型升级基金</w:t>
      </w:r>
      <w:r>
        <w:rPr>
          <w:rFonts w:hint="eastAsia" w:ascii="仿宋_GB2312" w:eastAsia="仿宋_GB2312"/>
          <w:bCs/>
          <w:sz w:val="32"/>
          <w:szCs w:val="32"/>
          <w:highlight w:val="none"/>
        </w:rPr>
        <w:t>的出资比例不超过30%</w:t>
      </w:r>
      <w:r>
        <w:rPr>
          <w:rFonts w:hint="eastAsia" w:ascii="仿宋_GB2312" w:eastAsia="仿宋_GB2312"/>
          <w:bCs/>
          <w:sz w:val="32"/>
          <w:szCs w:val="32"/>
          <w:highlight w:val="none"/>
          <w:lang w:eastAsia="zh-CN"/>
        </w:rPr>
        <w:t>且不为最大出资方</w:t>
      </w:r>
      <w:r>
        <w:rPr>
          <w:rFonts w:hint="eastAsia" w:ascii="仿宋_GB2312" w:eastAsia="仿宋_GB2312"/>
          <w:bCs/>
          <w:sz w:val="32"/>
          <w:szCs w:val="32"/>
          <w:highlight w:val="none"/>
        </w:rPr>
        <w:t>，</w:t>
      </w:r>
      <w:r>
        <w:rPr>
          <w:rFonts w:hint="eastAsia" w:ascii="仿宋_GB2312" w:hAnsi="仿宋_GB2312" w:eastAsia="仿宋_GB2312" w:cs="仿宋_GB2312"/>
          <w:color w:val="auto"/>
          <w:sz w:val="32"/>
          <w:szCs w:val="32"/>
          <w:highlight w:val="none"/>
        </w:rPr>
        <w:t>与产业项目方非关联的</w:t>
      </w:r>
      <w:r>
        <w:rPr>
          <w:rFonts w:hint="eastAsia" w:ascii="仿宋_GB2312" w:hAnsi="仿宋_GB2312" w:eastAsia="仿宋_GB2312" w:cs="仿宋_GB2312"/>
          <w:color w:val="auto"/>
          <w:sz w:val="32"/>
          <w:szCs w:val="32"/>
          <w:highlight w:val="none"/>
          <w:lang w:eastAsia="zh-CN"/>
        </w:rPr>
        <w:t>独立第三方</w:t>
      </w:r>
      <w:r>
        <w:rPr>
          <w:rFonts w:hint="eastAsia" w:ascii="仿宋_GB2312" w:hAnsi="仿宋_GB2312" w:eastAsia="仿宋_GB2312" w:cs="仿宋_GB2312"/>
          <w:color w:val="auto"/>
          <w:sz w:val="32"/>
          <w:szCs w:val="32"/>
          <w:highlight w:val="none"/>
        </w:rPr>
        <w:t>社会资本出资比例不低于</w:t>
      </w:r>
      <w:r>
        <w:rPr>
          <w:rFonts w:hint="eastAsia" w:ascii="仿宋_GB2312" w:hAnsi="仿宋_GB2312" w:eastAsia="仿宋_GB2312" w:cs="仿宋_GB2312"/>
          <w:color w:val="auto"/>
          <w:sz w:val="32"/>
          <w:szCs w:val="32"/>
          <w:highlight w:val="none"/>
          <w:lang w:eastAsia="zh-CN"/>
        </w:rPr>
        <w:t>子</w:t>
      </w:r>
      <w:r>
        <w:rPr>
          <w:rFonts w:hint="eastAsia" w:ascii="仿宋_GB2312" w:hAnsi="仿宋_GB2312" w:eastAsia="仿宋_GB2312" w:cs="仿宋_GB2312"/>
          <w:color w:val="auto"/>
          <w:sz w:val="32"/>
          <w:szCs w:val="32"/>
          <w:highlight w:val="none"/>
        </w:rPr>
        <w:t>基金规模的20%</w:t>
      </w:r>
      <w:r>
        <w:rPr>
          <w:rFonts w:hint="eastAsia" w:ascii="仿宋_GB2312" w:hAnsi="仿宋_GB2312" w:eastAsia="仿宋_GB2312" w:cs="仿宋_GB2312"/>
          <w:color w:val="auto"/>
          <w:sz w:val="32"/>
          <w:szCs w:val="32"/>
          <w:highlight w:val="none"/>
          <w:lang w:eastAsia="zh-CN"/>
        </w:rPr>
        <w:t>（定向基金中第三方</w:t>
      </w:r>
      <w:r>
        <w:rPr>
          <w:rFonts w:hint="eastAsia" w:ascii="仿宋_GB2312" w:hAnsi="仿宋_GB2312" w:eastAsia="仿宋_GB2312" w:cs="仿宋_GB2312"/>
          <w:color w:val="auto"/>
          <w:sz w:val="32"/>
          <w:szCs w:val="32"/>
          <w:highlight w:val="none"/>
        </w:rPr>
        <w:t>社会资本出资比例</w:t>
      </w:r>
      <w:r>
        <w:rPr>
          <w:rFonts w:hint="eastAsia" w:ascii="仿宋_GB2312" w:hAnsi="仿宋_GB2312" w:eastAsia="仿宋_GB2312" w:cs="仿宋_GB2312"/>
          <w:color w:val="auto"/>
          <w:sz w:val="32"/>
          <w:szCs w:val="32"/>
          <w:highlight w:val="none"/>
          <w:lang w:eastAsia="zh-CN"/>
        </w:rPr>
        <w:t>应</w:t>
      </w:r>
      <w:r>
        <w:rPr>
          <w:rFonts w:hint="eastAsia" w:ascii="仿宋_GB2312" w:hAnsi="仿宋_GB2312" w:eastAsia="仿宋_GB2312" w:cs="仿宋_GB2312"/>
          <w:color w:val="auto"/>
          <w:sz w:val="32"/>
          <w:szCs w:val="32"/>
          <w:highlight w:val="none"/>
        </w:rPr>
        <w:t>不低于</w:t>
      </w:r>
      <w:r>
        <w:rPr>
          <w:rFonts w:hint="eastAsia" w:ascii="仿宋_GB2312" w:hAnsi="仿宋_GB2312" w:eastAsia="仿宋_GB2312" w:cs="仿宋_GB2312"/>
          <w:color w:val="auto"/>
          <w:sz w:val="32"/>
          <w:szCs w:val="32"/>
          <w:highlight w:val="none"/>
          <w:lang w:eastAsia="zh-CN"/>
        </w:rPr>
        <w:t>政府产业基金出资），</w:t>
      </w:r>
      <w:r>
        <w:rPr>
          <w:rFonts w:hint="eastAsia" w:ascii="仿宋_GB2312" w:eastAsia="仿宋_GB2312"/>
          <w:bCs/>
          <w:sz w:val="32"/>
          <w:szCs w:val="32"/>
          <w:highlight w:val="none"/>
        </w:rPr>
        <w:t>且子基金</w:t>
      </w:r>
      <w:r>
        <w:rPr>
          <w:rFonts w:hint="eastAsia" w:ascii="仿宋_GB2312" w:eastAsia="仿宋_GB2312"/>
          <w:sz w:val="32"/>
          <w:szCs w:val="32"/>
          <w:highlight w:val="none"/>
        </w:rPr>
        <w:t>投资于绍兴</w:t>
      </w:r>
      <w:r>
        <w:rPr>
          <w:rFonts w:hint="eastAsia" w:ascii="仿宋_GB2312" w:eastAsia="仿宋_GB2312"/>
          <w:sz w:val="32"/>
          <w:szCs w:val="32"/>
          <w:highlight w:val="none"/>
          <w:lang w:eastAsia="zh-CN"/>
        </w:rPr>
        <w:t>地区</w:t>
      </w:r>
      <w:r>
        <w:rPr>
          <w:rFonts w:hint="eastAsia" w:ascii="仿宋_GB2312" w:eastAsia="仿宋_GB2312"/>
          <w:sz w:val="32"/>
          <w:szCs w:val="32"/>
          <w:highlight w:val="none"/>
        </w:rPr>
        <w:t>企业的投资总额应不低于产业基金实际出资额的</w:t>
      </w:r>
      <w:r>
        <w:rPr>
          <w:rFonts w:hint="eastAsia" w:ascii="仿宋_GB2312" w:eastAsia="仿宋_GB2312"/>
          <w:sz w:val="32"/>
          <w:szCs w:val="32"/>
          <w:highlight w:val="none"/>
          <w:lang w:val="en-US" w:eastAsia="zh-CN"/>
        </w:rPr>
        <w:t>1.5</w:t>
      </w:r>
      <w:r>
        <w:rPr>
          <w:rFonts w:hint="eastAsia" w:ascii="仿宋_GB2312" w:eastAsia="仿宋_GB2312"/>
          <w:sz w:val="32"/>
          <w:szCs w:val="32"/>
          <w:highlight w:val="none"/>
        </w:rPr>
        <w:t>倍</w:t>
      </w:r>
      <w:r>
        <w:rPr>
          <w:rFonts w:hint="eastAsia" w:ascii="仿宋_GB2312" w:eastAsia="仿宋_GB2312"/>
          <w:bCs/>
          <w:sz w:val="32"/>
          <w:szCs w:val="32"/>
          <w:highlight w:val="none"/>
        </w:rPr>
        <w:t>。</w:t>
      </w:r>
    </w:p>
    <w:p>
      <w:pPr>
        <w:spacing w:line="580" w:lineRule="exact"/>
        <w:ind w:firstLine="643" w:firstLineChars="200"/>
        <w:rPr>
          <w:rFonts w:hint="eastAsia" w:ascii="仿宋_GB2312" w:hAnsi="宋体" w:eastAsia="仿宋_GB2312" w:cs="宋体"/>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一</w:t>
      </w:r>
      <w:r>
        <w:rPr>
          <w:rFonts w:hint="eastAsia" w:ascii="仿宋_GB2312" w:eastAsia="仿宋_GB2312"/>
          <w:b/>
          <w:bCs/>
          <w:sz w:val="32"/>
          <w:szCs w:val="32"/>
          <w:highlight w:val="none"/>
        </w:rPr>
        <w:t xml:space="preserve">条  </w:t>
      </w:r>
      <w:r>
        <w:rPr>
          <w:rFonts w:hint="eastAsia" w:ascii="仿宋_GB2312" w:eastAsia="仿宋_GB2312"/>
          <w:bCs/>
          <w:sz w:val="32"/>
          <w:szCs w:val="32"/>
          <w:highlight w:val="none"/>
          <w:lang w:eastAsia="zh-CN"/>
        </w:rPr>
        <w:t>转型升级基金</w:t>
      </w:r>
      <w:r>
        <w:rPr>
          <w:rFonts w:hint="eastAsia" w:ascii="仿宋_GB2312" w:hAnsi="宋体" w:eastAsia="仿宋_GB2312" w:cs="宋体"/>
          <w:sz w:val="32"/>
          <w:szCs w:val="32"/>
          <w:highlight w:val="none"/>
        </w:rPr>
        <w:t>合作设立的子基金应具备以下基本条件：</w:t>
      </w:r>
    </w:p>
    <w:p>
      <w:pPr>
        <w:spacing w:line="580" w:lineRule="exact"/>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1.子基金管理架构已基本确定，并草签</w:t>
      </w:r>
      <w:r>
        <w:rPr>
          <w:rFonts w:hint="eastAsia" w:ascii="仿宋_GB2312" w:hAnsi="宋体" w:eastAsia="仿宋_GB2312" w:cs="宋体"/>
          <w:sz w:val="32"/>
          <w:szCs w:val="32"/>
          <w:highlight w:val="none"/>
          <w:lang w:eastAsia="zh-CN"/>
        </w:rPr>
        <w:t>投资</w:t>
      </w:r>
      <w:r>
        <w:rPr>
          <w:rFonts w:hint="eastAsia" w:ascii="仿宋_GB2312" w:hAnsi="宋体" w:eastAsia="仿宋_GB2312" w:cs="宋体"/>
          <w:sz w:val="32"/>
          <w:szCs w:val="32"/>
          <w:highlight w:val="none"/>
        </w:rPr>
        <w:t>协议、基金合伙协议、委托管理协议、基金托管协议；</w:t>
      </w:r>
    </w:p>
    <w:p>
      <w:pPr>
        <w:spacing w:line="580" w:lineRule="exact"/>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2.设立子基金必须有可投项目储备及项目投资计划</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2"/>
          <w:szCs w:val="32"/>
          <w:highlight w:val="none"/>
          <w:lang w:val="en-US" w:eastAsia="zh-CN"/>
        </w:rPr>
        <w:t>项目可行性研究报告、主管部门出具的立项批复等</w:t>
      </w:r>
      <w:r>
        <w:rPr>
          <w:rFonts w:hint="eastAsia" w:ascii="仿宋_GB2312" w:hAnsi="宋体" w:eastAsia="仿宋_GB2312" w:cs="宋体"/>
          <w:sz w:val="32"/>
          <w:szCs w:val="32"/>
          <w:highlight w:val="none"/>
        </w:rPr>
        <w:t>；</w:t>
      </w:r>
    </w:p>
    <w:p>
      <w:pPr>
        <w:spacing w:line="580" w:lineRule="exact"/>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3.子基金出资人应根据基金规模明确各自的出资额，并</w:t>
      </w:r>
      <w:r>
        <w:rPr>
          <w:rFonts w:hint="eastAsia" w:ascii="仿宋_GB2312" w:hAnsi="宋体" w:eastAsia="仿宋_GB2312" w:cs="宋体"/>
          <w:sz w:val="32"/>
          <w:szCs w:val="32"/>
          <w:highlight w:val="none"/>
          <w:lang w:eastAsia="zh-CN"/>
        </w:rPr>
        <w:t>书面</w:t>
      </w:r>
      <w:r>
        <w:rPr>
          <w:rFonts w:hint="eastAsia" w:ascii="仿宋_GB2312" w:hAnsi="宋体" w:eastAsia="仿宋_GB2312" w:cs="宋体"/>
          <w:sz w:val="32"/>
          <w:szCs w:val="32"/>
          <w:highlight w:val="none"/>
        </w:rPr>
        <w:t>承诺出资及时足额到位；</w:t>
      </w:r>
    </w:p>
    <w:p>
      <w:pPr>
        <w:spacing w:line="580" w:lineRule="exact"/>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 xml:space="preserve">4. </w:t>
      </w:r>
      <w:r>
        <w:rPr>
          <w:rFonts w:hint="eastAsia" w:ascii="仿宋_GB2312" w:hAnsi="宋体" w:eastAsia="仿宋_GB2312" w:cs="宋体"/>
          <w:sz w:val="32"/>
          <w:szCs w:val="32"/>
          <w:highlight w:val="none"/>
          <w:lang w:eastAsia="zh-CN"/>
        </w:rPr>
        <w:t>转型升级基金</w:t>
      </w:r>
      <w:r>
        <w:rPr>
          <w:rFonts w:hint="eastAsia" w:ascii="仿宋_GB2312" w:eastAsia="仿宋_GB2312"/>
          <w:sz w:val="32"/>
          <w:szCs w:val="32"/>
          <w:highlight w:val="none"/>
        </w:rPr>
        <w:t>不得作为普通合伙人承担无限责任，且不能成为最大出资人；子基金的其余资金应依法募集。</w:t>
      </w:r>
    </w:p>
    <w:p>
      <w:pPr>
        <w:spacing w:line="580" w:lineRule="exact"/>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 xml:space="preserve">5. </w:t>
      </w:r>
      <w:r>
        <w:rPr>
          <w:rFonts w:hint="eastAsia" w:ascii="仿宋_GB2312" w:eastAsia="仿宋_GB2312"/>
          <w:sz w:val="32"/>
          <w:szCs w:val="32"/>
          <w:highlight w:val="none"/>
        </w:rPr>
        <w:t>子基金应在绍兴市</w:t>
      </w:r>
      <w:r>
        <w:rPr>
          <w:rFonts w:hint="eastAsia" w:ascii="仿宋_GB2312" w:eastAsia="仿宋_GB2312"/>
          <w:sz w:val="32"/>
          <w:szCs w:val="32"/>
          <w:highlight w:val="none"/>
          <w:lang w:eastAsia="zh-CN"/>
        </w:rPr>
        <w:t>行政区域</w:t>
      </w:r>
      <w:r>
        <w:rPr>
          <w:rFonts w:hint="eastAsia" w:ascii="仿宋_GB2312" w:eastAsia="仿宋_GB2312"/>
          <w:sz w:val="32"/>
          <w:szCs w:val="32"/>
          <w:highlight w:val="none"/>
        </w:rPr>
        <w:t>内注册。</w:t>
      </w:r>
    </w:p>
    <w:p>
      <w:pPr>
        <w:ind w:firstLine="643" w:firstLineChars="200"/>
        <w:rPr>
          <w:rFonts w:hint="eastAsia" w:ascii="楷体_GB2312" w:hAnsi="楷体" w:eastAsia="楷体_GB2312" w:cs="楷体"/>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hAnsi="仿宋" w:eastAsia="仿宋_GB2312" w:cs="仿宋"/>
          <w:sz w:val="32"/>
          <w:szCs w:val="32"/>
          <w:highlight w:val="none"/>
          <w:lang w:eastAsia="zh-CN"/>
        </w:rPr>
        <w:t>转型升级基金</w:t>
      </w:r>
      <w:r>
        <w:rPr>
          <w:rFonts w:hint="eastAsia" w:ascii="仿宋_GB2312" w:eastAsia="仿宋_GB2312"/>
          <w:sz w:val="32"/>
          <w:szCs w:val="32"/>
          <w:highlight w:val="none"/>
        </w:rPr>
        <w:t>合作设立的子基金应委托专业机构进行运作和管理，选聘的专业机构应符合以下基本条件</w:t>
      </w:r>
      <w:r>
        <w:rPr>
          <w:rFonts w:hint="eastAsia" w:ascii="楷体_GB2312" w:hAnsi="楷体" w:eastAsia="楷体_GB2312" w:cs="楷体"/>
          <w:sz w:val="32"/>
          <w:szCs w:val="32"/>
          <w:highlight w:val="none"/>
        </w:rPr>
        <w:t>：</w:t>
      </w:r>
    </w:p>
    <w:p>
      <w:pPr>
        <w:numPr>
          <w:ilvl w:val="0"/>
          <w:numId w:val="1"/>
        </w:numPr>
        <w:ind w:firstLine="640" w:firstLineChars="200"/>
        <w:rPr>
          <w:rFonts w:hint="eastAsia" w:ascii="仿宋_GB2312" w:eastAsia="仿宋_GB2312"/>
          <w:sz w:val="32"/>
          <w:szCs w:val="32"/>
          <w:highlight w:val="none"/>
        </w:rPr>
      </w:pPr>
      <w:r>
        <w:rPr>
          <w:rFonts w:hint="eastAsia" w:ascii="仿宋_GB2312" w:hAnsi="仿宋_GB2312" w:eastAsia="仿宋_GB2312" w:cs="仿宋_GB2312"/>
          <w:color w:val="auto"/>
          <w:sz w:val="32"/>
          <w:szCs w:val="32"/>
          <w:highlight w:val="none"/>
        </w:rPr>
        <w:t>在中华人民共和国境内依法设立，且已在相关主管部门或行业自律组织登记备案，注册资本不低于1000万元，</w:t>
      </w:r>
      <w:r>
        <w:rPr>
          <w:rFonts w:hint="eastAsia" w:ascii="仿宋_GB2312" w:hAnsi="仿宋_GB2312" w:eastAsia="仿宋_GB2312" w:cs="仿宋_GB2312"/>
          <w:color w:val="auto"/>
          <w:sz w:val="32"/>
          <w:szCs w:val="32"/>
          <w:highlight w:val="none"/>
          <w:lang w:eastAsia="zh-CN"/>
        </w:rPr>
        <w:t>机构及其从业人员在</w:t>
      </w:r>
      <w:r>
        <w:rPr>
          <w:rFonts w:hint="eastAsia" w:ascii="仿宋_GB2312" w:hAnsi="仿宋_GB2312" w:eastAsia="仿宋_GB2312" w:cs="仿宋_GB2312"/>
          <w:color w:val="auto"/>
          <w:sz w:val="32"/>
          <w:szCs w:val="32"/>
          <w:highlight w:val="none"/>
        </w:rPr>
        <w:t>最近</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重大违法违规行为</w:t>
      </w:r>
      <w:r>
        <w:rPr>
          <w:rFonts w:hint="eastAsia" w:ascii="仿宋_GB2312" w:eastAsia="仿宋_GB2312"/>
          <w:sz w:val="32"/>
          <w:szCs w:val="32"/>
          <w:highlight w:val="none"/>
        </w:rPr>
        <w:t>；</w:t>
      </w:r>
    </w:p>
    <w:p>
      <w:pPr>
        <w:numPr>
          <w:ilvl w:val="0"/>
          <w:numId w:val="1"/>
        </w:num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有</w:t>
      </w:r>
      <w:r>
        <w:rPr>
          <w:rFonts w:hint="eastAsia" w:ascii="仿宋_GB2312" w:eastAsia="仿宋_GB2312"/>
          <w:sz w:val="32"/>
          <w:szCs w:val="32"/>
          <w:highlight w:val="none"/>
          <w:lang w:eastAsia="zh-CN"/>
        </w:rPr>
        <w:t>符合要求</w:t>
      </w:r>
      <w:r>
        <w:rPr>
          <w:rFonts w:hint="eastAsia" w:ascii="仿宋_GB2312" w:eastAsia="仿宋_GB2312"/>
          <w:sz w:val="32"/>
          <w:szCs w:val="32"/>
          <w:highlight w:val="none"/>
        </w:rPr>
        <w:t>的营业场所和与其业务相适应的软硬件设施；</w:t>
      </w:r>
    </w:p>
    <w:p>
      <w:pPr>
        <w:numPr>
          <w:ilvl w:val="0"/>
          <w:numId w:val="1"/>
        </w:num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具备丰富的投资管理经验和良好的管理业绩，健全的投资管理和风险控制流程，规范的项目遴选机制，能够为被投资企业提供创业辅导、管理咨询等增值服务；</w:t>
      </w:r>
    </w:p>
    <w:p>
      <w:pPr>
        <w:rPr>
          <w:rFonts w:hint="eastAsia" w:ascii="仿宋_GB2312" w:eastAsia="仿宋_GB2312"/>
          <w:sz w:val="32"/>
          <w:szCs w:val="32"/>
          <w:highlight w:val="none"/>
        </w:rPr>
      </w:pPr>
      <w:r>
        <w:rPr>
          <w:rFonts w:hint="eastAsia" w:ascii="仿宋_GB2312" w:eastAsia="仿宋_GB2312"/>
          <w:sz w:val="32"/>
          <w:szCs w:val="32"/>
          <w:highlight w:val="none"/>
        </w:rPr>
        <w:t xml:space="preserve">    4.至少有3名具备3年以上</w:t>
      </w:r>
      <w:r>
        <w:rPr>
          <w:rFonts w:hint="eastAsia" w:ascii="仿宋_GB2312" w:hAnsi="仿宋_GB2312" w:eastAsia="仿宋_GB2312" w:cs="仿宋_GB2312"/>
          <w:color w:val="auto"/>
          <w:sz w:val="32"/>
          <w:szCs w:val="32"/>
          <w:highlight w:val="none"/>
        </w:rPr>
        <w:t>股权投资或</w:t>
      </w:r>
      <w:r>
        <w:rPr>
          <w:rFonts w:hint="eastAsia" w:ascii="仿宋_GB2312" w:hAnsi="仿宋_GB2312" w:eastAsia="仿宋_GB2312" w:cs="仿宋_GB2312"/>
          <w:color w:val="auto"/>
          <w:sz w:val="32"/>
          <w:szCs w:val="32"/>
          <w:highlight w:val="none"/>
          <w:lang w:eastAsia="zh-CN"/>
        </w:rPr>
        <w:t>股权投资</w:t>
      </w:r>
      <w:r>
        <w:rPr>
          <w:rFonts w:hint="eastAsia" w:ascii="仿宋_GB2312" w:hAnsi="仿宋_GB2312" w:eastAsia="仿宋_GB2312" w:cs="仿宋_GB2312"/>
          <w:color w:val="auto"/>
          <w:sz w:val="32"/>
          <w:szCs w:val="32"/>
          <w:highlight w:val="none"/>
        </w:rPr>
        <w:t>基金管理</w:t>
      </w:r>
      <w:r>
        <w:rPr>
          <w:rFonts w:hint="eastAsia" w:ascii="仿宋_GB2312" w:eastAsia="仿宋_GB2312"/>
          <w:sz w:val="32"/>
          <w:szCs w:val="32"/>
          <w:highlight w:val="none"/>
          <w:lang w:eastAsia="zh-CN"/>
        </w:rPr>
        <w:t>工作</w:t>
      </w:r>
      <w:r>
        <w:rPr>
          <w:rFonts w:hint="eastAsia" w:ascii="仿宋_GB2312" w:eastAsia="仿宋_GB2312"/>
          <w:sz w:val="32"/>
          <w:szCs w:val="32"/>
          <w:highlight w:val="none"/>
        </w:rPr>
        <w:t>经验的高级管理人员，有3个</w:t>
      </w:r>
      <w:r>
        <w:rPr>
          <w:rFonts w:hint="eastAsia" w:ascii="仿宋_GB2312" w:hAnsi="仿宋_GB2312" w:eastAsia="仿宋_GB2312" w:cs="仿宋_GB2312"/>
          <w:color w:val="auto"/>
          <w:sz w:val="32"/>
          <w:szCs w:val="32"/>
          <w:highlight w:val="none"/>
        </w:rPr>
        <w:t>（含）</w:t>
      </w:r>
      <w:r>
        <w:rPr>
          <w:rFonts w:hint="eastAsia" w:ascii="仿宋_GB2312" w:eastAsia="仿宋_GB2312"/>
          <w:sz w:val="32"/>
          <w:szCs w:val="32"/>
          <w:highlight w:val="none"/>
        </w:rPr>
        <w:t>以上股权投资的成功案例</w:t>
      </w:r>
      <w:r>
        <w:rPr>
          <w:rFonts w:hint="eastAsia" w:ascii="仿宋_GB2312" w:hAnsi="宋体" w:eastAsia="仿宋_GB2312" w:cs="宋体"/>
          <w:sz w:val="32"/>
          <w:szCs w:val="32"/>
          <w:highlight w:val="none"/>
        </w:rPr>
        <w:t>。</w:t>
      </w:r>
    </w:p>
    <w:p>
      <w:pPr>
        <w:ind w:firstLine="640"/>
        <w:rPr>
          <w:rFonts w:hint="eastAsia" w:ascii="仿宋_GB2312" w:eastAsia="仿宋_GB2312"/>
          <w:sz w:val="32"/>
          <w:szCs w:val="32"/>
          <w:highlight w:val="none"/>
        </w:rPr>
      </w:pPr>
      <w:r>
        <w:rPr>
          <w:rFonts w:hint="eastAsia" w:ascii="仿宋_GB2312" w:eastAsia="仿宋_GB2312"/>
          <w:b/>
          <w:bCs/>
          <w:sz w:val="32"/>
          <w:szCs w:val="32"/>
          <w:highlight w:val="none"/>
        </w:rPr>
        <w:t>第二十</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 xml:space="preserve">条  </w:t>
      </w:r>
      <w:r>
        <w:rPr>
          <w:rFonts w:hint="eastAsia" w:ascii="仿宋_GB2312" w:eastAsia="仿宋_GB2312"/>
          <w:sz w:val="32"/>
          <w:szCs w:val="32"/>
          <w:highlight w:val="none"/>
        </w:rPr>
        <w:t>经</w:t>
      </w:r>
      <w:r>
        <w:rPr>
          <w:rFonts w:hint="eastAsia" w:ascii="仿宋_GB2312" w:eastAsia="仿宋_GB2312"/>
          <w:sz w:val="32"/>
          <w:szCs w:val="32"/>
          <w:highlight w:val="none"/>
          <w:lang w:eastAsia="zh-CN"/>
        </w:rPr>
        <w:t>基金管委会审批同意</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基金</w:t>
      </w:r>
      <w:r>
        <w:rPr>
          <w:rFonts w:hint="eastAsia" w:ascii="仿宋_GB2312" w:eastAsia="仿宋_GB2312"/>
          <w:sz w:val="32"/>
          <w:szCs w:val="32"/>
          <w:highlight w:val="none"/>
        </w:rPr>
        <w:t>可采用“直接投资”运作模式扶持重点企业、重大产业项目的引进和培育，具体可根据不同类别的投资对象，</w:t>
      </w:r>
      <w:r>
        <w:rPr>
          <w:rFonts w:hint="eastAsia" w:ascii="仿宋_GB2312" w:hAnsi="仿宋_GB2312" w:eastAsia="仿宋_GB2312" w:cs="仿宋_GB2312"/>
          <w:color w:val="auto"/>
          <w:sz w:val="32"/>
          <w:szCs w:val="32"/>
          <w:highlight w:val="none"/>
        </w:rPr>
        <w:t>采取新设公司、参与增资、受让股权等投资</w:t>
      </w:r>
      <w:r>
        <w:rPr>
          <w:rFonts w:hint="eastAsia" w:ascii="仿宋_GB2312" w:hAnsi="仿宋_GB2312" w:eastAsia="仿宋_GB2312" w:cs="仿宋_GB2312"/>
          <w:color w:val="auto"/>
          <w:sz w:val="32"/>
          <w:szCs w:val="32"/>
          <w:highlight w:val="none"/>
          <w:lang w:eastAsia="zh-CN"/>
        </w:rPr>
        <w:t>方</w:t>
      </w:r>
      <w:r>
        <w:rPr>
          <w:rFonts w:hint="eastAsia" w:ascii="仿宋_GB2312" w:hAnsi="仿宋_GB2312" w:eastAsia="仿宋_GB2312" w:cs="仿宋_GB2312"/>
          <w:color w:val="auto"/>
          <w:sz w:val="32"/>
          <w:szCs w:val="32"/>
          <w:highlight w:val="none"/>
        </w:rPr>
        <w:t>式。</w:t>
      </w:r>
      <w:r>
        <w:rPr>
          <w:rFonts w:hint="eastAsia" w:ascii="仿宋_GB2312" w:eastAsia="仿宋_GB2312"/>
          <w:sz w:val="32"/>
          <w:szCs w:val="32"/>
          <w:highlight w:val="none"/>
        </w:rPr>
        <w:t>直接投资的项目出资中如有非现金资产，需经具备资质的资产评估机构进行评估，合理确定产业基金出资比例。</w:t>
      </w:r>
      <w:r>
        <w:rPr>
          <w:rFonts w:hint="eastAsia" w:ascii="仿宋_GB2312" w:hAnsi="仿宋" w:eastAsia="仿宋_GB2312" w:cs="仿宋"/>
          <w:sz w:val="32"/>
          <w:szCs w:val="32"/>
          <w:highlight w:val="none"/>
          <w:lang w:eastAsia="zh-CN"/>
        </w:rPr>
        <w:t>转型升级基金</w:t>
      </w:r>
      <w:r>
        <w:rPr>
          <w:rFonts w:hint="eastAsia" w:ascii="仿宋_GB2312" w:eastAsia="仿宋_GB2312"/>
          <w:sz w:val="32"/>
          <w:szCs w:val="32"/>
          <w:highlight w:val="none"/>
        </w:rPr>
        <w:t>出资比例一般不高于20%，且不为第一大股东。</w:t>
      </w:r>
    </w:p>
    <w:p>
      <w:pPr>
        <w:ind w:firstLine="640"/>
        <w:rPr>
          <w:rFonts w:hint="eastAsia" w:ascii="仿宋_GB2312" w:eastAsia="仿宋_GB2312"/>
          <w:b w:val="0"/>
          <w:bCs w:val="0"/>
          <w:sz w:val="32"/>
          <w:szCs w:val="32"/>
          <w:highlight w:val="none"/>
          <w:lang w:val="en-US" w:eastAsia="zh-CN"/>
        </w:rPr>
      </w:pPr>
      <w:r>
        <w:rPr>
          <w:rFonts w:hint="eastAsia" w:ascii="仿宋_GB2312" w:eastAsia="仿宋_GB2312"/>
          <w:b/>
          <w:bCs/>
          <w:sz w:val="32"/>
          <w:szCs w:val="32"/>
          <w:highlight w:val="none"/>
          <w:lang w:eastAsia="zh-CN"/>
        </w:rPr>
        <w:t>第二十四条</w:t>
      </w:r>
      <w:r>
        <w:rPr>
          <w:rFonts w:hint="eastAsia" w:ascii="仿宋_GB2312" w:eastAsia="仿宋_GB2312"/>
          <w:b/>
          <w:bCs/>
          <w:sz w:val="32"/>
          <w:szCs w:val="32"/>
          <w:highlight w:val="none"/>
          <w:lang w:val="en-US" w:eastAsia="zh-CN"/>
        </w:rPr>
        <w:t xml:space="preserve"> </w:t>
      </w:r>
      <w:r>
        <w:rPr>
          <w:rFonts w:hint="eastAsia" w:ascii="仿宋_GB2312" w:eastAsia="仿宋_GB2312"/>
          <w:b w:val="0"/>
          <w:bCs w:val="0"/>
          <w:sz w:val="32"/>
          <w:szCs w:val="32"/>
          <w:highlight w:val="none"/>
          <w:lang w:val="en-US" w:eastAsia="zh-CN"/>
        </w:rPr>
        <w:t>除扶持企业上市项目外，直投项目应具备下列基本条件：</w:t>
      </w:r>
    </w:p>
    <w:p>
      <w:pPr>
        <w:numPr>
          <w:ilvl w:val="0"/>
          <w:numId w:val="2"/>
        </w:numPr>
        <w:ind w:firstLine="640"/>
        <w:rPr>
          <w:rFonts w:hint="eastAsia" w:ascii="仿宋_GB2312" w:hAnsi="仿宋_GB2312" w:eastAsia="仿宋_GB2312" w:cs="仿宋_GB2312"/>
          <w:sz w:val="32"/>
          <w:szCs w:val="32"/>
          <w:highlight w:val="none"/>
          <w:lang w:val="en-US" w:eastAsia="zh-CN"/>
        </w:rPr>
      </w:pPr>
      <w:r>
        <w:rPr>
          <w:rFonts w:hint="eastAsia" w:ascii="仿宋_GB2312" w:eastAsia="仿宋_GB2312"/>
          <w:b w:val="0"/>
          <w:bCs w:val="0"/>
          <w:sz w:val="32"/>
          <w:szCs w:val="32"/>
          <w:highlight w:val="none"/>
          <w:lang w:val="en-US" w:eastAsia="zh-CN"/>
        </w:rPr>
        <w:t>有具体的</w:t>
      </w:r>
      <w:r>
        <w:rPr>
          <w:rFonts w:hint="eastAsia" w:ascii="仿宋_GB2312" w:hAnsi="宋体" w:eastAsia="仿宋_GB2312" w:cs="宋体"/>
          <w:sz w:val="32"/>
          <w:szCs w:val="32"/>
          <w:highlight w:val="none"/>
        </w:rPr>
        <w:t>项目投资</w:t>
      </w:r>
      <w:r>
        <w:rPr>
          <w:rFonts w:hint="eastAsia" w:ascii="仿宋_GB2312" w:hAnsi="宋体" w:eastAsia="仿宋_GB2312" w:cs="宋体"/>
          <w:sz w:val="32"/>
          <w:szCs w:val="32"/>
          <w:highlight w:val="none"/>
          <w:lang w:eastAsia="zh-CN"/>
        </w:rPr>
        <w:t>方案、</w:t>
      </w:r>
      <w:r>
        <w:rPr>
          <w:rFonts w:hint="eastAsia" w:ascii="仿宋_GB2312" w:hAnsi="仿宋_GB2312" w:eastAsia="仿宋_GB2312" w:cs="仿宋_GB2312"/>
          <w:sz w:val="32"/>
          <w:szCs w:val="32"/>
          <w:highlight w:val="none"/>
          <w:lang w:val="en-US" w:eastAsia="zh-CN"/>
        </w:rPr>
        <w:t>项目可行性研究报告、主管部门出具的立项批复等；</w:t>
      </w:r>
    </w:p>
    <w:p>
      <w:pPr>
        <w:numPr>
          <w:ilvl w:val="0"/>
          <w:numId w:val="2"/>
        </w:num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有明确的投资规模和资金募集情况；</w:t>
      </w:r>
    </w:p>
    <w:p>
      <w:pPr>
        <w:numPr>
          <w:ilvl w:val="0"/>
          <w:numId w:val="2"/>
        </w:num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直投项目公司注册地在绍兴市行政区域内。</w:t>
      </w:r>
    </w:p>
    <w:p>
      <w:pPr>
        <w:ind w:firstLine="640"/>
        <w:rPr>
          <w:rFonts w:hint="eastAsia" w:ascii="仿宋_GB2312" w:eastAsia="仿宋_GB2312"/>
          <w:b w:val="0"/>
          <w:bCs w:val="0"/>
          <w:sz w:val="32"/>
          <w:szCs w:val="32"/>
          <w:highlight w:val="none"/>
          <w:lang w:val="en-US" w:eastAsia="zh-CN"/>
        </w:rPr>
      </w:pPr>
    </w:p>
    <w:p>
      <w:pPr>
        <w:jc w:val="center"/>
        <w:rPr>
          <w:rFonts w:hint="eastAsia" w:ascii="仿宋_GB2312" w:eastAsia="仿宋_GB2312"/>
          <w:sz w:val="32"/>
          <w:szCs w:val="32"/>
          <w:highlight w:val="none"/>
        </w:rPr>
      </w:pPr>
      <w:r>
        <w:rPr>
          <w:rFonts w:hint="eastAsia" w:ascii="黑体" w:hAnsi="黑体" w:eastAsia="黑体" w:cs="黑体"/>
          <w:sz w:val="32"/>
          <w:szCs w:val="32"/>
          <w:highlight w:val="none"/>
        </w:rPr>
        <w:t>第五章  投资管理程序</w:t>
      </w:r>
    </w:p>
    <w:p>
      <w:pPr>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第二十五条</w:t>
      </w:r>
      <w:r>
        <w:rPr>
          <w:rFonts w:hint="eastAsia" w:ascii="仿宋_GB2312" w:eastAsia="仿宋_GB2312"/>
          <w:sz w:val="32"/>
          <w:szCs w:val="32"/>
          <w:highlight w:val="none"/>
        </w:rPr>
        <w:t xml:space="preserve"> </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主要采取市场化征集投资项目的方式，具体由相关主管部门根据基金的投资原则和相关要求，向社会公开征集项目投资意向，向基金</w:t>
      </w:r>
      <w:r>
        <w:rPr>
          <w:rFonts w:hint="eastAsia" w:ascii="仿宋_GB2312" w:eastAsia="仿宋_GB2312"/>
          <w:sz w:val="32"/>
          <w:szCs w:val="32"/>
          <w:highlight w:val="none"/>
          <w:lang w:eastAsia="zh-CN"/>
        </w:rPr>
        <w:t>管委会办公室</w:t>
      </w:r>
      <w:r>
        <w:rPr>
          <w:rFonts w:hint="eastAsia" w:ascii="仿宋_GB2312" w:eastAsia="仿宋_GB2312"/>
          <w:sz w:val="32"/>
          <w:szCs w:val="32"/>
          <w:highlight w:val="none"/>
        </w:rPr>
        <w:t>进行推荐。</w:t>
      </w:r>
    </w:p>
    <w:p>
      <w:pPr>
        <w:ind w:firstLine="643" w:firstLineChars="200"/>
        <w:rPr>
          <w:rFonts w:hint="eastAsia" w:ascii="仿宋_GB2312" w:hAnsi="仿宋_GB2312" w:eastAsia="仿宋_GB2312" w:cs="仿宋_GB2312"/>
          <w:sz w:val="32"/>
          <w:szCs w:val="32"/>
          <w:highlight w:val="none"/>
        </w:rPr>
      </w:pPr>
      <w:r>
        <w:rPr>
          <w:rFonts w:hint="eastAsia" w:ascii="仿宋_GB2312" w:eastAsia="仿宋_GB2312"/>
          <w:b/>
          <w:bCs/>
          <w:sz w:val="32"/>
          <w:szCs w:val="32"/>
          <w:highlight w:val="none"/>
        </w:rPr>
        <w:t>第二十六条</w:t>
      </w:r>
      <w:r>
        <w:rPr>
          <w:rFonts w:hint="eastAsia" w:ascii="仿宋_GB2312" w:eastAsia="仿宋_GB2312"/>
          <w:sz w:val="32"/>
          <w:szCs w:val="32"/>
          <w:highlight w:val="none"/>
        </w:rPr>
        <w:t xml:space="preserve"> 基金</w:t>
      </w:r>
      <w:r>
        <w:rPr>
          <w:rFonts w:hint="eastAsia" w:ascii="仿宋_GB2312" w:eastAsia="仿宋_GB2312"/>
          <w:sz w:val="32"/>
          <w:szCs w:val="32"/>
          <w:highlight w:val="none"/>
          <w:lang w:eastAsia="zh-CN"/>
        </w:rPr>
        <w:t>管委会办公室</w:t>
      </w:r>
      <w:r>
        <w:rPr>
          <w:rFonts w:hint="eastAsia" w:ascii="仿宋_GB2312" w:eastAsia="仿宋_GB2312"/>
          <w:sz w:val="32"/>
          <w:szCs w:val="32"/>
          <w:highlight w:val="none"/>
        </w:rPr>
        <w:t>对各方提出的投资意向要进行筛选汇总，</w:t>
      </w:r>
      <w:r>
        <w:rPr>
          <w:rFonts w:hint="eastAsia" w:ascii="仿宋_GB2312" w:eastAsia="仿宋_GB2312"/>
          <w:sz w:val="32"/>
          <w:szCs w:val="32"/>
          <w:highlight w:val="none"/>
          <w:lang w:eastAsia="zh-CN"/>
        </w:rPr>
        <w:t>对</w:t>
      </w:r>
      <w:r>
        <w:rPr>
          <w:rFonts w:hint="eastAsia" w:ascii="仿宋_GB2312" w:hAnsi="仿宋_GB2312" w:eastAsia="仿宋_GB2312" w:cs="仿宋_GB2312"/>
          <w:color w:val="auto"/>
          <w:sz w:val="32"/>
          <w:szCs w:val="32"/>
          <w:highlight w:val="none"/>
          <w:lang w:val="en-US" w:eastAsia="zh-CN"/>
        </w:rPr>
        <w:t>符合要求</w:t>
      </w:r>
      <w:r>
        <w:rPr>
          <w:rFonts w:hint="eastAsia" w:ascii="仿宋_GB2312" w:hAnsi="仿宋_GB2312" w:eastAsia="仿宋_GB2312" w:cs="仿宋_GB2312"/>
          <w:color w:val="auto"/>
          <w:sz w:val="32"/>
          <w:szCs w:val="32"/>
          <w:highlight w:val="none"/>
          <w:u w:val="none"/>
          <w:lang w:val="en-US" w:eastAsia="zh-CN"/>
        </w:rPr>
        <w:t>的</w:t>
      </w:r>
      <w:r>
        <w:rPr>
          <w:rFonts w:hint="eastAsia" w:ascii="仿宋_GB2312" w:hAnsi="仿宋_GB2312" w:eastAsia="仿宋_GB2312" w:cs="仿宋_GB2312"/>
          <w:color w:val="auto"/>
          <w:sz w:val="32"/>
          <w:szCs w:val="32"/>
          <w:highlight w:val="none"/>
        </w:rPr>
        <w:t>予以立项，交由基金管理公司开展尽职调查。基金管理公司</w:t>
      </w:r>
      <w:r>
        <w:rPr>
          <w:rFonts w:hint="eastAsia" w:ascii="仿宋_GB2312" w:eastAsia="仿宋_GB2312"/>
          <w:sz w:val="32"/>
          <w:szCs w:val="32"/>
          <w:highlight w:val="none"/>
        </w:rPr>
        <w:t>开展</w:t>
      </w:r>
      <w:r>
        <w:rPr>
          <w:rFonts w:hint="eastAsia" w:ascii="仿宋_GB2312" w:hAnsi="仿宋_GB2312" w:eastAsia="仿宋_GB2312" w:cs="仿宋_GB2312"/>
          <w:sz w:val="32"/>
          <w:szCs w:val="32"/>
          <w:highlight w:val="none"/>
        </w:rPr>
        <w:t>尽职调查、</w:t>
      </w:r>
      <w:r>
        <w:rPr>
          <w:rFonts w:hint="eastAsia" w:ascii="仿宋_GB2312" w:hAnsi="仿宋_GB2312" w:eastAsia="仿宋_GB2312" w:cs="仿宋_GB2312"/>
          <w:sz w:val="32"/>
          <w:szCs w:val="32"/>
          <w:highlight w:val="none"/>
          <w:lang w:eastAsia="zh-CN"/>
        </w:rPr>
        <w:t>投资</w:t>
      </w:r>
      <w:r>
        <w:rPr>
          <w:rFonts w:hint="eastAsia" w:ascii="仿宋_GB2312" w:hAnsi="仿宋_GB2312" w:eastAsia="仿宋_GB2312" w:cs="仿宋_GB2312"/>
          <w:sz w:val="32"/>
          <w:szCs w:val="32"/>
          <w:highlight w:val="none"/>
        </w:rPr>
        <w:t>谈判等前期工作后，</w:t>
      </w:r>
      <w:r>
        <w:rPr>
          <w:rFonts w:hint="eastAsia" w:ascii="仿宋_GB2312" w:hAnsi="仿宋_GB2312" w:eastAsia="仿宋_GB2312" w:cs="仿宋_GB2312"/>
          <w:color w:val="auto"/>
          <w:sz w:val="32"/>
          <w:szCs w:val="32"/>
          <w:highlight w:val="none"/>
        </w:rPr>
        <w:t>形成</w:t>
      </w:r>
      <w:r>
        <w:rPr>
          <w:rFonts w:hint="eastAsia" w:ascii="仿宋_GB2312" w:hAnsi="仿宋_GB2312" w:eastAsia="仿宋_GB2312" w:cs="仿宋_GB2312"/>
          <w:sz w:val="32"/>
          <w:szCs w:val="32"/>
          <w:highlight w:val="none"/>
        </w:rPr>
        <w:t>尽职调查</w:t>
      </w:r>
      <w:r>
        <w:rPr>
          <w:rFonts w:hint="eastAsia" w:ascii="仿宋_GB2312" w:hAnsi="仿宋_GB2312" w:eastAsia="仿宋_GB2312" w:cs="仿宋_GB2312"/>
          <w:sz w:val="32"/>
          <w:szCs w:val="32"/>
          <w:highlight w:val="none"/>
          <w:lang w:eastAsia="zh-CN"/>
        </w:rPr>
        <w:t>报告和</w:t>
      </w:r>
      <w:r>
        <w:rPr>
          <w:rFonts w:hint="eastAsia" w:ascii="仿宋_GB2312" w:hAnsi="仿宋_GB2312" w:eastAsia="仿宋_GB2312" w:cs="仿宋_GB2312"/>
          <w:color w:val="auto"/>
          <w:sz w:val="32"/>
          <w:szCs w:val="32"/>
          <w:highlight w:val="none"/>
        </w:rPr>
        <w:t>投资建议书</w:t>
      </w:r>
      <w:r>
        <w:rPr>
          <w:rFonts w:hint="eastAsia" w:ascii="仿宋_GB2312" w:hAnsi="仿宋_GB2312" w:eastAsia="仿宋_GB2312" w:cs="仿宋_GB2312"/>
          <w:sz w:val="32"/>
          <w:szCs w:val="32"/>
          <w:highlight w:val="none"/>
        </w:rPr>
        <w:t>，就拟投资项目的投资模式、投资期限、投资金额、收益分配、</w:t>
      </w:r>
      <w:r>
        <w:rPr>
          <w:rFonts w:hint="eastAsia" w:ascii="仿宋_GB2312" w:hAnsi="仿宋_GB2312" w:eastAsia="仿宋_GB2312" w:cs="仿宋_GB2312"/>
          <w:color w:val="auto"/>
          <w:sz w:val="32"/>
          <w:szCs w:val="32"/>
          <w:highlight w:val="none"/>
          <w:lang w:eastAsia="zh-CN"/>
        </w:rPr>
        <w:t>让利措施、</w:t>
      </w:r>
      <w:r>
        <w:rPr>
          <w:rFonts w:hint="eastAsia" w:ascii="仿宋_GB2312" w:hAnsi="仿宋_GB2312" w:eastAsia="仿宋_GB2312" w:cs="仿宋_GB2312"/>
          <w:sz w:val="32"/>
          <w:szCs w:val="32"/>
          <w:highlight w:val="none"/>
        </w:rPr>
        <w:t>退出方式等提出意见建议。</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第二十七条</w:t>
      </w:r>
      <w:r>
        <w:rPr>
          <w:rFonts w:hint="eastAsia" w:ascii="仿宋_GB2312" w:hAnsi="仿宋_GB2312" w:eastAsia="仿宋_GB2312" w:cs="仿宋_GB2312"/>
          <w:sz w:val="32"/>
          <w:szCs w:val="32"/>
          <w:highlight w:val="none"/>
        </w:rPr>
        <w:t xml:space="preserve"> 根据基金管理公司提出的拟投资项目方案，</w:t>
      </w:r>
      <w:r>
        <w:rPr>
          <w:rFonts w:hint="eastAsia" w:ascii="仿宋_GB2312" w:hAnsi="仿宋_GB2312" w:eastAsia="仿宋_GB2312" w:cs="仿宋_GB2312"/>
          <w:sz w:val="32"/>
          <w:szCs w:val="32"/>
          <w:highlight w:val="none"/>
          <w:lang w:eastAsia="zh-CN"/>
        </w:rPr>
        <w:t>市财投公司（市国投公司）审核并提出意见，授权委派的基金公司董事行使表决权。基金公司按公司章程规定召开董事会进行审议和表决。审议通过的项目方案交由</w:t>
      </w:r>
      <w:r>
        <w:rPr>
          <w:rFonts w:hint="eastAsia" w:ascii="仿宋_GB2312" w:hAnsi="仿宋_GB2312" w:eastAsia="仿宋_GB2312" w:cs="仿宋_GB2312"/>
          <w:sz w:val="32"/>
          <w:szCs w:val="32"/>
          <w:highlight w:val="none"/>
        </w:rPr>
        <w:t>管委会办公室组织</w:t>
      </w:r>
      <w:r>
        <w:rPr>
          <w:rFonts w:hint="eastAsia" w:ascii="仿宋_GB2312" w:hAnsi="仿宋_GB2312" w:eastAsia="仿宋_GB2312" w:cs="仿宋_GB2312"/>
          <w:sz w:val="32"/>
          <w:szCs w:val="32"/>
          <w:highlight w:val="none"/>
          <w:lang w:eastAsia="zh-CN"/>
        </w:rPr>
        <w:t>基金管委会</w:t>
      </w:r>
      <w:r>
        <w:rPr>
          <w:rFonts w:hint="eastAsia" w:ascii="仿宋_GB2312" w:hAnsi="仿宋_GB2312" w:eastAsia="仿宋_GB2312" w:cs="仿宋_GB2312"/>
          <w:sz w:val="32"/>
          <w:szCs w:val="32"/>
          <w:highlight w:val="none"/>
        </w:rPr>
        <w:t>投资决策委员会进行审议决策。根据投资项目性质和投资模式，决策委员会成员分别由管委会成员单位和外部相关专家组成，一般不少于7人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项目经投资决策委员会审议决策通过，</w:t>
      </w:r>
      <w:r>
        <w:rPr>
          <w:rFonts w:hint="eastAsia" w:ascii="仿宋_GB2312" w:hAnsi="宋体" w:eastAsia="仿宋_GB2312" w:cs="宋体"/>
          <w:kern w:val="0"/>
          <w:sz w:val="32"/>
          <w:szCs w:val="32"/>
          <w:highlight w:val="none"/>
        </w:rPr>
        <w:t>报管委会主任审定</w:t>
      </w:r>
      <w:r>
        <w:rPr>
          <w:rFonts w:hint="eastAsia" w:ascii="仿宋_GB2312" w:hAnsi="仿宋_GB2312" w:eastAsia="仿宋_GB2312" w:cs="仿宋_GB2312"/>
          <w:sz w:val="32"/>
          <w:szCs w:val="32"/>
          <w:highlight w:val="none"/>
        </w:rPr>
        <w:t>后，应在市财政局门户网站公示7个工作日，</w:t>
      </w:r>
      <w:r>
        <w:rPr>
          <w:rFonts w:hint="eastAsia" w:ascii="仿宋_GB2312" w:hAnsi="仿宋_GB2312" w:eastAsia="仿宋_GB2312" w:cs="仿宋_GB2312"/>
          <w:color w:val="auto"/>
          <w:sz w:val="32"/>
          <w:szCs w:val="32"/>
          <w:highlight w:val="none"/>
        </w:rPr>
        <w:t>涉及国家</w:t>
      </w:r>
      <w:r>
        <w:rPr>
          <w:rFonts w:hint="eastAsia" w:ascii="仿宋_GB2312" w:hAnsi="仿宋_GB2312" w:eastAsia="仿宋_GB2312" w:cs="仿宋_GB2312"/>
          <w:color w:val="auto"/>
          <w:sz w:val="32"/>
          <w:szCs w:val="32"/>
          <w:highlight w:val="none"/>
          <w:lang w:eastAsia="zh-CN"/>
        </w:rPr>
        <w:t>秘密</w:t>
      </w:r>
      <w:r>
        <w:rPr>
          <w:rFonts w:hint="eastAsia" w:ascii="仿宋_GB2312" w:hAnsi="仿宋_GB2312" w:eastAsia="仿宋_GB2312" w:cs="仿宋_GB2312"/>
          <w:color w:val="auto"/>
          <w:sz w:val="32"/>
          <w:szCs w:val="32"/>
          <w:highlight w:val="none"/>
        </w:rPr>
        <w:t>或商业秘密的除外。</w:t>
      </w:r>
      <w:r>
        <w:rPr>
          <w:rFonts w:hint="eastAsia" w:ascii="仿宋_GB2312" w:hAnsi="仿宋_GB2312" w:eastAsia="仿宋_GB2312" w:cs="仿宋_GB2312"/>
          <w:color w:val="auto"/>
          <w:sz w:val="32"/>
          <w:szCs w:val="32"/>
          <w:highlight w:val="none"/>
          <w:lang w:eastAsia="zh-CN"/>
        </w:rPr>
        <w:t>经公示无异议</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或异议不成立的，</w:t>
      </w:r>
      <w:r>
        <w:rPr>
          <w:rFonts w:hint="eastAsia" w:ascii="仿宋_GB2312" w:hAnsi="仿宋_GB2312" w:eastAsia="仿宋_GB2312" w:cs="仿宋_GB2312"/>
          <w:sz w:val="32"/>
          <w:szCs w:val="32"/>
          <w:highlight w:val="none"/>
        </w:rPr>
        <w:t>由基金管理公司</w:t>
      </w:r>
      <w:r>
        <w:rPr>
          <w:rFonts w:hint="eastAsia" w:ascii="仿宋_GB2312" w:hAnsi="仿宋_GB2312" w:eastAsia="仿宋_GB2312" w:cs="仿宋_GB2312"/>
          <w:color w:val="auto"/>
          <w:sz w:val="32"/>
          <w:szCs w:val="32"/>
          <w:highlight w:val="none"/>
        </w:rPr>
        <w:t>与相关合作方</w:t>
      </w:r>
      <w:r>
        <w:rPr>
          <w:rFonts w:hint="eastAsia" w:ascii="仿宋_GB2312" w:hAnsi="仿宋_GB2312" w:eastAsia="仿宋_GB2312" w:cs="仿宋_GB2312"/>
          <w:sz w:val="32"/>
          <w:szCs w:val="32"/>
          <w:highlight w:val="none"/>
        </w:rPr>
        <w:t>拟定合伙协议或章程，由基金公司正式签署后实施具体投资运作。</w:t>
      </w:r>
    </w:p>
    <w:p>
      <w:pPr>
        <w:ind w:firstLine="643" w:firstLineChars="200"/>
        <w:rPr>
          <w:rFonts w:hint="eastAsia" w:ascii="仿宋_GB2312" w:eastAsia="仿宋_GB2312"/>
          <w:sz w:val="32"/>
          <w:szCs w:val="32"/>
          <w:highlight w:val="none"/>
        </w:rPr>
      </w:pPr>
      <w:r>
        <w:rPr>
          <w:rFonts w:hint="eastAsia" w:ascii="仿宋_GB2312" w:eastAsia="仿宋_GB2312"/>
          <w:b/>
          <w:sz w:val="32"/>
          <w:szCs w:val="32"/>
          <w:highlight w:val="none"/>
        </w:rPr>
        <w:t xml:space="preserve">第二十八条 </w:t>
      </w:r>
      <w:r>
        <w:rPr>
          <w:rFonts w:hint="eastAsia" w:ascii="仿宋_GB2312" w:hAnsi="仿宋" w:eastAsia="仿宋_GB2312" w:cs="仿宋"/>
          <w:sz w:val="32"/>
          <w:szCs w:val="32"/>
          <w:highlight w:val="none"/>
          <w:lang w:eastAsia="zh-CN"/>
        </w:rPr>
        <w:t>转型升级基金</w:t>
      </w:r>
      <w:r>
        <w:rPr>
          <w:rFonts w:hint="eastAsia" w:ascii="仿宋_GB2312" w:eastAsia="仿宋_GB2312"/>
          <w:sz w:val="32"/>
          <w:szCs w:val="32"/>
          <w:highlight w:val="none"/>
        </w:rPr>
        <w:t>子基金</w:t>
      </w:r>
      <w:r>
        <w:rPr>
          <w:rFonts w:hint="eastAsia" w:ascii="仿宋_GB2312" w:eastAsia="仿宋_GB2312"/>
          <w:sz w:val="32"/>
          <w:szCs w:val="32"/>
          <w:highlight w:val="none"/>
          <w:lang w:eastAsia="zh-CN"/>
        </w:rPr>
        <w:t>和直投项目</w:t>
      </w:r>
      <w:r>
        <w:rPr>
          <w:rFonts w:hint="eastAsia" w:ascii="仿宋_GB2312" w:eastAsia="仿宋_GB2312"/>
          <w:sz w:val="32"/>
          <w:szCs w:val="32"/>
          <w:highlight w:val="none"/>
        </w:rPr>
        <w:t>投资期限一般不超过5年，确需延展投资期限的，按项目投资原有审议决策程序报批确定后可延长2年，最长不超过7年。</w:t>
      </w:r>
    </w:p>
    <w:p>
      <w:pPr>
        <w:jc w:val="center"/>
        <w:rPr>
          <w:rFonts w:hint="eastAsia" w:ascii="仿宋_GB2312" w:hAnsi="仿宋" w:eastAsia="仿宋_GB2312" w:cs="仿宋"/>
          <w:b/>
          <w:bCs/>
          <w:sz w:val="32"/>
          <w:szCs w:val="32"/>
          <w:highlight w:val="none"/>
        </w:rPr>
      </w:pPr>
      <w:r>
        <w:rPr>
          <w:rFonts w:hint="eastAsia" w:ascii="黑体" w:hAnsi="黑体" w:eastAsia="黑体" w:cs="黑体"/>
          <w:bCs/>
          <w:sz w:val="32"/>
          <w:szCs w:val="32"/>
          <w:highlight w:val="none"/>
        </w:rPr>
        <w:t>第六章 投资项目退出</w:t>
      </w:r>
    </w:p>
    <w:p>
      <w:pPr>
        <w:ind w:firstLine="643" w:firstLineChars="200"/>
        <w:rPr>
          <w:rFonts w:hint="eastAsia" w:ascii="仿宋_GB2312" w:eastAsia="仿宋_GB2312"/>
          <w:sz w:val="32"/>
          <w:szCs w:val="32"/>
          <w:highlight w:val="none"/>
        </w:rPr>
      </w:pPr>
      <w:r>
        <w:rPr>
          <w:rFonts w:hint="eastAsia" w:ascii="仿宋_GB2312" w:hAnsi="仿宋" w:eastAsia="仿宋_GB2312" w:cs="仿宋"/>
          <w:b/>
          <w:bCs/>
          <w:sz w:val="32"/>
          <w:szCs w:val="32"/>
          <w:highlight w:val="none"/>
        </w:rPr>
        <w:t xml:space="preserve">第二十九条 </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投资项目应在章程或合伙协议中载明退出期限、退出条件和退出方式，在达到投资年限或约定退出条件时，</w:t>
      </w:r>
      <w:r>
        <w:rPr>
          <w:rFonts w:hint="eastAsia" w:ascii="仿宋_GB2312" w:hAnsi="仿宋_GB2312" w:eastAsia="仿宋_GB2312" w:cs="仿宋_GB2312"/>
          <w:color w:val="auto"/>
          <w:sz w:val="32"/>
          <w:szCs w:val="32"/>
          <w:highlight w:val="none"/>
          <w:lang w:val="en-US" w:eastAsia="zh-CN"/>
        </w:rPr>
        <w:t>应适时按约定方式退出</w:t>
      </w:r>
      <w:r>
        <w:rPr>
          <w:rFonts w:hint="eastAsia" w:ascii="仿宋_GB2312" w:eastAsia="仿宋_GB2312"/>
          <w:sz w:val="32"/>
          <w:szCs w:val="32"/>
          <w:highlight w:val="none"/>
        </w:rPr>
        <w:t>。</w:t>
      </w:r>
      <w:r>
        <w:rPr>
          <w:rFonts w:hint="eastAsia" w:ascii="仿宋_GB2312" w:hAnsi="仿宋_GB2312" w:eastAsia="仿宋_GB2312" w:cs="仿宋_GB2312"/>
          <w:color w:val="auto"/>
          <w:sz w:val="32"/>
          <w:szCs w:val="32"/>
          <w:highlight w:val="none"/>
          <w:lang w:eastAsia="zh-CN"/>
        </w:rPr>
        <w:t>需按未约定方式退出的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按原有投资决策程序提出退出方案，经管委会批准后，</w:t>
      </w:r>
      <w:r>
        <w:rPr>
          <w:rFonts w:hint="eastAsia" w:ascii="仿宋_GB2312" w:hAnsi="仿宋_GB2312" w:eastAsia="仿宋_GB2312" w:cs="仿宋_GB2312"/>
          <w:color w:val="auto"/>
          <w:sz w:val="32"/>
          <w:szCs w:val="32"/>
          <w:highlight w:val="none"/>
        </w:rPr>
        <w:t>由基金管理公司具体办理退出事宜。</w:t>
      </w:r>
    </w:p>
    <w:p>
      <w:pPr>
        <w:ind w:firstLine="643" w:firstLineChars="200"/>
        <w:rPr>
          <w:rFonts w:hint="eastAsia" w:ascii="黑体" w:hAnsi="黑体" w:eastAsia="黑体" w:cs="黑体"/>
          <w:sz w:val="32"/>
          <w:szCs w:val="32"/>
          <w:highlight w:val="none"/>
        </w:rPr>
      </w:pPr>
      <w:r>
        <w:rPr>
          <w:rFonts w:hint="eastAsia" w:ascii="仿宋_GB2312" w:hAnsi="仿宋" w:eastAsia="仿宋_GB2312" w:cs="仿宋"/>
          <w:b/>
          <w:bCs/>
          <w:sz w:val="32"/>
          <w:szCs w:val="32"/>
          <w:highlight w:val="none"/>
        </w:rPr>
        <w:t xml:space="preserve">第三十条 </w:t>
      </w:r>
      <w:r>
        <w:rPr>
          <w:rFonts w:hint="eastAsia" w:ascii="仿宋_GB2312" w:eastAsia="仿宋_GB2312"/>
          <w:sz w:val="32"/>
          <w:szCs w:val="32"/>
          <w:highlight w:val="none"/>
          <w:lang w:eastAsia="zh-CN"/>
        </w:rPr>
        <w:t>基金</w:t>
      </w:r>
      <w:r>
        <w:rPr>
          <w:rFonts w:hint="eastAsia" w:ascii="仿宋_GB2312" w:hAnsi="仿宋_GB2312" w:eastAsia="仿宋_GB2312" w:cs="仿宋_GB2312"/>
          <w:color w:val="auto"/>
          <w:sz w:val="32"/>
          <w:szCs w:val="32"/>
          <w:highlight w:val="none"/>
          <w:lang w:eastAsia="zh-CN"/>
        </w:rPr>
        <w:t>可采取股权转让、股票减持、股东（第三方）回购以及解散清算等方式退出，</w:t>
      </w:r>
      <w:r>
        <w:rPr>
          <w:rFonts w:hint="eastAsia" w:ascii="仿宋_GB2312" w:eastAsia="仿宋_GB2312" w:cstheme="minorBidi"/>
          <w:b w:val="0"/>
          <w:bCs/>
          <w:snapToGrid w:val="0"/>
          <w:kern w:val="0"/>
          <w:sz w:val="32"/>
          <w:szCs w:val="32"/>
          <w:highlight w:val="none"/>
          <w:u w:val="none"/>
          <w:lang w:val="en-US" w:eastAsia="zh-CN" w:bidi="ar-SA"/>
        </w:rPr>
        <w:t>须符合国有资产交易管理有关规定</w:t>
      </w:r>
      <w:r>
        <w:rPr>
          <w:rFonts w:hint="eastAsia" w:ascii="仿宋_GB2312" w:hAnsi="仿宋_GB2312" w:eastAsia="仿宋_GB2312" w:cs="仿宋_GB2312"/>
          <w:color w:val="auto"/>
          <w:sz w:val="32"/>
          <w:szCs w:val="32"/>
          <w:highlight w:val="none"/>
          <w:lang w:eastAsia="zh-CN"/>
        </w:rPr>
        <w:t>。需要资产</w:t>
      </w:r>
      <w:r>
        <w:rPr>
          <w:rFonts w:hint="eastAsia" w:ascii="仿宋_GB2312" w:hAnsi="仿宋_GB2312" w:eastAsia="仿宋_GB2312" w:cs="仿宋_GB2312"/>
          <w:color w:val="auto"/>
          <w:sz w:val="32"/>
          <w:szCs w:val="32"/>
          <w:highlight w:val="none"/>
        </w:rPr>
        <w:t>评估</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应聘请具备资质的资产评估机构</w:t>
      </w:r>
      <w:r>
        <w:rPr>
          <w:rFonts w:hint="eastAsia" w:ascii="仿宋_GB2312" w:hAnsi="仿宋_GB2312" w:eastAsia="仿宋_GB2312" w:cs="仿宋_GB2312"/>
          <w:color w:val="auto"/>
          <w:sz w:val="32"/>
          <w:szCs w:val="32"/>
          <w:highlight w:val="none"/>
          <w:lang w:eastAsia="zh-CN"/>
        </w:rPr>
        <w:t>进行评估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评估结果报基金管委会办公室核准</w:t>
      </w:r>
      <w:r>
        <w:rPr>
          <w:rFonts w:hint="eastAsia" w:ascii="仿宋_GB2312" w:hAnsi="仿宋_GB2312" w:eastAsia="仿宋_GB2312" w:cs="仿宋_GB2312"/>
          <w:color w:val="auto"/>
          <w:sz w:val="32"/>
          <w:szCs w:val="32"/>
          <w:highlight w:val="none"/>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 </w:t>
      </w:r>
      <w:r>
        <w:rPr>
          <w:rFonts w:hint="eastAsia" w:ascii="仿宋_GB2312" w:eastAsia="仿宋_GB2312"/>
          <w:b/>
          <w:bCs/>
          <w:sz w:val="32"/>
          <w:szCs w:val="32"/>
          <w:highlight w:val="none"/>
        </w:rPr>
        <w:t>第三十一条</w:t>
      </w:r>
      <w:r>
        <w:rPr>
          <w:rFonts w:hint="eastAsia" w:ascii="仿宋_GB2312" w:eastAsia="仿宋_GB2312"/>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基金</w:t>
      </w:r>
      <w:r>
        <w:rPr>
          <w:rFonts w:hint="eastAsia" w:ascii="仿宋_GB2312" w:hAnsi="仿宋_GB2312" w:eastAsia="仿宋_GB2312" w:cs="仿宋_GB2312"/>
          <w:color w:val="auto"/>
          <w:sz w:val="32"/>
          <w:szCs w:val="32"/>
          <w:highlight w:val="none"/>
        </w:rPr>
        <w:t>应与其他出资人约定，</w:t>
      </w:r>
      <w:r>
        <w:rPr>
          <w:rFonts w:hint="eastAsia" w:ascii="仿宋_GB2312" w:eastAsia="仿宋_GB2312"/>
          <w:sz w:val="32"/>
          <w:szCs w:val="32"/>
          <w:highlight w:val="none"/>
        </w:rPr>
        <w:t>有下述情况之一时，</w:t>
      </w:r>
      <w:r>
        <w:rPr>
          <w:rFonts w:hint="eastAsia" w:ascii="仿宋_GB2312" w:hAnsi="仿宋" w:eastAsia="仿宋_GB2312" w:cs="仿宋"/>
          <w:sz w:val="32"/>
          <w:szCs w:val="32"/>
          <w:highlight w:val="none"/>
          <w:lang w:eastAsia="zh-CN"/>
        </w:rPr>
        <w:t>基金无需其他出资人同意</w:t>
      </w:r>
      <w:r>
        <w:rPr>
          <w:rFonts w:hint="eastAsia" w:ascii="仿宋_GB2312" w:eastAsia="仿宋_GB2312"/>
          <w:sz w:val="32"/>
          <w:szCs w:val="32"/>
          <w:highlight w:val="none"/>
        </w:rPr>
        <w:t>可选择</w:t>
      </w:r>
      <w:r>
        <w:rPr>
          <w:rFonts w:hint="eastAsia" w:ascii="仿宋_GB2312" w:eastAsia="仿宋_GB2312"/>
          <w:sz w:val="32"/>
          <w:szCs w:val="32"/>
          <w:highlight w:val="none"/>
          <w:lang w:eastAsia="zh-CN"/>
        </w:rPr>
        <w:t>提前</w:t>
      </w:r>
      <w:r>
        <w:rPr>
          <w:rFonts w:hint="eastAsia" w:ascii="仿宋_GB2312" w:eastAsia="仿宋_GB2312"/>
          <w:sz w:val="32"/>
          <w:szCs w:val="32"/>
          <w:highlight w:val="none"/>
        </w:rPr>
        <w:t>退出：</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 1.</w:t>
      </w:r>
      <w:r>
        <w:rPr>
          <w:rFonts w:hint="eastAsia" w:ascii="仿宋_GB2312" w:eastAsia="仿宋_GB2312"/>
          <w:sz w:val="32"/>
          <w:szCs w:val="32"/>
          <w:highlight w:val="none"/>
          <w:lang w:eastAsia="zh-CN"/>
        </w:rPr>
        <w:t>协议或章程签署</w:t>
      </w:r>
      <w:r>
        <w:rPr>
          <w:rFonts w:hint="eastAsia" w:ascii="仿宋_GB2312" w:eastAsia="仿宋_GB2312"/>
          <w:sz w:val="32"/>
          <w:szCs w:val="32"/>
          <w:highlight w:val="none"/>
        </w:rPr>
        <w:t>后超过</w:t>
      </w:r>
      <w:r>
        <w:rPr>
          <w:rFonts w:hint="eastAsia" w:ascii="仿宋_GB2312" w:eastAsia="仿宋_GB2312"/>
          <w:sz w:val="32"/>
          <w:szCs w:val="32"/>
          <w:highlight w:val="none"/>
          <w:lang w:val="en-US" w:eastAsia="zh-CN"/>
        </w:rPr>
        <w:t>6个月</w:t>
      </w:r>
      <w:r>
        <w:rPr>
          <w:rFonts w:hint="eastAsia" w:ascii="仿宋_GB2312" w:eastAsia="仿宋_GB2312"/>
          <w:sz w:val="32"/>
          <w:szCs w:val="32"/>
          <w:highlight w:val="none"/>
        </w:rPr>
        <w:t>，未按规定程序和时间要求完成设立或增资手续的；</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 2.</w:t>
      </w:r>
      <w:r>
        <w:rPr>
          <w:rFonts w:hint="eastAsia" w:ascii="仿宋_GB2312" w:eastAsia="仿宋_GB2312"/>
          <w:sz w:val="32"/>
          <w:szCs w:val="32"/>
          <w:highlight w:val="none"/>
          <w:lang w:eastAsia="zh-CN"/>
        </w:rPr>
        <w:t>转型升级基金投资后一年以上，子基金或被投项目企业未按</w:t>
      </w:r>
      <w:r>
        <w:rPr>
          <w:rFonts w:hint="eastAsia" w:ascii="仿宋_GB2312" w:eastAsia="仿宋_GB2312"/>
          <w:sz w:val="32"/>
          <w:szCs w:val="32"/>
          <w:highlight w:val="none"/>
        </w:rPr>
        <w:t>投资计划开展投资业务</w:t>
      </w:r>
      <w:r>
        <w:rPr>
          <w:rFonts w:hint="eastAsia" w:ascii="仿宋_GB2312" w:eastAsia="仿宋_GB2312"/>
          <w:sz w:val="32"/>
          <w:szCs w:val="32"/>
          <w:highlight w:val="none"/>
          <w:lang w:eastAsia="zh-CN"/>
        </w:rPr>
        <w:t>或未实际出资的</w:t>
      </w:r>
      <w:r>
        <w:rPr>
          <w:rFonts w:hint="eastAsia" w:ascii="仿宋_GB2312" w:eastAsia="仿宋_GB2312"/>
          <w:sz w:val="32"/>
          <w:szCs w:val="32"/>
          <w:highlight w:val="none"/>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 3.投资</w:t>
      </w:r>
      <w:r>
        <w:rPr>
          <w:rFonts w:hint="eastAsia" w:ascii="仿宋_GB2312" w:eastAsia="仿宋_GB2312"/>
          <w:sz w:val="32"/>
          <w:szCs w:val="32"/>
          <w:highlight w:val="none"/>
          <w:lang w:eastAsia="zh-CN"/>
        </w:rPr>
        <w:t>项目</w:t>
      </w:r>
      <w:r>
        <w:rPr>
          <w:rFonts w:hint="eastAsia" w:ascii="仿宋_GB2312" w:eastAsia="仿宋_GB2312"/>
          <w:sz w:val="32"/>
          <w:szCs w:val="32"/>
          <w:highlight w:val="none"/>
        </w:rPr>
        <w:t>不符合原定政策目标的；</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eastAsia="仿宋_GB2312"/>
          <w:sz w:val="32"/>
          <w:szCs w:val="32"/>
          <w:highlight w:val="none"/>
        </w:rPr>
        <w:t xml:space="preserve"> 4.</w:t>
      </w:r>
      <w:r>
        <w:rPr>
          <w:rFonts w:hint="eastAsia" w:ascii="仿宋_GB2312" w:hAnsi="仿宋_GB2312" w:eastAsia="仿宋_GB2312" w:cs="仿宋_GB2312"/>
          <w:color w:val="auto"/>
          <w:sz w:val="32"/>
          <w:szCs w:val="32"/>
          <w:highlight w:val="none"/>
          <w:lang w:val="en-US" w:eastAsia="zh-CN"/>
        </w:rPr>
        <w:t>未按协议或章程约定开展投资，或出现协议或章程中约定的负面清单、一票否决等事项的</w:t>
      </w:r>
      <w:r>
        <w:rPr>
          <w:rFonts w:hint="eastAsia" w:ascii="仿宋_GB2312" w:hAnsi="仿宋_GB2312" w:eastAsia="仿宋_GB2312" w:cs="仿宋_GB2312"/>
          <w:color w:val="auto"/>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发现其他危及</w:t>
      </w:r>
      <w:r>
        <w:rPr>
          <w:rFonts w:hint="eastAsia" w:ascii="仿宋_GB2312" w:hAnsi="仿宋_GB2312" w:eastAsia="仿宋_GB2312" w:cs="仿宋_GB2312"/>
          <w:color w:val="auto"/>
          <w:sz w:val="32"/>
          <w:szCs w:val="32"/>
          <w:highlight w:val="none"/>
          <w:lang w:eastAsia="zh-CN"/>
        </w:rPr>
        <w:t>基金</w:t>
      </w:r>
      <w:r>
        <w:rPr>
          <w:rFonts w:hint="eastAsia" w:ascii="仿宋_GB2312" w:hAnsi="仿宋_GB2312" w:eastAsia="仿宋_GB2312" w:cs="仿宋_GB2312"/>
          <w:color w:val="auto"/>
          <w:sz w:val="32"/>
          <w:szCs w:val="32"/>
          <w:highlight w:val="none"/>
        </w:rPr>
        <w:t>安全或违背政策目标等事前约定退出情形的</w:t>
      </w:r>
      <w:r>
        <w:rPr>
          <w:rFonts w:hint="eastAsia" w:ascii="仿宋_GB2312" w:eastAsia="仿宋_GB2312"/>
          <w:sz w:val="32"/>
          <w:szCs w:val="32"/>
          <w:highlight w:val="none"/>
          <w:lang w:eastAsia="zh-CN"/>
        </w:rPr>
        <w:t>。</w:t>
      </w:r>
    </w:p>
    <w:p>
      <w:pPr>
        <w:ind w:firstLine="640" w:firstLineChars="200"/>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第七章 费用和收益管理</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 xml:space="preserve">第三十二条 </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投资项目的收益分配方式应在章程或合伙协议中载明，</w:t>
      </w:r>
      <w:r>
        <w:rPr>
          <w:rFonts w:hint="eastAsia" w:ascii="仿宋_GB2312" w:eastAsia="仿宋_GB2312"/>
          <w:sz w:val="32"/>
          <w:szCs w:val="32"/>
          <w:highlight w:val="none"/>
          <w:lang w:eastAsia="zh-CN"/>
        </w:rPr>
        <w:t>根据项目情况，经基金管委会同意后，</w:t>
      </w:r>
      <w:r>
        <w:rPr>
          <w:rFonts w:hint="eastAsia" w:ascii="仿宋_GB2312" w:hAnsi="仿宋" w:eastAsia="仿宋_GB2312" w:cs="仿宋"/>
          <w:sz w:val="32"/>
          <w:szCs w:val="32"/>
          <w:highlight w:val="none"/>
          <w:lang w:eastAsia="zh-CN"/>
        </w:rPr>
        <w:t>转型升级基金可</w:t>
      </w:r>
      <w:r>
        <w:rPr>
          <w:rFonts w:hint="eastAsia" w:ascii="仿宋_GB2312" w:eastAsia="仿宋_GB2312"/>
          <w:sz w:val="32"/>
          <w:szCs w:val="32"/>
          <w:highlight w:val="none"/>
        </w:rPr>
        <w:t>予适当让利。</w:t>
      </w:r>
    </w:p>
    <w:p>
      <w:pPr>
        <w:ind w:firstLine="643" w:firstLineChars="200"/>
        <w:rPr>
          <w:rFonts w:hint="eastAsia" w:ascii="仿宋_GB2312" w:eastAsia="仿宋_GB2312"/>
          <w:sz w:val="32"/>
          <w:szCs w:val="32"/>
          <w:highlight w:val="none"/>
        </w:rPr>
      </w:pPr>
      <w:r>
        <w:rPr>
          <w:rFonts w:hint="eastAsia" w:ascii="仿宋_GB2312" w:eastAsia="仿宋_GB2312"/>
          <w:b/>
          <w:sz w:val="32"/>
          <w:szCs w:val="32"/>
          <w:highlight w:val="none"/>
        </w:rPr>
        <w:t xml:space="preserve">第三十三条 </w:t>
      </w:r>
      <w:r>
        <w:rPr>
          <w:rFonts w:hint="eastAsia" w:ascii="仿宋_GB2312" w:eastAsia="仿宋_GB2312"/>
          <w:sz w:val="32"/>
          <w:szCs w:val="32"/>
          <w:highlight w:val="none"/>
        </w:rPr>
        <w:t>基金管理公司的委托管理费用按照委托管理协议支付，原则上按照不高于投资金额</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0.6%</w:t>
      </w:r>
      <w:r>
        <w:rPr>
          <w:rFonts w:hint="eastAsia" w:ascii="仿宋_GB2312" w:eastAsia="仿宋_GB2312"/>
          <w:sz w:val="32"/>
          <w:szCs w:val="32"/>
          <w:highlight w:val="none"/>
          <w:lang w:val="en-US" w:eastAsia="zh-CN"/>
        </w:rPr>
        <w:t>每年的费率</w:t>
      </w:r>
      <w:r>
        <w:rPr>
          <w:rFonts w:hint="eastAsia" w:ascii="仿宋_GB2312" w:eastAsia="仿宋_GB2312"/>
          <w:sz w:val="32"/>
          <w:szCs w:val="32"/>
          <w:highlight w:val="none"/>
        </w:rPr>
        <w:t>由基金公司按</w:t>
      </w:r>
      <w:r>
        <w:rPr>
          <w:rFonts w:hint="eastAsia" w:ascii="仿宋_GB2312" w:eastAsia="仿宋_GB2312"/>
          <w:sz w:val="32"/>
          <w:szCs w:val="32"/>
          <w:highlight w:val="none"/>
          <w:lang w:eastAsia="zh-CN"/>
        </w:rPr>
        <w:t>期</w:t>
      </w:r>
      <w:r>
        <w:rPr>
          <w:rFonts w:hint="eastAsia" w:ascii="仿宋_GB2312" w:eastAsia="仿宋_GB2312"/>
          <w:sz w:val="32"/>
          <w:szCs w:val="32"/>
          <w:highlight w:val="none"/>
        </w:rPr>
        <w:t>支付。</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 xml:space="preserve">第三十四条 </w:t>
      </w:r>
      <w:r>
        <w:rPr>
          <w:rFonts w:hint="eastAsia" w:ascii="仿宋_GB2312" w:eastAsia="仿宋_GB2312"/>
          <w:sz w:val="32"/>
          <w:szCs w:val="32"/>
          <w:highlight w:val="none"/>
        </w:rPr>
        <w:t>对于投资亏损较大的项目，经基金公司审核、提议，并报管委会批准，以一定比例相应扣减基金管理公司的管理费用。</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第三十五条</w:t>
      </w:r>
      <w:r>
        <w:rPr>
          <w:rFonts w:hint="eastAsia" w:ascii="仿宋_GB2312" w:eastAsia="仿宋_GB2312"/>
          <w:sz w:val="32"/>
          <w:szCs w:val="32"/>
          <w:highlight w:val="none"/>
        </w:rPr>
        <w:t xml:space="preserve"> 基金公司仅限于列支法律</w:t>
      </w:r>
      <w:r>
        <w:rPr>
          <w:rFonts w:hint="eastAsia" w:ascii="仿宋_GB2312" w:eastAsia="仿宋_GB2312"/>
          <w:sz w:val="32"/>
          <w:szCs w:val="32"/>
          <w:highlight w:val="none"/>
          <w:lang w:eastAsia="zh-CN"/>
        </w:rPr>
        <w:t>和公司章程</w:t>
      </w:r>
      <w:r>
        <w:rPr>
          <w:rFonts w:hint="eastAsia" w:ascii="仿宋_GB2312" w:eastAsia="仿宋_GB2312"/>
          <w:sz w:val="32"/>
          <w:szCs w:val="32"/>
          <w:highlight w:val="none"/>
        </w:rPr>
        <w:t>规定作为公司存在所必须进行的法律行为所需的成本和费用，以及根据本办法规定支付基金管理公司的管理费用。</w:t>
      </w:r>
    </w:p>
    <w:p>
      <w:pPr>
        <w:jc w:val="center"/>
        <w:rPr>
          <w:rFonts w:hint="eastAsia" w:ascii="仿宋_GB2312" w:eastAsia="仿宋_GB2312"/>
          <w:sz w:val="32"/>
          <w:szCs w:val="32"/>
          <w:highlight w:val="none"/>
        </w:rPr>
      </w:pPr>
      <w:r>
        <w:rPr>
          <w:rFonts w:hint="eastAsia" w:ascii="黑体" w:hAnsi="黑体" w:eastAsia="黑体" w:cs="黑体"/>
          <w:sz w:val="32"/>
          <w:szCs w:val="32"/>
          <w:highlight w:val="none"/>
        </w:rPr>
        <w:t>第八章  风险防控和绩效考核</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 xml:space="preserve">第三十六条 </w:t>
      </w:r>
      <w:r>
        <w:rPr>
          <w:rFonts w:hint="eastAsia" w:ascii="仿宋_GB2312" w:eastAsia="仿宋_GB2312"/>
          <w:bCs/>
          <w:sz w:val="32"/>
          <w:szCs w:val="32"/>
          <w:highlight w:val="none"/>
          <w:lang w:eastAsia="zh-CN"/>
        </w:rPr>
        <w:t>基金管委会办公室</w:t>
      </w:r>
      <w:r>
        <w:rPr>
          <w:rFonts w:hint="eastAsia" w:ascii="仿宋_GB2312" w:eastAsia="仿宋_GB2312"/>
          <w:sz w:val="32"/>
          <w:szCs w:val="32"/>
          <w:highlight w:val="none"/>
        </w:rPr>
        <w:t>应加强对</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运作与管理的监督，对于发现的问题要及时提出整改意见，确保基金规范运作和管理，更好发挥基金政策引导作用。</w:t>
      </w:r>
    </w:p>
    <w:p>
      <w:pPr>
        <w:ind w:firstLine="643" w:firstLineChars="200"/>
        <w:rPr>
          <w:rFonts w:hint="eastAsia" w:ascii="仿宋_GB2312" w:eastAsia="仿宋_GB2312"/>
          <w:sz w:val="32"/>
          <w:szCs w:val="32"/>
          <w:highlight w:val="none"/>
        </w:rPr>
      </w:pPr>
      <w:r>
        <w:rPr>
          <w:rFonts w:hint="eastAsia" w:ascii="仿宋_GB2312" w:hAnsi="仿宋" w:eastAsia="仿宋_GB2312" w:cs="仿宋"/>
          <w:b/>
          <w:bCs/>
          <w:sz w:val="32"/>
          <w:szCs w:val="32"/>
          <w:highlight w:val="none"/>
        </w:rPr>
        <w:t xml:space="preserve">第三十七条 </w:t>
      </w:r>
      <w:r>
        <w:rPr>
          <w:rFonts w:hint="eastAsia" w:ascii="仿宋_GB2312" w:hAnsi="Times New Roman" w:eastAsia="仿宋_GB2312" w:cs="Times New Roman"/>
          <w:b w:val="0"/>
          <w:bCs w:val="0"/>
          <w:sz w:val="32"/>
          <w:szCs w:val="32"/>
          <w:highlight w:val="none"/>
          <w:lang w:eastAsia="zh-CN"/>
        </w:rPr>
        <w:t>市</w:t>
      </w:r>
      <w:r>
        <w:rPr>
          <w:rFonts w:hint="eastAsia" w:ascii="仿宋_GB2312" w:eastAsia="仿宋_GB2312" w:cs="Times New Roman"/>
          <w:b w:val="0"/>
          <w:bCs w:val="0"/>
          <w:sz w:val="32"/>
          <w:szCs w:val="32"/>
          <w:highlight w:val="none"/>
          <w:lang w:eastAsia="zh-CN"/>
        </w:rPr>
        <w:t>财投公司</w:t>
      </w:r>
      <w:r>
        <w:rPr>
          <w:rFonts w:hint="eastAsia" w:ascii="仿宋_GB2312" w:hAnsi="Times New Roman" w:eastAsia="仿宋_GB2312" w:cs="Times New Roman"/>
          <w:b w:val="0"/>
          <w:bCs w:val="0"/>
          <w:sz w:val="32"/>
          <w:szCs w:val="32"/>
          <w:highlight w:val="none"/>
          <w:lang w:eastAsia="zh-CN"/>
        </w:rPr>
        <w:t>（</w:t>
      </w:r>
      <w:r>
        <w:rPr>
          <w:rFonts w:hint="eastAsia" w:ascii="仿宋_GB2312" w:hAnsi="Times New Roman" w:eastAsia="仿宋_GB2312" w:cs="Times New Roman"/>
          <w:sz w:val="32"/>
          <w:szCs w:val="32"/>
          <w:highlight w:val="none"/>
        </w:rPr>
        <w:t>市国投公司</w:t>
      </w:r>
      <w:r>
        <w:rPr>
          <w:rFonts w:hint="eastAsia" w:ascii="仿宋_GB2312" w:eastAsia="仿宋_GB2312"/>
          <w:sz w:val="32"/>
          <w:szCs w:val="32"/>
          <w:highlight w:val="none"/>
          <w:lang w:eastAsia="zh-CN"/>
        </w:rPr>
        <w:t>）</w:t>
      </w:r>
      <w:r>
        <w:rPr>
          <w:rFonts w:hint="eastAsia" w:ascii="仿宋_GB2312" w:hAnsi="Times New Roman" w:eastAsia="仿宋_GB2312" w:cs="Times New Roman"/>
          <w:sz w:val="32"/>
          <w:szCs w:val="32"/>
          <w:highlight w:val="none"/>
        </w:rPr>
        <w:t>要</w:t>
      </w:r>
      <w:r>
        <w:rPr>
          <w:rFonts w:hint="eastAsia" w:ascii="仿宋_GB2312" w:hAnsi="仿宋" w:eastAsia="仿宋_GB2312" w:cs="仿宋"/>
          <w:sz w:val="32"/>
          <w:szCs w:val="32"/>
          <w:highlight w:val="none"/>
        </w:rPr>
        <w:t>认真代为履行出资人的相关权利和义务，</w:t>
      </w:r>
      <w:r>
        <w:rPr>
          <w:rFonts w:hint="eastAsia" w:ascii="仿宋_GB2312" w:eastAsia="仿宋_GB2312"/>
          <w:sz w:val="32"/>
          <w:szCs w:val="32"/>
          <w:highlight w:val="none"/>
        </w:rPr>
        <w:t>加强对</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运作与管理的指导和监督，定期对基金投资运作情况、资金使用情况、财务收支情况等进行监督检查，并视工作需要委托专业机构开展专项审计，有效防范运作风险，确保基金安全和效益。</w:t>
      </w:r>
    </w:p>
    <w:p>
      <w:pPr>
        <w:ind w:firstLine="643" w:firstLineChars="200"/>
        <w:rPr>
          <w:rFonts w:hint="eastAsia" w:ascii="仿宋_GB2312" w:hAnsi="仿宋" w:eastAsia="仿宋_GB2312" w:cs="仿宋"/>
          <w:sz w:val="32"/>
          <w:szCs w:val="32"/>
          <w:highlight w:val="none"/>
        </w:rPr>
      </w:pPr>
      <w:r>
        <w:rPr>
          <w:rFonts w:hint="eastAsia" w:ascii="仿宋_GB2312" w:hAnsi="仿宋" w:eastAsia="仿宋_GB2312" w:cs="仿宋"/>
          <w:b/>
          <w:bCs/>
          <w:sz w:val="32"/>
          <w:szCs w:val="32"/>
          <w:highlight w:val="none"/>
        </w:rPr>
        <w:t xml:space="preserve">第三十八条 </w:t>
      </w:r>
      <w:r>
        <w:rPr>
          <w:rFonts w:hint="eastAsia" w:ascii="仿宋_GB2312" w:hAnsi="仿宋" w:eastAsia="仿宋_GB2312" w:cs="仿宋"/>
          <w:sz w:val="32"/>
          <w:szCs w:val="32"/>
          <w:highlight w:val="none"/>
        </w:rPr>
        <w:t>基金公司要按照管委会确定的投资原则和投资要求，组织制定年度投资计划，并加强对基金日常运作的监督管理，同时要健全董事会、监事工作制度，对年度投资计划进行审议并作出决定，及时报管委会办公室和市国投公司备案。</w:t>
      </w:r>
    </w:p>
    <w:p>
      <w:pPr>
        <w:ind w:firstLine="643" w:firstLineChars="200"/>
        <w:rPr>
          <w:rFonts w:hint="eastAsia" w:ascii="仿宋_GB2312" w:eastAsia="仿宋_GB2312"/>
          <w:sz w:val="32"/>
          <w:szCs w:val="32"/>
          <w:highlight w:val="none"/>
        </w:rPr>
      </w:pPr>
      <w:r>
        <w:rPr>
          <w:rFonts w:hint="eastAsia" w:ascii="仿宋_GB2312" w:hAnsi="仿宋" w:eastAsia="仿宋_GB2312" w:cs="仿宋"/>
          <w:b/>
          <w:bCs/>
          <w:sz w:val="32"/>
          <w:szCs w:val="32"/>
          <w:highlight w:val="none"/>
        </w:rPr>
        <w:t xml:space="preserve">第三十九条 </w:t>
      </w:r>
      <w:r>
        <w:rPr>
          <w:rFonts w:hint="eastAsia" w:ascii="仿宋_GB2312" w:eastAsia="仿宋_GB2312"/>
          <w:sz w:val="32"/>
          <w:szCs w:val="32"/>
          <w:highlight w:val="none"/>
        </w:rPr>
        <w:t>基金管理公司要按照国家有关企业内部控制规范体系建设的要求，建立健全包括风险管理制度、风险管理组织和风险控制流程在内的风控合规体系及内部管控制度，严格实行规范的投资运作管理工作，确保</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投资活动在风险可控的前提下运作。</w:t>
      </w:r>
    </w:p>
    <w:p>
      <w:pPr>
        <w:spacing w:line="560" w:lineRule="exact"/>
        <w:ind w:firstLine="640"/>
        <w:rPr>
          <w:rFonts w:ascii="仿宋" w:hAnsi="仿宋" w:eastAsia="仿宋" w:cs="仿宋"/>
          <w:color w:val="auto"/>
          <w:sz w:val="32"/>
          <w:szCs w:val="32"/>
          <w:highlight w:val="none"/>
        </w:rPr>
      </w:pPr>
      <w:r>
        <w:rPr>
          <w:rFonts w:hint="eastAsia" w:ascii="仿宋_GB2312" w:eastAsia="仿宋_GB2312"/>
          <w:b/>
          <w:bCs/>
          <w:sz w:val="32"/>
          <w:szCs w:val="32"/>
          <w:highlight w:val="none"/>
        </w:rPr>
        <w:t>第四十条</w:t>
      </w:r>
      <w:r>
        <w:rPr>
          <w:rFonts w:hint="eastAsia" w:ascii="仿宋_GB2312" w:eastAsia="仿宋_GB2312"/>
          <w:b/>
          <w:bCs/>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建立</w:t>
      </w:r>
      <w:r>
        <w:rPr>
          <w:rFonts w:hint="eastAsia" w:ascii="仿宋_GB2312" w:hAnsi="仿宋_GB2312" w:eastAsia="仿宋_GB2312" w:cs="仿宋_GB2312"/>
          <w:color w:val="auto"/>
          <w:sz w:val="32"/>
          <w:szCs w:val="32"/>
          <w:highlight w:val="none"/>
        </w:rPr>
        <w:t>健全尽职免责机制，对于</w:t>
      </w:r>
      <w:r>
        <w:rPr>
          <w:rFonts w:hint="eastAsia" w:ascii="仿宋_GB2312" w:hAnsi="仿宋_GB2312" w:eastAsia="仿宋_GB2312" w:cs="仿宋_GB2312"/>
          <w:color w:val="auto"/>
          <w:sz w:val="32"/>
          <w:szCs w:val="32"/>
          <w:highlight w:val="none"/>
          <w:lang w:eastAsia="zh-CN"/>
        </w:rPr>
        <w:t>基金</w:t>
      </w:r>
      <w:r>
        <w:rPr>
          <w:rFonts w:hint="eastAsia" w:ascii="仿宋_GB2312" w:hAnsi="仿宋_GB2312" w:eastAsia="仿宋_GB2312" w:cs="仿宋_GB2312"/>
          <w:color w:val="auto"/>
          <w:sz w:val="32"/>
          <w:szCs w:val="32"/>
          <w:highlight w:val="none"/>
        </w:rPr>
        <w:t>运作过程中发生违法违规行为的，依法依规追究相应责任；对于</w:t>
      </w:r>
      <w:r>
        <w:rPr>
          <w:rFonts w:hint="eastAsia" w:ascii="仿宋_GB2312" w:eastAsia="仿宋_GB2312" w:cstheme="minorBidi"/>
          <w:b w:val="0"/>
          <w:bCs/>
          <w:snapToGrid w:val="0"/>
          <w:kern w:val="0"/>
          <w:sz w:val="32"/>
          <w:szCs w:val="32"/>
          <w:highlight w:val="none"/>
          <w:u w:val="none"/>
          <w:lang w:val="en-US" w:eastAsia="zh-CN" w:bidi="ar-SA"/>
        </w:rPr>
        <w:t>在基金投资过程中已履职尽责的</w:t>
      </w:r>
      <w:r>
        <w:rPr>
          <w:rFonts w:hint="eastAsia" w:ascii="仿宋_GB2312" w:hAnsi="仿宋_GB2312" w:eastAsia="仿宋_GB2312" w:cs="仿宋_GB2312"/>
          <w:color w:val="auto"/>
          <w:sz w:val="32"/>
          <w:szCs w:val="32"/>
          <w:highlight w:val="none"/>
        </w:rPr>
        <w:t>，如</w:t>
      </w:r>
      <w:r>
        <w:rPr>
          <w:rFonts w:hint="eastAsia" w:ascii="仿宋_GB2312" w:hAnsi="仿宋_GB2312" w:eastAsia="仿宋_GB2312" w:cs="仿宋_GB2312"/>
          <w:color w:val="auto"/>
          <w:sz w:val="32"/>
          <w:szCs w:val="32"/>
          <w:highlight w:val="none"/>
          <w:lang w:eastAsia="zh-CN"/>
        </w:rPr>
        <w:t>基金项目</w:t>
      </w:r>
      <w:r>
        <w:rPr>
          <w:rFonts w:hint="eastAsia" w:ascii="仿宋_GB2312" w:hAnsi="仿宋_GB2312" w:eastAsia="仿宋_GB2312" w:cs="仿宋_GB2312"/>
          <w:color w:val="auto"/>
          <w:sz w:val="32"/>
          <w:szCs w:val="32"/>
          <w:highlight w:val="none"/>
        </w:rPr>
        <w:t>发生风险造成投资损失，决策机构、主管部门、</w:t>
      </w:r>
      <w:r>
        <w:rPr>
          <w:rFonts w:hint="eastAsia" w:ascii="仿宋_GB2312" w:hAnsi="仿宋_GB2312" w:eastAsia="仿宋_GB2312" w:cs="仿宋_GB2312"/>
          <w:color w:val="auto"/>
          <w:sz w:val="32"/>
          <w:szCs w:val="32"/>
          <w:highlight w:val="none"/>
          <w:lang w:val="en-US" w:eastAsia="zh-CN"/>
        </w:rPr>
        <w:t>代行出资人职责机构及其工作人员</w:t>
      </w:r>
      <w:r>
        <w:rPr>
          <w:rFonts w:hint="eastAsia" w:ascii="仿宋_GB2312" w:hAnsi="仿宋_GB2312" w:eastAsia="仿宋_GB2312" w:cs="仿宋_GB2312"/>
          <w:color w:val="auto"/>
          <w:sz w:val="32"/>
          <w:szCs w:val="32"/>
          <w:highlight w:val="none"/>
        </w:rPr>
        <w:t>等不承担相关责任。</w:t>
      </w:r>
    </w:p>
    <w:p>
      <w:pPr>
        <w:ind w:firstLine="640" w:firstLineChars="200"/>
        <w:rPr>
          <w:rFonts w:hint="eastAsia" w:ascii="仿宋_GB2312" w:eastAsia="仿宋_GB2312"/>
          <w:sz w:val="32"/>
          <w:szCs w:val="3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第九章 报告制度</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第四十</w:t>
      </w:r>
      <w:r>
        <w:rPr>
          <w:rFonts w:hint="eastAsia" w:ascii="仿宋_GB2312" w:eastAsia="仿宋_GB2312"/>
          <w:b/>
          <w:bCs/>
          <w:sz w:val="32"/>
          <w:szCs w:val="32"/>
          <w:highlight w:val="none"/>
          <w:lang w:eastAsia="zh-CN"/>
        </w:rPr>
        <w:t>一</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每季度结束后15日内，基金管理公司要向基金公司报送</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投资运作、项目进展、股本变化和资金使用等情况，经基金公司审核后报基金管委会办公室备案。</w:t>
      </w:r>
    </w:p>
    <w:p>
      <w:pPr>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第四十</w:t>
      </w: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会计年度结束后4个月内，基金管理公司要向基金公司提交</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年度工作报告，经基金公司审核后报管委会办公室。</w:t>
      </w:r>
    </w:p>
    <w:p>
      <w:pPr>
        <w:ind w:firstLine="643" w:firstLineChars="200"/>
        <w:rPr>
          <w:rFonts w:hint="eastAsia" w:ascii="黑体" w:hAnsi="黑体" w:eastAsia="黑体" w:cs="黑体"/>
          <w:sz w:val="32"/>
          <w:szCs w:val="32"/>
          <w:highlight w:val="none"/>
        </w:rPr>
      </w:pPr>
      <w:r>
        <w:rPr>
          <w:rFonts w:hint="eastAsia" w:ascii="仿宋_GB2312" w:eastAsia="仿宋_GB2312"/>
          <w:b/>
          <w:bCs/>
          <w:sz w:val="32"/>
          <w:szCs w:val="32"/>
          <w:highlight w:val="none"/>
        </w:rPr>
        <w:t>第四十</w:t>
      </w:r>
      <w:r>
        <w:rPr>
          <w:rFonts w:hint="eastAsia" w:ascii="仿宋_GB2312" w:eastAsia="仿宋_GB2312"/>
          <w:b/>
          <w:bCs/>
          <w:sz w:val="32"/>
          <w:szCs w:val="32"/>
          <w:highlight w:val="none"/>
          <w:lang w:eastAsia="zh-CN"/>
        </w:rPr>
        <w:t>三</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w:t>
      </w:r>
      <w:r>
        <w:rPr>
          <w:rFonts w:hint="eastAsia" w:ascii="仿宋_GB2312" w:hAnsi="仿宋" w:eastAsia="仿宋_GB2312" w:cs="仿宋"/>
          <w:sz w:val="32"/>
          <w:szCs w:val="32"/>
          <w:highlight w:val="none"/>
          <w:lang w:eastAsia="zh-CN"/>
        </w:rPr>
        <w:t>基金</w:t>
      </w:r>
      <w:r>
        <w:rPr>
          <w:rFonts w:hint="eastAsia" w:ascii="仿宋_GB2312" w:eastAsia="仿宋_GB2312"/>
          <w:sz w:val="32"/>
          <w:szCs w:val="32"/>
          <w:highlight w:val="none"/>
        </w:rPr>
        <w:t>运作和管理中如发生重大问题，基金管理公司应在7个工作日内向基金公司报告，并由基金公司提出意见报管委会办公室。</w:t>
      </w:r>
      <w:r>
        <w:rPr>
          <w:rFonts w:hint="eastAsia" w:ascii="仿宋_GB2312" w:eastAsia="仿宋_GB2312"/>
          <w:sz w:val="32"/>
          <w:szCs w:val="32"/>
          <w:highlight w:val="none"/>
          <w:lang w:eastAsia="zh-CN"/>
        </w:rPr>
        <w:t>基金投资项目出现有关事项需要对原投资方案要素作出调整的，由基金管理公司提出建议方案报财投公司审议。一般调整事项经管委会办公室批复后执行；涉及基金风险超出原投资方案或基金收益低于原投资方案等重大事项，由管委会办公室提交管委会决策。</w:t>
      </w:r>
    </w:p>
    <w:p>
      <w:pPr>
        <w:pStyle w:val="3"/>
        <w:shd w:val="clear" w:color="auto" w:fill="FFFFFF"/>
        <w:spacing w:beforeAutospacing="0" w:afterAutospacing="0"/>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第十章  附则</w:t>
      </w:r>
    </w:p>
    <w:p>
      <w:pPr>
        <w:ind w:firstLine="643" w:firstLineChars="200"/>
        <w:jc w:val="both"/>
        <w:rPr>
          <w:rFonts w:hint="eastAsia" w:ascii="仿宋_GB2312" w:eastAsia="仿宋_GB2312"/>
          <w:sz w:val="32"/>
          <w:szCs w:val="32"/>
          <w:highlight w:val="none"/>
          <w:lang w:eastAsia="zh-CN"/>
        </w:rPr>
      </w:pPr>
      <w:r>
        <w:rPr>
          <w:rFonts w:hint="eastAsia" w:ascii="仿宋_GB2312" w:eastAsia="仿宋_GB2312"/>
          <w:b/>
          <w:bCs/>
          <w:sz w:val="32"/>
          <w:szCs w:val="32"/>
          <w:highlight w:val="none"/>
        </w:rPr>
        <w:t>第四十</w:t>
      </w:r>
      <w:r>
        <w:rPr>
          <w:rFonts w:hint="eastAsia" w:ascii="仿宋_GB2312" w:eastAsia="仿宋_GB2312"/>
          <w:b/>
          <w:bCs/>
          <w:sz w:val="32"/>
          <w:szCs w:val="32"/>
          <w:highlight w:val="none"/>
          <w:lang w:eastAsia="zh-CN"/>
        </w:rPr>
        <w:t>四</w:t>
      </w:r>
      <w:r>
        <w:rPr>
          <w:rFonts w:hint="eastAsia" w:ascii="仿宋_GB2312" w:eastAsia="仿宋_GB2312"/>
          <w:b/>
          <w:bCs/>
          <w:sz w:val="32"/>
          <w:szCs w:val="32"/>
          <w:highlight w:val="none"/>
        </w:rPr>
        <w:t>条</w:t>
      </w:r>
      <w:r>
        <w:rPr>
          <w:rFonts w:hint="eastAsia" w:ascii="仿宋_GB2312" w:eastAsia="仿宋_GB2312"/>
          <w:sz w:val="32"/>
          <w:szCs w:val="32"/>
          <w:highlight w:val="none"/>
        </w:rPr>
        <w:t xml:space="preserve"> 本办法自</w:t>
      </w:r>
      <w:r>
        <w:rPr>
          <w:rFonts w:hint="eastAsia" w:ascii="仿宋_GB2312" w:eastAsia="仿宋_GB2312"/>
          <w:sz w:val="32"/>
          <w:szCs w:val="32"/>
          <w:highlight w:val="none"/>
          <w:lang w:val="en-US" w:eastAsia="zh-CN"/>
        </w:rPr>
        <w:t>2019年  月  日</w:t>
      </w:r>
      <w:r>
        <w:rPr>
          <w:rFonts w:hint="eastAsia" w:ascii="仿宋_GB2312" w:eastAsia="仿宋_GB2312"/>
          <w:sz w:val="32"/>
          <w:szCs w:val="32"/>
          <w:highlight w:val="none"/>
        </w:rPr>
        <w:t>起施行。</w:t>
      </w:r>
      <w:r>
        <w:rPr>
          <w:rFonts w:hint="eastAsia" w:ascii="仿宋_GB2312" w:eastAsia="仿宋_GB2312"/>
          <w:sz w:val="32"/>
          <w:szCs w:val="32"/>
          <w:highlight w:val="none"/>
          <w:lang w:eastAsia="zh-CN"/>
        </w:rPr>
        <w:t>原</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绍兴市财政局关于印发</w:t>
      </w:r>
      <w:r>
        <w:rPr>
          <w:rFonts w:hint="eastAsia" w:ascii="仿宋_GB2312" w:hAnsi="Times New Roman" w:eastAsia="仿宋_GB2312" w:cs="Times New Roman"/>
          <w:sz w:val="32"/>
          <w:szCs w:val="32"/>
          <w:highlight w:val="none"/>
        </w:rPr>
        <w:t>绍兴市重点产业发展引导基金管理办</w:t>
      </w:r>
      <w:r>
        <w:rPr>
          <w:rFonts w:hint="eastAsia" w:ascii="仿宋_GB2312" w:hAnsi="Times New Roman" w:eastAsia="仿宋_GB2312" w:cs="Times New Roman"/>
          <w:sz w:val="32"/>
          <w:szCs w:val="32"/>
          <w:highlight w:val="none"/>
          <w:lang w:eastAsia="zh-CN"/>
        </w:rPr>
        <w:t>法的通知</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w:t>
      </w:r>
      <w:bookmarkStart w:id="0" w:name="filetype1_2"/>
      <w:r>
        <w:rPr>
          <w:rFonts w:hint="eastAsia" w:ascii="仿宋_GB2312" w:eastAsia="仿宋_GB2312"/>
          <w:sz w:val="32"/>
          <w:szCs w:val="32"/>
          <w:highlight w:val="none"/>
        </w:rPr>
        <w:t>绍市财企</w:t>
      </w:r>
      <w:bookmarkEnd w:id="0"/>
      <w:bookmarkStart w:id="1" w:name="year1_2"/>
      <w:r>
        <w:rPr>
          <w:rFonts w:hint="eastAsia" w:ascii="仿宋_GB2312" w:eastAsia="仿宋_GB2312"/>
          <w:sz w:val="32"/>
          <w:szCs w:val="32"/>
          <w:highlight w:val="none"/>
        </w:rPr>
        <w:t>〔2015〕36号</w:t>
      </w:r>
      <w:bookmarkEnd w:id="1"/>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b w:val="0"/>
          <w:spacing w:val="0"/>
          <w:sz w:val="32"/>
          <w:szCs w:val="32"/>
          <w:highlight w:val="none"/>
        </w:rPr>
        <w:t>绍兴市财政局关于绍兴市重点产业发展引导基金</w:t>
      </w:r>
      <w:r>
        <w:rPr>
          <w:rFonts w:hint="eastAsia" w:ascii="仿宋_GB2312" w:hAnsi="Times New Roman" w:eastAsia="仿宋_GB2312" w:cs="Times New Roman"/>
          <w:b w:val="0"/>
          <w:sz w:val="32"/>
          <w:szCs w:val="32"/>
          <w:highlight w:val="none"/>
        </w:rPr>
        <w:t>管理办法的补充通知</w:t>
      </w:r>
      <w:r>
        <w:rPr>
          <w:rFonts w:hint="eastAsia" w:ascii="仿宋_GB2312" w:hAnsi="Times New Roman" w:eastAsia="仿宋_GB2312" w:cs="Times New Roman"/>
          <w:b w:val="0"/>
          <w:sz w:val="32"/>
          <w:szCs w:val="32"/>
          <w:highlight w:val="none"/>
          <w:lang w:eastAsia="zh-CN"/>
        </w:rPr>
        <w:t>》（</w:t>
      </w:r>
      <w:r>
        <w:rPr>
          <w:rFonts w:hint="eastAsia" w:ascii="仿宋_GB2312" w:eastAsia="仿宋_GB2312"/>
          <w:sz w:val="32"/>
          <w:szCs w:val="32"/>
          <w:highlight w:val="none"/>
        </w:rPr>
        <w:t>绍市财企〔2016〕11号</w:t>
      </w:r>
      <w:bookmarkStart w:id="2" w:name="year2_2"/>
      <w:bookmarkEnd w:id="2"/>
      <w:r>
        <w:rPr>
          <w:rFonts w:hint="eastAsia" w:ascii="仿宋_GB2312" w:hAnsi="Times New Roman" w:eastAsia="仿宋_GB2312" w:cs="Times New Roman"/>
          <w:b w:val="0"/>
          <w:sz w:val="32"/>
          <w:szCs w:val="32"/>
          <w:highlight w:val="none"/>
          <w:lang w:eastAsia="zh-CN"/>
        </w:rPr>
        <w:t>）</w:t>
      </w:r>
      <w:r>
        <w:rPr>
          <w:rFonts w:hint="eastAsia" w:ascii="仿宋_GB2312" w:eastAsia="仿宋_GB2312"/>
          <w:sz w:val="32"/>
          <w:szCs w:val="32"/>
          <w:highlight w:val="none"/>
          <w:lang w:eastAsia="zh-CN"/>
        </w:rPr>
        <w:t>同时废止。</w:t>
      </w:r>
    </w:p>
    <w:p>
      <w:pPr>
        <w:ind w:firstLine="643" w:firstLineChars="200"/>
        <w:jc w:val="both"/>
        <w:rPr>
          <w:rFonts w:hint="eastAsia" w:ascii="仿宋_GB2312" w:eastAsia="仿宋_GB2312"/>
          <w:sz w:val="32"/>
          <w:szCs w:val="32"/>
          <w:highlight w:val="none"/>
          <w:lang w:eastAsia="zh-CN"/>
        </w:rPr>
      </w:pPr>
      <w:r>
        <w:rPr>
          <w:rFonts w:hint="eastAsia" w:ascii="仿宋_GB2312" w:eastAsia="仿宋_GB2312"/>
          <w:b/>
          <w:bCs/>
          <w:sz w:val="32"/>
          <w:szCs w:val="32"/>
          <w:highlight w:val="none"/>
        </w:rPr>
        <w:t>第四十</w:t>
      </w:r>
      <w:r>
        <w:rPr>
          <w:rFonts w:hint="eastAsia" w:ascii="仿宋_GB2312" w:eastAsia="仿宋_GB2312"/>
          <w:b/>
          <w:bCs/>
          <w:sz w:val="32"/>
          <w:szCs w:val="32"/>
          <w:highlight w:val="none"/>
          <w:lang w:eastAsia="zh-CN"/>
        </w:rPr>
        <w:t>五</w:t>
      </w:r>
      <w:r>
        <w:rPr>
          <w:rFonts w:hint="eastAsia" w:ascii="仿宋_GB2312" w:eastAsia="仿宋_GB2312"/>
          <w:b/>
          <w:bCs/>
          <w:sz w:val="32"/>
          <w:szCs w:val="32"/>
          <w:highlight w:val="none"/>
        </w:rPr>
        <w:t>条</w:t>
      </w:r>
      <w:r>
        <w:rPr>
          <w:rFonts w:hint="eastAsia" w:ascii="仿宋_GB2312" w:eastAsia="仿宋_GB2312"/>
          <w:b/>
          <w:bCs/>
          <w:sz w:val="32"/>
          <w:szCs w:val="32"/>
          <w:highlight w:val="none"/>
          <w:lang w:val="en-US" w:eastAsia="zh-CN"/>
        </w:rPr>
        <w:t xml:space="preserve">  </w:t>
      </w:r>
      <w:r>
        <w:rPr>
          <w:rFonts w:hint="eastAsia" w:ascii="仿宋_GB2312" w:hAnsi="Times New Roman" w:eastAsia="仿宋_GB2312" w:cs="Times New Roman"/>
          <w:sz w:val="32"/>
          <w:szCs w:val="32"/>
          <w:highlight w:val="none"/>
        </w:rPr>
        <w:t>本办法</w:t>
      </w:r>
      <w:r>
        <w:rPr>
          <w:rFonts w:hint="eastAsia" w:ascii="仿宋_GB2312" w:eastAsia="仿宋_GB2312"/>
          <w:sz w:val="32"/>
          <w:szCs w:val="32"/>
          <w:highlight w:val="none"/>
        </w:rPr>
        <w:t>由市财政局负责解释</w:t>
      </w:r>
      <w:r>
        <w:rPr>
          <w:rFonts w:hint="eastAsia" w:ascii="仿宋_GB2312" w:eastAsia="仿宋_GB2312"/>
          <w:sz w:val="32"/>
          <w:szCs w:val="32"/>
          <w:highlight w:val="none"/>
          <w:lang w:eastAsia="zh-CN"/>
        </w:rPr>
        <w:t>。</w:t>
      </w:r>
      <w:r>
        <w:rPr>
          <w:rFonts w:hint="eastAsia" w:ascii="仿宋_GB2312" w:hAnsi="Times New Roman" w:eastAsia="仿宋_GB2312" w:cs="Times New Roman"/>
          <w:sz w:val="32"/>
          <w:szCs w:val="32"/>
          <w:highlight w:val="none"/>
        </w:rPr>
        <w:t>本办法</w:t>
      </w:r>
      <w:r>
        <w:rPr>
          <w:rFonts w:hint="eastAsia" w:ascii="仿宋_GB2312" w:eastAsia="仿宋_GB2312"/>
          <w:sz w:val="32"/>
          <w:szCs w:val="32"/>
          <w:highlight w:val="none"/>
        </w:rPr>
        <w:t>施行</w:t>
      </w:r>
      <w:r>
        <w:rPr>
          <w:rFonts w:hint="eastAsia" w:ascii="仿宋_GB2312" w:hAnsi="Times New Roman" w:eastAsia="仿宋_GB2312" w:cs="Times New Roman"/>
          <w:sz w:val="32"/>
          <w:szCs w:val="32"/>
          <w:highlight w:val="none"/>
        </w:rPr>
        <w:t>前已</w:t>
      </w:r>
      <w:r>
        <w:rPr>
          <w:rFonts w:hint="eastAsia" w:ascii="仿宋_GB2312" w:hAnsi="Times New Roman" w:eastAsia="仿宋_GB2312" w:cs="Times New Roman"/>
          <w:sz w:val="32"/>
          <w:szCs w:val="32"/>
          <w:highlight w:val="none"/>
          <w:lang w:eastAsia="zh-CN"/>
        </w:rPr>
        <w:t>通过基金管委会决策</w:t>
      </w:r>
      <w:r>
        <w:rPr>
          <w:rFonts w:hint="eastAsia" w:ascii="仿宋_GB2312" w:eastAsia="仿宋_GB2312" w:cs="Times New Roman"/>
          <w:sz w:val="32"/>
          <w:szCs w:val="32"/>
          <w:highlight w:val="none"/>
          <w:lang w:eastAsia="zh-CN"/>
        </w:rPr>
        <w:t>的</w:t>
      </w:r>
      <w:r>
        <w:rPr>
          <w:rFonts w:hint="eastAsia" w:ascii="仿宋_GB2312" w:hAnsi="Times New Roman" w:eastAsia="仿宋_GB2312" w:cs="Times New Roman"/>
          <w:sz w:val="32"/>
          <w:szCs w:val="32"/>
          <w:highlight w:val="none"/>
        </w:rPr>
        <w:t>项</w:t>
      </w:r>
      <w:r>
        <w:rPr>
          <w:rFonts w:hint="eastAsia" w:ascii="仿宋_GB2312" w:hAnsi="Times New Roman" w:eastAsia="仿宋_GB2312" w:cs="Times New Roman"/>
          <w:color w:val="auto"/>
          <w:sz w:val="32"/>
          <w:szCs w:val="32"/>
          <w:highlight w:val="none"/>
        </w:rPr>
        <w:t>目</w:t>
      </w:r>
      <w:r>
        <w:rPr>
          <w:rFonts w:hint="eastAsia" w:ascii="仿宋_GB2312" w:hAnsi="Times New Roman" w:eastAsia="仿宋_GB2312" w:cs="Times New Roman"/>
          <w:color w:val="auto"/>
          <w:sz w:val="32"/>
          <w:szCs w:val="32"/>
          <w:highlight w:val="none"/>
          <w:lang w:eastAsia="zh-CN"/>
        </w:rPr>
        <w:t>，按照原有规定</w:t>
      </w:r>
      <w:r>
        <w:rPr>
          <w:rFonts w:hint="eastAsia" w:ascii="仿宋_GB2312" w:hAnsi="Times New Roman" w:eastAsia="仿宋_GB2312" w:cs="Times New Roman"/>
          <w:color w:val="auto"/>
          <w:sz w:val="32"/>
          <w:szCs w:val="32"/>
          <w:highlight w:val="none"/>
        </w:rPr>
        <w:t>执行</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b w:val="0"/>
          <w:sz w:val="32"/>
          <w:szCs w:val="32"/>
          <w:highlight w:val="none"/>
          <w:lang w:eastAsia="zh-CN"/>
        </w:rPr>
        <w:t>《绍兴市财政局关于印发绍兴市重点产业发展引导基金退出管理暂行办法的通知》（</w:t>
      </w:r>
      <w:r>
        <w:rPr>
          <w:rFonts w:hint="eastAsia" w:ascii="仿宋_GB2312" w:eastAsia="仿宋_GB2312"/>
          <w:sz w:val="32"/>
          <w:szCs w:val="32"/>
          <w:highlight w:val="none"/>
          <w:lang w:eastAsia="zh-CN"/>
        </w:rPr>
        <w:t>绍市财企〔2018〕11号）、</w:t>
      </w:r>
      <w:r>
        <w:rPr>
          <w:rFonts w:hint="eastAsia" w:ascii="仿宋_GB2312" w:hAnsi="Times New Roman" w:eastAsia="仿宋_GB2312"/>
          <w:b w:val="0"/>
          <w:sz w:val="32"/>
          <w:szCs w:val="32"/>
          <w:highlight w:val="none"/>
          <w:lang w:eastAsia="zh-CN"/>
        </w:rPr>
        <w:t>《绍兴市财政局关于印发绍兴市重点产业发展引导基金投后管理暂行办法的通知》（</w:t>
      </w:r>
      <w:r>
        <w:rPr>
          <w:rFonts w:hint="eastAsia" w:ascii="仿宋_GB2312" w:eastAsia="仿宋_GB2312"/>
          <w:sz w:val="32"/>
          <w:szCs w:val="32"/>
          <w:highlight w:val="none"/>
          <w:lang w:eastAsia="zh-CN"/>
        </w:rPr>
        <w:t>绍市财企〔2018〕12号）等其他产业基金相关规定与本办法表述不一致的，以本办法为准。上级政府部门及其授权管理机构对政府产业基金另有规定或指导性意见的，从其规定。</w:t>
      </w:r>
    </w:p>
    <w:p>
      <w:pPr>
        <w:ind w:firstLine="643" w:firstLineChars="200"/>
        <w:jc w:val="both"/>
        <w:rPr>
          <w:rFonts w:hint="eastAsia" w:ascii="仿宋_GB2312" w:eastAsia="仿宋_GB2312"/>
          <w:sz w:val="32"/>
          <w:szCs w:val="32"/>
          <w:highlight w:val="none"/>
          <w:lang w:eastAsia="zh-CN"/>
        </w:rPr>
      </w:pPr>
      <w:r>
        <w:rPr>
          <w:rFonts w:hint="eastAsia" w:ascii="仿宋_GB2312" w:eastAsia="仿宋_GB2312"/>
          <w:b/>
          <w:bCs/>
          <w:sz w:val="32"/>
          <w:szCs w:val="32"/>
          <w:highlight w:val="none"/>
          <w:lang w:eastAsia="zh-CN"/>
        </w:rPr>
        <w:t>第四十六条</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相关国有出资主体发生工商变更登记的，</w:t>
      </w:r>
      <w:r>
        <w:rPr>
          <w:rFonts w:hint="eastAsia" w:ascii="仿宋_GB2312" w:eastAsia="仿宋_GB2312"/>
          <w:sz w:val="32"/>
          <w:szCs w:val="32"/>
          <w:highlight w:val="none"/>
          <w:lang w:eastAsia="zh-CN"/>
        </w:rPr>
        <w:t>由变更后主体承担相应职权。</w:t>
      </w:r>
    </w:p>
    <w:p>
      <w:pPr>
        <w:spacing w:before="0" w:beforeLines="-2147483648" w:line="240" w:lineRule="auto"/>
        <w:ind w:firstLine="640" w:firstLineChars="200"/>
        <w:jc w:val="left"/>
        <w:rPr>
          <w:rFonts w:hint="eastAsia" w:ascii="仿宋_GB2312" w:hAnsi="仿宋_GB2312" w:eastAsia="仿宋_GB2312" w:cs="仿宋_GB2312"/>
          <w:color w:val="auto"/>
          <w:sz w:val="32"/>
          <w:szCs w:val="32"/>
          <w:highlight w:val="none"/>
          <w:lang w:val="en-US" w:eastAsia="zh-CN"/>
        </w:rPr>
      </w:pPr>
    </w:p>
    <w:p>
      <w:pPr>
        <w:spacing w:before="0" w:beforeLines="-2147483648" w:line="240" w:lineRule="auto"/>
        <w:ind w:firstLine="640" w:firstLineChars="200"/>
        <w:jc w:val="left"/>
        <w:rPr>
          <w:rFonts w:hint="eastAsia" w:ascii="仿宋_GB2312" w:hAnsi="仿宋_GB2312" w:eastAsia="仿宋_GB2312" w:cs="仿宋_GB2312"/>
          <w:color w:val="auto"/>
          <w:sz w:val="32"/>
          <w:szCs w:val="32"/>
          <w:highlight w:val="none"/>
        </w:rPr>
      </w:pPr>
    </w:p>
    <w:p>
      <w:pPr>
        <w:rPr>
          <w:highlight w:val="none"/>
        </w:rPr>
      </w:pPr>
    </w:p>
    <w:p>
      <w:pPr>
        <w:spacing w:line="560" w:lineRule="exact"/>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18030">
    <w:altName w:val="微软雅黑"/>
    <w:panose1 w:val="02010609060101010101"/>
    <w:charset w:val="86"/>
    <w:family w:val="auto"/>
    <w:pitch w:val="default"/>
    <w:sig w:usb0="00000000" w:usb1="00000000" w:usb2="000A005E"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18030">
    <w:altName w:val="微软雅黑"/>
    <w:panose1 w:val="02010609060101010101"/>
    <w:charset w:val="86"/>
    <w:family w:val="auto"/>
    <w:pitch w:val="default"/>
    <w:sig w:usb0="00000000" w:usb1="00000000" w:usb2="000A005E"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宋体-方正超大字符集">
    <w:altName w:val="宋体"/>
    <w:panose1 w:val="03000509000000000000"/>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MS Mincho">
    <w:panose1 w:val="020206090402050803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方正小标宋_GBK">
    <w:altName w:val="宋体"/>
    <w:panose1 w:val="03000509000000000000"/>
    <w:charset w:val="86"/>
    <w:family w:val="auto"/>
    <w:pitch w:val="default"/>
    <w:sig w:usb0="00000000" w:usb1="00000000" w:usb2="00000000" w:usb3="00000000" w:csb0="00040000" w:csb1="00000000"/>
  </w:font>
  <w:font w:name="ArialMT">
    <w:altName w:val="Arial"/>
    <w:panose1 w:val="00000000000000000000"/>
    <w:charset w:val="00"/>
    <w:family w:val="swiss"/>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彩虹粗仿宋">
    <w:altName w:val="微软雅黑"/>
    <w:panose1 w:val="00000000000000000000"/>
    <w:charset w:val="86"/>
    <w:family w:val="auto"/>
    <w:pitch w:val="default"/>
    <w:sig w:usb0="00000000" w:usb1="00000000" w:usb2="00000010" w:usb3="00000000" w:csb0="00040000" w:csb1="00000000"/>
  </w:font>
  <w:font w:name="TT1379o00">
    <w:altName w:val="黑体"/>
    <w:panose1 w:val="00000000000000000000"/>
    <w:charset w:val="86"/>
    <w:family w:val="auto"/>
    <w:pitch w:val="default"/>
    <w:sig w:usb0="00000000" w:usb1="00000000" w:usb2="00000010" w:usb3="00000000" w:csb0="00040000" w:csb1="00000000"/>
  </w:font>
  <w:font w:name="T206">
    <w:altName w:val="宋体"/>
    <w:panose1 w:val="00000000000000000000"/>
    <w:charset w:val="86"/>
    <w:family w:val="swiss"/>
    <w:pitch w:val="default"/>
    <w:sig w:usb0="00000000" w:usb1="00000000" w:usb2="00000010" w:usb3="00000000" w:csb0="00040000" w:csb1="00000000"/>
  </w:font>
  <w:font w:name="T207">
    <w:altName w:val="宋体"/>
    <w:panose1 w:val="00000000000000000000"/>
    <w:charset w:val="86"/>
    <w:family w:val="swiss"/>
    <w:pitch w:val="default"/>
    <w:sig w:usb0="00000000" w:usb1="00000000" w:usb2="00000010" w:usb3="00000000" w:csb0="00040000" w:csb1="00000000"/>
  </w:font>
  <w:font w:name="T208">
    <w:altName w:val="宋体"/>
    <w:panose1 w:val="00000000000000000000"/>
    <w:charset w:val="86"/>
    <w:family w:val="swiss"/>
    <w:pitch w:val="default"/>
    <w:sig w:usb0="00000000" w:usb1="00000000" w:usb2="00000010" w:usb3="00000000" w:csb0="00040000" w:csb1="00000000"/>
  </w:font>
  <w:font w:name="T248">
    <w:altName w:val="宋体"/>
    <w:panose1 w:val="00000000000000000000"/>
    <w:charset w:val="86"/>
    <w:family w:val="swiss"/>
    <w:pitch w:val="default"/>
    <w:sig w:usb0="00000000" w:usb1="00000000" w:usb2="00000010" w:usb3="00000000" w:csb0="00040000" w:csb1="00000000"/>
  </w:font>
  <w:font w:name="T246">
    <w:altName w:val="宋体"/>
    <w:panose1 w:val="00000000000000000000"/>
    <w:charset w:val="86"/>
    <w:family w:val="swiss"/>
    <w:pitch w:val="default"/>
    <w:sig w:usb0="00000000" w:usb1="00000000" w:usb2="00000010" w:usb3="00000000" w:csb0="00040000" w:csb1="00000000"/>
  </w:font>
  <w:font w:name="T247">
    <w:altName w:val="宋体"/>
    <w:panose1 w:val="00000000000000000000"/>
    <w:charset w:val="86"/>
    <w:family w:val="swiss"/>
    <w:pitch w:val="default"/>
    <w:sig w:usb0="00000000" w:usb1="00000000" w:usb2="00000010" w:usb3="00000000" w:csb0="00040000" w:csb1="00000000"/>
  </w:font>
  <w:font w:name="T366">
    <w:altName w:val="宋体"/>
    <w:panose1 w:val="00000000000000000000"/>
    <w:charset w:val="86"/>
    <w:family w:val="swiss"/>
    <w:pitch w:val="default"/>
    <w:sig w:usb0="00000000" w:usb1="00000000" w:usb2="00000010" w:usb3="00000000" w:csb0="00040000" w:csb1="00000000"/>
  </w:font>
  <w:font w:name="T250">
    <w:altName w:val="宋体"/>
    <w:panose1 w:val="00000000000000000000"/>
    <w:charset w:val="86"/>
    <w:family w:val="swiss"/>
    <w:pitch w:val="default"/>
    <w:sig w:usb0="00000000" w:usb1="00000000" w:usb2="00000010" w:usb3="00000000" w:csb0="00040000" w:csb1="00000000"/>
  </w:font>
  <w:font w:name="T254">
    <w:altName w:val="宋体"/>
    <w:panose1 w:val="00000000000000000000"/>
    <w:charset w:val="86"/>
    <w:family w:val="swiss"/>
    <w:pitch w:val="default"/>
    <w:sig w:usb0="00000000" w:usb1="00000000" w:usb2="00000010" w:usb3="00000000" w:csb0="00040000" w:csb1="00000000"/>
  </w:font>
  <w:font w:name="T256">
    <w:altName w:val="宋体"/>
    <w:panose1 w:val="00000000000000000000"/>
    <w:charset w:val="86"/>
    <w:family w:val="swiss"/>
    <w:pitch w:val="default"/>
    <w:sig w:usb0="00000000" w:usb1="00000000" w:usb2="00000010" w:usb3="00000000" w:csb0="00040000" w:csb1="00000000"/>
  </w:font>
  <w:font w:name="T255">
    <w:altName w:val="宋体"/>
    <w:panose1 w:val="00000000000000000000"/>
    <w:charset w:val="86"/>
    <w:family w:val="swiss"/>
    <w:pitch w:val="default"/>
    <w:sig w:usb0="00000000" w:usb1="00000000" w:usb2="00000010" w:usb3="00000000" w:csb0="00040000" w:csb1="00000000"/>
  </w:font>
  <w:font w:name="T264">
    <w:altName w:val="宋体"/>
    <w:panose1 w:val="00000000000000000000"/>
    <w:charset w:val="86"/>
    <w:family w:val="swiss"/>
    <w:pitch w:val="default"/>
    <w:sig w:usb0="00000000" w:usb1="00000000" w:usb2="00000010" w:usb3="00000000" w:csb0="00040000" w:csb1="00000000"/>
  </w:font>
  <w:font w:name="T259">
    <w:altName w:val="宋体"/>
    <w:panose1 w:val="00000000000000000000"/>
    <w:charset w:val="86"/>
    <w:family w:val="swiss"/>
    <w:pitch w:val="default"/>
    <w:sig w:usb0="00000000" w:usb1="00000000" w:usb2="00000010" w:usb3="00000000" w:csb0="00040000" w:csb1="00000000"/>
  </w:font>
  <w:font w:name="T260">
    <w:altName w:val="宋体"/>
    <w:panose1 w:val="00000000000000000000"/>
    <w:charset w:val="86"/>
    <w:family w:val="swiss"/>
    <w:pitch w:val="default"/>
    <w:sig w:usb0="00000000" w:usb1="00000000" w:usb2="00000010" w:usb3="00000000" w:csb0="00040000" w:csb1="00000000"/>
  </w:font>
  <w:font w:name="T261">
    <w:altName w:val="宋体"/>
    <w:panose1 w:val="00000000000000000000"/>
    <w:charset w:val="86"/>
    <w:family w:val="swiss"/>
    <w:pitch w:val="default"/>
    <w:sig w:usb0="00000000" w:usb1="00000000" w:usb2="00000010" w:usb3="00000000" w:csb0="00040000" w:csb1="00000000"/>
  </w:font>
  <w:font w:name="T266">
    <w:altName w:val="宋体"/>
    <w:panose1 w:val="00000000000000000000"/>
    <w:charset w:val="86"/>
    <w:family w:val="swiss"/>
    <w:pitch w:val="default"/>
    <w:sig w:usb0="00000000" w:usb1="00000000" w:usb2="00000010" w:usb3="00000000" w:csb0="00040000" w:csb1="00000000"/>
  </w:font>
  <w:font w:name="T309">
    <w:altName w:val="宋体"/>
    <w:panose1 w:val="00000000000000000000"/>
    <w:charset w:val="86"/>
    <w:family w:val="swiss"/>
    <w:pitch w:val="default"/>
    <w:sig w:usb0="00000000" w:usb1="00000000" w:usb2="00000010" w:usb3="00000000" w:csb0="00040000" w:csb1="00000000"/>
  </w:font>
  <w:font w:name="T297">
    <w:altName w:val="宋体"/>
    <w:panose1 w:val="00000000000000000000"/>
    <w:charset w:val="86"/>
    <w:family w:val="swiss"/>
    <w:pitch w:val="default"/>
    <w:sig w:usb0="00000000" w:usb1="00000000" w:usb2="00000010" w:usb3="00000000" w:csb0="00040000" w:csb1="00000000"/>
  </w:font>
  <w:font w:name="T289">
    <w:altName w:val="宋体"/>
    <w:panose1 w:val="00000000000000000000"/>
    <w:charset w:val="86"/>
    <w:family w:val="swiss"/>
    <w:pitch w:val="default"/>
    <w:sig w:usb0="00000000" w:usb1="00000000" w:usb2="00000010" w:usb3="00000000" w:csb0="00040000" w:csb1="00000000"/>
  </w:font>
  <w:font w:name="T296">
    <w:altName w:val="宋体"/>
    <w:panose1 w:val="00000000000000000000"/>
    <w:charset w:val="86"/>
    <w:family w:val="swiss"/>
    <w:pitch w:val="default"/>
    <w:sig w:usb0="00000000" w:usb1="00000000" w:usb2="00000010" w:usb3="00000000" w:csb0="00040000" w:csb1="00000000"/>
  </w:font>
  <w:font w:name="T295">
    <w:altName w:val="宋体"/>
    <w:panose1 w:val="00000000000000000000"/>
    <w:charset w:val="86"/>
    <w:family w:val="swiss"/>
    <w:pitch w:val="default"/>
    <w:sig w:usb0="00000000" w:usb1="00000000" w:usb2="00000010" w:usb3="00000000" w:csb0="00040000" w:csb1="00000000"/>
  </w:font>
  <w:font w:name="T407">
    <w:altName w:val="宋体"/>
    <w:panose1 w:val="00000000000000000000"/>
    <w:charset w:val="86"/>
    <w:family w:val="swiss"/>
    <w:pitch w:val="default"/>
    <w:sig w:usb0="00000000" w:usb1="00000000" w:usb2="00000010" w:usb3="00000000" w:csb0="00040000" w:csb1="00000000"/>
  </w:font>
  <w:font w:name="T406">
    <w:altName w:val="宋体"/>
    <w:panose1 w:val="00000000000000000000"/>
    <w:charset w:val="86"/>
    <w:family w:val="swiss"/>
    <w:pitch w:val="default"/>
    <w:sig w:usb0="00000000" w:usb1="00000000" w:usb2="00000010" w:usb3="00000000" w:csb0="00040000" w:csb1="00000000"/>
  </w:font>
  <w:font w:name="T301">
    <w:altName w:val="宋体"/>
    <w:panose1 w:val="00000000000000000000"/>
    <w:charset w:val="86"/>
    <w:family w:val="swiss"/>
    <w:pitch w:val="default"/>
    <w:sig w:usb0="00000000" w:usb1="00000000" w:usb2="00000010" w:usb3="00000000" w:csb0="00040000" w:csb1="00000000"/>
  </w:font>
  <w:font w:name="T299">
    <w:altName w:val="宋体"/>
    <w:panose1 w:val="00000000000000000000"/>
    <w:charset w:val="86"/>
    <w:family w:val="swiss"/>
    <w:pitch w:val="default"/>
    <w:sig w:usb0="00000000" w:usb1="00000000" w:usb2="00000010" w:usb3="00000000" w:csb0="00040000" w:csb1="00000000"/>
  </w:font>
  <w:font w:name="T300">
    <w:altName w:val="宋体"/>
    <w:panose1 w:val="00000000000000000000"/>
    <w:charset w:val="86"/>
    <w:family w:val="swiss"/>
    <w:pitch w:val="default"/>
    <w:sig w:usb0="00000000" w:usb1="00000000" w:usb2="00000010" w:usb3="00000000" w:csb0="00040000" w:csb1="00000000"/>
  </w:font>
  <w:font w:name="T302">
    <w:altName w:val="宋体"/>
    <w:panose1 w:val="00000000000000000000"/>
    <w:charset w:val="86"/>
    <w:family w:val="swiss"/>
    <w:pitch w:val="default"/>
    <w:sig w:usb0="00000000" w:usb1="00000000" w:usb2="00000010" w:usb3="00000000" w:csb0="00040000" w:csb1="00000000"/>
  </w:font>
  <w:font w:name="T308">
    <w:altName w:val="宋体"/>
    <w:panose1 w:val="00000000000000000000"/>
    <w:charset w:val="86"/>
    <w:family w:val="swiss"/>
    <w:pitch w:val="default"/>
    <w:sig w:usb0="00000000" w:usb1="00000000" w:usb2="00000010" w:usb3="00000000" w:csb0="00040000" w:csb1="00000000"/>
  </w:font>
  <w:font w:name="T304">
    <w:altName w:val="宋体"/>
    <w:panose1 w:val="00000000000000000000"/>
    <w:charset w:val="86"/>
    <w:family w:val="swiss"/>
    <w:pitch w:val="default"/>
    <w:sig w:usb0="00000000" w:usb1="00000000" w:usb2="00000010" w:usb3="00000000" w:csb0="00040000" w:csb1="00000000"/>
  </w:font>
  <w:font w:name="T306">
    <w:altName w:val="宋体"/>
    <w:panose1 w:val="00000000000000000000"/>
    <w:charset w:val="86"/>
    <w:family w:val="swiss"/>
    <w:pitch w:val="default"/>
    <w:sig w:usb0="00000000" w:usb1="00000000" w:usb2="00000010" w:usb3="00000000" w:csb0="00040000" w:csb1="00000000"/>
  </w:font>
  <w:font w:name="T305">
    <w:altName w:val="宋体"/>
    <w:panose1 w:val="00000000000000000000"/>
    <w:charset w:val="86"/>
    <w:family w:val="swiss"/>
    <w:pitch w:val="default"/>
    <w:sig w:usb0="00000000" w:usb1="00000000" w:usb2="00000010" w:usb3="00000000" w:csb0="00040000" w:csb1="00000000"/>
  </w:font>
  <w:font w:name="T310">
    <w:altName w:val="宋体"/>
    <w:panose1 w:val="00000000000000000000"/>
    <w:charset w:val="86"/>
    <w:family w:val="swiss"/>
    <w:pitch w:val="default"/>
    <w:sig w:usb0="00000000" w:usb1="00000000" w:usb2="00000010" w:usb3="00000000" w:csb0="00040000" w:csb1="00000000"/>
  </w:font>
  <w:font w:name="T311">
    <w:altName w:val="宋体"/>
    <w:panose1 w:val="00000000000000000000"/>
    <w:charset w:val="86"/>
    <w:family w:val="swiss"/>
    <w:pitch w:val="default"/>
    <w:sig w:usb0="00000000" w:usb1="00000000" w:usb2="00000010" w:usb3="00000000" w:csb0="00040000" w:csb1="00000000"/>
  </w:font>
  <w:font w:name="T285">
    <w:altName w:val="宋体"/>
    <w:panose1 w:val="00000000000000000000"/>
    <w:charset w:val="86"/>
    <w:family w:val="swiss"/>
    <w:pitch w:val="default"/>
    <w:sig w:usb0="00000000" w:usb1="00000000" w:usb2="00000010" w:usb3="00000000" w:csb0="00040000" w:csb1="00000000"/>
  </w:font>
  <w:font w:name="T284">
    <w:altName w:val="宋体"/>
    <w:panose1 w:val="00000000000000000000"/>
    <w:charset w:val="86"/>
    <w:family w:val="swiss"/>
    <w:pitch w:val="default"/>
    <w:sig w:usb0="00000000" w:usb1="00000000" w:usb2="00000010" w:usb3="00000000" w:csb0="00040000" w:csb1="00000000"/>
  </w:font>
  <w:font w:name="T242">
    <w:altName w:val="宋体"/>
    <w:panose1 w:val="00000000000000000000"/>
    <w:charset w:val="86"/>
    <w:family w:val="swiss"/>
    <w:pitch w:val="default"/>
    <w:sig w:usb0="00000000" w:usb1="00000000" w:usb2="00000010" w:usb3="00000000" w:csb0="00040000" w:csb1="00000000"/>
  </w:font>
  <w:font w:name="T243">
    <w:altName w:val="宋体"/>
    <w:panose1 w:val="00000000000000000000"/>
    <w:charset w:val="86"/>
    <w:family w:val="swiss"/>
    <w:pitch w:val="default"/>
    <w:sig w:usb0="00000000" w:usb1="00000000" w:usb2="00000010" w:usb3="00000000" w:csb0="00040000" w:csb1="00000000"/>
  </w:font>
  <w:font w:name="T244">
    <w:altName w:val="宋体"/>
    <w:panose1 w:val="00000000000000000000"/>
    <w:charset w:val="86"/>
    <w:family w:val="swiss"/>
    <w:pitch w:val="default"/>
    <w:sig w:usb0="00000000" w:usb1="00000000" w:usb2="00000010" w:usb3="00000000" w:csb0="00040000" w:csb1="00000000"/>
  </w:font>
  <w:font w:name="T321">
    <w:altName w:val="宋体"/>
    <w:panose1 w:val="00000000000000000000"/>
    <w:charset w:val="86"/>
    <w:family w:val="swiss"/>
    <w:pitch w:val="default"/>
    <w:sig w:usb0="00000000" w:usb1="00000000" w:usb2="00000010" w:usb3="00000000" w:csb0="00040000" w:csb1="00000000"/>
  </w:font>
  <w:font w:name="T322">
    <w:altName w:val="宋体"/>
    <w:panose1 w:val="00000000000000000000"/>
    <w:charset w:val="86"/>
    <w:family w:val="swiss"/>
    <w:pitch w:val="default"/>
    <w:sig w:usb0="00000000" w:usb1="00000000" w:usb2="00000010" w:usb3="00000000" w:csb0="00040000" w:csb1="00000000"/>
  </w:font>
  <w:font w:name="T323">
    <w:altName w:val="宋体"/>
    <w:panose1 w:val="00000000000000000000"/>
    <w:charset w:val="86"/>
    <w:family w:val="swiss"/>
    <w:pitch w:val="default"/>
    <w:sig w:usb0="00000000" w:usb1="00000000" w:usb2="00000010" w:usb3="00000000" w:csb0="00040000" w:csb1="00000000"/>
  </w:font>
  <w:font w:name="T327">
    <w:altName w:val="宋体"/>
    <w:panose1 w:val="00000000000000000000"/>
    <w:charset w:val="86"/>
    <w:family w:val="swiss"/>
    <w:pitch w:val="default"/>
    <w:sig w:usb0="00000000" w:usb1="00000000" w:usb2="00000010" w:usb3="00000000" w:csb0="00040000" w:csb1="00000000"/>
  </w:font>
  <w:font w:name="T328">
    <w:altName w:val="宋体"/>
    <w:panose1 w:val="00000000000000000000"/>
    <w:charset w:val="86"/>
    <w:family w:val="swiss"/>
    <w:pitch w:val="default"/>
    <w:sig w:usb0="00000000" w:usb1="00000000" w:usb2="00000010" w:usb3="00000000" w:csb0="00040000" w:csb1="00000000"/>
  </w:font>
  <w:font w:name="T329">
    <w:altName w:val="宋体"/>
    <w:panose1 w:val="00000000000000000000"/>
    <w:charset w:val="86"/>
    <w:family w:val="swiss"/>
    <w:pitch w:val="default"/>
    <w:sig w:usb0="00000000" w:usb1="00000000" w:usb2="00000010" w:usb3="00000000" w:csb0="00040000" w:csb1="00000000"/>
  </w:font>
  <w:font w:name="T330">
    <w:altName w:val="宋体"/>
    <w:panose1 w:val="00000000000000000000"/>
    <w:charset w:val="86"/>
    <w:family w:val="swiss"/>
    <w:pitch w:val="default"/>
    <w:sig w:usb0="00000000" w:usb1="00000000" w:usb2="00000010" w:usb3="00000000" w:csb0="00040000" w:csb1="00000000"/>
  </w:font>
  <w:font w:name="T333">
    <w:altName w:val="宋体"/>
    <w:panose1 w:val="00000000000000000000"/>
    <w:charset w:val="86"/>
    <w:family w:val="swiss"/>
    <w:pitch w:val="default"/>
    <w:sig w:usb0="00000000" w:usb1="00000000" w:usb2="00000010" w:usb3="00000000" w:csb0="00040000" w:csb1="00000000"/>
  </w:font>
  <w:font w:name="T336">
    <w:altName w:val="宋体"/>
    <w:panose1 w:val="00000000000000000000"/>
    <w:charset w:val="86"/>
    <w:family w:val="swiss"/>
    <w:pitch w:val="default"/>
    <w:sig w:usb0="00000000" w:usb1="00000000" w:usb2="00000010" w:usb3="00000000" w:csb0="00040000" w:csb1="00000000"/>
  </w:font>
  <w:font w:name="T337">
    <w:altName w:val="宋体"/>
    <w:panose1 w:val="00000000000000000000"/>
    <w:charset w:val="86"/>
    <w:family w:val="swiss"/>
    <w:pitch w:val="default"/>
    <w:sig w:usb0="00000000" w:usb1="00000000" w:usb2="00000010" w:usb3="00000000" w:csb0="00040000" w:csb1="00000000"/>
  </w:font>
  <w:font w:name="T339">
    <w:altName w:val="宋体"/>
    <w:panose1 w:val="00000000000000000000"/>
    <w:charset w:val="86"/>
    <w:family w:val="swiss"/>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Adobe 繁黑體 Std B">
    <w:altName w:val="黑体"/>
    <w:panose1 w:val="020B0700000000000000"/>
    <w:charset w:val="88"/>
    <w:family w:val="auto"/>
    <w:pitch w:val="default"/>
    <w:sig w:usb0="00000000" w:usb1="00000000" w:usb2="00000016" w:usb3="00000000" w:csb0="00120005" w:csb1="00000000"/>
  </w:font>
  <w:font w:name="方正卡通简体">
    <w:altName w:val="宋体"/>
    <w:panose1 w:val="03000509000000000000"/>
    <w:charset w:val="86"/>
    <w:family w:val="auto"/>
    <w:pitch w:val="default"/>
    <w:sig w:usb0="00000000" w:usb1="00000000" w:usb2="00000000"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04b09">
    <w:altName w:val="Latha"/>
    <w:panose1 w:val="00000400000000000000"/>
    <w:charset w:val="00"/>
    <w:family w:val="auto"/>
    <w:pitch w:val="default"/>
    <w:sig w:usb0="00000000" w:usb1="00000000" w:usb2="00000000" w:usb3="00000000" w:csb0="00000000" w:csb1="00000000"/>
  </w:font>
  <w:font w:name="方正卡通繁体">
    <w:altName w:val="宋体"/>
    <w:panose1 w:val="03000509000000000000"/>
    <w:charset w:val="86"/>
    <w:family w:val="auto"/>
    <w:pitch w:val="default"/>
    <w:sig w:usb0="00000000" w:usb1="00000000" w:usb2="00000000" w:usb3="00000000" w:csb0="00040000" w:csb1="00000000"/>
  </w:font>
  <w:font w:name="不明体">
    <w:altName w:val="宋体"/>
    <w:panose1 w:val="02000503000000000000"/>
    <w:charset w:val="86"/>
    <w:family w:val="auto"/>
    <w:pitch w:val="default"/>
    <w:sig w:usb0="00000000" w:usb1="00000000" w:usb2="00000016" w:usb3="00000000" w:csb0="40160005" w:csb1="C0D60000"/>
  </w:font>
  <w:font w:name="中國龍顏楷體">
    <w:altName w:val="宋体"/>
    <w:panose1 w:val="02010609000101010101"/>
    <w:charset w:val="00"/>
    <w:family w:val="auto"/>
    <w:pitch w:val="default"/>
    <w:sig w:usb0="00000000" w:usb1="00000000" w:usb2="00000000" w:usb3="00000000" w:csb0="00000000" w:csb1="00000000"/>
  </w:font>
  <w:font w:name="冬青黑体简体中文 W3">
    <w:altName w:val="黑体"/>
    <w:panose1 w:val="020B0300000000000000"/>
    <w:charset w:val="86"/>
    <w:family w:val="auto"/>
    <w:pitch w:val="default"/>
    <w:sig w:usb0="00000000" w:usb1="00000000" w:usb2="00000016" w:usb3="00000000" w:csb0="00060007" w:csb1="00000000"/>
  </w:font>
  <w:font w:name="创艺简宋体">
    <w:altName w:val="宋体"/>
    <w:panose1 w:val="00000000000000000000"/>
    <w:charset w:val="00"/>
    <w:family w:val="auto"/>
    <w:pitch w:val="default"/>
    <w:sig w:usb0="00000000" w:usb1="00000000" w:usb2="00000000" w:usb3="00000000" w:csb0="00000000" w:csb1="00000000"/>
  </w:font>
  <w:font w:name="创艺简仿宋">
    <w:altName w:val="仿宋"/>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创艺简细圆">
    <w:altName w:val="Latha"/>
    <w:panose1 w:val="00000000000000000000"/>
    <w:charset w:val="00"/>
    <w:family w:val="auto"/>
    <w:pitch w:val="default"/>
    <w:sig w:usb0="00000000" w:usb1="00000000" w:usb2="00000000" w:usb3="00000000" w:csb0="00000000" w:csb1="00000000"/>
  </w:font>
  <w:font w:name="创艺简老宋">
    <w:altName w:val="宋体"/>
    <w:panose1 w:val="00000000000000000000"/>
    <w:charset w:val="00"/>
    <w:family w:val="auto"/>
    <w:pitch w:val="default"/>
    <w:sig w:usb0="00000000" w:usb1="00000000" w:usb2="00000000" w:usb3="00000000" w:csb0="00000000" w:csb1="00000000"/>
  </w:font>
  <w:font w:name="Adobe Myungjo Std M">
    <w:altName w:val="MS PMincho"/>
    <w:panose1 w:val="02020600000000000000"/>
    <w:charset w:val="80"/>
    <w:family w:val="auto"/>
    <w:pitch w:val="default"/>
    <w:sig w:usb0="00000000" w:usb1="00000000" w:usb2="00000010" w:usb3="00000000" w:csb0="602A0005" w:csb1="00000000"/>
  </w:font>
  <w:font w:name="A-OTF Shin Maru Go Pro U">
    <w:altName w:val="MS UI Gothic"/>
    <w:panose1 w:val="020F0900000000000000"/>
    <w:charset w:val="80"/>
    <w:family w:val="auto"/>
    <w:pitch w:val="default"/>
    <w:sig w:usb0="00000000" w:usb1="00000000" w:usb2="00000012" w:usb3="00000000" w:csb0="00020005" w:csb1="00000000"/>
  </w:font>
  <w:font w:name="A-OTF TakaHand Std H">
    <w:altName w:val="MS UI Gothic"/>
    <w:panose1 w:val="020B0700000000000000"/>
    <w:charset w:val="80"/>
    <w:family w:val="auto"/>
    <w:pitch w:val="default"/>
    <w:sig w:usb0="00000000" w:usb1="00000000" w:usb2="00000012" w:usb3="00000000" w:csb0="00020005" w:csb1="00000000"/>
  </w:font>
  <w:font w:name="A-OTF Shin Go Pr6N EL">
    <w:altName w:val="MS UI Gothic"/>
    <w:panose1 w:val="020B0200000000000000"/>
    <w:charset w:val="80"/>
    <w:family w:val="auto"/>
    <w:pitch w:val="default"/>
    <w:sig w:usb0="00000000" w:usb1="00000000" w:usb2="00000012" w:usb3="00000000" w:csb0="2002009F" w:csb1="00000000"/>
  </w:font>
  <w:font w:name="FGＩＮＴ秀慶太隷書">
    <w:altName w:val="MS Mincho"/>
    <w:panose1 w:val="03000809000000000000"/>
    <w:charset w:val="80"/>
    <w:family w:val="auto"/>
    <w:pitch w:val="default"/>
    <w:sig w:usb0="00000000" w:usb1="00000000" w:usb2="00000010" w:usb3="00000000" w:csb0="00020000" w:csb1="00000000"/>
  </w:font>
  <w:font w:name="Adobe 宋体 Std L">
    <w:altName w:val="宋体"/>
    <w:panose1 w:val="02020300000000000000"/>
    <w:charset w:val="86"/>
    <w:family w:val="auto"/>
    <w:pitch w:val="default"/>
    <w:sig w:usb0="00000000" w:usb1="00000000" w:usb2="00000016" w:usb3="00000000" w:csb0="00060007" w:csb1="00000000"/>
  </w:font>
  <w:font w:name="汉鼎繁黑变">
    <w:altName w:val="黑体"/>
    <w:panose1 w:val="02010609000101010101"/>
    <w:charset w:val="00"/>
    <w:family w:val="auto"/>
    <w:pitch w:val="default"/>
    <w:sig w:usb0="00000000" w:usb1="00000000" w:usb2="00000000" w:usb3="00000000" w:csb0="00000000" w:csb1="00000000"/>
  </w:font>
  <w:font w:name="浪漫雅黑">
    <w:altName w:val="黑体"/>
    <w:panose1 w:val="02010600030101010101"/>
    <w:charset w:val="86"/>
    <w:family w:val="auto"/>
    <w:pitch w:val="default"/>
    <w:sig w:usb0="00000000" w:usb1="00000000" w:usb2="00000016" w:usb3="00000000" w:csb0="601E019D" w:csb1="D3F70000"/>
  </w:font>
  <w:font w:name="经典中圆简">
    <w:altName w:val="宋体"/>
    <w:panose1 w:val="02010609000101010101"/>
    <w:charset w:val="86"/>
    <w:family w:val="auto"/>
    <w:pitch w:val="default"/>
    <w:sig w:usb0="00000000" w:usb1="00000000" w:usb2="0000001E" w:usb3="00000000" w:csb0="20040000" w:csb1="00000000"/>
  </w:font>
  <w:font w:name="经典仿宋简">
    <w:altName w:val="仿宋"/>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楷体简">
    <w:altName w:val="宋体"/>
    <w:panose1 w:val="02010609000101010101"/>
    <w:charset w:val="86"/>
    <w:family w:val="auto"/>
    <w:pitch w:val="default"/>
    <w:sig w:usb0="00000000" w:usb1="00000000" w:usb2="0000001E" w:usb3="00000000" w:csb0="20040000" w:csb1="00000000"/>
  </w:font>
  <w:font w:name="经典标宋繁">
    <w:altName w:val="宋体"/>
    <w:panose1 w:val="02010609000101010101"/>
    <w:charset w:val="86"/>
    <w:family w:val="auto"/>
    <w:pitch w:val="default"/>
    <w:sig w:usb0="00000000" w:usb1="00000000" w:usb2="0000001E" w:usb3="00000000" w:csb0="20040000" w:csb1="00000000"/>
  </w:font>
  <w:font w:name="经典特宋简">
    <w:altName w:val="宋体"/>
    <w:panose1 w:val="02010609010101010101"/>
    <w:charset w:val="86"/>
    <w:family w:val="auto"/>
    <w:pitch w:val="default"/>
    <w:sig w:usb0="00000000" w:usb1="00000000" w:usb2="0000001E" w:usb3="00000000" w:csb0="20040000" w:csb1="00000000"/>
  </w:font>
  <w:font w:name="经典空叠圆简">
    <w:altName w:val="宋体"/>
    <w:panose1 w:val="02010609000101010101"/>
    <w:charset w:val="86"/>
    <w:family w:val="auto"/>
    <w:pitch w:val="default"/>
    <w:sig w:usb0="00000000" w:usb1="00000000" w:usb2="0000001E" w:usb3="00000000" w:csb0="20040000" w:csb1="00000000"/>
  </w:font>
  <w:font w:name="经典粗仿黑">
    <w:altName w:val="黑体"/>
    <w:panose1 w:val="02010609000101010101"/>
    <w:charset w:val="86"/>
    <w:family w:val="auto"/>
    <w:pitch w:val="default"/>
    <w:sig w:usb0="00000000" w:usb1="00000000" w:usb2="0000001E" w:usb3="00000000" w:csb0="20040000" w:csb1="00000000"/>
  </w:font>
  <w:font w:name="经典粗圆繁">
    <w:altName w:val="宋体"/>
    <w:panose1 w:val="02010609000101010101"/>
    <w:charset w:val="86"/>
    <w:family w:val="auto"/>
    <w:pitch w:val="default"/>
    <w:sig w:usb0="00000000" w:usb1="00000000" w:usb2="0000001E" w:usb3="00000000" w:csb0="20040000" w:csb1="00000000"/>
  </w:font>
  <w:font w:name="经典繁中变">
    <w:altName w:val="宋体"/>
    <w:panose1 w:val="02010609000101010101"/>
    <w:charset w:val="86"/>
    <w:family w:val="auto"/>
    <w:pitch w:val="default"/>
    <w:sig w:usb0="00000000" w:usb1="00000000" w:usb2="0000001E" w:usb3="00000000" w:csb0="20040000" w:csb1="00000000"/>
  </w:font>
  <w:font w:name="经典综艺体繁">
    <w:altName w:val="宋体"/>
    <w:panose1 w:val="02010609000101010101"/>
    <w:charset w:val="86"/>
    <w:family w:val="auto"/>
    <w:pitch w:val="default"/>
    <w:sig w:usb0="00000000" w:usb1="00000000" w:usb2="0000001E" w:usb3="00000000" w:csb0="20040000" w:csb1="00000000"/>
  </w:font>
  <w:font w:name="经典美黑简">
    <w:altName w:val="黑体"/>
    <w:panose1 w:val="02010609000101010101"/>
    <w:charset w:val="86"/>
    <w:family w:val="auto"/>
    <w:pitch w:val="default"/>
    <w:sig w:usb0="00000000" w:usb1="00000000" w:usb2="0000001E" w:usb3="00000000" w:csb0="20040000" w:csb1="00000000"/>
  </w:font>
  <w:font w:name="经典美黑繁">
    <w:altName w:val="黑体"/>
    <w:panose1 w:val="02010609000101010101"/>
    <w:charset w:val="86"/>
    <w:family w:val="auto"/>
    <w:pitch w:val="default"/>
    <w:sig w:usb0="00000000" w:usb1="00000000" w:usb2="0000001E" w:usb3="00000000" w:csb0="20040000" w:csb1="00000000"/>
  </w:font>
  <w:font w:name="经典隶书简">
    <w:altName w:val="宋体"/>
    <w:panose1 w:val="02010609000101010101"/>
    <w:charset w:val="86"/>
    <w:family w:val="auto"/>
    <w:pitch w:val="default"/>
    <w:sig w:usb0="00000000" w:usb1="00000000" w:usb2="0000001E" w:usb3="00000000" w:csb0="20040000" w:csb1="00000000"/>
  </w:font>
  <w:font w:name="迷你简海韵">
    <w:altName w:val="宋体"/>
    <w:panose1 w:val="02010604000101010101"/>
    <w:charset w:val="86"/>
    <w:family w:val="auto"/>
    <w:pitch w:val="default"/>
    <w:sig w:usb0="00000000" w:usb1="00000000" w:usb2="00000002" w:usb3="00000000" w:csb0="00040000" w:csb1="00000000"/>
  </w:font>
  <w:font w:name="迷你简火柴">
    <w:altName w:val="宋体"/>
    <w:panose1 w:val="02010609000101010101"/>
    <w:charset w:val="86"/>
    <w:family w:val="auto"/>
    <w:pitch w:val="default"/>
    <w:sig w:usb0="00000000" w:usb1="00000000" w:usb2="00000002" w:usb3="00000000" w:csb0="00040000" w:csb1="00000000"/>
  </w:font>
  <w:font w:name="迷你简祥隶">
    <w:altName w:val="宋体"/>
    <w:panose1 w:val="03000509000000000000"/>
    <w:charset w:val="86"/>
    <w:family w:val="auto"/>
    <w:pitch w:val="default"/>
    <w:sig w:usb0="00000000" w:usb1="00000000" w:usb2="00000000" w:usb3="00000000" w:csb0="00040000" w:csb1="00000000"/>
  </w:font>
  <w:font w:name="迷你简水波">
    <w:altName w:val="宋体"/>
    <w:panose1 w:val="02010604000101010101"/>
    <w:charset w:val="86"/>
    <w:family w:val="auto"/>
    <w:pitch w:val="default"/>
    <w:sig w:usb0="00000000" w:usb1="00000000" w:usb2="00000002" w:usb3="00000000" w:csb0="00040000" w:csb1="00000000"/>
  </w:font>
  <w:font w:name="迷你简哈哈">
    <w:altName w:val="宋体"/>
    <w:panose1 w:val="02010604000101010101"/>
    <w:charset w:val="86"/>
    <w:family w:val="auto"/>
    <w:pitch w:val="default"/>
    <w:sig w:usb0="00000000" w:usb1="00000000" w:usb2="00000002" w:usb3="00000000" w:csb0="00040000" w:csb1="00000000"/>
  </w:font>
  <w:font w:name="華康采風體">
    <w:altName w:val="宋体"/>
    <w:panose1 w:val="03000309000000000000"/>
    <w:charset w:val="86"/>
    <w:family w:val="auto"/>
    <w:pitch w:val="default"/>
    <w:sig w:usb0="00000000" w:usb1="00000000" w:usb2="00000016" w:usb3="00000000" w:csb0="00040000" w:csb1="00000000"/>
  </w:font>
  <w:font w:name="華康華綜體">
    <w:altName w:val="宋体"/>
    <w:panose1 w:val="020B0500000000000000"/>
    <w:charset w:val="86"/>
    <w:family w:val="auto"/>
    <w:pitch w:val="default"/>
    <w:sig w:usb0="00000000" w:usb1="00000000" w:usb2="00000016" w:usb3="00000000" w:csb0="00040000" w:csb1="00000000"/>
  </w:font>
  <w:font w:name="迷你荆棘体">
    <w:altName w:val="宋体"/>
    <w:panose1 w:val="020B0602010101010101"/>
    <w:charset w:val="86"/>
    <w:family w:val="auto"/>
    <w:pitch w:val="default"/>
    <w:sig w:usb0="00000000" w:usb1="00000000" w:usb2="00000000" w:usb3="00000000" w:csb0="00040000" w:csb1="00000000"/>
  </w:font>
  <w:font w:name="迷你简黛玉">
    <w:altName w:val="宋体"/>
    <w:panose1 w:val="02010604000101010101"/>
    <w:charset w:val="86"/>
    <w:family w:val="auto"/>
    <w:pitch w:val="default"/>
    <w:sig w:usb0="00000000" w:usb1="00000000" w:usb2="00000002" w:usb3="00000000" w:csb0="00040000" w:csb1="00000000"/>
  </w:font>
  <w:font w:name="经典空叠黑">
    <w:altName w:val="黑体"/>
    <w:panose1 w:val="02010609000101010101"/>
    <w:charset w:val="86"/>
    <w:family w:val="auto"/>
    <w:pitch w:val="default"/>
    <w:sig w:usb0="00000000" w:usb1="00000000" w:usb2="0000001E" w:usb3="00000000" w:csb0="20040000" w:csb1="00000000"/>
  </w:font>
  <w:font w:name="经典空叠圆繁">
    <w:altName w:val="宋体"/>
    <w:panose1 w:val="02010609000101010101"/>
    <w:charset w:val="86"/>
    <w:family w:val="auto"/>
    <w:pitch w:val="default"/>
    <w:sig w:usb0="00000000" w:usb1="00000000" w:usb2="0000001E" w:usb3="00000000" w:csb0="20040000" w:csb1="00000000"/>
  </w:font>
  <w:font w:name="创艺简中圆">
    <w:altName w:val="Latha"/>
    <w:panose1 w:val="00000000000000000000"/>
    <w:charset w:val="00"/>
    <w:family w:val="auto"/>
    <w:pitch w:val="default"/>
    <w:sig w:usb0="00000000" w:usb1="00000000" w:usb2="00000000" w:usb3="00000000" w:csb0="00000000"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Gill Sans Ultra Bold">
    <w:altName w:val="Segoe UI Semibold"/>
    <w:panose1 w:val="020B0A02020104020203"/>
    <w:charset w:val="00"/>
    <w:family w:val="auto"/>
    <w:pitch w:val="default"/>
    <w:sig w:usb0="00000000" w:usb1="00000000" w:usb2="00000000" w:usb3="00000000" w:csb0="20000003" w:csb1="00000000"/>
  </w:font>
  <w:font w:name="Gloucester MT Extra Condensed">
    <w:altName w:val="MT Extra"/>
    <w:panose1 w:val="02030808020601010101"/>
    <w:charset w:val="00"/>
    <w:family w:val="auto"/>
    <w:pitch w:val="default"/>
    <w:sig w:usb0="00000000" w:usb1="00000000" w:usb2="00000000" w:usb3="00000000" w:csb0="20000001" w:csb1="00000000"/>
  </w:font>
  <w:font w:name="Gotham Rounded Book">
    <w:altName w:val="Latha"/>
    <w:panose1 w:val="00000000000000000000"/>
    <w:charset w:val="00"/>
    <w:family w:val="auto"/>
    <w:pitch w:val="default"/>
    <w:sig w:usb0="00000000" w:usb1="00000000" w:usb2="00000000" w:usb3="00000000" w:csb0="0000000B" w:csb1="00000000"/>
  </w:font>
  <w:font w:name="Goudy Stout">
    <w:altName w:val="Segoe Print"/>
    <w:panose1 w:val="0202090407030B020401"/>
    <w:charset w:val="00"/>
    <w:family w:val="auto"/>
    <w:pitch w:val="default"/>
    <w:sig w:usb0="00000000" w:usb1="00000000" w:usb2="00000000" w:usb3="00000000" w:csb0="20000001" w:csb1="00000000"/>
  </w:font>
  <w:font w:name="GreekC">
    <w:altName w:val="Latha"/>
    <w:panose1 w:val="00000400000000000000"/>
    <w:charset w:val="00"/>
    <w:family w:val="auto"/>
    <w:pitch w:val="default"/>
    <w:sig w:usb0="00000000" w:usb1="00000000" w:usb2="00000000" w:usb3="00000000" w:csb0="000001FF" w:csb1="00000000"/>
  </w:font>
  <w:font w:name="Hanzel">
    <w:altName w:val="Shruti"/>
    <w:panose1 w:val="020B0500000000000000"/>
    <w:charset w:val="00"/>
    <w:family w:val="auto"/>
    <w:pitch w:val="default"/>
    <w:sig w:usb0="00000000" w:usb1="00000000" w:usb2="00000000" w:usb3="00000000" w:csb0="00000000" w:csb1="00000000"/>
  </w:font>
  <w:font w:name="Highlight LET">
    <w:altName w:val="Latha"/>
    <w:panose1 w:val="00000000000000000000"/>
    <w:charset w:val="00"/>
    <w:family w:val="auto"/>
    <w:pitch w:val="default"/>
    <w:sig w:usb0="00000000" w:usb1="00000000" w:usb2="00000000" w:usb3="00000000" w:csb0="00000000" w:csb1="00000000"/>
  </w:font>
  <w:font w:name="Hobo Std">
    <w:altName w:val="Shruti"/>
    <w:panose1 w:val="020B0803040709020204"/>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SOCPEUR">
    <w:altName w:val="Microsoft Sans Serif"/>
    <w:panose1 w:val="020B0604020202020204"/>
    <w:charset w:val="00"/>
    <w:family w:val="auto"/>
    <w:pitch w:val="default"/>
    <w:sig w:usb0="00000000" w:usb1="00000000" w:usb2="00000000" w:usb3="00000000" w:csb0="4000009F" w:csb1="DFD70000"/>
  </w:font>
  <w:font w:name="ISOCT">
    <w:altName w:val="Latha"/>
    <w:panose1 w:val="00000400000000000000"/>
    <w:charset w:val="00"/>
    <w:family w:val="auto"/>
    <w:pitch w:val="default"/>
    <w:sig w:usb0="00000000" w:usb1="00000000" w:usb2="00000000" w:usb3="00000000" w:csb0="000001FF" w:csb1="00000000"/>
  </w:font>
  <w:font w:name="ISOCT2">
    <w:altName w:val="Latha"/>
    <w:panose1 w:val="00000400000000000000"/>
    <w:charset w:val="00"/>
    <w:family w:val="auto"/>
    <w:pitch w:val="default"/>
    <w:sig w:usb0="00000000" w:usb1="00000000" w:usb2="00000000" w:usb3="00000000" w:csb0="000001FF" w:csb1="00000000"/>
  </w:font>
  <w:font w:name="ISOCT3">
    <w:altName w:val="Latha"/>
    <w:panose1 w:val="00000400000000000000"/>
    <w:charset w:val="00"/>
    <w:family w:val="auto"/>
    <w:pitch w:val="default"/>
    <w:sig w:usb0="00000000" w:usb1="00000000" w:usb2="00000000" w:usb3="00000000" w:csb0="000001FF" w:csb1="00000000"/>
  </w:font>
  <w:font w:name="ISOCTEUR">
    <w:altName w:val="Shruti"/>
    <w:panose1 w:val="020B0609020202020204"/>
    <w:charset w:val="00"/>
    <w:family w:val="auto"/>
    <w:pitch w:val="default"/>
    <w:sig w:usb0="00000000" w:usb1="00000000" w:usb2="00000000" w:usb3="00000000" w:csb0="4000009F" w:csb1="DFD70000"/>
  </w:font>
  <w:font w:name="Italic">
    <w:altName w:val="Latha"/>
    <w:panose1 w:val="00000400000000000000"/>
    <w:charset w:val="00"/>
    <w:family w:val="auto"/>
    <w:pitch w:val="default"/>
    <w:sig w:usb0="00000000" w:usb1="00000000" w:usb2="00000000" w:usb3="00000000" w:csb0="000001FF" w:csb1="00000000"/>
  </w:font>
  <w:font w:name="ItalicT">
    <w:altName w:val="Latha"/>
    <w:panose1 w:val="00000400000000000000"/>
    <w:charset w:val="00"/>
    <w:family w:val="auto"/>
    <w:pitch w:val="default"/>
    <w:sig w:usb0="00000000" w:usb1="00000000" w:usb2="00000000" w:usb3="00000000" w:csb0="000001FF" w:csb1="00000000"/>
  </w:font>
  <w:font w:name="ITC Bookman">
    <w:altName w:val="Shruti"/>
    <w:panose1 w:val="02050504040505020204"/>
    <w:charset w:val="00"/>
    <w:family w:val="auto"/>
    <w:pitch w:val="default"/>
    <w:sig w:usb0="00000000" w:usb1="00000000" w:usb2="00000000" w:usb3="00000000" w:csb0="00000093" w:csb1="00000000"/>
  </w:font>
  <w:font w:name="ITC Avant Garde Gothic">
    <w:altName w:val="Latha"/>
    <w:panose1 w:val="020B0402020203020304"/>
    <w:charset w:val="00"/>
    <w:family w:val="auto"/>
    <w:pitch w:val="default"/>
    <w:sig w:usb0="00000000" w:usb1="00000000" w:usb2="00000000" w:usb3="00000000" w:csb0="00000093" w:csb1="00000000"/>
  </w:font>
  <w:font w:name="John Handy LET">
    <w:altName w:val="Latha"/>
    <w:panose1 w:val="00000000000000000000"/>
    <w:charset w:val="00"/>
    <w:family w:val="auto"/>
    <w:pitch w:val="default"/>
    <w:sig w:usb0="00000000" w:usb1="00000000" w:usb2="00000000" w:usb3="00000000" w:csb0="00000000" w:csb1="00000000"/>
  </w:font>
  <w:font w:name="Letter Gothic">
    <w:altName w:val="Latha"/>
    <w:panose1 w:val="020B0409020202030204"/>
    <w:charset w:val="00"/>
    <w:family w:val="auto"/>
    <w:pitch w:val="default"/>
    <w:sig w:usb0="00000000" w:usb1="00000000" w:usb2="00000000" w:usb3="00000000" w:csb0="00000093" w:csb1="00000000"/>
  </w:font>
  <w:font w:name="Lithos Pro Regular">
    <w:altName w:val="Latha"/>
    <w:panose1 w:val="04020505030E02020A04"/>
    <w:charset w:val="00"/>
    <w:family w:val="auto"/>
    <w:pitch w:val="default"/>
    <w:sig w:usb0="00000000" w:usb1="00000000" w:usb2="00000000" w:usb3="00000000" w:csb0="2000009B" w:csb1="00000000"/>
  </w:font>
  <w:font w:name="Lucida Console">
    <w:panose1 w:val="020B0609040504020204"/>
    <w:charset w:val="00"/>
    <w:family w:val="auto"/>
    <w:pitch w:val="default"/>
    <w:sig w:usb0="8000028F" w:usb1="00001800" w:usb2="00000000" w:usb3="00000000" w:csb0="0000001F" w:csb1="D7D70000"/>
  </w:font>
  <w:font w:name="Lucida Sans Typewriter">
    <w:altName w:val="Segoe Print"/>
    <w:panose1 w:val="020B0509030504030204"/>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Marker">
    <w:altName w:val="Latha"/>
    <w:panose1 w:val="00000000000000000000"/>
    <w:charset w:val="00"/>
    <w:family w:val="auto"/>
    <w:pitch w:val="default"/>
    <w:sig w:usb0="00000000"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1002AFF" w:usb1="C0000002" w:usb2="00000008" w:usb3="00000000" w:csb0="200101FF" w:csb1="20280000"/>
  </w:font>
  <w:font w:name="Minion Pro Cond">
    <w:altName w:val="Shruti"/>
    <w:panose1 w:val="02040706060201020203"/>
    <w:charset w:val="00"/>
    <w:family w:val="auto"/>
    <w:pitch w:val="default"/>
    <w:sig w:usb0="00000000" w:usb1="00000000" w:usb2="00000000" w:usb3="00000000" w:csb0="2000019F" w:csb1="00000000"/>
  </w:font>
  <w:font w:name="Monotxt">
    <w:altName w:val="Latha"/>
    <w:panose1 w:val="00000400000000000000"/>
    <w:charset w:val="00"/>
    <w:family w:val="auto"/>
    <w:pitch w:val="default"/>
    <w:sig w:usb0="00000000" w:usb1="00000000" w:usb2="00000000" w:usb3="00000000" w:csb0="000001FF" w:csb1="00000000"/>
  </w:font>
  <w:font w:name="MS Reference Specialty">
    <w:altName w:val="Latha"/>
    <w:panose1 w:val="05000500000000000000"/>
    <w:charset w:val="00"/>
    <w:family w:val="auto"/>
    <w:pitch w:val="default"/>
    <w:sig w:usb0="00000000" w:usb1="00000000" w:usb2="00000000" w:usb3="00000000" w:csb0="80000000" w:csb1="00000000"/>
  </w:font>
  <w:font w:name="Novarese BQ">
    <w:altName w:val="Latha"/>
    <w:panose1 w:val="00000000000000000000"/>
    <w:charset w:val="00"/>
    <w:family w:val="auto"/>
    <w:pitch w:val="default"/>
    <w:sig w:usb0="00000000" w:usb1="00000000" w:usb2="00000000" w:usb3="00000000" w:csb0="20000111" w:csb1="00000000"/>
  </w:font>
  <w:font w:name="One Stroke Script LET">
    <w:altName w:val="Latha"/>
    <w:panose1 w:val="00000000000000000000"/>
    <w:charset w:val="00"/>
    <w:family w:val="auto"/>
    <w:pitch w:val="default"/>
    <w:sig w:usb0="00000000" w:usb1="00000000" w:usb2="00000000" w:usb3="00000000" w:csb0="00000000" w:csb1="00000000"/>
  </w:font>
  <w:font w:name="Palace Script MT">
    <w:altName w:val="Mongolian Baiti"/>
    <w:panose1 w:val="030303020206070C0B05"/>
    <w:charset w:val="00"/>
    <w:family w:val="auto"/>
    <w:pitch w:val="default"/>
    <w:sig w:usb0="00000000" w:usb1="00000000" w:usb2="00000000" w:usb3="00000000" w:csb0="20000001" w:csb1="00000000"/>
  </w:font>
  <w:font w:name="PanRoman">
    <w:altName w:val="Latha"/>
    <w:panose1 w:val="00000400000000000000"/>
    <w:charset w:val="00"/>
    <w:family w:val="auto"/>
    <w:pitch w:val="default"/>
    <w:sig w:usb0="00000000" w:usb1="00000000" w:usb2="00000000" w:usb3="00000000" w:csb0="00000000" w:csb1="00000000"/>
  </w:font>
  <w:font w:name="Perpetua">
    <w:altName w:val="PMingLiU-ExtB"/>
    <w:panose1 w:val="02020502060401020303"/>
    <w:charset w:val="00"/>
    <w:family w:val="auto"/>
    <w:pitch w:val="default"/>
    <w:sig w:usb0="00000000" w:usb1="00000000" w:usb2="00000000" w:usb3="00000000" w:csb0="00000001" w:csb1="00000000"/>
  </w:font>
  <w:font w:name="Prestige Elite Std">
    <w:altName w:val="Shruti"/>
    <w:panose1 w:val="02060509020206020304"/>
    <w:charset w:val="00"/>
    <w:family w:val="auto"/>
    <w:pitch w:val="default"/>
    <w:sig w:usb0="00000000" w:usb1="00000000" w:usb2="00000000" w:usb3="00000000" w:csb0="60000001" w:csb1="00000000"/>
  </w:font>
  <w:font w:name="Proxy 4">
    <w:altName w:val="Latha"/>
    <w:panose1 w:val="00000400000000000000"/>
    <w:charset w:val="00"/>
    <w:family w:val="auto"/>
    <w:pitch w:val="default"/>
    <w:sig w:usb0="00000000" w:usb1="00000000" w:usb2="00000000" w:usb3="00000000" w:csb0="000001FF" w:csb1="00000000"/>
  </w:font>
  <w:font w:name="Proxy 8">
    <w:altName w:val="Latha"/>
    <w:panose1 w:val="00000400000000000000"/>
    <w:charset w:val="00"/>
    <w:family w:val="auto"/>
    <w:pitch w:val="default"/>
    <w:sig w:usb0="00000000" w:usb1="00000000" w:usb2="00000000" w:usb3="00000000" w:csb0="000001FF" w:csb1="00000000"/>
  </w:font>
  <w:font w:name="Raavi">
    <w:panose1 w:val="020B0502040204020203"/>
    <w:charset w:val="00"/>
    <w:family w:val="auto"/>
    <w:pitch w:val="default"/>
    <w:sig w:usb0="00020003" w:usb1="00000000" w:usb2="00000000" w:usb3="00000000" w:csb0="00000001" w:csb1="00000000"/>
  </w:font>
  <w:font w:name="Regular">
    <w:altName w:val="Verdana"/>
    <w:panose1 w:val="02000000000000000000"/>
    <w:charset w:val="00"/>
    <w:family w:val="auto"/>
    <w:pitch w:val="default"/>
    <w:sig w:usb0="00000000" w:usb1="00000000" w:usb2="00000000" w:usb3="00000000" w:csb0="4000001F" w:csb1="00000000"/>
  </w:font>
  <w:font w:name="Roboto">
    <w:altName w:val="Latha"/>
    <w:panose1 w:val="00000000000000000000"/>
    <w:charset w:val="00"/>
    <w:family w:val="auto"/>
    <w:pitch w:val="default"/>
    <w:sig w:usb0="00000000" w:usb1="00000000" w:usb2="00000020" w:usb3="00000000" w:csb0="2000019F" w:csb1="4F010000"/>
  </w:font>
  <w:font w:name="RomanT">
    <w:altName w:val="Latha"/>
    <w:panose1 w:val="00000400000000000000"/>
    <w:charset w:val="00"/>
    <w:family w:val="auto"/>
    <w:pitch w:val="default"/>
    <w:sig w:usb0="00000000" w:usb1="00000000" w:usb2="00000000" w:usb3="00000000" w:csb0="000001FF" w:csb1="00000000"/>
  </w:font>
  <w:font w:name="Script MT Bold">
    <w:altName w:val="Mongolian Baiti"/>
    <w:panose1 w:val="03040602040607080904"/>
    <w:charset w:val="00"/>
    <w:family w:val="auto"/>
    <w:pitch w:val="default"/>
    <w:sig w:usb0="00000000" w:usb1="00000000" w:usb2="00000000" w:usb3="00000000" w:csb0="20000001" w:csb1="00000000"/>
  </w:font>
  <w:font w:name="Scruff LET">
    <w:altName w:val="Latha"/>
    <w:panose1 w:val="00000000000000000000"/>
    <w:charset w:val="00"/>
    <w:family w:val="auto"/>
    <w:pitch w:val="default"/>
    <w:sig w:usb0="00000000" w:usb1="00000000" w:usb2="00000000" w:usb3="00000000" w:csb0="00000000" w:csb1="00000000"/>
  </w:font>
  <w:font w:name="SquareDance10">
    <w:altName w:val="Latha"/>
    <w:panose1 w:val="00010201010101010101"/>
    <w:charset w:val="00"/>
    <w:family w:val="auto"/>
    <w:pitch w:val="default"/>
    <w:sig w:usb0="00000000" w:usb1="00000000" w:usb2="00000000" w:usb3="00000000" w:csb0="00000000" w:csb1="00000000"/>
  </w:font>
  <w:font w:name="Swis721 BdCnOul BT">
    <w:altName w:val="Latha"/>
    <w:panose1 w:val="04020704030B03040203"/>
    <w:charset w:val="00"/>
    <w:family w:val="auto"/>
    <w:pitch w:val="default"/>
    <w:sig w:usb0="00000000" w:usb1="00000000" w:usb2="00000000" w:usb3="00000000" w:csb0="00000000" w:csb1="00000000"/>
  </w:font>
  <w:font w:name="Swis721 BlkEx BT">
    <w:altName w:val="Shruti"/>
    <w:panose1 w:val="020B0907040502030204"/>
    <w:charset w:val="00"/>
    <w:family w:val="auto"/>
    <w:pitch w:val="default"/>
    <w:sig w:usb0="00000000" w:usb1="00000000" w:usb2="00000000" w:usb3="00000000" w:csb0="00000000" w:csb1="00000000"/>
  </w:font>
  <w:font w:name="Swis721 Ex BT">
    <w:altName w:val="Shruti"/>
    <w:panose1 w:val="020B0605020202020204"/>
    <w:charset w:val="00"/>
    <w:family w:val="auto"/>
    <w:pitch w:val="default"/>
    <w:sig w:usb0="00000000" w:usb1="00000000" w:usb2="00000000" w:usb3="00000000" w:csb0="00000000" w:csb1="00000000"/>
  </w:font>
  <w:font w:name="Swis721 LtCn BT">
    <w:altName w:val="Latha"/>
    <w:panose1 w:val="020B0406020202030204"/>
    <w:charset w:val="00"/>
    <w:family w:val="auto"/>
    <w:pitch w:val="default"/>
    <w:sig w:usb0="00000000" w:usb1="00000000" w:usb2="00000000" w:usb3="00000000" w:csb0="00000000" w:csb1="00000000"/>
  </w:font>
  <w:font w:name="Symap">
    <w:altName w:val="Latha"/>
    <w:panose1 w:val="00000400000000000000"/>
    <w:charset w:val="00"/>
    <w:family w:val="auto"/>
    <w:pitch w:val="default"/>
    <w:sig w:usb0="00000000" w:usb1="00000000" w:usb2="00000000" w:usb3="00000000" w:csb0="000001FF" w:csb1="00000000"/>
  </w:font>
  <w:font w:name="Symeteo">
    <w:altName w:val="Latha"/>
    <w:panose1 w:val="00000400000000000000"/>
    <w:charset w:val="00"/>
    <w:family w:val="auto"/>
    <w:pitch w:val="default"/>
    <w:sig w:usb0="00000000" w:usb1="00000000" w:usb2="00000000" w:usb3="00000000" w:csb0="000001FF" w:csb1="00000000"/>
  </w:font>
  <w:font w:name="Tekton Pro Cond">
    <w:altName w:val="Shruti"/>
    <w:panose1 w:val="020F0606020208020904"/>
    <w:charset w:val="00"/>
    <w:family w:val="auto"/>
    <w:pitch w:val="default"/>
    <w:sig w:usb0="00000000" w:usb1="00000000" w:usb2="00000000" w:usb3="00000000" w:csb0="20000093" w:csb1="00000000"/>
  </w:font>
  <w:font w:name="Tekton Pro">
    <w:altName w:val="Shruti"/>
    <w:panose1 w:val="020F0603020208020904"/>
    <w:charset w:val="00"/>
    <w:family w:val="auto"/>
    <w:pitch w:val="default"/>
    <w:sig w:usb0="00000000" w:usb1="00000000" w:usb2="00000000" w:usb3="00000000" w:csb0="20000093" w:csb1="00000000"/>
  </w:font>
  <w:font w:name="Tekton Pro Ext">
    <w:altName w:val="Shruti"/>
    <w:panose1 w:val="020F0605020208020904"/>
    <w:charset w:val="00"/>
    <w:family w:val="auto"/>
    <w:pitch w:val="default"/>
    <w:sig w:usb0="00000000" w:usb1="00000000" w:usb2="00000000" w:usb3="00000000" w:csb0="20000093" w:csb1="00000000"/>
  </w:font>
  <w:font w:name="Basemic Times">
    <w:altName w:val="Latha"/>
    <w:panose1 w:val="00000400000000000000"/>
    <w:charset w:val="00"/>
    <w:family w:val="auto"/>
    <w:pitch w:val="default"/>
    <w:sig w:usb0="00000000" w:usb1="00000000" w:usb2="00000000" w:usb3="00000000" w:csb0="00000001" w:csb1="DFD74000"/>
  </w:font>
  <w:font w:name="Times CG ATT">
    <w:altName w:val="Shruti"/>
    <w:panose1 w:val="02020603050405090304"/>
    <w:charset w:val="00"/>
    <w:family w:val="auto"/>
    <w:pitch w:val="default"/>
    <w:sig w:usb0="00000000" w:usb1="00000000" w:usb2="00000000" w:usb3="00000000" w:csb0="0000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兰亭黑_GBK">
    <w:altName w:val="宋体"/>
    <w:panose1 w:val="02000000000000000000"/>
    <w:charset w:val="86"/>
    <w:family w:val="auto"/>
    <w:pitch w:val="default"/>
    <w:sig w:usb0="00000000" w:usb1="00000000" w:usb2="00000000" w:usb3="00000000" w:csb0="00040000" w:csb1="00000000"/>
  </w:font>
  <w:font w:name="方正兰亭黑_GB18030">
    <w:altName w:val="黑体"/>
    <w:panose1 w:val="02000000000000000000"/>
    <w:charset w:val="86"/>
    <w:family w:val="auto"/>
    <w:pitch w:val="default"/>
    <w:sig w:usb0="00000000" w:usb1="00000000" w:usb2="00000000" w:usb3="00000000" w:csb0="00040000" w:csb1="00000000"/>
  </w:font>
  <w:font w:name="方正兰亭纤黑_GBK">
    <w:altName w:val="黑体"/>
    <w:panose1 w:val="02000000000000000000"/>
    <w:charset w:val="86"/>
    <w:family w:val="auto"/>
    <w:pitch w:val="default"/>
    <w:sig w:usb0="00000000" w:usb1="00000000" w:usb2="00000000" w:usb3="00000000" w:csb0="00040000" w:csb1="00000000"/>
  </w:font>
  <w:font w:name="文鼎魏碑繁">
    <w:altName w:val="Lucida Console"/>
    <w:panose1 w:val="02010609010101010101"/>
    <w:charset w:val="00"/>
    <w:family w:val="auto"/>
    <w:pitch w:val="default"/>
    <w:sig w:usb0="00000000" w:usb1="00000000" w:usb2="00000000" w:usb3="00000000" w:csb0="00000000" w:csb1="00000000"/>
  </w:font>
  <w:font w:name="文鼎ＰＯＰ－２繁">
    <w:altName w:val="Lucida Console"/>
    <w:panose1 w:val="02010609010101010101"/>
    <w:charset w:val="00"/>
    <w:family w:val="auto"/>
    <w:pitch w:val="default"/>
    <w:sig w:usb0="00000000" w:usb1="00000000" w:usb2="00000000" w:usb3="00000000" w:csb0="0000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Almonte Snow">
    <w:altName w:val="Latha"/>
    <w:panose1 w:val="02000400000000000000"/>
    <w:charset w:val="00"/>
    <w:family w:val="auto"/>
    <w:pitch w:val="default"/>
    <w:sig w:usb0="00000000" w:usb1="00000000" w:usb2="00000000" w:usb3="00000000" w:csb0="00000001" w:csb1="00000000"/>
  </w:font>
  <w:font w:name="Kozuka Gothic Pro H">
    <w:altName w:val="MS UI Gothic"/>
    <w:panose1 w:val="020B0800000000000000"/>
    <w:charset w:val="80"/>
    <w:family w:val="auto"/>
    <w:pitch w:val="default"/>
    <w:sig w:usb0="00000000" w:usb1="00000000" w:usb2="00000012" w:usb3="00000000" w:csb0="20020005" w:csb1="00000000"/>
  </w:font>
  <w:font w:name="Kozuka Gothic Pro M">
    <w:altName w:val="MS UI Gothic"/>
    <w:panose1 w:val="020B0700000000000000"/>
    <w:charset w:val="80"/>
    <w:family w:val="auto"/>
    <w:pitch w:val="default"/>
    <w:sig w:usb0="00000000" w:usb1="00000000" w:usb2="00000012" w:usb3="00000000" w:csb0="20020005" w:csb1="00000000"/>
  </w:font>
  <w:font w:name="Kozuka Gothic Pro L">
    <w:altName w:val="MS UI Gothic"/>
    <w:panose1 w:val="020B0200000000000000"/>
    <w:charset w:val="80"/>
    <w:family w:val="auto"/>
    <w:pitch w:val="default"/>
    <w:sig w:usb0="00000000" w:usb1="00000000" w:usb2="00000012" w:usb3="00000000" w:csb0="20020005" w:csb1="00000000"/>
  </w:font>
  <w:font w:name="Kozuka Mincho Pr6N R">
    <w:altName w:val="MS PMincho"/>
    <w:panose1 w:val="02020400000000000000"/>
    <w:charset w:val="80"/>
    <w:family w:val="auto"/>
    <w:pitch w:val="default"/>
    <w:sig w:usb0="00000000" w:usb1="00000000" w:usb2="00000012" w:usb3="00000000" w:csb0="2002009F" w:csb1="00000000"/>
  </w:font>
  <w:font w:name="Shruti">
    <w:panose1 w:val="020B0502040204020203"/>
    <w:charset w:val="00"/>
    <w:family w:val="auto"/>
    <w:pitch w:val="default"/>
    <w:sig w:usb0="00040003" w:usb1="00000000" w:usb2="00000000" w:usb3="00000000" w:csb0="00000001" w:csb1="00000000"/>
  </w:font>
  <w:font w:name="CG Times">
    <w:altName w:val="Times New Roman"/>
    <w:panose1 w:val="02020603050405020304"/>
    <w:charset w:val="00"/>
    <w:family w:val="auto"/>
    <w:pitch w:val="default"/>
    <w:sig w:usb0="00000000" w:usb1="00000000" w:usb2="00000000" w:usb3="00000000" w:csb0="00000093" w:csb1="00000000"/>
  </w:font>
  <w:font w:name="PMingLiU">
    <w:panose1 w:val="02020500000000000000"/>
    <w:charset w:val="88"/>
    <w:family w:val="auto"/>
    <w:pitch w:val="default"/>
    <w:sig w:usb0="A00002FF" w:usb1="28CFFCFA" w:usb2="00000016" w:usb3="00000000" w:csb0="00100001" w:csb1="00000000"/>
  </w:font>
  <w:font w:name="Latha">
    <w:panose1 w:val="020B0604020202020204"/>
    <w:charset w:val="00"/>
    <w:family w:val="auto"/>
    <w:pitch w:val="default"/>
    <w:sig w:usb0="00100003" w:usb1="00000000" w:usb2="00000000" w:usb3="00000000" w:csb0="000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rial Black">
    <w:panose1 w:val="020B0A04020102020204"/>
    <w:charset w:val="00"/>
    <w:family w:val="auto"/>
    <w:pitch w:val="default"/>
    <w:sig w:usb0="00000287"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Estrangelo Edessa">
    <w:panose1 w:val="03080600000000000000"/>
    <w:charset w:val="00"/>
    <w:family w:val="auto"/>
    <w:pitch w:val="default"/>
    <w:sig w:usb0="80002043" w:usb1="00000000" w:usb2="00000080" w:usb3="00000000" w:csb0="00000001" w:csb1="00000000"/>
  </w:font>
  <w:font w:name="Roman 10cpi">
    <w:altName w:val="Lucida Console"/>
    <w:panose1 w:val="00000000000000000000"/>
    <w:charset w:val="00"/>
    <w:family w:val="modern"/>
    <w:pitch w:val="default"/>
    <w:sig w:usb0="00000000" w:usb1="00000000" w:usb2="00000000" w:usb3="00000000" w:csb0="00000001" w:csb1="00000000"/>
  </w:font>
  <w:font w:name="方正仿宋简体">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Time">
    <w:altName w:val="Times New Roman"/>
    <w:panose1 w:val="00000000000000000000"/>
    <w:charset w:val="00"/>
    <w:family w:val="roman"/>
    <w:pitch w:val="default"/>
    <w:sig w:usb0="00000000" w:usb1="00000000" w:usb2="00000000" w:usb3="00000000" w:csb0="00040001" w:csb1="00000000"/>
  </w:font>
  <w:font w:name="Serif">
    <w:altName w:val="Microsoft Sans Serif"/>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创艺简标宋">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_x000B__x000C_">
    <w:altName w:val="Times New Roman"/>
    <w:panose1 w:val="00000604030504040204"/>
    <w:charset w:val="01"/>
    <w:family w:val="roman"/>
    <w:pitch w:val="default"/>
    <w:sig w:usb0="00000000" w:usb1="00000000" w:usb2="00000000"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方正仿宋">
    <w:altName w:val="黑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黑体-简">
    <w:altName w:val="宋体"/>
    <w:panose1 w:val="00000000000000000000"/>
    <w:charset w:val="86"/>
    <w:family w:val="roman"/>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Latha"/>
    <w:panose1 w:val="00000000000000000000"/>
    <w:charset w:val="00"/>
    <w:family w:val="auto"/>
    <w:pitch w:val="default"/>
    <w:sig w:usb0="00000000" w:usb1="00000000" w:usb2="00000000" w:usb3="00000000" w:csb0="00000000" w:csb1="00000000"/>
  </w:font>
  <w:font w:name="字体管家娜娜体">
    <w:altName w:val="宋体"/>
    <w:panose1 w:val="00020600040101010101"/>
    <w:charset w:val="86"/>
    <w:family w:val="auto"/>
    <w:pitch w:val="default"/>
    <w:sig w:usb0="00000000" w:usb1="00000000" w:usb2="00000016" w:usb3="00000000" w:csb0="0004009F" w:csb1="DFD70000"/>
  </w:font>
  <w:font w:name="Senty Cream Puff 新蒂泡芙体">
    <w:altName w:val="宋体"/>
    <w:panose1 w:val="03000600000000000000"/>
    <w:charset w:val="86"/>
    <w:family w:val="auto"/>
    <w:pitch w:val="default"/>
    <w:sig w:usb0="00000000" w:usb1="00000000" w:usb2="00000010" w:usb3="00000000" w:csb0="00140001" w:csb1="00000000"/>
  </w:font>
  <w:font w:name="字体管家糖果">
    <w:altName w:val="宋体"/>
    <w:panose1 w:val="00020600040101010101"/>
    <w:charset w:val="86"/>
    <w:family w:val="auto"/>
    <w:pitch w:val="default"/>
    <w:sig w:usb0="00000000" w:usb1="00000000" w:usb2="00000016" w:usb3="00000000" w:csb0="0004009F" w:csb1="DFD70000"/>
  </w:font>
  <w:font w:name="Guli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normal text)">
    <w:altName w:val="Times New Roman"/>
    <w:panose1 w:val="00000000000000000000"/>
    <w:charset w:val="00"/>
    <w:family w:val="auto"/>
    <w:pitch w:val="default"/>
    <w:sig w:usb0="00000000" w:usb1="00000000" w:usb2="00000000" w:usb3="00000000" w:csb0="00000001" w:csb1="00000000"/>
  </w:font>
  <w:font w:name="?3f?3f">
    <w:altName w:val="Latha"/>
    <w:panose1 w:val="00000000000000000000"/>
    <w:charset w:val="00"/>
    <w:family w:val="auto"/>
    <w:pitch w:val="default"/>
    <w:sig w:usb0="00000000" w:usb1="00000000" w:usb2="00000000" w:usb3="00000000" w:csb0="00000001" w:csb1="00000000"/>
  </w:font>
  <w:font w:name="方正小标宋">
    <w:altName w:val="宋体"/>
    <w:panose1 w:val="00000000000000000000"/>
    <w:charset w:val="86"/>
    <w:family w:val="roman"/>
    <w:pitch w:val="default"/>
    <w:sig w:usb0="00000000" w:usb1="00000000" w:usb2="00000000" w:usb3="00000000" w:csb0="00040001" w:csb1="00000000"/>
  </w:font>
  <w:font w:name="小标宋">
    <w:altName w:val="宋体"/>
    <w:panose1 w:val="02010609000101010101"/>
    <w:charset w:val="86"/>
    <w:family w:val="modern"/>
    <w:pitch w:val="default"/>
    <w:sig w:usb0="00000000" w:usb1="00000000" w:usb2="00000010" w:usb3="00000000" w:csb0="00040000" w:csb1="00000000"/>
  </w:font>
  <w:font w:name="Aharoni">
    <w:panose1 w:val="02010803020104030203"/>
    <w:charset w:val="00"/>
    <w:family w:val="auto"/>
    <w:pitch w:val="default"/>
    <w:sig w:usb0="00000801" w:usb1="00000000" w:usb2="00000000" w:usb3="00000000" w:csb0="00000020" w:csb1="00200000"/>
  </w:font>
  <w:font w:name="Malgun Gothic Semilight">
    <w:altName w:val="宋体"/>
    <w:panose1 w:val="020B0502040204020203"/>
    <w:charset w:val="86"/>
    <w:family w:val="swiss"/>
    <w:pitch w:val="default"/>
    <w:sig w:usb0="00000000" w:usb1="00000000" w:usb2="00000012" w:usb3="00000000" w:csb0="003E01BD" w:csb1="00000000"/>
  </w:font>
  <w:font w:name="Segoe UI Symbol">
    <w:panose1 w:val="020B0502040204020203"/>
    <w:charset w:val="00"/>
    <w:family w:val="swiss"/>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新蒂下午茶基本版">
    <w:altName w:val="宋体"/>
    <w:panose1 w:val="03000600000000000000"/>
    <w:charset w:val="86"/>
    <w:family w:val="auto"/>
    <w:pitch w:val="default"/>
    <w:sig w:usb0="00000000" w:usb1="00000000" w:usb2="00000002" w:usb3="00000000" w:csb0="20040001" w:csb1="00000000"/>
  </w:font>
  <w:font w:name="邢世新硬笔行书简体">
    <w:altName w:val="宋体"/>
    <w:panose1 w:val="02010600030101010101"/>
    <w:charset w:val="86"/>
    <w:family w:val="auto"/>
    <w:pitch w:val="default"/>
    <w:sig w:usb0="00000000" w:usb1="00000000" w:usb2="00000000" w:usb3="00000000" w:csb0="00040001" w:csb1="00000000"/>
  </w:font>
  <w:font w:name="钟齐段宁行书">
    <w:altName w:val="宋体"/>
    <w:panose1 w:val="02010800040101010101"/>
    <w:charset w:val="86"/>
    <w:family w:val="auto"/>
    <w:pitch w:val="default"/>
    <w:sig w:usb0="00000000" w:usb1="00000000" w:usb2="00000000" w:usb3="00000000" w:csb0="00040000" w:csb1="00000000"/>
  </w:font>
  <w:font w:name="黄彦文行书字体">
    <w:altName w:val="宋体"/>
    <w:panose1 w:val="02010601030101010101"/>
    <w:charset w:val="86"/>
    <w:family w:val="auto"/>
    <w:pitch w:val="default"/>
    <w:sig w:usb0="00000000" w:usb1="0000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Shonar Bangla">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Semibold">
    <w:panose1 w:val="020B0702040204020203"/>
    <w:charset w:val="00"/>
    <w:family w:val="auto"/>
    <w:pitch w:val="default"/>
    <w:sig w:usb0="E00002FF" w:usb1="4000A47B" w:usb2="00000001" w:usb3="00000000" w:csb0="2000019F"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PMingLiU-ExtB">
    <w:panose1 w:val="02020500000000000000"/>
    <w:charset w:val="88"/>
    <w:family w:val="auto"/>
    <w:pitch w:val="default"/>
    <w:sig w:usb0="8000002F" w:usb1="02000008" w:usb2="00000000" w:usb3="00000000" w:csb0="001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Harrington">
    <w:altName w:val="Gabriola"/>
    <w:panose1 w:val="04040505050A02020702"/>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Futura Bk">
    <w:altName w:val="Segoe Print"/>
    <w:panose1 w:val="020B0502020204020303"/>
    <w:charset w:val="00"/>
    <w:family w:val="swiss"/>
    <w:pitch w:val="default"/>
    <w:sig w:usb0="00000000" w:usb1="00000000" w:usb2="00000000" w:usb3="00000000" w:csb0="0000009F" w:csb1="00000000"/>
  </w:font>
  <w:font w:name="FZFS">
    <w:altName w:val="宋体"/>
    <w:panose1 w:val="02010601030101010101"/>
    <w:charset w:val="86"/>
    <w:family w:val="auto"/>
    <w:pitch w:val="default"/>
    <w:sig w:usb0="00000000" w:usb1="00000000" w:usb2="00000010" w:usb3="00000000" w:csb0="00040000" w:csb1="00000000"/>
  </w:font>
  <w:font w:name="Century Gothic">
    <w:altName w:val="Segoe Print"/>
    <w:panose1 w:val="020B0502020202020204"/>
    <w:charset w:val="00"/>
    <w:family w:val="auto"/>
    <w:pitch w:val="default"/>
    <w:sig w:usb0="00000000"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56588"/>
    <w:multiLevelType w:val="singleLevel"/>
    <w:tmpl w:val="55556588"/>
    <w:lvl w:ilvl="0" w:tentative="0">
      <w:start w:val="1"/>
      <w:numFmt w:val="decimal"/>
      <w:suff w:val="nothing"/>
      <w:lvlText w:val="%1."/>
      <w:lvlJc w:val="left"/>
    </w:lvl>
  </w:abstractNum>
  <w:abstractNum w:abstractNumId="1">
    <w:nsid w:val="5CE11D3F"/>
    <w:multiLevelType w:val="singleLevel"/>
    <w:tmpl w:val="5CE11D3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B6726"/>
    <w:rsid w:val="0A5A449D"/>
    <w:rsid w:val="29CE19B6"/>
    <w:rsid w:val="507A32D9"/>
    <w:rsid w:val="6D1837FC"/>
    <w:rsid w:val="6F4B76CD"/>
    <w:rsid w:val="706B6726"/>
    <w:rsid w:val="73A20FB5"/>
    <w:rsid w:val="7E3F7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Times" w:hAnsi="Times"/>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2019-08-21T04:41:00Z</dcterms:created>
  <dc:creator>董树彦</dc:creator>
  <cp:lastModifiedBy>Administrator</cp:lastModifiedBy>
  <dcterms:modified xsi:type="dcterms:W3CDTF">2019-08-29T08:38:52Z</dcterms:modified>
  <dc:title>关于公开征求《浙江绍兴转型升级产业基金管理办法（草案）》意见的公告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