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C0" w:rsidRPr="004B2827" w:rsidRDefault="00431133" w:rsidP="004B2827">
      <w:pPr>
        <w:jc w:val="center"/>
        <w:rPr>
          <w:rFonts w:ascii="方正小标宋简体" w:eastAsia="方正小标宋简体" w:hAnsi="黑体"/>
          <w:sz w:val="36"/>
          <w:szCs w:val="36"/>
        </w:rPr>
      </w:pPr>
      <w:r w:rsidRPr="00EF0503">
        <w:rPr>
          <w:rFonts w:hint="eastAsia"/>
          <w:color w:val="000000"/>
          <w:spacing w:val="-20"/>
          <w:sz w:val="44"/>
          <w:szCs w:val="44"/>
        </w:rPr>
        <w:t>关于对《</w:t>
      </w:r>
      <w:r w:rsidR="004B2827" w:rsidRPr="004B2827">
        <w:rPr>
          <w:rFonts w:asciiTheme="minorEastAsia" w:hAnsiTheme="minorEastAsia" w:hint="eastAsia"/>
          <w:sz w:val="40"/>
          <w:szCs w:val="36"/>
        </w:rPr>
        <w:t>关于传统村落（建筑）保护实施办法（试行）</w:t>
      </w:r>
      <w:r w:rsidRPr="00EF0503">
        <w:rPr>
          <w:rFonts w:hint="eastAsia"/>
          <w:color w:val="000000"/>
          <w:spacing w:val="-20"/>
          <w:sz w:val="44"/>
          <w:szCs w:val="44"/>
        </w:rPr>
        <w:t>》（送审稿）的</w:t>
      </w:r>
      <w:r w:rsidR="00F44BE9" w:rsidRPr="00431133">
        <w:rPr>
          <w:rFonts w:asciiTheme="minorEastAsia" w:hAnsiTheme="minorEastAsia" w:hint="eastAsia"/>
          <w:sz w:val="44"/>
          <w:szCs w:val="44"/>
        </w:rPr>
        <w:t>起草说明</w:t>
      </w:r>
    </w:p>
    <w:p w:rsidR="004B2827" w:rsidRDefault="004B2827" w:rsidP="00C70EEB">
      <w:pPr>
        <w:spacing w:line="600" w:lineRule="exact"/>
        <w:ind w:firstLineChars="200" w:firstLine="640"/>
        <w:jc w:val="left"/>
        <w:rPr>
          <w:rFonts w:ascii="仿宋_GB2312" w:eastAsia="仿宋_GB2312" w:hint="eastAsia"/>
          <w:sz w:val="32"/>
          <w:szCs w:val="32"/>
        </w:rPr>
      </w:pPr>
    </w:p>
    <w:p w:rsidR="00F44BE9" w:rsidRDefault="00F44BE9" w:rsidP="00C70EEB">
      <w:pPr>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一、制定本文件的必要性和可行性</w:t>
      </w:r>
    </w:p>
    <w:p w:rsidR="00D8526F" w:rsidRPr="00D8526F" w:rsidRDefault="00D8526F" w:rsidP="00D8526F">
      <w:pPr>
        <w:spacing w:line="600" w:lineRule="exact"/>
        <w:ind w:firstLineChars="200" w:firstLine="640"/>
        <w:jc w:val="left"/>
        <w:rPr>
          <w:rFonts w:ascii="仿宋_GB2312" w:eastAsia="仿宋_GB2312"/>
          <w:sz w:val="32"/>
          <w:szCs w:val="32"/>
        </w:rPr>
      </w:pPr>
      <w:r w:rsidRPr="00D8526F">
        <w:rPr>
          <w:rFonts w:ascii="仿宋_GB2312" w:eastAsia="仿宋_GB2312" w:hint="eastAsia"/>
          <w:sz w:val="32"/>
          <w:szCs w:val="32"/>
        </w:rPr>
        <w:t>贯彻落实省委、省政府进一步加强传统村落保护发展的指导意见，加快推进统村落传统建筑保护和利用，维护传统村落风貌，传承优秀历史文化遗产，根据省政府办公厅《浙江省人民政府办公厅关于加强传统村落保护发展的指导意见》，结合我区实际，特制定本实施意见。</w:t>
      </w:r>
    </w:p>
    <w:p w:rsidR="00F44BE9" w:rsidRDefault="00F44BE9" w:rsidP="00F358D2">
      <w:pPr>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二、制定本文件的</w:t>
      </w:r>
      <w:r w:rsidR="008F2E8B">
        <w:rPr>
          <w:rFonts w:ascii="仿宋_GB2312" w:eastAsia="仿宋_GB2312" w:hint="eastAsia"/>
          <w:sz w:val="32"/>
          <w:szCs w:val="32"/>
        </w:rPr>
        <w:t>法律和</w:t>
      </w:r>
      <w:r>
        <w:rPr>
          <w:rFonts w:ascii="仿宋_GB2312" w:eastAsia="仿宋_GB2312" w:hint="eastAsia"/>
          <w:sz w:val="32"/>
          <w:szCs w:val="32"/>
        </w:rPr>
        <w:t>政策依据</w:t>
      </w:r>
    </w:p>
    <w:p w:rsidR="004B2827" w:rsidRDefault="004B2827" w:rsidP="00F358D2">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依据《住房城乡建设部文化部国家文物局关于做好中国传统村落保护项目实施工作的意见》</w:t>
      </w:r>
      <w:r>
        <w:rPr>
          <w:rFonts w:ascii="仿宋_GB2312" w:eastAsia="仿宋_GB2312"/>
          <w:sz w:val="32"/>
          <w:szCs w:val="32"/>
        </w:rPr>
        <w:t>（</w:t>
      </w:r>
      <w:r>
        <w:rPr>
          <w:rFonts w:ascii="仿宋_GB2312" w:eastAsia="仿宋_GB2312" w:hint="eastAsia"/>
          <w:sz w:val="32"/>
          <w:szCs w:val="32"/>
        </w:rPr>
        <w:t>建村</w:t>
      </w:r>
      <w:r>
        <w:rPr>
          <w:rFonts w:ascii="仿宋" w:eastAsia="仿宋" w:hAnsi="仿宋" w:hint="eastAsia"/>
          <w:sz w:val="32"/>
          <w:szCs w:val="32"/>
        </w:rPr>
        <w:t>〔2014〕</w:t>
      </w:r>
      <w:r>
        <w:rPr>
          <w:rFonts w:ascii="仿宋_GB2312" w:eastAsia="仿宋_GB2312" w:hint="eastAsia"/>
          <w:sz w:val="32"/>
          <w:szCs w:val="32"/>
        </w:rPr>
        <w:t>135号）、</w:t>
      </w:r>
      <w:r>
        <w:rPr>
          <w:rFonts w:ascii="仿宋_GB2312" w:eastAsia="仿宋_GB2312" w:hAnsi="宋体" w:cs="宋体" w:hint="eastAsia"/>
          <w:kern w:val="0"/>
          <w:sz w:val="32"/>
          <w:szCs w:val="32"/>
        </w:rPr>
        <w:t>《浙江省人民政府办公厅关于加强传统村落保护发展的指导意见》（浙政办发〔2016〕84号）、</w:t>
      </w:r>
      <w:r>
        <w:rPr>
          <w:rFonts w:ascii="仿宋_GB2312" w:eastAsia="仿宋_GB2312"/>
          <w:sz w:val="32"/>
          <w:szCs w:val="32"/>
        </w:rPr>
        <w:t>《</w:t>
      </w:r>
      <w:r>
        <w:rPr>
          <w:rFonts w:ascii="仿宋_GB2312" w:eastAsia="仿宋_GB2312" w:hint="eastAsia"/>
          <w:sz w:val="32"/>
          <w:szCs w:val="32"/>
        </w:rPr>
        <w:t>金</w:t>
      </w:r>
      <w:r>
        <w:rPr>
          <w:rFonts w:ascii="仿宋_GB2312" w:eastAsia="仿宋_GB2312"/>
          <w:sz w:val="32"/>
          <w:szCs w:val="32"/>
        </w:rPr>
        <w:t>华市传统</w:t>
      </w:r>
      <w:r>
        <w:rPr>
          <w:rFonts w:ascii="仿宋_GB2312" w:eastAsia="仿宋_GB2312" w:hint="eastAsia"/>
          <w:sz w:val="32"/>
          <w:szCs w:val="32"/>
        </w:rPr>
        <w:t>村落</w:t>
      </w:r>
      <w:r>
        <w:rPr>
          <w:rFonts w:ascii="仿宋_GB2312" w:eastAsia="仿宋_GB2312"/>
          <w:sz w:val="32"/>
          <w:szCs w:val="32"/>
        </w:rPr>
        <w:t>保护条例》</w:t>
      </w:r>
      <w:r>
        <w:rPr>
          <w:rFonts w:ascii="仿宋_GB2312" w:eastAsia="仿宋_GB2312" w:hint="eastAsia"/>
          <w:sz w:val="32"/>
          <w:szCs w:val="32"/>
        </w:rPr>
        <w:t>、《金</w:t>
      </w:r>
      <w:r>
        <w:rPr>
          <w:rFonts w:ascii="仿宋_GB2312" w:eastAsia="仿宋_GB2312"/>
          <w:sz w:val="32"/>
          <w:szCs w:val="32"/>
        </w:rPr>
        <w:t>华市传统建筑认定标准》</w:t>
      </w:r>
      <w:r>
        <w:rPr>
          <w:rFonts w:ascii="仿宋_GB2312" w:eastAsia="仿宋_GB2312" w:hint="eastAsia"/>
          <w:sz w:val="32"/>
          <w:szCs w:val="32"/>
        </w:rPr>
        <w:t>、《金</w:t>
      </w:r>
      <w:r>
        <w:rPr>
          <w:rFonts w:ascii="仿宋_GB2312" w:eastAsia="仿宋_GB2312"/>
          <w:sz w:val="32"/>
          <w:szCs w:val="32"/>
        </w:rPr>
        <w:t>华市</w:t>
      </w:r>
      <w:r>
        <w:rPr>
          <w:rFonts w:ascii="仿宋_GB2312" w:eastAsia="仿宋_GB2312" w:hint="eastAsia"/>
          <w:sz w:val="32"/>
          <w:szCs w:val="32"/>
        </w:rPr>
        <w:t>传统</w:t>
      </w:r>
      <w:r>
        <w:rPr>
          <w:rFonts w:ascii="仿宋_GB2312" w:eastAsia="仿宋_GB2312"/>
          <w:sz w:val="32"/>
          <w:szCs w:val="32"/>
        </w:rPr>
        <w:t>建筑分类保护办法</w:t>
      </w:r>
      <w:r>
        <w:rPr>
          <w:rFonts w:ascii="仿宋_GB2312" w:eastAsia="仿宋_GB2312" w:hint="eastAsia"/>
          <w:sz w:val="32"/>
          <w:szCs w:val="32"/>
        </w:rPr>
        <w:t>》、《金</w:t>
      </w:r>
      <w:r>
        <w:rPr>
          <w:rFonts w:ascii="仿宋_GB2312" w:eastAsia="仿宋_GB2312"/>
          <w:sz w:val="32"/>
          <w:szCs w:val="32"/>
        </w:rPr>
        <w:t>华市传统建筑保护示范项目实施办法》</w:t>
      </w:r>
      <w:r>
        <w:rPr>
          <w:rFonts w:ascii="仿宋_GB2312" w:eastAsia="仿宋_GB2312" w:hint="eastAsia"/>
          <w:sz w:val="32"/>
          <w:szCs w:val="32"/>
        </w:rPr>
        <w:t>（</w:t>
      </w:r>
      <w:r>
        <w:rPr>
          <w:rFonts w:ascii="仿宋_GB2312" w:eastAsia="仿宋_GB2312" w:hAnsi="Times New Roman" w:cs="Times New Roman" w:hint="eastAsia"/>
          <w:spacing w:val="-12"/>
          <w:sz w:val="32"/>
          <w:szCs w:val="32"/>
        </w:rPr>
        <w:t>金市建〔2020〕266号）</w:t>
      </w:r>
      <w:r>
        <w:rPr>
          <w:rFonts w:ascii="仿宋_GB2312" w:eastAsia="仿宋_GB2312" w:hint="eastAsia"/>
          <w:sz w:val="32"/>
          <w:szCs w:val="32"/>
        </w:rPr>
        <w:t>等。</w:t>
      </w:r>
    </w:p>
    <w:p w:rsidR="00F44BE9" w:rsidRDefault="00F44BE9" w:rsidP="00C70EEB">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三、本文件拟解决的主要问题以及拟采取的主要措施</w:t>
      </w:r>
    </w:p>
    <w:p w:rsidR="00F44BE9" w:rsidRDefault="00FE174B" w:rsidP="00C70EEB">
      <w:pPr>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1.</w:t>
      </w:r>
      <w:r w:rsidR="00F44BE9">
        <w:rPr>
          <w:rFonts w:ascii="仿宋_GB2312" w:eastAsia="仿宋_GB2312" w:hint="eastAsia"/>
          <w:sz w:val="32"/>
          <w:szCs w:val="32"/>
        </w:rPr>
        <w:t>拟解决的主要问题</w:t>
      </w:r>
    </w:p>
    <w:p w:rsidR="004B2827" w:rsidRDefault="007D3F5F" w:rsidP="00C70EEB">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为了加强传统村落保护和利用，维护传统村落风貌，传承优秀历史文化遗产，</w:t>
      </w:r>
      <w:r w:rsidR="004B2827" w:rsidRPr="008A4D22">
        <w:rPr>
          <w:rFonts w:ascii="仿宋_GB2312" w:eastAsia="仿宋_GB2312" w:hAnsi="Calibri" w:cs="Times New Roman"/>
          <w:sz w:val="32"/>
          <w:szCs w:val="32"/>
        </w:rPr>
        <w:t>该</w:t>
      </w:r>
      <w:r w:rsidR="004B2827" w:rsidRPr="008A4D22">
        <w:rPr>
          <w:rFonts w:ascii="仿宋_GB2312" w:eastAsia="仿宋_GB2312" w:hAnsi="Calibri" w:cs="Times New Roman" w:hint="eastAsia"/>
          <w:sz w:val="32"/>
          <w:szCs w:val="32"/>
        </w:rPr>
        <w:t>实施方案</w:t>
      </w:r>
      <w:r w:rsidR="004B2827">
        <w:rPr>
          <w:rFonts w:ascii="仿宋_GB2312" w:eastAsia="仿宋_GB2312" w:hint="eastAsia"/>
          <w:sz w:val="32"/>
          <w:szCs w:val="32"/>
        </w:rPr>
        <w:t>明确了</w:t>
      </w:r>
      <w:r w:rsidR="004B2827" w:rsidRPr="008A4D22">
        <w:rPr>
          <w:rFonts w:ascii="仿宋_GB2312" w:eastAsia="仿宋_GB2312" w:hAnsi="Calibri" w:cs="Times New Roman" w:hint="eastAsia"/>
          <w:sz w:val="32"/>
          <w:szCs w:val="32"/>
        </w:rPr>
        <w:t>适用范围、修缮保护要求、认定流程、保障措施</w:t>
      </w:r>
      <w:r w:rsidR="004B2827" w:rsidRPr="008A4D22">
        <w:rPr>
          <w:rFonts w:ascii="仿宋_GB2312" w:eastAsia="仿宋_GB2312" w:hAnsi="Calibri" w:cs="Times New Roman"/>
          <w:sz w:val="32"/>
          <w:szCs w:val="32"/>
        </w:rPr>
        <w:t>等</w:t>
      </w:r>
      <w:r w:rsidR="004B2827" w:rsidRPr="008A4D22">
        <w:rPr>
          <w:rFonts w:ascii="仿宋_GB2312" w:eastAsia="仿宋_GB2312" w:hAnsi="Calibri" w:cs="Times New Roman" w:hint="eastAsia"/>
          <w:sz w:val="32"/>
          <w:szCs w:val="32"/>
        </w:rPr>
        <w:t>四</w:t>
      </w:r>
      <w:r w:rsidR="004B2827" w:rsidRPr="008A4D22">
        <w:rPr>
          <w:rFonts w:ascii="仿宋_GB2312" w:eastAsia="仿宋_GB2312" w:hAnsi="Calibri" w:cs="Times New Roman"/>
          <w:sz w:val="32"/>
          <w:szCs w:val="32"/>
        </w:rPr>
        <w:t>个方面</w:t>
      </w:r>
      <w:r>
        <w:rPr>
          <w:rFonts w:ascii="仿宋_GB2312" w:eastAsia="仿宋_GB2312" w:hAnsi="Calibri" w:cs="Times New Roman" w:hint="eastAsia"/>
          <w:sz w:val="32"/>
          <w:szCs w:val="32"/>
        </w:rPr>
        <w:t>。</w:t>
      </w:r>
    </w:p>
    <w:p w:rsidR="00F44BE9" w:rsidRDefault="00FE174B" w:rsidP="00C70EEB">
      <w:pPr>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2.</w:t>
      </w:r>
      <w:r w:rsidR="00F44BE9">
        <w:rPr>
          <w:rFonts w:ascii="仿宋_GB2312" w:eastAsia="仿宋_GB2312" w:hint="eastAsia"/>
          <w:sz w:val="32"/>
          <w:szCs w:val="32"/>
        </w:rPr>
        <w:t>拟采取的主要措施</w:t>
      </w:r>
    </w:p>
    <w:p w:rsidR="00D8526F" w:rsidRDefault="00D8526F" w:rsidP="00D8526F">
      <w:pPr>
        <w:spacing w:line="600" w:lineRule="exact"/>
        <w:ind w:firstLineChars="200" w:firstLine="640"/>
        <w:jc w:val="left"/>
        <w:rPr>
          <w:rFonts w:ascii="仿宋_GB2312" w:eastAsia="仿宋_GB2312" w:hAnsi="Calibri" w:cs="Times New Roman" w:hint="eastAsia"/>
          <w:sz w:val="32"/>
          <w:szCs w:val="32"/>
        </w:rPr>
      </w:pPr>
      <w:r>
        <w:rPr>
          <w:rFonts w:ascii="仿宋_GB2312" w:eastAsia="仿宋_GB2312" w:hint="eastAsia"/>
          <w:sz w:val="32"/>
          <w:szCs w:val="32"/>
        </w:rPr>
        <w:lastRenderedPageBreak/>
        <w:t>保护修缮实施由</w:t>
      </w:r>
      <w:r>
        <w:rPr>
          <w:rFonts w:ascii="仿宋_GB2312" w:eastAsia="仿宋_GB2312" w:hAnsi="Calibri" w:cs="Times New Roman" w:hint="eastAsia"/>
          <w:sz w:val="32"/>
          <w:szCs w:val="32"/>
        </w:rPr>
        <w:t>修缮</w:t>
      </w:r>
      <w:r>
        <w:rPr>
          <w:rFonts w:ascii="仿宋_GB2312" w:eastAsia="仿宋_GB2312" w:hAnsi="Calibri" w:cs="Times New Roman"/>
          <w:sz w:val="32"/>
          <w:szCs w:val="32"/>
        </w:rPr>
        <w:t>申请</w:t>
      </w:r>
      <w:r>
        <w:rPr>
          <w:rFonts w:ascii="仿宋_GB2312" w:eastAsia="仿宋_GB2312" w:hAnsi="Calibri" w:cs="Times New Roman" w:hint="eastAsia"/>
          <w:sz w:val="32"/>
          <w:szCs w:val="32"/>
        </w:rPr>
        <w:t>、方案</w:t>
      </w:r>
      <w:r>
        <w:rPr>
          <w:rFonts w:ascii="仿宋_GB2312" w:eastAsia="仿宋_GB2312" w:hAnsi="Calibri" w:cs="Times New Roman"/>
          <w:sz w:val="32"/>
          <w:szCs w:val="32"/>
        </w:rPr>
        <w:t>审核</w:t>
      </w:r>
      <w:r>
        <w:rPr>
          <w:rFonts w:ascii="仿宋_GB2312" w:eastAsia="仿宋_GB2312" w:hAnsi="Calibri" w:cs="Times New Roman" w:hint="eastAsia"/>
          <w:sz w:val="32"/>
          <w:szCs w:val="32"/>
        </w:rPr>
        <w:t>、</w:t>
      </w:r>
      <w:r>
        <w:rPr>
          <w:rFonts w:ascii="仿宋_GB2312" w:eastAsia="仿宋_GB2312" w:hAnsi="Times New Roman" w:cs="Times New Roman" w:hint="eastAsia"/>
          <w:sz w:val="32"/>
          <w:szCs w:val="32"/>
        </w:rPr>
        <w:t>方案</w:t>
      </w:r>
      <w:r>
        <w:rPr>
          <w:rFonts w:ascii="仿宋_GB2312" w:eastAsia="仿宋_GB2312" w:hAnsi="Times New Roman" w:cs="Times New Roman"/>
          <w:sz w:val="32"/>
          <w:szCs w:val="32"/>
        </w:rPr>
        <w:t>公示</w:t>
      </w:r>
      <w:r>
        <w:rPr>
          <w:rFonts w:ascii="仿宋_GB2312" w:eastAsia="仿宋_GB2312" w:hAnsi="Times New Roman" w:cs="Times New Roman" w:hint="eastAsia"/>
          <w:sz w:val="32"/>
          <w:szCs w:val="32"/>
        </w:rPr>
        <w:t>、</w:t>
      </w:r>
      <w:r>
        <w:rPr>
          <w:rFonts w:ascii="仿宋_GB2312" w:eastAsia="仿宋_GB2312" w:hAnsi="Calibri" w:cs="Times New Roman"/>
          <w:sz w:val="32"/>
          <w:szCs w:val="32"/>
        </w:rPr>
        <w:t>修缮</w:t>
      </w:r>
      <w:r>
        <w:rPr>
          <w:rFonts w:ascii="仿宋_GB2312" w:eastAsia="仿宋_GB2312" w:hAnsi="Calibri" w:cs="Times New Roman" w:hint="eastAsia"/>
          <w:sz w:val="32"/>
          <w:szCs w:val="32"/>
        </w:rPr>
        <w:t>实施、修缮</w:t>
      </w:r>
      <w:r>
        <w:rPr>
          <w:rFonts w:ascii="仿宋_GB2312" w:eastAsia="仿宋_GB2312" w:hAnsi="Calibri" w:cs="Times New Roman"/>
          <w:sz w:val="32"/>
          <w:szCs w:val="32"/>
        </w:rPr>
        <w:t>验收</w:t>
      </w:r>
      <w:r>
        <w:rPr>
          <w:rFonts w:ascii="仿宋_GB2312" w:eastAsia="仿宋_GB2312" w:hAnsi="Calibri" w:cs="Times New Roman" w:hint="eastAsia"/>
          <w:sz w:val="32"/>
          <w:szCs w:val="32"/>
        </w:rPr>
        <w:t>、</w:t>
      </w:r>
      <w:r>
        <w:rPr>
          <w:rFonts w:ascii="仿宋_GB2312" w:eastAsia="仿宋_GB2312" w:hAnsi="Calibri" w:cs="Times New Roman"/>
          <w:sz w:val="32"/>
          <w:szCs w:val="32"/>
        </w:rPr>
        <w:t>档案</w:t>
      </w:r>
      <w:r>
        <w:rPr>
          <w:rFonts w:ascii="仿宋_GB2312" w:eastAsia="仿宋_GB2312" w:hAnsi="Calibri" w:cs="Times New Roman" w:hint="eastAsia"/>
          <w:sz w:val="32"/>
          <w:szCs w:val="32"/>
        </w:rPr>
        <w:t>整理部分组成。</w:t>
      </w:r>
    </w:p>
    <w:p w:rsidR="00D8526F" w:rsidRDefault="00D8526F" w:rsidP="00D8526F">
      <w:pPr>
        <w:spacing w:line="560" w:lineRule="exact"/>
        <w:ind w:firstLineChars="200" w:firstLine="640"/>
        <w:rPr>
          <w:rFonts w:ascii="仿宋_GB2312" w:eastAsia="仿宋_GB2312" w:hAnsi="Times New Roman" w:cs="Times New Roman"/>
          <w:color w:val="000000"/>
          <w:sz w:val="32"/>
          <w:szCs w:val="32"/>
        </w:rPr>
      </w:pPr>
      <w:r>
        <w:rPr>
          <w:rFonts w:ascii="仿宋_GB2312" w:eastAsia="仿宋_GB2312" w:hAnsi="Calibri" w:cs="Times New Roman" w:hint="eastAsia"/>
          <w:sz w:val="32"/>
          <w:szCs w:val="32"/>
        </w:rPr>
        <w:t>传统村落和传统建筑保护实行准入制。传统村落以市级以上公布的目录为准、传统建筑以金东区人民政府公布名录为准。</w:t>
      </w:r>
    </w:p>
    <w:p w:rsidR="004B2827" w:rsidRDefault="00D8526F" w:rsidP="00D8526F">
      <w:pPr>
        <w:spacing w:line="560" w:lineRule="exact"/>
        <w:ind w:firstLineChars="200" w:firstLine="640"/>
        <w:rPr>
          <w:rFonts w:ascii="仿宋_GB2312" w:eastAsia="仿宋_GB2312" w:hAnsi="Times New Roman" w:hint="eastAsia"/>
          <w:color w:val="000000"/>
          <w:sz w:val="32"/>
          <w:szCs w:val="32"/>
        </w:rPr>
      </w:pPr>
      <w:r>
        <w:rPr>
          <w:rFonts w:ascii="仿宋_GB2312" w:eastAsia="仿宋_GB2312" w:hAnsi="Calibri" w:cs="Times New Roman" w:hint="eastAsia"/>
          <w:sz w:val="32"/>
          <w:szCs w:val="32"/>
        </w:rPr>
        <w:t>明确了</w:t>
      </w:r>
      <w:r w:rsidRPr="00BE21F8">
        <w:rPr>
          <w:rFonts w:ascii="仿宋_GB2312" w:eastAsia="仿宋_GB2312" w:hAnsi="Calibri" w:cs="Times New Roman" w:hint="eastAsia"/>
          <w:sz w:val="32"/>
          <w:szCs w:val="32"/>
        </w:rPr>
        <w:t>传统</w:t>
      </w:r>
      <w:r w:rsidRPr="00BE21F8">
        <w:rPr>
          <w:rFonts w:ascii="仿宋_GB2312" w:eastAsia="仿宋_GB2312" w:hAnsi="Calibri" w:cs="Times New Roman"/>
          <w:sz w:val="32"/>
          <w:szCs w:val="32"/>
        </w:rPr>
        <w:t>建筑</w:t>
      </w:r>
      <w:r w:rsidRPr="00BE21F8">
        <w:rPr>
          <w:rFonts w:ascii="仿宋_GB2312" w:eastAsia="仿宋_GB2312" w:hAnsi="Calibri" w:cs="Times New Roman" w:hint="eastAsia"/>
          <w:sz w:val="32"/>
          <w:szCs w:val="32"/>
        </w:rPr>
        <w:t>保护</w:t>
      </w:r>
      <w:r w:rsidRPr="00BE21F8">
        <w:rPr>
          <w:rFonts w:ascii="仿宋_GB2312" w:eastAsia="仿宋_GB2312" w:hAnsi="Calibri" w:cs="Times New Roman"/>
          <w:sz w:val="32"/>
          <w:szCs w:val="32"/>
        </w:rPr>
        <w:t>基本要求</w:t>
      </w:r>
      <w:r>
        <w:rPr>
          <w:rFonts w:ascii="仿宋_GB2312" w:eastAsia="仿宋_GB2312" w:hAnsi="Calibri" w:cs="Times New Roman" w:hint="eastAsia"/>
          <w:sz w:val="32"/>
          <w:szCs w:val="32"/>
        </w:rPr>
        <w:t>和具体要求以及传统建筑认定流程和分类保护措施。分</w:t>
      </w:r>
      <w:r>
        <w:rPr>
          <w:rFonts w:ascii="仿宋_GB2312" w:eastAsia="仿宋_GB2312" w:hAnsi="Calibri" w:cs="Times New Roman"/>
          <w:sz w:val="32"/>
          <w:szCs w:val="32"/>
        </w:rPr>
        <w:t>为</w:t>
      </w:r>
      <w:r>
        <w:rPr>
          <w:rFonts w:ascii="仿宋_GB2312" w:eastAsia="仿宋_GB2312" w:hAnsi="Calibri" w:cs="Times New Roman" w:hint="eastAsia"/>
          <w:sz w:val="32"/>
          <w:szCs w:val="32"/>
        </w:rPr>
        <w:t>修复</w:t>
      </w:r>
      <w:r>
        <w:rPr>
          <w:rFonts w:ascii="仿宋_GB2312" w:eastAsia="仿宋_GB2312" w:hAnsi="Calibri" w:cs="Times New Roman"/>
          <w:sz w:val="32"/>
          <w:szCs w:val="32"/>
        </w:rPr>
        <w:t>性保护</w:t>
      </w:r>
      <w:r>
        <w:rPr>
          <w:rFonts w:ascii="仿宋_GB2312" w:eastAsia="仿宋_GB2312" w:hAnsi="Calibri" w:cs="Times New Roman" w:hint="eastAsia"/>
          <w:sz w:val="32"/>
          <w:szCs w:val="32"/>
        </w:rPr>
        <w:t>示范</w:t>
      </w:r>
      <w:r>
        <w:rPr>
          <w:rFonts w:ascii="仿宋_GB2312" w:eastAsia="仿宋_GB2312" w:hAnsi="Calibri" w:cs="Times New Roman"/>
          <w:sz w:val="32"/>
          <w:szCs w:val="32"/>
        </w:rPr>
        <w:t>修缮</w:t>
      </w:r>
      <w:r>
        <w:rPr>
          <w:rFonts w:ascii="仿宋_GB2312" w:eastAsia="仿宋_GB2312" w:hAnsi="Times New Roman" w:cs="Times New Roman"/>
          <w:sz w:val="32"/>
          <w:szCs w:val="32"/>
        </w:rPr>
        <w:t>适用于一类传统建</w:t>
      </w:r>
      <w:r>
        <w:rPr>
          <w:rFonts w:ascii="仿宋_GB2312" w:eastAsia="仿宋_GB2312" w:hAnsi="Calibri" w:cs="Times New Roman" w:hint="eastAsia"/>
          <w:sz w:val="32"/>
          <w:szCs w:val="32"/>
        </w:rPr>
        <w:t>；</w:t>
      </w:r>
      <w:r>
        <w:rPr>
          <w:rFonts w:ascii="仿宋_GB2312" w:eastAsia="仿宋_GB2312" w:hAnsi="Calibri" w:cs="Times New Roman"/>
          <w:sz w:val="32"/>
          <w:szCs w:val="32"/>
        </w:rPr>
        <w:t>修复性</w:t>
      </w:r>
      <w:r>
        <w:rPr>
          <w:rFonts w:ascii="仿宋_GB2312" w:eastAsia="仿宋_GB2312" w:hAnsi="Calibri" w:cs="Times New Roman" w:hint="eastAsia"/>
          <w:sz w:val="32"/>
          <w:szCs w:val="32"/>
        </w:rPr>
        <w:t>保护修</w:t>
      </w:r>
      <w:r>
        <w:rPr>
          <w:rFonts w:ascii="仿宋_GB2312" w:eastAsia="仿宋_GB2312" w:hAnsi="Times New Roman" w:cs="Times New Roman" w:hint="eastAsia"/>
          <w:color w:val="000000"/>
          <w:sz w:val="32"/>
          <w:szCs w:val="32"/>
        </w:rPr>
        <w:t>缮</w:t>
      </w:r>
      <w:r>
        <w:rPr>
          <w:rFonts w:ascii="仿宋_GB2312" w:eastAsia="仿宋_GB2312" w:hAnsi="Times New Roman" w:cs="Times New Roman" w:hint="eastAsia"/>
          <w:sz w:val="32"/>
          <w:szCs w:val="32"/>
        </w:rPr>
        <w:t>；</w:t>
      </w:r>
      <w:r>
        <w:rPr>
          <w:rFonts w:ascii="仿宋_GB2312" w:eastAsia="仿宋_GB2312" w:hAnsi="Times New Roman" w:cs="Times New Roman"/>
          <w:color w:val="000000"/>
          <w:sz w:val="32"/>
          <w:szCs w:val="32"/>
        </w:rPr>
        <w:t>除</w:t>
      </w:r>
      <w:r>
        <w:rPr>
          <w:rFonts w:ascii="仿宋_GB2312" w:eastAsia="仿宋_GB2312" w:hAnsi="Times New Roman" w:cs="Times New Roman" w:hint="eastAsia"/>
          <w:color w:val="000000"/>
          <w:sz w:val="32"/>
          <w:szCs w:val="32"/>
        </w:rPr>
        <w:t>危</w:t>
      </w:r>
      <w:r>
        <w:rPr>
          <w:rFonts w:ascii="仿宋_GB2312" w:eastAsia="仿宋_GB2312" w:hAnsi="Times New Roman" w:cs="Times New Roman"/>
          <w:color w:val="000000"/>
          <w:sz w:val="32"/>
          <w:szCs w:val="32"/>
        </w:rPr>
        <w:t>性</w:t>
      </w:r>
      <w:r>
        <w:rPr>
          <w:rFonts w:ascii="仿宋_GB2312" w:eastAsia="仿宋_GB2312" w:hAnsi="Times New Roman" w:cs="Times New Roman" w:hint="eastAsia"/>
          <w:color w:val="000000"/>
          <w:sz w:val="32"/>
          <w:szCs w:val="32"/>
        </w:rPr>
        <w:t>保护修缮</w:t>
      </w:r>
      <w:r>
        <w:rPr>
          <w:rFonts w:ascii="仿宋_GB2312" w:eastAsia="仿宋_GB2312" w:hAnsi="Times New Roman" w:cs="Times New Roman"/>
          <w:color w:val="000000"/>
          <w:sz w:val="32"/>
          <w:szCs w:val="32"/>
        </w:rPr>
        <w:t>适用于三类传统建筑</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周期性</w:t>
      </w:r>
      <w:r>
        <w:rPr>
          <w:rFonts w:ascii="仿宋_GB2312" w:eastAsia="仿宋_GB2312" w:hAnsi="Times New Roman" w:cs="Times New Roman" w:hint="eastAsia"/>
          <w:color w:val="000000"/>
          <w:sz w:val="32"/>
          <w:szCs w:val="32"/>
        </w:rPr>
        <w:t>保养</w:t>
      </w:r>
      <w:r>
        <w:rPr>
          <w:rFonts w:ascii="仿宋_GB2312" w:eastAsia="仿宋_GB2312" w:hAnsi="Times New Roman" w:cs="Times New Roman"/>
          <w:color w:val="000000"/>
          <w:sz w:val="32"/>
          <w:szCs w:val="32"/>
        </w:rPr>
        <w:t>维护</w:t>
      </w:r>
      <w:r>
        <w:rPr>
          <w:rFonts w:ascii="仿宋_GB2312" w:eastAsia="仿宋_GB2312" w:hAnsi="Times New Roman" w:cs="Times New Roman" w:hint="eastAsia"/>
          <w:color w:val="000000"/>
          <w:sz w:val="32"/>
          <w:szCs w:val="32"/>
        </w:rPr>
        <w:t>。</w:t>
      </w:r>
    </w:p>
    <w:p w:rsidR="00F44BE9" w:rsidRDefault="00F44BE9" w:rsidP="00C70EEB">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四、起草过程</w:t>
      </w:r>
    </w:p>
    <w:p w:rsidR="008F2E8B" w:rsidRDefault="008F2E8B" w:rsidP="00C70EEB">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1、调研论证情况。</w:t>
      </w:r>
      <w:r w:rsidR="00F44BE9">
        <w:rPr>
          <w:rFonts w:ascii="仿宋_GB2312" w:eastAsia="仿宋_GB2312" w:hint="eastAsia"/>
          <w:sz w:val="32"/>
          <w:szCs w:val="32"/>
        </w:rPr>
        <w:t>文件</w:t>
      </w:r>
      <w:r w:rsidR="007D3F5F">
        <w:rPr>
          <w:rFonts w:ascii="仿宋_GB2312" w:eastAsia="仿宋_GB2312" w:hint="eastAsia"/>
          <w:sz w:val="32"/>
          <w:szCs w:val="32"/>
        </w:rPr>
        <w:t>2021</w:t>
      </w:r>
      <w:r w:rsidR="00F44BE9">
        <w:rPr>
          <w:rFonts w:ascii="仿宋_GB2312" w:eastAsia="仿宋_GB2312" w:hint="eastAsia"/>
          <w:sz w:val="32"/>
          <w:szCs w:val="32"/>
        </w:rPr>
        <w:t>年</w:t>
      </w:r>
      <w:r w:rsidR="007D3F5F">
        <w:rPr>
          <w:rFonts w:ascii="仿宋_GB2312" w:eastAsia="仿宋_GB2312" w:hint="eastAsia"/>
          <w:sz w:val="32"/>
          <w:szCs w:val="32"/>
        </w:rPr>
        <w:t>3</w:t>
      </w:r>
      <w:r w:rsidR="00F44BE9">
        <w:rPr>
          <w:rFonts w:ascii="仿宋_GB2312" w:eastAsia="仿宋_GB2312" w:hint="eastAsia"/>
          <w:sz w:val="32"/>
          <w:szCs w:val="32"/>
        </w:rPr>
        <w:t>月</w:t>
      </w:r>
      <w:r w:rsidR="007D3F5F">
        <w:rPr>
          <w:rFonts w:ascii="仿宋_GB2312" w:eastAsia="仿宋_GB2312" w:hint="eastAsia"/>
          <w:sz w:val="32"/>
          <w:szCs w:val="32"/>
        </w:rPr>
        <w:t>1</w:t>
      </w:r>
      <w:r w:rsidR="00F44BE9">
        <w:rPr>
          <w:rFonts w:ascii="仿宋_GB2312" w:eastAsia="仿宋_GB2312" w:hint="eastAsia"/>
          <w:sz w:val="32"/>
          <w:szCs w:val="32"/>
        </w:rPr>
        <w:t>日由</w:t>
      </w:r>
      <w:r w:rsidR="007D3F5F">
        <w:rPr>
          <w:rFonts w:ascii="仿宋_GB2312" w:eastAsia="仿宋_GB2312" w:hint="eastAsia"/>
          <w:sz w:val="32"/>
          <w:szCs w:val="32"/>
        </w:rPr>
        <w:t>区住建局</w:t>
      </w:r>
      <w:r w:rsidR="00F44BE9">
        <w:rPr>
          <w:rFonts w:ascii="仿宋_GB2312" w:eastAsia="仿宋_GB2312" w:hint="eastAsia"/>
          <w:sz w:val="32"/>
          <w:szCs w:val="32"/>
        </w:rPr>
        <w:t>进行必要性、可行性等内容的调研论证。</w:t>
      </w:r>
      <w:r w:rsidR="007D3F5F">
        <w:rPr>
          <w:rFonts w:ascii="仿宋_GB2312" w:eastAsia="仿宋_GB2312" w:hint="eastAsia"/>
          <w:sz w:val="32"/>
          <w:szCs w:val="32"/>
        </w:rPr>
        <w:t>2021</w:t>
      </w:r>
      <w:r w:rsidR="00F44BE9">
        <w:rPr>
          <w:rFonts w:ascii="仿宋_GB2312" w:eastAsia="仿宋_GB2312" w:hint="eastAsia"/>
          <w:sz w:val="32"/>
          <w:szCs w:val="32"/>
        </w:rPr>
        <w:t>年</w:t>
      </w:r>
      <w:r w:rsidR="007D3F5F">
        <w:rPr>
          <w:rFonts w:ascii="仿宋_GB2312" w:eastAsia="仿宋_GB2312" w:hint="eastAsia"/>
          <w:sz w:val="32"/>
          <w:szCs w:val="32"/>
        </w:rPr>
        <w:t>3</w:t>
      </w:r>
      <w:r w:rsidR="00F44BE9">
        <w:rPr>
          <w:rFonts w:ascii="仿宋_GB2312" w:eastAsia="仿宋_GB2312" w:hint="eastAsia"/>
          <w:sz w:val="32"/>
          <w:szCs w:val="32"/>
        </w:rPr>
        <w:t>月</w:t>
      </w:r>
      <w:r w:rsidR="007D3F5F">
        <w:rPr>
          <w:rFonts w:ascii="仿宋_GB2312" w:eastAsia="仿宋_GB2312" w:hint="eastAsia"/>
          <w:sz w:val="32"/>
          <w:szCs w:val="32"/>
        </w:rPr>
        <w:t>17</w:t>
      </w:r>
      <w:r w:rsidR="00F44BE9">
        <w:rPr>
          <w:rFonts w:ascii="仿宋_GB2312" w:eastAsia="仿宋_GB2312" w:hint="eastAsia"/>
          <w:sz w:val="32"/>
          <w:szCs w:val="32"/>
        </w:rPr>
        <w:t>日征求相关部门意见，收到</w:t>
      </w:r>
      <w:r w:rsidR="009523AF">
        <w:rPr>
          <w:rFonts w:ascii="仿宋_GB2312" w:eastAsia="仿宋_GB2312" w:hint="eastAsia"/>
          <w:sz w:val="32"/>
          <w:szCs w:val="32"/>
        </w:rPr>
        <w:t>意见</w:t>
      </w:r>
      <w:r w:rsidR="007D3F5F">
        <w:rPr>
          <w:rFonts w:ascii="仿宋_GB2312" w:eastAsia="仿宋_GB2312" w:hint="eastAsia"/>
          <w:sz w:val="32"/>
          <w:szCs w:val="32"/>
        </w:rPr>
        <w:t>2</w:t>
      </w:r>
      <w:r w:rsidR="00F44BE9">
        <w:rPr>
          <w:rFonts w:ascii="仿宋_GB2312" w:eastAsia="仿宋_GB2312" w:hint="eastAsia"/>
          <w:sz w:val="32"/>
          <w:szCs w:val="32"/>
        </w:rPr>
        <w:t>条，</w:t>
      </w:r>
      <w:r w:rsidR="005C6C58">
        <w:rPr>
          <w:rFonts w:ascii="仿宋_GB2312" w:eastAsia="仿宋_GB2312" w:hint="eastAsia"/>
          <w:sz w:val="32"/>
          <w:szCs w:val="32"/>
        </w:rPr>
        <w:t>采纳</w:t>
      </w:r>
      <w:r w:rsidR="007D3F5F">
        <w:rPr>
          <w:rFonts w:ascii="仿宋_GB2312" w:eastAsia="仿宋_GB2312" w:hint="eastAsia"/>
          <w:sz w:val="32"/>
          <w:szCs w:val="32"/>
        </w:rPr>
        <w:t>2</w:t>
      </w:r>
      <w:r w:rsidR="005C6C58">
        <w:rPr>
          <w:rFonts w:ascii="仿宋_GB2312" w:eastAsia="仿宋_GB2312" w:hint="eastAsia"/>
          <w:sz w:val="32"/>
          <w:szCs w:val="32"/>
        </w:rPr>
        <w:t>条，</w:t>
      </w:r>
      <w:r w:rsidR="00F44BE9">
        <w:rPr>
          <w:rFonts w:ascii="仿宋_GB2312" w:eastAsia="仿宋_GB2312" w:hint="eastAsia"/>
          <w:sz w:val="32"/>
          <w:szCs w:val="32"/>
        </w:rPr>
        <w:t>不采纳</w:t>
      </w:r>
      <w:r w:rsidR="007D3F5F">
        <w:rPr>
          <w:rFonts w:ascii="仿宋_GB2312" w:eastAsia="仿宋_GB2312" w:hint="eastAsia"/>
          <w:sz w:val="32"/>
          <w:szCs w:val="32"/>
        </w:rPr>
        <w:t>0</w:t>
      </w:r>
      <w:r w:rsidR="00F44BE9">
        <w:rPr>
          <w:rFonts w:ascii="仿宋_GB2312" w:eastAsia="仿宋_GB2312" w:hint="eastAsia"/>
          <w:sz w:val="32"/>
          <w:szCs w:val="32"/>
        </w:rPr>
        <w:t>条。</w:t>
      </w:r>
      <w:r>
        <w:rPr>
          <w:rFonts w:ascii="仿宋_GB2312" w:eastAsia="仿宋_GB2312" w:hint="eastAsia"/>
          <w:sz w:val="32"/>
          <w:szCs w:val="32"/>
        </w:rPr>
        <w:t xml:space="preserve">   </w:t>
      </w:r>
    </w:p>
    <w:p w:rsidR="00F44BE9" w:rsidRDefault="008F2E8B" w:rsidP="00C70EEB">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2、征求意见情况。</w:t>
      </w:r>
      <w:r w:rsidR="007D3F5F">
        <w:rPr>
          <w:rFonts w:ascii="仿宋_GB2312" w:eastAsia="仿宋_GB2312" w:hint="eastAsia"/>
          <w:sz w:val="32"/>
          <w:szCs w:val="32"/>
        </w:rPr>
        <w:t>2021</w:t>
      </w:r>
      <w:r w:rsidR="00C70EEB">
        <w:rPr>
          <w:rFonts w:ascii="仿宋_GB2312" w:eastAsia="仿宋_GB2312" w:hint="eastAsia"/>
          <w:sz w:val="32"/>
          <w:szCs w:val="32"/>
        </w:rPr>
        <w:t>年</w:t>
      </w:r>
      <w:r w:rsidR="007D3F5F">
        <w:rPr>
          <w:rFonts w:ascii="仿宋_GB2312" w:eastAsia="仿宋_GB2312" w:hint="eastAsia"/>
          <w:sz w:val="32"/>
          <w:szCs w:val="32"/>
        </w:rPr>
        <w:t>4</w:t>
      </w:r>
      <w:r w:rsidR="00C70EEB">
        <w:rPr>
          <w:rFonts w:ascii="仿宋_GB2312" w:eastAsia="仿宋_GB2312" w:hint="eastAsia"/>
          <w:sz w:val="32"/>
          <w:szCs w:val="32"/>
        </w:rPr>
        <w:t>月</w:t>
      </w:r>
      <w:r w:rsidR="007D3F5F">
        <w:rPr>
          <w:rFonts w:ascii="仿宋_GB2312" w:eastAsia="仿宋_GB2312" w:hint="eastAsia"/>
          <w:sz w:val="32"/>
          <w:szCs w:val="32"/>
        </w:rPr>
        <w:t>29</w:t>
      </w:r>
      <w:r w:rsidR="00C70EEB">
        <w:rPr>
          <w:rFonts w:ascii="仿宋_GB2312" w:eastAsia="仿宋_GB2312" w:hint="eastAsia"/>
          <w:sz w:val="32"/>
          <w:szCs w:val="32"/>
        </w:rPr>
        <w:t>日在</w:t>
      </w:r>
      <w:r w:rsidR="009523AF">
        <w:rPr>
          <w:rFonts w:ascii="仿宋_GB2312" w:eastAsia="仿宋_GB2312" w:hint="eastAsia"/>
          <w:sz w:val="32"/>
          <w:szCs w:val="32"/>
        </w:rPr>
        <w:t>区政府门户</w:t>
      </w:r>
      <w:r w:rsidR="00C70EEB">
        <w:rPr>
          <w:rFonts w:ascii="仿宋_GB2312" w:eastAsia="仿宋_GB2312" w:hint="eastAsia"/>
          <w:sz w:val="32"/>
          <w:szCs w:val="32"/>
        </w:rPr>
        <w:t>网站公开征求意见，收到</w:t>
      </w:r>
      <w:r w:rsidR="009523AF">
        <w:rPr>
          <w:rFonts w:ascii="仿宋_GB2312" w:eastAsia="仿宋_GB2312" w:hint="eastAsia"/>
          <w:sz w:val="32"/>
          <w:szCs w:val="32"/>
        </w:rPr>
        <w:t>意见</w:t>
      </w:r>
      <w:r w:rsidR="007D3F5F">
        <w:rPr>
          <w:rFonts w:ascii="仿宋_GB2312" w:eastAsia="仿宋_GB2312" w:hint="eastAsia"/>
          <w:sz w:val="32"/>
          <w:szCs w:val="32"/>
        </w:rPr>
        <w:t>0</w:t>
      </w:r>
      <w:r w:rsidR="00C70EEB">
        <w:rPr>
          <w:rFonts w:ascii="仿宋_GB2312" w:eastAsia="仿宋_GB2312" w:hint="eastAsia"/>
          <w:sz w:val="32"/>
          <w:szCs w:val="32"/>
        </w:rPr>
        <w:t>条。</w:t>
      </w:r>
    </w:p>
    <w:p w:rsidR="00C70EEB" w:rsidRDefault="008F2E8B" w:rsidP="00C70EEB">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3、本部门对文件的法制审查情况。</w:t>
      </w:r>
      <w:r w:rsidR="00C70EEB">
        <w:rPr>
          <w:rFonts w:ascii="仿宋_GB2312" w:eastAsia="仿宋_GB2312" w:hint="eastAsia"/>
          <w:sz w:val="32"/>
          <w:szCs w:val="32"/>
        </w:rPr>
        <w:t>文件X年X月X日已经由本机关法制部门审核（法制部门审核意见附后）。</w:t>
      </w:r>
    </w:p>
    <w:p w:rsidR="008F2E8B" w:rsidRDefault="008F2E8B" w:rsidP="00C70EEB">
      <w:pPr>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4</w:t>
      </w:r>
      <w:r w:rsidR="007D3F5F">
        <w:rPr>
          <w:rFonts w:ascii="仿宋_GB2312" w:eastAsia="仿宋_GB2312" w:hint="eastAsia"/>
          <w:sz w:val="32"/>
          <w:szCs w:val="32"/>
        </w:rPr>
        <w:t>、法律顾问的法律审查意见如下：</w:t>
      </w:r>
    </w:p>
    <w:p w:rsidR="007D3F5F" w:rsidRDefault="007D3F5F" w:rsidP="007D3F5F">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一、关于制定主体、制定权限的合法性情况。</w:t>
      </w:r>
    </w:p>
    <w:p w:rsidR="007D3F5F" w:rsidRDefault="007D3F5F" w:rsidP="007D3F5F">
      <w:pPr>
        <w:widowControl/>
        <w:ind w:firstLineChars="200" w:firstLine="640"/>
        <w:jc w:val="left"/>
        <w:rPr>
          <w:rFonts w:ascii="仿宋_GB2312" w:eastAsia="仿宋_GB2312" w:hAnsi="微软雅黑"/>
          <w:color w:val="000000"/>
          <w:sz w:val="32"/>
          <w:szCs w:val="32"/>
        </w:rPr>
      </w:pPr>
      <w:r>
        <w:rPr>
          <w:rFonts w:ascii="仿宋_GB2312" w:eastAsia="仿宋_GB2312" w:hAnsi="微软雅黑" w:hint="eastAsia"/>
          <w:color w:val="000000"/>
          <w:sz w:val="32"/>
          <w:szCs w:val="32"/>
        </w:rPr>
        <w:t>本办法制定主体为金东区人民政府办公室，制定权限为规范性文件。依据《立法法》及《浙江省行政规范性文件管理办法》规定，各级政府及其部门均可依法制定规范性文件，</w:t>
      </w:r>
      <w:r>
        <w:rPr>
          <w:rFonts w:ascii="仿宋_GB2312" w:eastAsia="仿宋_GB2312" w:hAnsi="微软雅黑" w:hint="eastAsia"/>
          <w:color w:val="000000"/>
          <w:sz w:val="32"/>
          <w:szCs w:val="32"/>
        </w:rPr>
        <w:lastRenderedPageBreak/>
        <w:t>本办法属规范性文件，制定主体和制定权限符合法律规定，具有合法性。</w:t>
      </w:r>
    </w:p>
    <w:p w:rsidR="007D3F5F" w:rsidRDefault="007D3F5F" w:rsidP="007D3F5F">
      <w:pPr>
        <w:pStyle w:val="p0"/>
        <w:shd w:val="clear" w:color="auto" w:fill="FFFFFF"/>
        <w:spacing w:before="0" w:beforeAutospacing="0" w:after="0" w:afterAutospacing="0"/>
        <w:ind w:firstLine="645"/>
        <w:rPr>
          <w:rFonts w:ascii="仿宋_GB2312" w:eastAsia="仿宋_GB2312" w:hAnsi="微软雅黑"/>
          <w:color w:val="000000"/>
          <w:sz w:val="32"/>
          <w:szCs w:val="32"/>
        </w:rPr>
      </w:pPr>
      <w:r>
        <w:rPr>
          <w:rFonts w:ascii="仿宋_GB2312" w:eastAsia="仿宋_GB2312" w:hAnsi="微软雅黑" w:hint="eastAsia"/>
          <w:color w:val="000000"/>
          <w:sz w:val="32"/>
          <w:szCs w:val="32"/>
        </w:rPr>
        <w:t>二、关于制定依据的合法性情况。</w:t>
      </w:r>
    </w:p>
    <w:p w:rsidR="007D3F5F" w:rsidRDefault="007D3F5F" w:rsidP="007D3F5F">
      <w:pPr>
        <w:pStyle w:val="p0"/>
        <w:shd w:val="clear" w:color="auto" w:fill="FFFFFF"/>
        <w:spacing w:before="0" w:beforeAutospacing="0" w:after="0" w:afterAutospacing="0"/>
        <w:ind w:firstLine="645"/>
        <w:rPr>
          <w:rFonts w:ascii="仿宋_GB2312" w:eastAsia="仿宋_GB2312" w:hAnsi="微软雅黑"/>
          <w:color w:val="000000"/>
          <w:sz w:val="32"/>
          <w:szCs w:val="32"/>
        </w:rPr>
      </w:pPr>
      <w:r>
        <w:rPr>
          <w:rFonts w:ascii="仿宋_GB2312" w:eastAsia="仿宋_GB2312" w:hAnsi="微软雅黑" w:hint="eastAsia"/>
          <w:color w:val="000000"/>
          <w:sz w:val="32"/>
          <w:szCs w:val="32"/>
        </w:rPr>
        <w:t>依据</w:t>
      </w:r>
      <w:r>
        <w:rPr>
          <w:rFonts w:ascii="仿宋_GB2312" w:eastAsia="仿宋_GB2312" w:hint="eastAsia"/>
          <w:sz w:val="32"/>
          <w:szCs w:val="32"/>
        </w:rPr>
        <w:t>《金</w:t>
      </w:r>
      <w:r>
        <w:rPr>
          <w:rFonts w:ascii="仿宋_GB2312" w:eastAsia="仿宋_GB2312"/>
          <w:sz w:val="32"/>
          <w:szCs w:val="32"/>
        </w:rPr>
        <w:t>华市传统</w:t>
      </w:r>
      <w:r>
        <w:rPr>
          <w:rFonts w:ascii="仿宋_GB2312" w:eastAsia="仿宋_GB2312" w:hint="eastAsia"/>
          <w:sz w:val="32"/>
          <w:szCs w:val="32"/>
        </w:rPr>
        <w:t>村落</w:t>
      </w:r>
      <w:r>
        <w:rPr>
          <w:rFonts w:ascii="仿宋_GB2312" w:eastAsia="仿宋_GB2312"/>
          <w:sz w:val="32"/>
          <w:szCs w:val="32"/>
        </w:rPr>
        <w:t>保护条例》</w:t>
      </w:r>
      <w:r>
        <w:rPr>
          <w:rFonts w:ascii="仿宋_GB2312" w:eastAsia="仿宋_GB2312" w:hint="eastAsia"/>
          <w:sz w:val="32"/>
          <w:szCs w:val="32"/>
        </w:rPr>
        <w:t>、《金华</w:t>
      </w:r>
      <w:r>
        <w:rPr>
          <w:rFonts w:ascii="仿宋_GB2312" w:eastAsia="仿宋_GB2312" w:hAnsi="黑体" w:hint="eastAsia"/>
          <w:sz w:val="32"/>
          <w:szCs w:val="32"/>
        </w:rPr>
        <w:t>市区传统村落保护专项资金管理办法》（金政办发【2016】33</w:t>
      </w:r>
      <w:r>
        <w:rPr>
          <w:rFonts w:ascii="仿宋_GB2312" w:eastAsia="仿宋_GB2312" w:hint="eastAsia"/>
          <w:sz w:val="32"/>
          <w:szCs w:val="32"/>
        </w:rPr>
        <w:t>号</w:t>
      </w:r>
      <w:r>
        <w:rPr>
          <w:rFonts w:ascii="仿宋_GB2312" w:eastAsia="仿宋_GB2312" w:hAnsi="黑体" w:hint="eastAsia"/>
          <w:sz w:val="32"/>
          <w:szCs w:val="32"/>
        </w:rPr>
        <w:t>）第六条项目建设管理规定，各</w:t>
      </w:r>
      <w:r>
        <w:rPr>
          <w:rFonts w:ascii="仿宋_GB2312" w:eastAsia="仿宋_GB2312" w:hint="eastAsia"/>
          <w:sz w:val="32"/>
          <w:szCs w:val="32"/>
        </w:rPr>
        <w:t>区政府</w:t>
      </w:r>
      <w:bookmarkStart w:id="0" w:name="_GoBack"/>
      <w:bookmarkEnd w:id="0"/>
      <w:r>
        <w:rPr>
          <w:rFonts w:ascii="仿宋_GB2312" w:eastAsia="仿宋_GB2312" w:hint="eastAsia"/>
          <w:sz w:val="32"/>
          <w:szCs w:val="32"/>
        </w:rPr>
        <w:t>要根据《住房城乡建设部 文化部 国家文物局 财政部关于切实加强中国传统村落保护的指导意见》（建村〔2014〕61号）精神，指导乡镇（街道）编制传统村落保护实施方案并制定区级整体实施方案，重点明确组织保障、资金使用管理等内容。本办法正是响应上述精神，制定</w:t>
      </w:r>
      <w:r>
        <w:rPr>
          <w:rFonts w:ascii="仿宋_GB2312" w:eastAsia="仿宋_GB2312" w:hAnsi="微软雅黑" w:hint="eastAsia"/>
          <w:color w:val="000000"/>
          <w:sz w:val="32"/>
          <w:szCs w:val="32"/>
        </w:rPr>
        <w:t>金东区传统村落保护专项资金管理实施方案，用以</w:t>
      </w:r>
      <w:r>
        <w:rPr>
          <w:rFonts w:ascii="仿宋_GB2312" w:eastAsia="仿宋_GB2312"/>
          <w:sz w:val="32"/>
          <w:szCs w:val="32"/>
        </w:rPr>
        <w:t>进一步</w:t>
      </w:r>
      <w:r>
        <w:rPr>
          <w:rFonts w:ascii="仿宋_GB2312" w:eastAsia="仿宋_GB2312" w:hint="eastAsia"/>
          <w:sz w:val="32"/>
          <w:szCs w:val="32"/>
        </w:rPr>
        <w:t>加强</w:t>
      </w:r>
      <w:r>
        <w:rPr>
          <w:rFonts w:ascii="仿宋_GB2312" w:eastAsia="仿宋_GB2312"/>
          <w:sz w:val="32"/>
          <w:szCs w:val="32"/>
        </w:rPr>
        <w:t>全区</w:t>
      </w:r>
      <w:r>
        <w:rPr>
          <w:rFonts w:ascii="仿宋_GB2312" w:eastAsia="仿宋_GB2312" w:hint="eastAsia"/>
          <w:sz w:val="32"/>
          <w:szCs w:val="32"/>
        </w:rPr>
        <w:t>传统</w:t>
      </w:r>
      <w:r>
        <w:rPr>
          <w:rFonts w:ascii="仿宋_GB2312" w:eastAsia="仿宋_GB2312"/>
          <w:sz w:val="32"/>
          <w:szCs w:val="32"/>
        </w:rPr>
        <w:t>村落保护，充分发挥专项资金效益</w:t>
      </w:r>
      <w:r>
        <w:rPr>
          <w:rFonts w:ascii="仿宋_GB2312" w:eastAsia="仿宋_GB2312" w:hint="eastAsia"/>
          <w:sz w:val="32"/>
          <w:szCs w:val="32"/>
        </w:rPr>
        <w:t>。故本办法制定依据具有合法性。</w:t>
      </w:r>
    </w:p>
    <w:p w:rsidR="007D3F5F" w:rsidRDefault="007D3F5F" w:rsidP="007D3F5F">
      <w:pPr>
        <w:pStyle w:val="p0"/>
        <w:shd w:val="clear" w:color="auto" w:fill="FFFFFF"/>
        <w:spacing w:before="0" w:beforeAutospacing="0" w:after="0" w:afterAutospacing="0"/>
        <w:ind w:firstLine="645"/>
        <w:rPr>
          <w:rFonts w:ascii="仿宋_GB2312" w:eastAsia="仿宋_GB2312" w:hAnsi="微软雅黑"/>
          <w:color w:val="000000"/>
          <w:sz w:val="32"/>
          <w:szCs w:val="32"/>
        </w:rPr>
      </w:pPr>
      <w:r>
        <w:rPr>
          <w:rFonts w:ascii="仿宋_GB2312" w:eastAsia="仿宋_GB2312" w:hAnsi="微软雅黑" w:hint="eastAsia"/>
          <w:color w:val="000000"/>
          <w:sz w:val="32"/>
          <w:szCs w:val="32"/>
        </w:rPr>
        <w:t>三、关于送审稿的内容和形式合法性情况。</w:t>
      </w:r>
    </w:p>
    <w:p w:rsidR="007D3F5F" w:rsidRDefault="007D3F5F" w:rsidP="007D3F5F">
      <w:pPr>
        <w:pStyle w:val="p0"/>
        <w:shd w:val="clear" w:color="auto" w:fill="FFFFFF"/>
        <w:spacing w:before="0" w:beforeAutospacing="0" w:after="0" w:afterAutospacing="0"/>
        <w:ind w:firstLine="645"/>
        <w:rPr>
          <w:rFonts w:ascii="仿宋_GB2312" w:eastAsia="仿宋_GB2312" w:hAnsi="微软雅黑"/>
          <w:color w:val="000000"/>
          <w:sz w:val="32"/>
          <w:szCs w:val="32"/>
        </w:rPr>
      </w:pPr>
      <w:r>
        <w:rPr>
          <w:rFonts w:ascii="仿宋_GB2312" w:eastAsia="仿宋_GB2312" w:hAnsi="微软雅黑" w:hint="eastAsia"/>
          <w:color w:val="000000"/>
          <w:sz w:val="32"/>
          <w:szCs w:val="32"/>
        </w:rPr>
        <w:t>送审稿内容符合</w:t>
      </w:r>
      <w:r>
        <w:rPr>
          <w:rFonts w:ascii="仿宋_GB2312" w:eastAsia="仿宋_GB2312" w:hint="eastAsia"/>
          <w:sz w:val="32"/>
          <w:szCs w:val="32"/>
        </w:rPr>
        <w:t>《金</w:t>
      </w:r>
      <w:r>
        <w:rPr>
          <w:rFonts w:ascii="仿宋_GB2312" w:eastAsia="仿宋_GB2312"/>
          <w:sz w:val="32"/>
          <w:szCs w:val="32"/>
        </w:rPr>
        <w:t>华市传统</w:t>
      </w:r>
      <w:r>
        <w:rPr>
          <w:rFonts w:ascii="仿宋_GB2312" w:eastAsia="仿宋_GB2312" w:hint="eastAsia"/>
          <w:sz w:val="32"/>
          <w:szCs w:val="32"/>
        </w:rPr>
        <w:t>村落</w:t>
      </w:r>
      <w:r>
        <w:rPr>
          <w:rFonts w:ascii="仿宋_GB2312" w:eastAsia="仿宋_GB2312"/>
          <w:sz w:val="32"/>
          <w:szCs w:val="32"/>
        </w:rPr>
        <w:t>保护条例》</w:t>
      </w:r>
      <w:r>
        <w:rPr>
          <w:rFonts w:ascii="仿宋_GB2312" w:eastAsia="仿宋_GB2312" w:hint="eastAsia"/>
          <w:sz w:val="32"/>
          <w:szCs w:val="32"/>
        </w:rPr>
        <w:t>、《金华</w:t>
      </w:r>
      <w:r>
        <w:rPr>
          <w:rFonts w:ascii="仿宋_GB2312" w:eastAsia="仿宋_GB2312" w:hAnsi="黑体" w:hint="eastAsia"/>
          <w:sz w:val="32"/>
          <w:szCs w:val="32"/>
        </w:rPr>
        <w:t>市区传统村落保护专项资金管理办法》（金政办发【2016】33</w:t>
      </w:r>
      <w:r>
        <w:rPr>
          <w:rFonts w:ascii="仿宋_GB2312" w:eastAsia="仿宋_GB2312" w:hint="eastAsia"/>
          <w:sz w:val="32"/>
          <w:szCs w:val="32"/>
        </w:rPr>
        <w:t>号</w:t>
      </w:r>
      <w:r>
        <w:rPr>
          <w:rFonts w:ascii="仿宋_GB2312" w:eastAsia="仿宋_GB2312" w:hAnsi="黑体" w:hint="eastAsia"/>
          <w:sz w:val="32"/>
          <w:szCs w:val="32"/>
        </w:rPr>
        <w:t>）以及</w:t>
      </w:r>
      <w:r>
        <w:rPr>
          <w:rFonts w:ascii="仿宋_GB2312" w:eastAsia="仿宋_GB2312" w:hint="eastAsia"/>
          <w:sz w:val="32"/>
          <w:szCs w:val="32"/>
        </w:rPr>
        <w:t>《住房城乡建设部 文化部 国家文物局 财政部关于切实加强中国传统村落保护的指导意见》（建村〔2014〕61号规定要求，未见有与法律法规相冲突内容；送审稿以书面形式提交审查符合法律规定，故送审稿的内容和形式具有合法性。</w:t>
      </w:r>
    </w:p>
    <w:p w:rsidR="007D3F5F" w:rsidRDefault="007D3F5F" w:rsidP="007D3F5F">
      <w:pPr>
        <w:pStyle w:val="p0"/>
        <w:shd w:val="clear" w:color="auto" w:fill="FFFFFF"/>
        <w:spacing w:before="0" w:beforeAutospacing="0" w:after="0" w:afterAutospacing="0"/>
        <w:ind w:firstLine="645"/>
        <w:rPr>
          <w:rFonts w:ascii="仿宋_GB2312" w:eastAsia="仿宋_GB2312" w:hAnsi="微软雅黑"/>
          <w:color w:val="000000"/>
          <w:sz w:val="32"/>
          <w:szCs w:val="32"/>
        </w:rPr>
      </w:pPr>
      <w:r>
        <w:rPr>
          <w:rFonts w:ascii="仿宋_GB2312" w:eastAsia="仿宋_GB2312" w:hAnsi="微软雅黑" w:hint="eastAsia"/>
          <w:color w:val="000000"/>
          <w:sz w:val="32"/>
          <w:szCs w:val="32"/>
        </w:rPr>
        <w:t>四、对送审稿的综合意见和建议。</w:t>
      </w:r>
    </w:p>
    <w:p w:rsidR="007D3F5F" w:rsidRDefault="007D3F5F" w:rsidP="007D3F5F">
      <w:pPr>
        <w:pStyle w:val="p0"/>
        <w:shd w:val="clear" w:color="auto" w:fill="FFFFFF"/>
        <w:spacing w:before="0" w:beforeAutospacing="0" w:after="0" w:afterAutospacing="0"/>
        <w:ind w:firstLine="645"/>
        <w:rPr>
          <w:rFonts w:ascii="仿宋_GB2312" w:eastAsia="仿宋_GB2312" w:hAnsi="微软雅黑" w:cstheme="minorBidi"/>
          <w:color w:val="000000"/>
          <w:kern w:val="2"/>
          <w:sz w:val="32"/>
          <w:szCs w:val="32"/>
        </w:rPr>
      </w:pPr>
      <w:r>
        <w:rPr>
          <w:rFonts w:ascii="仿宋_GB2312" w:eastAsia="仿宋_GB2312" w:hAnsi="微软雅黑" w:hint="eastAsia"/>
          <w:color w:val="000000"/>
          <w:sz w:val="32"/>
          <w:szCs w:val="32"/>
        </w:rPr>
        <w:lastRenderedPageBreak/>
        <w:t>综上，我所认为《金东区传统村落保护专项资金管理办法》（送审稿）在制定主体、制定权限、制定依据以及内容和形式上均具有合法性，符合</w:t>
      </w:r>
      <w:r>
        <w:rPr>
          <w:rFonts w:ascii="仿宋_GB2312" w:eastAsia="仿宋_GB2312" w:hint="eastAsia"/>
          <w:sz w:val="32"/>
          <w:szCs w:val="32"/>
        </w:rPr>
        <w:t>《金华</w:t>
      </w:r>
      <w:r>
        <w:rPr>
          <w:rFonts w:ascii="仿宋_GB2312" w:eastAsia="仿宋_GB2312" w:hAnsi="黑体" w:hint="eastAsia"/>
          <w:sz w:val="32"/>
          <w:szCs w:val="32"/>
        </w:rPr>
        <w:t>市区传统村落保护专项资金管理办法》（金政办发【2016】33</w:t>
      </w:r>
      <w:r>
        <w:rPr>
          <w:rFonts w:ascii="仿宋_GB2312" w:eastAsia="仿宋_GB2312" w:hint="eastAsia"/>
          <w:sz w:val="32"/>
          <w:szCs w:val="32"/>
        </w:rPr>
        <w:t>号</w:t>
      </w:r>
      <w:r>
        <w:rPr>
          <w:rFonts w:ascii="仿宋_GB2312" w:eastAsia="仿宋_GB2312" w:hAnsi="黑体" w:hint="eastAsia"/>
          <w:sz w:val="32"/>
          <w:szCs w:val="32"/>
        </w:rPr>
        <w:t>）等规定制定要求，有利于加强</w:t>
      </w:r>
      <w:r>
        <w:rPr>
          <w:rFonts w:ascii="仿宋_GB2312" w:eastAsia="仿宋_GB2312" w:hint="eastAsia"/>
          <w:sz w:val="32"/>
          <w:szCs w:val="32"/>
        </w:rPr>
        <w:t>传统村落保护项目组织实施和日常监管等工作，督促项目实施村落严格按规定使用专项资金，确保项目建设进度和质量，能充分发挥专项资金使用效益，建议公开发布实施。</w:t>
      </w:r>
    </w:p>
    <w:p w:rsidR="00C70EEB" w:rsidRDefault="00DA0787" w:rsidP="007D3F5F">
      <w:pPr>
        <w:spacing w:line="600" w:lineRule="exact"/>
        <w:jc w:val="left"/>
        <w:rPr>
          <w:rFonts w:ascii="仿宋_GB2312" w:eastAsia="仿宋_GB2312"/>
          <w:sz w:val="32"/>
          <w:szCs w:val="32"/>
        </w:rPr>
      </w:pPr>
      <w:r>
        <w:rPr>
          <w:rFonts w:ascii="仿宋_GB2312" w:eastAsia="仿宋_GB2312" w:hint="eastAsia"/>
          <w:sz w:val="32"/>
          <w:szCs w:val="32"/>
        </w:rPr>
        <w:t>5、</w:t>
      </w:r>
      <w:r w:rsidR="007D3F5F">
        <w:rPr>
          <w:rFonts w:ascii="仿宋_GB2312" w:eastAsia="仿宋_GB2312" w:hint="eastAsia"/>
          <w:sz w:val="32"/>
          <w:szCs w:val="32"/>
        </w:rPr>
        <w:t>文件</w:t>
      </w:r>
      <w:r w:rsidR="007D3F5F" w:rsidRPr="00274E51">
        <w:rPr>
          <w:rFonts w:ascii="仿宋_GB2312" w:eastAsia="仿宋_GB2312" w:hint="eastAsia"/>
          <w:sz w:val="32"/>
          <w:szCs w:val="32"/>
        </w:rPr>
        <w:t>自发文之日起施行</w:t>
      </w:r>
      <w:r w:rsidR="00C70EEB">
        <w:rPr>
          <w:rFonts w:ascii="仿宋_GB2312" w:eastAsia="仿宋_GB2312" w:hint="eastAsia"/>
          <w:sz w:val="32"/>
          <w:szCs w:val="32"/>
        </w:rPr>
        <w:t>。</w:t>
      </w:r>
    </w:p>
    <w:p w:rsidR="009A7D92" w:rsidRDefault="00C70EEB" w:rsidP="005C6C58">
      <w:pPr>
        <w:spacing w:line="3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p>
    <w:p w:rsidR="00C70EEB" w:rsidRDefault="009A7D92" w:rsidP="005C6C58">
      <w:pPr>
        <w:spacing w:line="3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r w:rsidR="007D3F5F">
        <w:rPr>
          <w:rFonts w:ascii="仿宋_GB2312" w:eastAsia="仿宋_GB2312" w:hint="eastAsia"/>
          <w:sz w:val="32"/>
          <w:szCs w:val="32"/>
        </w:rPr>
        <w:t xml:space="preserve">  </w:t>
      </w:r>
      <w:r w:rsidR="00C70EEB">
        <w:rPr>
          <w:rFonts w:ascii="仿宋_GB2312" w:eastAsia="仿宋_GB2312" w:hint="eastAsia"/>
          <w:sz w:val="32"/>
          <w:szCs w:val="32"/>
        </w:rPr>
        <w:t>起草部门：</w:t>
      </w:r>
      <w:r w:rsidR="007D3F5F">
        <w:rPr>
          <w:rFonts w:ascii="仿宋_GB2312" w:eastAsia="仿宋_GB2312" w:hint="eastAsia"/>
          <w:sz w:val="32"/>
          <w:szCs w:val="32"/>
        </w:rPr>
        <w:t>金华市金东区住房和城乡建设局</w:t>
      </w:r>
    </w:p>
    <w:p w:rsidR="007D3F5F" w:rsidRDefault="00C70EEB" w:rsidP="005C6C58">
      <w:pPr>
        <w:spacing w:line="360" w:lineRule="exact"/>
        <w:ind w:firstLineChars="200" w:firstLine="640"/>
        <w:jc w:val="center"/>
        <w:rPr>
          <w:rFonts w:ascii="仿宋_GB2312" w:eastAsia="仿宋_GB2312" w:hint="eastAsia"/>
          <w:sz w:val="32"/>
          <w:szCs w:val="32"/>
        </w:rPr>
      </w:pPr>
      <w:r>
        <w:rPr>
          <w:rFonts w:ascii="仿宋_GB2312" w:eastAsia="仿宋_GB2312" w:hint="eastAsia"/>
          <w:sz w:val="32"/>
          <w:szCs w:val="32"/>
        </w:rPr>
        <w:t xml:space="preserve">                   </w:t>
      </w:r>
    </w:p>
    <w:p w:rsidR="00C70EEB" w:rsidRPr="00F44BE9" w:rsidRDefault="007D3F5F" w:rsidP="005C6C58">
      <w:pPr>
        <w:spacing w:line="3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2021</w:t>
      </w:r>
      <w:r w:rsidR="00C70EEB">
        <w:rPr>
          <w:rFonts w:ascii="仿宋_GB2312" w:eastAsia="仿宋_GB2312" w:hint="eastAsia"/>
          <w:sz w:val="32"/>
          <w:szCs w:val="32"/>
        </w:rPr>
        <w:t>年</w:t>
      </w:r>
      <w:r>
        <w:rPr>
          <w:rFonts w:ascii="仿宋_GB2312" w:eastAsia="仿宋_GB2312" w:hint="eastAsia"/>
          <w:sz w:val="32"/>
          <w:szCs w:val="32"/>
        </w:rPr>
        <w:t>5</w:t>
      </w:r>
      <w:r w:rsidR="00C70EEB">
        <w:rPr>
          <w:rFonts w:ascii="仿宋_GB2312" w:eastAsia="仿宋_GB2312" w:hint="eastAsia"/>
          <w:sz w:val="32"/>
          <w:szCs w:val="32"/>
        </w:rPr>
        <w:t>月</w:t>
      </w:r>
      <w:r>
        <w:rPr>
          <w:rFonts w:ascii="仿宋_GB2312" w:eastAsia="仿宋_GB2312" w:hint="eastAsia"/>
          <w:sz w:val="32"/>
          <w:szCs w:val="32"/>
        </w:rPr>
        <w:t>26</w:t>
      </w:r>
      <w:r w:rsidR="00C70EEB">
        <w:rPr>
          <w:rFonts w:ascii="仿宋_GB2312" w:eastAsia="仿宋_GB2312" w:hint="eastAsia"/>
          <w:sz w:val="32"/>
          <w:szCs w:val="32"/>
        </w:rPr>
        <w:t>日</w:t>
      </w:r>
    </w:p>
    <w:sectPr w:rsidR="00C70EEB" w:rsidRPr="00F44BE9" w:rsidSect="00AD2E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DE3" w:rsidRDefault="00C20DE3" w:rsidP="00AC7A40">
      <w:r>
        <w:separator/>
      </w:r>
    </w:p>
  </w:endnote>
  <w:endnote w:type="continuationSeparator" w:id="0">
    <w:p w:rsidR="00C20DE3" w:rsidRDefault="00C20DE3" w:rsidP="00AC7A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DE3" w:rsidRDefault="00C20DE3" w:rsidP="00AC7A40">
      <w:r>
        <w:separator/>
      </w:r>
    </w:p>
  </w:footnote>
  <w:footnote w:type="continuationSeparator" w:id="0">
    <w:p w:rsidR="00C20DE3" w:rsidRDefault="00C20DE3" w:rsidP="00AC7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BE9"/>
    <w:rsid w:val="000A5A93"/>
    <w:rsid w:val="001E326D"/>
    <w:rsid w:val="001F782C"/>
    <w:rsid w:val="00224EAC"/>
    <w:rsid w:val="002A05A3"/>
    <w:rsid w:val="00354756"/>
    <w:rsid w:val="00370136"/>
    <w:rsid w:val="00395960"/>
    <w:rsid w:val="00431133"/>
    <w:rsid w:val="00490F62"/>
    <w:rsid w:val="004B2827"/>
    <w:rsid w:val="005C6C58"/>
    <w:rsid w:val="00632397"/>
    <w:rsid w:val="007C4C0D"/>
    <w:rsid w:val="007D3F5F"/>
    <w:rsid w:val="0084329B"/>
    <w:rsid w:val="008F2E8B"/>
    <w:rsid w:val="009523AF"/>
    <w:rsid w:val="009A7D92"/>
    <w:rsid w:val="00A37E9E"/>
    <w:rsid w:val="00AC7A40"/>
    <w:rsid w:val="00AD2EC0"/>
    <w:rsid w:val="00BF1306"/>
    <w:rsid w:val="00C20DE3"/>
    <w:rsid w:val="00C70EEB"/>
    <w:rsid w:val="00D8526F"/>
    <w:rsid w:val="00DA0787"/>
    <w:rsid w:val="00E562CE"/>
    <w:rsid w:val="00F358D2"/>
    <w:rsid w:val="00F44BE9"/>
    <w:rsid w:val="00FE17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C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BE9"/>
    <w:pPr>
      <w:ind w:firstLineChars="200" w:firstLine="420"/>
    </w:pPr>
  </w:style>
  <w:style w:type="paragraph" w:styleId="a4">
    <w:name w:val="header"/>
    <w:basedOn w:val="a"/>
    <w:link w:val="Char"/>
    <w:uiPriority w:val="99"/>
    <w:semiHidden/>
    <w:unhideWhenUsed/>
    <w:rsid w:val="00AC7A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C7A40"/>
    <w:rPr>
      <w:sz w:val="18"/>
      <w:szCs w:val="18"/>
    </w:rPr>
  </w:style>
  <w:style w:type="paragraph" w:styleId="a5">
    <w:name w:val="footer"/>
    <w:basedOn w:val="a"/>
    <w:link w:val="Char0"/>
    <w:uiPriority w:val="99"/>
    <w:semiHidden/>
    <w:unhideWhenUsed/>
    <w:rsid w:val="00AC7A4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C7A40"/>
    <w:rPr>
      <w:sz w:val="18"/>
      <w:szCs w:val="18"/>
    </w:rPr>
  </w:style>
  <w:style w:type="paragraph" w:customStyle="1" w:styleId="p0">
    <w:name w:val="p0"/>
    <w:basedOn w:val="a"/>
    <w:qFormat/>
    <w:rsid w:val="004311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15447969">
      <w:bodyDiv w:val="1"/>
      <w:marLeft w:val="0"/>
      <w:marRight w:val="0"/>
      <w:marTop w:val="0"/>
      <w:marBottom w:val="0"/>
      <w:divBdr>
        <w:top w:val="none" w:sz="0" w:space="0" w:color="auto"/>
        <w:left w:val="none" w:sz="0" w:space="0" w:color="auto"/>
        <w:bottom w:val="none" w:sz="0" w:space="0" w:color="auto"/>
        <w:right w:val="none" w:sz="0" w:space="0" w:color="auto"/>
      </w:divBdr>
    </w:div>
    <w:div w:id="20094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262</Words>
  <Characters>1500</Characters>
  <Application>Microsoft Office Word</Application>
  <DocSecurity>0</DocSecurity>
  <Lines>12</Lines>
  <Paragraphs>3</Paragraphs>
  <ScaleCrop>false</ScaleCrop>
  <Company>Microsoft</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金丽超</dc:creator>
  <cp:lastModifiedBy>Administrator</cp:lastModifiedBy>
  <cp:revision>12</cp:revision>
  <dcterms:created xsi:type="dcterms:W3CDTF">2018-08-28T09:13:00Z</dcterms:created>
  <dcterms:modified xsi:type="dcterms:W3CDTF">2021-05-26T09:24:00Z</dcterms:modified>
</cp:coreProperties>
</file>