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pacing w:before="0" w:after="0" w:line="560" w:lineRule="exact"/>
        <w:ind w:firstLine="0" w:firstLineChars="0"/>
        <w:jc w:val="center"/>
        <w:textAlignment w:val="auto"/>
        <w:rPr>
          <w:rFonts w:hint="eastAsia" w:ascii="仿宋_GB2312" w:hAnsi="仿宋_GB2312" w:eastAsia="仿宋_GB2312" w:cs="仿宋_GB2312"/>
          <w:b w:val="0"/>
          <w:bCs w:val="0"/>
          <w:sz w:val="32"/>
          <w:szCs w:val="32"/>
        </w:rPr>
      </w:pPr>
    </w:p>
    <w:p>
      <w:pPr>
        <w:pStyle w:val="5"/>
        <w:pageBreakBefore w:val="0"/>
        <w:widowControl w:val="0"/>
        <w:kinsoku/>
        <w:wordWrap/>
        <w:overflowPunct/>
        <w:topLinePunct w:val="0"/>
        <w:autoSpaceDE/>
        <w:autoSpaceDN/>
        <w:bidi w:val="0"/>
        <w:adjustRightInd/>
        <w:spacing w:before="0" w:after="0"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1" w:name="_GoBack"/>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val="en-US" w:eastAsia="zh-CN"/>
        </w:rPr>
        <w:t>温州瓯江口产业集聚区发展“十四五”</w:t>
      </w:r>
    </w:p>
    <w:p>
      <w:pPr>
        <w:pStyle w:val="5"/>
        <w:pageBreakBefore w:val="0"/>
        <w:widowControl w:val="0"/>
        <w:kinsoku/>
        <w:wordWrap/>
        <w:overflowPunct/>
        <w:topLinePunct w:val="0"/>
        <w:autoSpaceDE/>
        <w:autoSpaceDN/>
        <w:bidi w:val="0"/>
        <w:adjustRightInd/>
        <w:spacing w:before="0" w:after="0"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
        </w:rPr>
      </w:pPr>
      <w:r>
        <w:rPr>
          <w:rFonts w:hint="eastAsia" w:ascii="方正小标宋简体" w:hAnsi="方正小标宋简体" w:eastAsia="方正小标宋简体" w:cs="方正小标宋简体"/>
          <w:b w:val="0"/>
          <w:bCs w:val="0"/>
          <w:sz w:val="44"/>
          <w:szCs w:val="44"/>
          <w:lang w:val="en-US" w:eastAsia="zh-CN"/>
        </w:rPr>
        <w:t>规划</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的起草</w:t>
      </w:r>
      <w:r>
        <w:rPr>
          <w:rFonts w:hint="eastAsia" w:ascii="方正小标宋简体" w:hAnsi="方正小标宋简体" w:eastAsia="方正小标宋简体" w:cs="方正小标宋简体"/>
          <w:b w:val="0"/>
          <w:bCs w:val="0"/>
          <w:sz w:val="44"/>
          <w:szCs w:val="44"/>
        </w:rPr>
        <w:t>说明</w:t>
      </w:r>
    </w:p>
    <w:bookmarkEnd w:id="1"/>
    <w:p>
      <w:pPr>
        <w:pStyle w:val="11"/>
        <w:pageBreakBefore w:val="0"/>
        <w:widowControl w:val="0"/>
        <w:kinsoku/>
        <w:wordWrap/>
        <w:overflowPunct/>
        <w:topLinePunct w:val="0"/>
        <w:autoSpaceDE/>
        <w:autoSpaceDN/>
        <w:bidi w:val="0"/>
        <w:adjustRightInd/>
        <w:spacing w:line="560" w:lineRule="exact"/>
        <w:ind w:firstLine="0" w:firstLineChars="0"/>
        <w:textAlignment w:val="auto"/>
        <w:rPr>
          <w:rFonts w:hint="eastAsia" w:ascii="仿宋_GB2312" w:hAnsi="仿宋_GB2312" w:eastAsia="仿宋_GB2312" w:cs="仿宋_GB2312"/>
          <w:sz w:val="32"/>
          <w:szCs w:val="32"/>
        </w:rPr>
      </w:pPr>
    </w:p>
    <w:p>
      <w:pPr>
        <w:pStyle w:val="5"/>
        <w:pageBreakBefore w:val="0"/>
        <w:widowControl w:val="0"/>
        <w:kinsoku/>
        <w:wordWrap/>
        <w:overflowPunct/>
        <w:topLinePunct w:val="0"/>
        <w:autoSpaceDE/>
        <w:autoSpaceDN/>
        <w:bidi w:val="0"/>
        <w:adjustRightInd/>
        <w:spacing w:before="0" w:after="0" w:line="56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一、起草背景</w:t>
      </w:r>
    </w:p>
    <w:p>
      <w:pPr>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为加快打造大湾区时代温州高质量发展的产城融合标杆新区和国家级海洋经济发展示范区，</w:t>
      </w:r>
      <w:r>
        <w:rPr>
          <w:rFonts w:hint="eastAsia" w:ascii="仿宋_GB2312" w:hAnsi="仿宋_GB2312" w:eastAsia="仿宋_GB2312" w:cs="仿宋_GB2312"/>
          <w:sz w:val="32"/>
          <w:szCs w:val="32"/>
        </w:rPr>
        <w:t>助推</w:t>
      </w:r>
      <w:r>
        <w:rPr>
          <w:rFonts w:hint="eastAsia" w:ascii="仿宋_GB2312" w:hAnsi="仿宋_GB2312" w:eastAsia="仿宋_GB2312" w:cs="仿宋_GB2312"/>
          <w:sz w:val="32"/>
          <w:szCs w:val="32"/>
          <w:lang w:eastAsia="zh-CN"/>
        </w:rPr>
        <w:t>温州“五城五高地”建设，温州瓯江口产业集聚区管委会</w:t>
      </w:r>
      <w:r>
        <w:rPr>
          <w:rFonts w:hint="eastAsia" w:ascii="仿宋_GB2312" w:hAnsi="仿宋_GB2312" w:eastAsia="仿宋_GB2312" w:cs="仿宋_GB2312"/>
          <w:sz w:val="32"/>
          <w:szCs w:val="32"/>
        </w:rPr>
        <w:t>牵头启动编制了</w:t>
      </w:r>
      <w:r>
        <w:rPr>
          <w:rFonts w:hint="eastAsia" w:ascii="仿宋_GB2312" w:hAnsi="仿宋_GB2312" w:eastAsia="仿宋_GB2312" w:cs="仿宋_GB2312"/>
          <w:sz w:val="32"/>
          <w:szCs w:val="32"/>
          <w:lang w:val="en-US" w:eastAsia="zh-CN"/>
        </w:rPr>
        <w:t>瓯江口产业集聚区发展“十四五”规划。</w:t>
      </w:r>
      <w:r>
        <w:rPr>
          <w:rFonts w:hint="eastAsia" w:ascii="仿宋_GB2312" w:hAnsi="仿宋_GB2312" w:eastAsia="仿宋_GB2312" w:cs="仿宋_GB2312"/>
          <w:color w:val="000000"/>
          <w:sz w:val="32"/>
          <w:szCs w:val="32"/>
          <w:lang w:eastAsia="zh-CN"/>
        </w:rPr>
        <w:t>规划</w:t>
      </w:r>
      <w:r>
        <w:rPr>
          <w:rFonts w:hint="eastAsia" w:ascii="仿宋_GB2312" w:hAnsi="仿宋_GB2312" w:eastAsia="仿宋_GB2312" w:cs="仿宋_GB2312"/>
          <w:color w:val="000000"/>
          <w:sz w:val="32"/>
          <w:szCs w:val="32"/>
        </w:rPr>
        <w:t>以全面调研为基础，协同专业机构全方位、多维度、系统性研究分析了</w:t>
      </w:r>
      <w:r>
        <w:rPr>
          <w:rFonts w:hint="eastAsia" w:ascii="仿宋_GB2312" w:hAnsi="仿宋_GB2312" w:eastAsia="仿宋_GB2312" w:cs="仿宋_GB2312"/>
          <w:color w:val="000000"/>
          <w:sz w:val="32"/>
          <w:szCs w:val="32"/>
          <w:lang w:eastAsia="zh-CN"/>
        </w:rPr>
        <w:t>集聚区发展</w:t>
      </w:r>
      <w:r>
        <w:rPr>
          <w:rFonts w:hint="eastAsia" w:ascii="仿宋_GB2312" w:hAnsi="仿宋_GB2312" w:eastAsia="仿宋_GB2312" w:cs="仿宋_GB2312"/>
          <w:color w:val="000000"/>
          <w:sz w:val="32"/>
          <w:szCs w:val="32"/>
        </w:rPr>
        <w:t>的现实基础和面临的新形势、新问题，深入谋划提出了</w:t>
      </w:r>
      <w:r>
        <w:rPr>
          <w:rFonts w:hint="eastAsia" w:ascii="仿宋_GB2312" w:hAnsi="仿宋_GB2312" w:eastAsia="仿宋_GB2312" w:cs="仿宋_GB2312"/>
          <w:color w:val="000000"/>
          <w:sz w:val="32"/>
          <w:szCs w:val="32"/>
          <w:lang w:eastAsia="zh-CN"/>
        </w:rPr>
        <w:t>“十四五”时期的</w:t>
      </w:r>
      <w:r>
        <w:rPr>
          <w:rFonts w:hint="eastAsia" w:ascii="仿宋_GB2312" w:hAnsi="仿宋_GB2312" w:eastAsia="仿宋_GB2312" w:cs="仿宋_GB2312"/>
          <w:color w:val="000000"/>
          <w:sz w:val="32"/>
          <w:szCs w:val="32"/>
        </w:rPr>
        <w:t>发展目标、重点任务和支撑保障，并坚持“开门编规划”的原则，面向社会公众、政府部门开展多轮意见征求和专家论证</w:t>
      </w:r>
      <w:r>
        <w:rPr>
          <w:rFonts w:hint="eastAsia" w:ascii="仿宋_GB2312" w:hAnsi="仿宋_GB2312" w:eastAsia="仿宋_GB2312" w:cs="仿宋_GB2312"/>
          <w:color w:val="000000"/>
          <w:sz w:val="32"/>
          <w:szCs w:val="32"/>
          <w:lang w:eastAsia="zh-CN"/>
        </w:rPr>
        <w:t>。</w:t>
      </w:r>
    </w:p>
    <w:p>
      <w:pPr>
        <w:pStyle w:val="5"/>
        <w:pageBreakBefore w:val="0"/>
        <w:widowControl w:val="0"/>
        <w:kinsoku/>
        <w:wordWrap/>
        <w:overflowPunct/>
        <w:topLinePunct w:val="0"/>
        <w:autoSpaceDE/>
        <w:autoSpaceDN/>
        <w:bidi w:val="0"/>
        <w:adjustRightInd/>
        <w:spacing w:before="0" w:after="0" w:line="56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lang w:val="en-US" w:eastAsia="zh-CN"/>
        </w:rPr>
        <w:t>《温州瓯江口产业集聚区发展“十四五”规划</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2"/>
          <w:sz w:val="32"/>
          <w:szCs w:val="32"/>
          <w:lang w:val="en-US" w:eastAsia="zh-CN" w:bidi="ar-SA"/>
        </w:rPr>
        <w:t>聚焦瓯江口产业集聚区作为温州从“瓯江时代”迈向“东海时代”的战略性平台功能，立足温州海洋经济发展示范区的高质量发展，大力谱写“湾区智创城、海上新温州”的新篇章，努力成为温州城市向东发展的重要增长极，争创全省一流的湾区经济大平台，建成宜业宜居的温州现代化新城区。</w:t>
      </w:r>
    </w:p>
    <w:p>
      <w:pPr>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1.规划框架。</w:t>
      </w:r>
      <w:r>
        <w:rPr>
          <w:rFonts w:hint="eastAsia" w:ascii="仿宋_GB2312" w:hAnsi="仿宋_GB2312" w:eastAsia="仿宋_GB2312" w:cs="仿宋_GB2312"/>
          <w:color w:val="000000"/>
          <w:kern w:val="2"/>
          <w:sz w:val="32"/>
          <w:szCs w:val="32"/>
          <w:lang w:val="en-US" w:eastAsia="zh-CN" w:bidi="ar-SA"/>
        </w:rPr>
        <w:t>本次规划范围以瓯江口浅滩一期、浅滩二期、灵昆片区为主体，总面积约66平方公里。</w:t>
      </w:r>
      <w:r>
        <w:rPr>
          <w:rFonts w:hint="eastAsia" w:ascii="仿宋_GB2312" w:hAnsi="仿宋_GB2312" w:eastAsia="仿宋_GB2312" w:cs="仿宋_GB2312"/>
          <w:sz w:val="32"/>
          <w:szCs w:val="32"/>
          <w:lang w:val="en-US" w:eastAsia="zh-CN"/>
        </w:rPr>
        <w:t>整个规划分为发展环境篇、总体思路篇、主要任务篇、走在前列篇、实施保障篇五大篇章，主要明确“十四五”瓯江口产业集聚区的目标定位、指标体系、主要任务、保障措施、六重清单等，并提出了到2035年的远景目标。</w:t>
      </w:r>
    </w:p>
    <w:p>
      <w:pPr>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.总体目标。</w:t>
      </w:r>
      <w:r>
        <w:rPr>
          <w:rFonts w:hint="eastAsia" w:ascii="仿宋_GB2312" w:hAnsi="仿宋_GB2312" w:eastAsia="仿宋_GB2312" w:cs="仿宋_GB2312"/>
          <w:color w:val="000000"/>
          <w:kern w:val="2"/>
          <w:sz w:val="32"/>
          <w:szCs w:val="32"/>
          <w:lang w:val="en-US" w:eastAsia="zh-CN" w:bidi="ar-SA"/>
        </w:rPr>
        <w:t>到2025年，主要经济指标实现较“十三五”期末翻两番乃至翻三番，其中规上工业总产值达到250亿元，财政总收入达到58亿元，进出口额达到240亿元（其中温州综保区突破200亿元），战略性新兴产业增加值占规上工业增加值比重达到60%，数字经济核心制造业增加值占规上工业增加值比重达到30%，五年固定资产总投资达到2000亿元。</w:t>
      </w:r>
      <w:bookmarkStart w:id="0" w:name="_Toc67390023"/>
      <w:r>
        <w:rPr>
          <w:rFonts w:hint="eastAsia" w:ascii="仿宋_GB2312" w:hAnsi="仿宋_GB2312" w:eastAsia="仿宋_GB2312" w:cs="仿宋_GB2312"/>
          <w:color w:val="000000"/>
          <w:kern w:val="2"/>
          <w:sz w:val="32"/>
          <w:szCs w:val="32"/>
          <w:lang w:val="en-US" w:eastAsia="zh-CN" w:bidi="ar-SA"/>
        </w:rPr>
        <w:t>实现招引世界500强、国内500强、民营企业500强和行业领军企业15家，上市公司力争新增10家以上。</w:t>
      </w:r>
    </w:p>
    <w:p>
      <w:pPr>
        <w:pageBreakBefore w:val="0"/>
        <w:widowControl w:val="0"/>
        <w:kinsoku/>
        <w:wordWrap/>
        <w:overflowPunct/>
        <w:topLinePunct w:val="0"/>
        <w:autoSpaceDE/>
        <w:autoSpaceDN/>
        <w:bidi w:val="0"/>
        <w:adjustRightInd/>
        <w:spacing w:line="560" w:lineRule="exact"/>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bidi="ar"/>
        </w:rPr>
        <w:t>3</w:t>
      </w:r>
      <w:r>
        <w:rPr>
          <w:rFonts w:hint="eastAsia" w:ascii="仿宋_GB2312" w:hAnsi="仿宋_GB2312" w:eastAsia="仿宋_GB2312" w:cs="仿宋_GB2312"/>
          <w:b/>
          <w:bCs/>
          <w:sz w:val="32"/>
          <w:szCs w:val="32"/>
          <w:lang w:bidi="ar"/>
        </w:rPr>
        <w:t>.主要任务</w:t>
      </w: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color w:val="000000"/>
          <w:kern w:val="2"/>
          <w:sz w:val="32"/>
          <w:szCs w:val="32"/>
          <w:lang w:val="en-US" w:eastAsia="zh-CN" w:bidi="ar-SA"/>
        </w:rPr>
        <w:t>主要包括七方面：</w:t>
      </w:r>
      <w:bookmarkEnd w:id="0"/>
      <w:r>
        <w:rPr>
          <w:rFonts w:hint="eastAsia" w:ascii="仿宋_GB2312" w:hAnsi="仿宋_GB2312" w:eastAsia="仿宋_GB2312" w:cs="仿宋_GB2312"/>
          <w:color w:val="000000"/>
          <w:kern w:val="2"/>
          <w:sz w:val="32"/>
          <w:szCs w:val="32"/>
          <w:lang w:val="en-US" w:eastAsia="zh-CN" w:bidi="ar-SA"/>
        </w:rPr>
        <w:t>一是全力打造温州都市区东拓主平</w:t>
      </w:r>
      <w:r>
        <w:rPr>
          <w:rFonts w:hint="eastAsia" w:ascii="仿宋_GB2312" w:hAnsi="仿宋_GB2312" w:eastAsia="仿宋_GB2312" w:cs="仿宋_GB2312"/>
          <w:kern w:val="2"/>
          <w:sz w:val="32"/>
          <w:szCs w:val="32"/>
          <w:lang w:val="en-US" w:eastAsia="zh-CN" w:bidi="ar-SA"/>
        </w:rPr>
        <w:t>台，加快瓯洞一体化进程。二是坚持创新驱动战略，打造温州自创区标杆区。三是力促高能级产业平台落地，培育温州新兴产业发展主阵地。四是发挥国家级对外开放平台叠加效应，打造浙南对外开放桥头堡。五是以人民为中心，打造共建共享智治幸福岛。六是聚焦数字化改革，打造一流营商环境示范区。以温州国家海洋经济发展示范区为龙头，围绕区域发展、创新发展、开放发展，全力推进温州国家自创区、温州跨境电商综试区、浙江自贸区温州联动创新区、中国（温州）华商华侨综合发展先行区、温州综保区和国家应急安全产业示范基地国家等重大战略在瓯江口的布局，确保先行示范走在全市前列。</w:t>
      </w:r>
    </w:p>
    <w:p>
      <w:pPr>
        <w:pageBreakBefore w:val="0"/>
        <w:widowControl w:val="0"/>
        <w:kinsoku/>
        <w:wordWrap/>
        <w:overflowPunct/>
        <w:topLinePunct w:val="0"/>
        <w:autoSpaceDE/>
        <w:autoSpaceDN/>
        <w:bidi w:val="0"/>
        <w:adjustRightIn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bidi="ar"/>
        </w:rPr>
        <w:t>4</w:t>
      </w:r>
      <w:r>
        <w:rPr>
          <w:rFonts w:hint="eastAsia" w:ascii="仿宋_GB2312" w:hAnsi="仿宋_GB2312" w:eastAsia="仿宋_GB2312" w:cs="仿宋_GB2312"/>
          <w:b/>
          <w:bCs/>
          <w:sz w:val="32"/>
          <w:szCs w:val="32"/>
          <w:lang w:bidi="ar"/>
        </w:rPr>
        <w:t>.项目安排</w:t>
      </w:r>
      <w:r>
        <w:rPr>
          <w:rFonts w:hint="eastAsia" w:ascii="仿宋_GB2312" w:hAnsi="仿宋_GB2312" w:eastAsia="仿宋_GB2312" w:cs="仿宋_GB2312"/>
          <w:sz w:val="32"/>
          <w:szCs w:val="32"/>
        </w:rPr>
        <w:t>。计划</w:t>
      </w:r>
      <w:r>
        <w:rPr>
          <w:rFonts w:hint="eastAsia" w:ascii="仿宋_GB2312" w:hAnsi="仿宋_GB2312" w:eastAsia="仿宋_GB2312" w:cs="仿宋_GB2312"/>
          <w:kern w:val="2"/>
          <w:sz w:val="32"/>
          <w:szCs w:val="32"/>
          <w:lang w:val="en-US" w:eastAsia="zh-CN" w:bidi="ar-SA"/>
        </w:rPr>
        <w:t>实施基础设施、产业发展、公共服务、生态保护、房地产五大类201个重大项目，总投资约2390亿</w:t>
      </w:r>
      <w:r>
        <w:rPr>
          <w:rFonts w:hint="eastAsia" w:ascii="仿宋_GB2312" w:hAnsi="仿宋_GB2312" w:eastAsia="仿宋_GB2312" w:cs="仿宋_GB2312"/>
          <w:kern w:val="0"/>
          <w:sz w:val="32"/>
          <w:szCs w:val="32"/>
        </w:rPr>
        <w:t>元，</w:t>
      </w:r>
      <w:r>
        <w:rPr>
          <w:rFonts w:hint="eastAsia" w:ascii="仿宋_GB2312" w:hAnsi="仿宋_GB2312" w:eastAsia="仿宋_GB2312" w:cs="仿宋_GB2312"/>
          <w:sz w:val="32"/>
          <w:szCs w:val="32"/>
        </w:rPr>
        <w:t>“十四五”期间</w:t>
      </w:r>
      <w:r>
        <w:rPr>
          <w:rFonts w:hint="eastAsia" w:ascii="仿宋_GB2312" w:hAnsi="仿宋_GB2312" w:eastAsia="仿宋_GB2312" w:cs="仿宋_GB2312"/>
          <w:kern w:val="0"/>
          <w:sz w:val="32"/>
          <w:szCs w:val="32"/>
        </w:rPr>
        <w:t>计划完成投资约</w:t>
      </w:r>
      <w:r>
        <w:rPr>
          <w:rFonts w:hint="eastAsia" w:ascii="仿宋_GB2312" w:hAnsi="仿宋_GB2312" w:eastAsia="仿宋_GB2312" w:cs="仿宋_GB2312"/>
          <w:kern w:val="0"/>
          <w:sz w:val="32"/>
          <w:szCs w:val="32"/>
          <w:lang w:val="en-US" w:eastAsia="zh-CN"/>
        </w:rPr>
        <w:t>1633</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kern w:val="2"/>
          <w:sz w:val="32"/>
          <w:szCs w:val="32"/>
          <w:lang w:val="en-US" w:eastAsia="zh-CN" w:bidi="ar-SA"/>
        </w:rPr>
        <w:t>十大（类）“百亿”工程全面推进。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00"/>
    <w:family w:val="moder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D6D99"/>
    <w:rsid w:val="01906166"/>
    <w:rsid w:val="07296186"/>
    <w:rsid w:val="07BB3DE5"/>
    <w:rsid w:val="0C6239EA"/>
    <w:rsid w:val="1D2D6D99"/>
    <w:rsid w:val="403E3D58"/>
    <w:rsid w:val="4231614F"/>
    <w:rsid w:val="42D26993"/>
    <w:rsid w:val="42DB125C"/>
    <w:rsid w:val="4F0B0B12"/>
    <w:rsid w:val="5CE8B7D1"/>
    <w:rsid w:val="5E0B0EB3"/>
    <w:rsid w:val="79190837"/>
    <w:rsid w:val="7E0931AD"/>
    <w:rsid w:val="7E1A8E09"/>
    <w:rsid w:val="7FF79137"/>
    <w:rsid w:val="F51C5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5">
    <w:name w:val="heading 1"/>
    <w:basedOn w:val="1"/>
    <w:next w:val="1"/>
    <w:qFormat/>
    <w:uiPriority w:val="0"/>
    <w:pPr>
      <w:keepNext/>
      <w:keepLines/>
      <w:spacing w:before="100" w:beforeLines="0" w:beforeAutospacing="0" w:after="90" w:afterLines="0" w:afterAutospacing="0" w:line="576" w:lineRule="auto"/>
      <w:outlineLvl w:val="0"/>
    </w:pPr>
    <w:rPr>
      <w:rFonts w:eastAsia="仿宋_GB2312"/>
      <w:b/>
      <w:kern w:val="44"/>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spacing w:after="0" w:afterLines="0" w:line="500" w:lineRule="exact"/>
      <w:ind w:firstLine="420"/>
    </w:pPr>
    <w:rPr>
      <w:sz w:val="28"/>
    </w:rPr>
  </w:style>
  <w:style w:type="paragraph" w:styleId="3">
    <w:name w:val="Body Text"/>
    <w:basedOn w:val="1"/>
    <w:next w:val="4"/>
    <w:qFormat/>
    <w:uiPriority w:val="99"/>
    <w:pPr>
      <w:jc w:val="center"/>
    </w:pPr>
    <w:rPr>
      <w:rFonts w:eastAsia="文星简小标宋"/>
      <w:sz w:val="44"/>
      <w:szCs w:val="44"/>
    </w:rPr>
  </w:style>
  <w:style w:type="paragraph" w:customStyle="1" w:styleId="4">
    <w:name w:val="正文文本首行缩进1"/>
    <w:basedOn w:val="3"/>
    <w:qFormat/>
    <w:uiPriority w:val="0"/>
    <w:pPr>
      <w:spacing w:after="0" w:afterLines="0" w:line="500" w:lineRule="exact"/>
      <w:ind w:firstLine="420"/>
    </w:pPr>
    <w:rPr>
      <w:rFonts w:cs="Times New Roman"/>
      <w:sz w:val="28"/>
    </w:rPr>
  </w:style>
  <w:style w:type="paragraph" w:styleId="6">
    <w:name w:val="Normal Indent"/>
    <w:basedOn w:val="1"/>
    <w:qFormat/>
    <w:uiPriority w:val="0"/>
    <w:pPr>
      <w:widowControl w:val="0"/>
      <w:spacing w:line="240" w:lineRule="atLeast"/>
      <w:ind w:firstLine="420" w:firstLineChars="200"/>
      <w:jc w:val="both"/>
    </w:pPr>
    <w:rPr>
      <w:rFonts w:ascii="Calibri" w:hAnsi="Calibri" w:eastAsia="宋体" w:cs="Times New Roman"/>
      <w:spacing w:val="-6"/>
      <w:kern w:val="2"/>
      <w:sz w:val="21"/>
      <w:szCs w:val="24"/>
      <w:lang w:val="en-US" w:eastAsia="zh-CN" w:bidi="ar-SA"/>
    </w:rPr>
  </w:style>
  <w:style w:type="paragraph" w:styleId="7">
    <w:name w:val="Body Text Indent"/>
    <w:basedOn w:val="1"/>
    <w:next w:val="6"/>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semiHidden/>
    <w:qFormat/>
    <w:uiPriority w:val="99"/>
    <w:pPr>
      <w:spacing w:line="480" w:lineRule="auto"/>
    </w:pPr>
  </w:style>
  <w:style w:type="paragraph" w:styleId="11">
    <w:name w:val="Body Text First Indent"/>
    <w:basedOn w:val="3"/>
    <w:next w:val="1"/>
    <w:qFormat/>
    <w:uiPriority w:val="99"/>
    <w:pPr>
      <w:spacing w:line="500" w:lineRule="exact"/>
      <w:ind w:firstLine="420"/>
    </w:pPr>
    <w:rPr>
      <w:rFonts w:eastAsia="宋体"/>
      <w:sz w:val="28"/>
      <w:szCs w:val="28"/>
    </w:rPr>
  </w:style>
  <w:style w:type="paragraph" w:styleId="12">
    <w:name w:val="Body Text First Indent 2"/>
    <w:basedOn w:val="7"/>
    <w:next w:val="10"/>
    <w:qFormat/>
    <w:uiPriority w:val="99"/>
    <w:pPr>
      <w:tabs>
        <w:tab w:val="left" w:pos="0"/>
        <w:tab w:val="left" w:pos="360"/>
        <w:tab w:val="left" w:pos="1080"/>
        <w:tab w:val="left" w:pos="1800"/>
        <w:tab w:val="left" w:pos="2520"/>
        <w:tab w:val="left" w:pos="3240"/>
        <w:tab w:val="left" w:pos="3960"/>
        <w:tab w:val="left" w:pos="4680"/>
      </w:tabs>
      <w:autoSpaceDE w:val="0"/>
      <w:autoSpaceDN w:val="0"/>
      <w:adjustRightInd w:val="0"/>
      <w:ind w:right="-53" w:firstLine="420"/>
    </w:pPr>
    <w:rPr>
      <w:rFonts w:ascii="仿宋_GB2312" w:cs="仿宋_GB2312"/>
      <w:b/>
      <w:b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2021-09-30T23:11:00Z</dcterms:created>
  <dc:creator>春笛</dc:creator>
  <cp:lastModifiedBy>greatwall</cp:lastModifiedBy>
  <dcterms:modified xsi:type="dcterms:W3CDTF">2021-12-24T14:39:53Z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