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79" w:rsidRDefault="00750079" w:rsidP="00750079">
      <w:pPr>
        <w:spacing w:line="640" w:lineRule="exact"/>
        <w:rPr>
          <w:rFonts w:ascii="黑体" w:eastAsia="黑体" w:hAnsi="黑体" w:cs="黑体" w:hint="eastAsia"/>
          <w:sz w:val="32"/>
          <w:szCs w:val="32"/>
        </w:rPr>
      </w:pPr>
      <w:r>
        <w:rPr>
          <w:rFonts w:ascii="黑体" w:eastAsia="黑体" w:hAnsi="黑体" w:cs="黑体" w:hint="eastAsia"/>
          <w:sz w:val="32"/>
          <w:szCs w:val="32"/>
        </w:rPr>
        <w:t>附件</w:t>
      </w:r>
    </w:p>
    <w:p w:rsidR="00750079" w:rsidRDefault="00750079" w:rsidP="00750079">
      <w:pPr>
        <w:spacing w:line="64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绍兴市农业农村局等4</w:t>
      </w:r>
      <w:r>
        <w:rPr>
          <w:rFonts w:ascii="方正小标宋简体" w:eastAsia="方正小标宋简体" w:hAnsi="宋体"/>
          <w:sz w:val="44"/>
          <w:szCs w:val="44"/>
        </w:rPr>
        <w:t>部门</w:t>
      </w:r>
      <w:r>
        <w:rPr>
          <w:rFonts w:ascii="方正小标宋简体" w:eastAsia="方正小标宋简体" w:hAnsi="宋体" w:hint="eastAsia"/>
          <w:sz w:val="44"/>
          <w:szCs w:val="44"/>
        </w:rPr>
        <w:t>关于</w:t>
      </w:r>
    </w:p>
    <w:p w:rsidR="00750079" w:rsidRDefault="00750079" w:rsidP="00750079">
      <w:pPr>
        <w:spacing w:line="64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切实抓好</w:t>
      </w:r>
      <w:r>
        <w:rPr>
          <w:rFonts w:ascii="方正小标宋简体" w:eastAsia="方正小标宋简体" w:hAnsi="宋体"/>
          <w:sz w:val="44"/>
          <w:szCs w:val="44"/>
        </w:rPr>
        <w:t>2021年粮油生产保供工作的通知</w:t>
      </w:r>
    </w:p>
    <w:p w:rsidR="00750079" w:rsidRDefault="00750079" w:rsidP="00750079">
      <w:pPr>
        <w:spacing w:line="640" w:lineRule="exact"/>
        <w:jc w:val="center"/>
        <w:rPr>
          <w:rFonts w:ascii="仿宋_GB2312" w:eastAsia="仿宋_GB2312" w:hAnsi="宋体" w:hint="eastAsia"/>
          <w:sz w:val="32"/>
          <w:szCs w:val="32"/>
        </w:rPr>
      </w:pPr>
      <w:r>
        <w:rPr>
          <w:rFonts w:ascii="仿宋_GB2312" w:eastAsia="仿宋_GB2312" w:hAnsi="宋体" w:hint="eastAsia"/>
          <w:sz w:val="32"/>
          <w:szCs w:val="32"/>
        </w:rPr>
        <w:t>（征求意见稿）</w:t>
      </w:r>
    </w:p>
    <w:p w:rsidR="00750079" w:rsidRDefault="00750079" w:rsidP="00750079">
      <w:pPr>
        <w:spacing w:line="640" w:lineRule="exact"/>
        <w:rPr>
          <w:rFonts w:ascii="仿宋_GB2312" w:eastAsia="仿宋_GB2312" w:hint="eastAsia"/>
          <w:sz w:val="32"/>
          <w:szCs w:val="32"/>
        </w:rPr>
      </w:pPr>
    </w:p>
    <w:p w:rsidR="00750079" w:rsidRDefault="00750079" w:rsidP="00750079">
      <w:pPr>
        <w:spacing w:line="640" w:lineRule="exact"/>
        <w:rPr>
          <w:rFonts w:ascii="仿宋_GB2312" w:eastAsia="仿宋_GB2312"/>
          <w:sz w:val="32"/>
          <w:szCs w:val="32"/>
        </w:rPr>
      </w:pPr>
      <w:r>
        <w:rPr>
          <w:rFonts w:ascii="仿宋_GB2312" w:eastAsia="仿宋_GB2312" w:hint="eastAsia"/>
          <w:sz w:val="32"/>
          <w:szCs w:val="32"/>
        </w:rPr>
        <w:t>各区、县（市）人民政府，市级有关部门：</w:t>
      </w:r>
    </w:p>
    <w:p w:rsidR="00750079" w:rsidRDefault="00750079" w:rsidP="00750079">
      <w:pPr>
        <w:spacing w:line="640" w:lineRule="exact"/>
        <w:ind w:firstLineChars="200" w:firstLine="640"/>
        <w:rPr>
          <w:rFonts w:eastAsia="仿宋_GB2312"/>
          <w:kern w:val="0"/>
          <w:sz w:val="32"/>
          <w:szCs w:val="32"/>
        </w:rPr>
      </w:pPr>
      <w:r>
        <w:rPr>
          <w:rFonts w:eastAsia="仿宋_GB2312" w:hint="eastAsia"/>
          <w:kern w:val="0"/>
          <w:sz w:val="32"/>
          <w:szCs w:val="32"/>
        </w:rPr>
        <w:t>为稳定发展粮油生产，确保我市粮食安全，根据《浙江省农业农村厅等</w:t>
      </w:r>
      <w:r>
        <w:rPr>
          <w:rFonts w:eastAsia="仿宋_GB2312" w:hint="eastAsia"/>
          <w:kern w:val="0"/>
          <w:sz w:val="32"/>
          <w:szCs w:val="32"/>
        </w:rPr>
        <w:t>5</w:t>
      </w:r>
      <w:r>
        <w:rPr>
          <w:rFonts w:eastAsia="仿宋_GB2312" w:hint="eastAsia"/>
          <w:kern w:val="0"/>
          <w:sz w:val="32"/>
          <w:szCs w:val="32"/>
        </w:rPr>
        <w:t>部门关于切实抓好</w:t>
      </w:r>
      <w:r>
        <w:rPr>
          <w:rFonts w:eastAsia="仿宋_GB2312" w:hint="eastAsia"/>
          <w:kern w:val="0"/>
          <w:sz w:val="32"/>
          <w:szCs w:val="32"/>
        </w:rPr>
        <w:t>2021</w:t>
      </w:r>
      <w:r>
        <w:rPr>
          <w:rFonts w:eastAsia="仿宋_GB2312" w:hint="eastAsia"/>
          <w:kern w:val="0"/>
          <w:sz w:val="32"/>
          <w:szCs w:val="32"/>
        </w:rPr>
        <w:t>年粮油生产保供工作的通知》（</w:t>
      </w:r>
      <w:r>
        <w:rPr>
          <w:rFonts w:ascii="仿宋_GB2312" w:eastAsia="仿宋_GB2312" w:hAnsi="宋体" w:hint="eastAsia"/>
          <w:sz w:val="32"/>
          <w:szCs w:val="32"/>
        </w:rPr>
        <w:t>浙农专发〔</w:t>
      </w:r>
      <w:r>
        <w:rPr>
          <w:rFonts w:ascii="仿宋_GB2312" w:eastAsia="仿宋_GB2312" w:hAnsi="宋体"/>
          <w:sz w:val="32"/>
          <w:szCs w:val="32"/>
        </w:rPr>
        <w:t>20</w:t>
      </w:r>
      <w:r>
        <w:rPr>
          <w:rFonts w:ascii="仿宋_GB2312" w:eastAsia="仿宋_GB2312" w:hAnsi="宋体" w:hint="eastAsia"/>
          <w:sz w:val="32"/>
          <w:szCs w:val="32"/>
        </w:rPr>
        <w:t>20</w:t>
      </w:r>
      <w:r>
        <w:rPr>
          <w:rFonts w:ascii="仿宋_GB2312" w:eastAsia="仿宋_GB2312" w:hAnsi="宋体"/>
          <w:sz w:val="32"/>
          <w:szCs w:val="32"/>
        </w:rPr>
        <w:t>〕</w:t>
      </w:r>
      <w:r>
        <w:rPr>
          <w:rFonts w:ascii="仿宋_GB2312" w:eastAsia="仿宋_GB2312" w:hAnsi="宋体" w:hint="eastAsia"/>
          <w:sz w:val="32"/>
          <w:szCs w:val="32"/>
        </w:rPr>
        <w:t>49</w:t>
      </w:r>
      <w:r>
        <w:rPr>
          <w:rFonts w:ascii="仿宋_GB2312" w:eastAsia="仿宋_GB2312" w:hAnsi="宋体"/>
          <w:sz w:val="32"/>
          <w:szCs w:val="32"/>
        </w:rPr>
        <w:t>号</w:t>
      </w:r>
      <w:r>
        <w:rPr>
          <w:rFonts w:eastAsia="仿宋_GB2312" w:hint="eastAsia"/>
          <w:kern w:val="0"/>
          <w:sz w:val="32"/>
          <w:szCs w:val="32"/>
        </w:rPr>
        <w:t>），经市政府同意，</w:t>
      </w:r>
      <w:r>
        <w:rPr>
          <w:rFonts w:ascii="仿宋_GB2312" w:eastAsia="仿宋_GB2312" w:hint="eastAsia"/>
          <w:kern w:val="0"/>
          <w:sz w:val="32"/>
          <w:szCs w:val="32"/>
        </w:rPr>
        <w:t>现就抓好2021年粮油生产保供工作通知如下</w:t>
      </w:r>
      <w:r>
        <w:rPr>
          <w:rFonts w:eastAsia="仿宋_GB2312" w:hint="eastAsia"/>
          <w:kern w:val="0"/>
          <w:sz w:val="32"/>
          <w:szCs w:val="32"/>
        </w:rPr>
        <w:t>：</w:t>
      </w:r>
    </w:p>
    <w:p w:rsidR="00750079" w:rsidRDefault="00750079" w:rsidP="00750079">
      <w:pPr>
        <w:spacing w:line="640" w:lineRule="exact"/>
        <w:ind w:firstLineChars="200" w:firstLine="640"/>
        <w:rPr>
          <w:rFonts w:eastAsia="黑体"/>
          <w:kern w:val="0"/>
          <w:sz w:val="32"/>
          <w:szCs w:val="32"/>
        </w:rPr>
      </w:pPr>
      <w:r>
        <w:rPr>
          <w:rFonts w:eastAsia="黑体" w:hint="eastAsia"/>
          <w:kern w:val="0"/>
          <w:sz w:val="32"/>
          <w:szCs w:val="32"/>
        </w:rPr>
        <w:t>一、目标体系</w:t>
      </w:r>
    </w:p>
    <w:p w:rsidR="00750079" w:rsidRDefault="00750079" w:rsidP="00750079">
      <w:pPr>
        <w:spacing w:line="640" w:lineRule="exact"/>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（一）落实</w:t>
      </w:r>
      <w:r>
        <w:rPr>
          <w:rFonts w:ascii="仿宋_GB2312" w:eastAsia="仿宋_GB2312" w:cs="宋体"/>
          <w:kern w:val="0"/>
          <w:sz w:val="32"/>
          <w:szCs w:val="32"/>
        </w:rPr>
        <w:t>30.6</w:t>
      </w:r>
      <w:r>
        <w:rPr>
          <w:rFonts w:ascii="仿宋_GB2312" w:eastAsia="仿宋_GB2312" w:cs="宋体" w:hint="eastAsia"/>
          <w:kern w:val="0"/>
          <w:sz w:val="32"/>
          <w:szCs w:val="32"/>
        </w:rPr>
        <w:t>亿斤粮食生产能力，确保粮食播种面积</w:t>
      </w:r>
      <w:r>
        <w:rPr>
          <w:rFonts w:ascii="仿宋_GB2312" w:eastAsia="仿宋_GB2312" w:cs="宋体"/>
          <w:kern w:val="0"/>
          <w:sz w:val="32"/>
          <w:szCs w:val="32"/>
        </w:rPr>
        <w:t>184.4</w:t>
      </w:r>
      <w:r>
        <w:rPr>
          <w:rFonts w:ascii="仿宋_GB2312" w:eastAsia="仿宋_GB2312" w:cs="宋体" w:hint="eastAsia"/>
          <w:kern w:val="0"/>
          <w:sz w:val="32"/>
          <w:szCs w:val="32"/>
        </w:rPr>
        <w:t>万亩、总产量</w:t>
      </w:r>
      <w:r>
        <w:rPr>
          <w:rFonts w:ascii="仿宋_GB2312" w:eastAsia="仿宋_GB2312" w:cs="宋体"/>
          <w:kern w:val="0"/>
          <w:sz w:val="32"/>
          <w:szCs w:val="32"/>
        </w:rPr>
        <w:t>15.69</w:t>
      </w:r>
      <w:r>
        <w:rPr>
          <w:rFonts w:ascii="仿宋_GB2312" w:eastAsia="仿宋_GB2312" w:cs="宋体" w:hint="eastAsia"/>
          <w:kern w:val="0"/>
          <w:sz w:val="32"/>
          <w:szCs w:val="32"/>
        </w:rPr>
        <w:t>亿斤，口粮（稻麦）自给率</w:t>
      </w:r>
      <w:r>
        <w:rPr>
          <w:rFonts w:ascii="仿宋_GB2312" w:eastAsia="仿宋_GB2312" w:cs="宋体"/>
          <w:kern w:val="0"/>
          <w:sz w:val="32"/>
          <w:szCs w:val="32"/>
        </w:rPr>
        <w:t>78.9%</w:t>
      </w:r>
      <w:r>
        <w:rPr>
          <w:rFonts w:ascii="仿宋_GB2312" w:eastAsia="仿宋_GB2312" w:cs="宋体" w:hint="eastAsia"/>
          <w:kern w:val="0"/>
          <w:sz w:val="32"/>
          <w:szCs w:val="32"/>
        </w:rPr>
        <w:t>以上，培育</w:t>
      </w:r>
      <w:r>
        <w:rPr>
          <w:rFonts w:ascii="仿宋_GB2312" w:eastAsia="仿宋_GB2312" w:cs="宋体"/>
          <w:kern w:val="0"/>
          <w:sz w:val="32"/>
          <w:szCs w:val="32"/>
        </w:rPr>
        <w:t>6</w:t>
      </w:r>
      <w:r>
        <w:rPr>
          <w:rFonts w:ascii="仿宋_GB2312" w:eastAsia="仿宋_GB2312" w:cs="宋体" w:hint="eastAsia"/>
          <w:kern w:val="0"/>
          <w:sz w:val="32"/>
          <w:szCs w:val="32"/>
        </w:rPr>
        <w:t>家粮食流通主渠道企业。</w:t>
      </w:r>
    </w:p>
    <w:p w:rsidR="00750079" w:rsidRDefault="00750079" w:rsidP="00750079">
      <w:pPr>
        <w:spacing w:line="640" w:lineRule="exact"/>
        <w:ind w:firstLineChars="200" w:firstLine="640"/>
        <w:rPr>
          <w:rFonts w:ascii="仿宋_GB2312" w:eastAsia="仿宋_GB2312" w:hAnsi="仿宋_GB2312" w:cs="仿宋_GB2312" w:hint="eastAsia"/>
          <w:sz w:val="32"/>
          <w:szCs w:val="32"/>
        </w:rPr>
      </w:pPr>
      <w:r>
        <w:rPr>
          <w:rFonts w:ascii="仿宋_GB2312" w:eastAsia="仿宋_GB2312" w:cs="宋体" w:hint="eastAsia"/>
          <w:kern w:val="0"/>
          <w:sz w:val="32"/>
          <w:szCs w:val="32"/>
        </w:rPr>
        <w:t>（二）主要</w:t>
      </w:r>
      <w:r>
        <w:rPr>
          <w:rFonts w:ascii="仿宋_GB2312" w:eastAsia="仿宋_GB2312" w:hAnsi="仿宋_GB2312" w:cs="仿宋_GB2312" w:hint="eastAsia"/>
          <w:sz w:val="32"/>
          <w:szCs w:val="32"/>
        </w:rPr>
        <w:t>油料播种面积</w:t>
      </w:r>
      <w:r>
        <w:rPr>
          <w:rFonts w:ascii="仿宋_GB2312" w:eastAsia="仿宋_GB2312" w:hAnsi="仿宋_GB2312" w:cs="仿宋_GB2312"/>
          <w:sz w:val="32"/>
          <w:szCs w:val="32"/>
        </w:rPr>
        <w:t>18.72</w:t>
      </w:r>
      <w:r>
        <w:rPr>
          <w:rFonts w:ascii="仿宋_GB2312" w:eastAsia="仿宋_GB2312" w:hAnsi="仿宋_GB2312" w:cs="仿宋_GB2312" w:hint="eastAsia"/>
          <w:sz w:val="32"/>
          <w:szCs w:val="32"/>
        </w:rPr>
        <w:t>万亩，其中油菜</w:t>
      </w:r>
      <w:r>
        <w:rPr>
          <w:rFonts w:ascii="仿宋_GB2312" w:eastAsia="仿宋_GB2312" w:hAnsi="仿宋_GB2312" w:cs="仿宋_GB2312"/>
          <w:sz w:val="32"/>
          <w:szCs w:val="32"/>
        </w:rPr>
        <w:t>15.61</w:t>
      </w:r>
      <w:r>
        <w:rPr>
          <w:rFonts w:ascii="仿宋_GB2312" w:eastAsia="仿宋_GB2312" w:hAnsi="仿宋_GB2312" w:cs="仿宋_GB2312" w:hint="eastAsia"/>
          <w:sz w:val="32"/>
          <w:szCs w:val="32"/>
        </w:rPr>
        <w:t>万亩、油茶</w:t>
      </w:r>
      <w:r>
        <w:rPr>
          <w:rFonts w:ascii="仿宋_GB2312" w:eastAsia="仿宋_GB2312" w:hAnsi="仿宋_GB2312" w:cs="仿宋_GB2312"/>
          <w:sz w:val="32"/>
          <w:szCs w:val="32"/>
        </w:rPr>
        <w:t>3.11</w:t>
      </w:r>
      <w:r>
        <w:rPr>
          <w:rFonts w:ascii="仿宋_GB2312" w:eastAsia="仿宋_GB2312" w:hAnsi="仿宋_GB2312" w:cs="仿宋_GB2312" w:hint="eastAsia"/>
          <w:sz w:val="32"/>
          <w:szCs w:val="32"/>
        </w:rPr>
        <w:t>万亩；总产量</w:t>
      </w:r>
      <w:r>
        <w:rPr>
          <w:rFonts w:ascii="仿宋_GB2312" w:eastAsia="仿宋_GB2312" w:hAnsi="仿宋_GB2312" w:cs="仿宋_GB2312"/>
          <w:sz w:val="32"/>
          <w:szCs w:val="32"/>
        </w:rPr>
        <w:t>239</w:t>
      </w:r>
      <w:r>
        <w:rPr>
          <w:rFonts w:ascii="仿宋_GB2312" w:eastAsia="仿宋_GB2312" w:hAnsi="仿宋_GB2312" w:cs="仿宋_GB2312" w:hint="eastAsia"/>
          <w:sz w:val="32"/>
          <w:szCs w:val="32"/>
        </w:rPr>
        <w:t>40吨，其中油菜籽</w:t>
      </w:r>
      <w:r>
        <w:rPr>
          <w:rFonts w:ascii="仿宋_GB2312" w:eastAsia="仿宋_GB2312" w:hAnsi="仿宋_GB2312" w:cs="仿宋_GB2312"/>
          <w:sz w:val="32"/>
          <w:szCs w:val="32"/>
        </w:rPr>
        <w:t>23200</w:t>
      </w:r>
      <w:r>
        <w:rPr>
          <w:rFonts w:ascii="仿宋_GB2312" w:eastAsia="仿宋_GB2312" w:hAnsi="仿宋_GB2312" w:cs="仿宋_GB2312" w:hint="eastAsia"/>
          <w:sz w:val="32"/>
          <w:szCs w:val="32"/>
        </w:rPr>
        <w:t>吨、油茶籽</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40吨。</w:t>
      </w:r>
    </w:p>
    <w:p w:rsidR="00750079" w:rsidRDefault="00750079" w:rsidP="00750079">
      <w:pPr>
        <w:spacing w:line="640" w:lineRule="exact"/>
        <w:ind w:firstLineChars="200" w:firstLine="640"/>
        <w:rPr>
          <w:rFonts w:ascii="仿宋_GB2312" w:eastAsia="仿宋_GB2312" w:hAnsi="仿宋_GB2312" w:cs="仿宋_GB2312"/>
          <w:sz w:val="32"/>
          <w:szCs w:val="32"/>
        </w:rPr>
      </w:pPr>
      <w:r>
        <w:rPr>
          <w:rFonts w:ascii="仿宋_GB2312" w:eastAsia="仿宋_GB2312" w:cs="宋体" w:hint="eastAsia"/>
          <w:kern w:val="0"/>
          <w:sz w:val="32"/>
          <w:szCs w:val="32"/>
        </w:rPr>
        <w:t>（三）储备粮食</w:t>
      </w:r>
      <w:r>
        <w:rPr>
          <w:rFonts w:ascii="仿宋_GB2312" w:eastAsia="仿宋_GB2312" w:cs="宋体"/>
          <w:kern w:val="0"/>
          <w:sz w:val="32"/>
          <w:szCs w:val="32"/>
        </w:rPr>
        <w:t>8.09</w:t>
      </w:r>
      <w:r>
        <w:rPr>
          <w:rFonts w:ascii="仿宋_GB2312" w:eastAsia="仿宋_GB2312" w:cs="宋体" w:hint="eastAsia"/>
          <w:kern w:val="0"/>
          <w:sz w:val="32"/>
          <w:szCs w:val="32"/>
        </w:rPr>
        <w:t>亿斤、食用油</w:t>
      </w:r>
      <w:r>
        <w:rPr>
          <w:rFonts w:ascii="仿宋_GB2312" w:eastAsia="仿宋_GB2312" w:cs="宋体"/>
          <w:kern w:val="0"/>
          <w:sz w:val="32"/>
          <w:szCs w:val="32"/>
        </w:rPr>
        <w:t>975</w:t>
      </w:r>
      <w:r>
        <w:rPr>
          <w:rFonts w:ascii="仿宋_GB2312" w:eastAsia="仿宋_GB2312" w:cs="宋体" w:hint="eastAsia"/>
          <w:kern w:val="0"/>
          <w:sz w:val="32"/>
          <w:szCs w:val="32"/>
        </w:rPr>
        <w:t>吨、粮食作物种子186万斤、油菜种子</w:t>
      </w:r>
      <w:r>
        <w:rPr>
          <w:rFonts w:ascii="仿宋_GB2312" w:eastAsia="仿宋_GB2312" w:cs="宋体"/>
          <w:kern w:val="0"/>
          <w:sz w:val="32"/>
          <w:szCs w:val="32"/>
        </w:rPr>
        <w:t>0.87</w:t>
      </w:r>
      <w:r>
        <w:rPr>
          <w:rFonts w:ascii="仿宋_GB2312" w:eastAsia="仿宋_GB2312" w:cs="宋体" w:hint="eastAsia"/>
          <w:kern w:val="0"/>
          <w:sz w:val="32"/>
          <w:szCs w:val="32"/>
        </w:rPr>
        <w:t>万斤、农药</w:t>
      </w:r>
      <w:r>
        <w:rPr>
          <w:rFonts w:ascii="仿宋_GB2312" w:eastAsia="仿宋_GB2312" w:cs="宋体"/>
          <w:kern w:val="0"/>
          <w:sz w:val="32"/>
          <w:szCs w:val="32"/>
        </w:rPr>
        <w:t>49</w:t>
      </w:r>
      <w:r>
        <w:rPr>
          <w:rFonts w:ascii="仿宋_GB2312" w:eastAsia="仿宋_GB2312" w:cs="宋体" w:hint="eastAsia"/>
          <w:kern w:val="0"/>
          <w:sz w:val="32"/>
          <w:szCs w:val="32"/>
        </w:rPr>
        <w:t>吨、化肥</w:t>
      </w:r>
      <w:r>
        <w:rPr>
          <w:rFonts w:ascii="仿宋_GB2312" w:eastAsia="仿宋_GB2312" w:cs="宋体"/>
          <w:kern w:val="0"/>
          <w:sz w:val="32"/>
          <w:szCs w:val="32"/>
        </w:rPr>
        <w:t>12000</w:t>
      </w:r>
      <w:r>
        <w:rPr>
          <w:rFonts w:ascii="仿宋_GB2312" w:eastAsia="仿宋_GB2312" w:cs="宋体" w:hint="eastAsia"/>
          <w:kern w:val="0"/>
          <w:sz w:val="32"/>
          <w:szCs w:val="32"/>
        </w:rPr>
        <w:t>吨。</w:t>
      </w:r>
    </w:p>
    <w:p w:rsidR="00750079" w:rsidRDefault="00750079" w:rsidP="00750079">
      <w:pPr>
        <w:spacing w:line="640" w:lineRule="exact"/>
        <w:ind w:firstLineChars="200" w:firstLine="640"/>
        <w:rPr>
          <w:rFonts w:eastAsia="黑体"/>
          <w:kern w:val="0"/>
          <w:sz w:val="32"/>
          <w:szCs w:val="32"/>
        </w:rPr>
      </w:pPr>
      <w:r>
        <w:rPr>
          <w:rFonts w:eastAsia="黑体" w:hint="eastAsia"/>
          <w:kern w:val="0"/>
          <w:sz w:val="32"/>
          <w:szCs w:val="32"/>
        </w:rPr>
        <w:t>二、工作体系</w:t>
      </w:r>
    </w:p>
    <w:p w:rsidR="00750079" w:rsidRDefault="00750079" w:rsidP="00750079">
      <w:pPr>
        <w:spacing w:line="640" w:lineRule="exact"/>
        <w:ind w:firstLineChars="200" w:firstLine="640"/>
        <w:rPr>
          <w:rFonts w:ascii="仿宋_GB2312" w:eastAsia="仿宋_GB2312" w:hAnsi="仿宋_GB2312" w:cs="仿宋_GB2312" w:hint="eastAsia"/>
          <w:sz w:val="32"/>
          <w:szCs w:val="32"/>
        </w:rPr>
      </w:pPr>
      <w:r>
        <w:rPr>
          <w:rFonts w:ascii="楷体_GB2312" w:eastAsia="楷体_GB2312" w:hAnsi="Calibri" w:hint="eastAsia"/>
          <w:kern w:val="0"/>
          <w:sz w:val="32"/>
          <w:szCs w:val="32"/>
        </w:rPr>
        <w:lastRenderedPageBreak/>
        <w:t>（一）加强生产能力建设。</w:t>
      </w:r>
      <w:r>
        <w:rPr>
          <w:rFonts w:ascii="仿宋_GB2312" w:eastAsia="仿宋_GB2312" w:hint="eastAsia"/>
          <w:kern w:val="0"/>
          <w:sz w:val="32"/>
          <w:szCs w:val="32"/>
        </w:rPr>
        <w:t>落实最严格的耕地保护制度，组织开展“六个严禁”自查自纠，遏制增量、处置存量，坚决制止耕地“非农化”行为。</w:t>
      </w:r>
      <w:r>
        <w:rPr>
          <w:rFonts w:ascii="仿宋_GB2312" w:eastAsia="仿宋_GB2312" w:hAnsi="仿宋_GB2312" w:cs="仿宋_GB2312" w:hint="eastAsia"/>
          <w:sz w:val="32"/>
          <w:szCs w:val="32"/>
        </w:rPr>
        <w:t>完成年度高标准农田建设和提标改造任务</w:t>
      </w:r>
      <w:r>
        <w:rPr>
          <w:rFonts w:ascii="仿宋_GB2312" w:eastAsia="仿宋_GB2312" w:hint="eastAsia"/>
          <w:kern w:val="0"/>
          <w:sz w:val="32"/>
          <w:szCs w:val="32"/>
        </w:rPr>
        <w:t>，</w:t>
      </w:r>
      <w:r>
        <w:rPr>
          <w:rFonts w:ascii="仿宋_GB2312" w:eastAsia="仿宋_GB2312" w:hint="eastAsia"/>
          <w:sz w:val="32"/>
          <w:szCs w:val="32"/>
        </w:rPr>
        <w:t>加强田间沟路渠配套，</w:t>
      </w:r>
      <w:r>
        <w:rPr>
          <w:rFonts w:ascii="仿宋_GB2312" w:eastAsia="仿宋_GB2312" w:hint="eastAsia"/>
          <w:kern w:val="0"/>
          <w:sz w:val="32"/>
          <w:szCs w:val="32"/>
        </w:rPr>
        <w:t>不断</w:t>
      </w:r>
      <w:r>
        <w:rPr>
          <w:rFonts w:ascii="仿宋_GB2312" w:eastAsia="仿宋_GB2312" w:hint="eastAsia"/>
          <w:sz w:val="32"/>
          <w:szCs w:val="32"/>
        </w:rPr>
        <w:t>提升耕地地力</w:t>
      </w:r>
      <w:r>
        <w:rPr>
          <w:rFonts w:ascii="仿宋_GB2312" w:eastAsia="仿宋_GB2312" w:hint="eastAsia"/>
          <w:kern w:val="0"/>
          <w:sz w:val="32"/>
          <w:szCs w:val="32"/>
        </w:rPr>
        <w:t>。加强粮食生产功能区的管护利用，全面开展粮食生产功能区“非粮化”清理腾退和调整修编，粮食复种指数稳定在130%以上。严格控制耕地抛荒，</w:t>
      </w:r>
      <w:r>
        <w:rPr>
          <w:rFonts w:ascii="仿宋_GB2312" w:eastAsia="仿宋_GB2312" w:hAnsi="仿宋_GB2312" w:cs="仿宋_GB2312" w:hint="eastAsia"/>
          <w:sz w:val="32"/>
          <w:szCs w:val="32"/>
        </w:rPr>
        <w:t>探索建立耕地抛荒负面清单制度，推进抛荒耕地流转，推动乡镇政府、村集体经济组织统一组织耕种，引导社会化服务组织、大户等开展代耕代种服务。</w:t>
      </w:r>
    </w:p>
    <w:p w:rsidR="00750079" w:rsidRDefault="00750079" w:rsidP="00750079">
      <w:pPr>
        <w:spacing w:line="640" w:lineRule="exact"/>
        <w:ind w:firstLineChars="200" w:firstLine="640"/>
        <w:rPr>
          <w:rFonts w:ascii="仿宋_GB2312" w:eastAsia="仿宋_GB2312" w:hint="eastAsia"/>
          <w:kern w:val="0"/>
          <w:sz w:val="32"/>
          <w:szCs w:val="32"/>
        </w:rPr>
      </w:pPr>
      <w:r>
        <w:rPr>
          <w:rFonts w:ascii="楷体_GB2312" w:eastAsia="楷体_GB2312" w:hAnsi="Calibri" w:hint="eastAsia"/>
          <w:kern w:val="0"/>
          <w:sz w:val="32"/>
          <w:szCs w:val="32"/>
        </w:rPr>
        <w:t>（二）提高粮油生产水平。</w:t>
      </w:r>
      <w:r>
        <w:rPr>
          <w:rFonts w:ascii="仿宋_GB2312" w:eastAsia="仿宋_GB2312" w:hAnsi="仿宋_GB2312" w:cs="仿宋_GB2312" w:hint="eastAsia"/>
          <w:sz w:val="32"/>
          <w:szCs w:val="32"/>
        </w:rPr>
        <w:t>推进粮油生产结构布局优化，推动良种良法良制相配套，</w:t>
      </w:r>
      <w:r>
        <w:rPr>
          <w:rFonts w:ascii="仿宋_GB2312" w:eastAsia="仿宋_GB2312" w:hint="eastAsia"/>
          <w:sz w:val="32"/>
          <w:szCs w:val="32"/>
        </w:rPr>
        <w:t>推广优质高产多抗</w:t>
      </w:r>
      <w:r>
        <w:rPr>
          <w:rFonts w:ascii="仿宋_GB2312" w:eastAsia="仿宋_GB2312" w:hint="eastAsia"/>
          <w:kern w:val="0"/>
          <w:sz w:val="32"/>
          <w:szCs w:val="32"/>
        </w:rPr>
        <w:t>粮油品种，</w:t>
      </w:r>
      <w:r>
        <w:rPr>
          <w:rFonts w:ascii="仿宋_GB2312" w:eastAsia="仿宋_GB2312" w:hAnsi="仿宋_GB2312" w:cs="仿宋_GB2312" w:hint="eastAsia"/>
          <w:sz w:val="32"/>
          <w:szCs w:val="32"/>
        </w:rPr>
        <w:t>良种覆盖率达到98%以上，</w:t>
      </w:r>
      <w:r>
        <w:rPr>
          <w:rFonts w:ascii="仿宋_GB2312" w:eastAsia="仿宋_GB2312" w:hint="eastAsia"/>
          <w:kern w:val="0"/>
          <w:sz w:val="32"/>
          <w:szCs w:val="32"/>
        </w:rPr>
        <w:t>扩大优质粮油作物种植面积，加强粮油生产新技术、新模式的集成应用,开展粮食绿色高产高效创建。</w:t>
      </w:r>
      <w:r>
        <w:rPr>
          <w:rFonts w:ascii="仿宋_GB2312" w:eastAsia="仿宋_GB2312" w:hAnsi="仿宋_GB2312" w:cs="仿宋_GB2312" w:hint="eastAsia"/>
          <w:sz w:val="32"/>
          <w:szCs w:val="32"/>
        </w:rPr>
        <w:t>加快推动化肥农药实名制购买、定额制施用，</w:t>
      </w:r>
      <w:r>
        <w:rPr>
          <w:rFonts w:ascii="仿宋_GB2312" w:eastAsia="仿宋_GB2312" w:hAnsi="Calibri" w:hint="eastAsia"/>
          <w:sz w:val="32"/>
          <w:szCs w:val="32"/>
        </w:rPr>
        <w:t>推广</w:t>
      </w:r>
      <w:r>
        <w:rPr>
          <w:rFonts w:ascii="仿宋_GB2312" w:eastAsia="仿宋_GB2312" w:hAnsi="宋体" w:hint="eastAsia"/>
          <w:sz w:val="32"/>
          <w:szCs w:val="32"/>
        </w:rPr>
        <w:t>测土配方施肥、病虫绿色防控技术，</w:t>
      </w:r>
      <w:r>
        <w:rPr>
          <w:rFonts w:ascii="仿宋_GB2312" w:eastAsia="仿宋_GB2312" w:hint="eastAsia"/>
          <w:sz w:val="32"/>
          <w:szCs w:val="32"/>
        </w:rPr>
        <w:t>加快生物有机肥和生物农药应用</w:t>
      </w:r>
      <w:r>
        <w:rPr>
          <w:rFonts w:ascii="仿宋_GB2312" w:eastAsia="仿宋_GB2312" w:hint="eastAsia"/>
          <w:kern w:val="0"/>
          <w:sz w:val="32"/>
          <w:szCs w:val="32"/>
        </w:rPr>
        <w:t>。</w:t>
      </w:r>
      <w:r>
        <w:rPr>
          <w:rFonts w:ascii="仿宋_GB2312" w:eastAsia="仿宋_GB2312" w:hAnsi="仿宋_GB2312" w:cs="仿宋_GB2312" w:hint="eastAsia"/>
          <w:sz w:val="32"/>
          <w:szCs w:val="32"/>
        </w:rPr>
        <w:t>创新完善粮油生产经营机制，推进生产规模化、经营产业化、服务社会化，</w:t>
      </w:r>
      <w:r>
        <w:rPr>
          <w:rFonts w:ascii="仿宋_GB2312" w:eastAsia="仿宋_GB2312" w:hint="eastAsia"/>
          <w:kern w:val="0"/>
          <w:sz w:val="32"/>
          <w:szCs w:val="32"/>
        </w:rPr>
        <w:t>引导连片土地集中流转，扶持培育规模生产经营主体，加快发展粮油生产全程机</w:t>
      </w:r>
      <w:r>
        <w:rPr>
          <w:rFonts w:ascii="仿宋_GB2312" w:eastAsia="仿宋_GB2312" w:hint="eastAsia"/>
          <w:sz w:val="32"/>
          <w:szCs w:val="32"/>
        </w:rPr>
        <w:t>械化作业和社会化服务，水稻耕种收综合机械化率稳定在8</w:t>
      </w:r>
      <w:r>
        <w:rPr>
          <w:rFonts w:ascii="仿宋_GB2312" w:eastAsia="仿宋_GB2312"/>
          <w:sz w:val="32"/>
          <w:szCs w:val="32"/>
        </w:rPr>
        <w:t>5</w:t>
      </w:r>
      <w:r>
        <w:rPr>
          <w:rFonts w:ascii="仿宋_GB2312" w:eastAsia="仿宋_GB2312" w:hint="eastAsia"/>
          <w:sz w:val="32"/>
          <w:szCs w:val="32"/>
        </w:rPr>
        <w:t>%以上</w:t>
      </w:r>
      <w:r>
        <w:rPr>
          <w:rFonts w:ascii="仿宋_GB2312" w:eastAsia="仿宋_GB2312" w:hint="eastAsia"/>
          <w:kern w:val="0"/>
          <w:sz w:val="32"/>
          <w:szCs w:val="32"/>
        </w:rPr>
        <w:t>。鼓励各地探索建立土地租金差别化调节机制，制定流转土地种植粮食作物的租金指导价和财政支持办法，降低种粮土地成</w:t>
      </w:r>
      <w:r>
        <w:rPr>
          <w:rFonts w:ascii="仿宋_GB2312" w:eastAsia="仿宋_GB2312" w:hint="eastAsia"/>
          <w:kern w:val="0"/>
          <w:sz w:val="32"/>
          <w:szCs w:val="32"/>
        </w:rPr>
        <w:lastRenderedPageBreak/>
        <w:t>本。</w:t>
      </w:r>
    </w:p>
    <w:p w:rsidR="00750079" w:rsidRDefault="00750079" w:rsidP="00750079">
      <w:pPr>
        <w:spacing w:line="640" w:lineRule="exact"/>
        <w:ind w:firstLineChars="200" w:firstLine="640"/>
        <w:rPr>
          <w:rFonts w:ascii="楷体_GB2312" w:eastAsia="楷体_GB2312" w:hAnsi="Calibri" w:hint="eastAsia"/>
          <w:kern w:val="0"/>
          <w:sz w:val="32"/>
          <w:szCs w:val="32"/>
        </w:rPr>
      </w:pPr>
      <w:r>
        <w:rPr>
          <w:rFonts w:ascii="楷体_GB2312" w:eastAsia="楷体_GB2312" w:hAnsi="Calibri" w:hint="eastAsia"/>
          <w:kern w:val="0"/>
          <w:sz w:val="32"/>
          <w:szCs w:val="32"/>
        </w:rPr>
        <w:t>（三）加强储备管理。</w:t>
      </w:r>
      <w:r>
        <w:rPr>
          <w:rFonts w:ascii="仿宋_GB2312" w:eastAsia="仿宋_GB2312" w:hint="eastAsia"/>
          <w:kern w:val="0"/>
          <w:sz w:val="32"/>
          <w:szCs w:val="32"/>
        </w:rPr>
        <w:t>全面落实粮食和食用油储备任务，充实成品粮油储备。大力推进订单粮食“分品种收购、分仓储存”</w:t>
      </w:r>
      <w:r>
        <w:rPr>
          <w:rFonts w:ascii="仿宋" w:eastAsia="仿宋" w:hAnsi="仿宋" w:hint="eastAsia"/>
          <w:sz w:val="32"/>
          <w:szCs w:val="32"/>
        </w:rPr>
        <w:t>，</w:t>
      </w:r>
      <w:r>
        <w:rPr>
          <w:rFonts w:ascii="仿宋_GB2312" w:eastAsia="仿宋_GB2312" w:hint="eastAsia"/>
          <w:kern w:val="0"/>
          <w:sz w:val="32"/>
          <w:szCs w:val="32"/>
        </w:rPr>
        <w:t>晚稻订单向优质品种倾斜。进一步</w:t>
      </w:r>
      <w:r>
        <w:rPr>
          <w:rFonts w:ascii="仿宋_GB2312" w:eastAsia="仿宋_GB2312" w:hint="eastAsia"/>
          <w:sz w:val="32"/>
          <w:szCs w:val="32"/>
        </w:rPr>
        <w:t>优化储备结构，2021年12月底前，各区、县（市）晚稻储备比例达到35%以上。</w:t>
      </w:r>
      <w:r>
        <w:rPr>
          <w:rFonts w:ascii="仿宋_GB2312" w:eastAsia="仿宋_GB2312" w:hint="eastAsia"/>
          <w:kern w:val="0"/>
          <w:sz w:val="32"/>
          <w:szCs w:val="32"/>
        </w:rPr>
        <w:t>完善市县种子、农药、化肥储备制度，落实相应储备任务。</w:t>
      </w:r>
    </w:p>
    <w:p w:rsidR="00750079" w:rsidRDefault="00750079" w:rsidP="00750079">
      <w:pPr>
        <w:spacing w:line="640" w:lineRule="exact"/>
        <w:ind w:firstLineChars="200" w:firstLine="640"/>
        <w:rPr>
          <w:rFonts w:ascii="仿宋_GB2312" w:eastAsia="仿宋_GB2312" w:hAnsi="仿宋_GB2312" w:cs="仿宋_GB2312" w:hint="eastAsia"/>
          <w:sz w:val="32"/>
          <w:szCs w:val="32"/>
        </w:rPr>
      </w:pPr>
      <w:r>
        <w:rPr>
          <w:rFonts w:ascii="楷体_GB2312" w:eastAsia="楷体_GB2312" w:hAnsi="Calibri" w:hint="eastAsia"/>
          <w:kern w:val="0"/>
          <w:sz w:val="32"/>
          <w:szCs w:val="32"/>
        </w:rPr>
        <w:t>（四）搞活市场流通。</w:t>
      </w:r>
      <w:r>
        <w:rPr>
          <w:rFonts w:ascii="仿宋_GB2312" w:eastAsia="仿宋_GB2312" w:hint="eastAsia"/>
          <w:sz w:val="32"/>
          <w:szCs w:val="32"/>
        </w:rPr>
        <w:t>引导和鼓励工商资本、各类粮食市场主体进入粮食产前、产中、产后服务领域，</w:t>
      </w:r>
      <w:r>
        <w:rPr>
          <w:rFonts w:ascii="仿宋_GB2312" w:eastAsia="仿宋_GB2312" w:hint="eastAsia"/>
          <w:kern w:val="0"/>
          <w:sz w:val="32"/>
          <w:szCs w:val="32"/>
        </w:rPr>
        <w:t>支持粮油加工能力建设和粮油加工企业设施装备改造升级</w:t>
      </w:r>
      <w:r>
        <w:rPr>
          <w:rFonts w:ascii="仿宋_GB2312" w:eastAsia="仿宋_GB2312" w:hint="eastAsia"/>
          <w:sz w:val="32"/>
          <w:szCs w:val="32"/>
        </w:rPr>
        <w:t>，提高生产经营效益。支持与粮油储备相适配的仓储设施建设，鼓励提升改造粮食批发市场，推进“公共仓”建设。发挥骨干企业主渠道作用，培育粮食流通主渠道企业。</w:t>
      </w:r>
      <w:r>
        <w:rPr>
          <w:rFonts w:ascii="仿宋_GB2312" w:eastAsia="仿宋_GB2312" w:hint="eastAsia"/>
          <w:kern w:val="0"/>
          <w:sz w:val="32"/>
          <w:szCs w:val="32"/>
        </w:rPr>
        <w:t>加强“优质粮食工程”建设，深入推进粮食产业链“五优联动”提质扩</w:t>
      </w:r>
      <w:r>
        <w:rPr>
          <w:rFonts w:ascii="仿宋_GB2312" w:eastAsia="仿宋_GB2312" w:hAnsi="仿宋_GB2312" w:cs="仿宋_GB2312" w:hint="eastAsia"/>
          <w:sz w:val="32"/>
          <w:szCs w:val="32"/>
        </w:rPr>
        <w:t>面，优质稻谷收储数量增加10%以上。推广应用低温准低温、气调等绿色智能储粮技术和节能环保、节粮减损、智能化输送、清理、烘干设备。培育“越乡好稻米”“浙江好粮油”产品和优质粮油品牌，拓展线上线下营销渠道，全力打造优质粮食产业链。</w:t>
      </w:r>
    </w:p>
    <w:p w:rsidR="00750079" w:rsidRDefault="00750079" w:rsidP="00750079">
      <w:pPr>
        <w:ind w:firstLineChars="200" w:firstLine="640"/>
        <w:rPr>
          <w:rFonts w:ascii="仿宋_GB2312" w:eastAsia="仿宋_GB2312" w:hint="eastAsia"/>
          <w:kern w:val="0"/>
          <w:sz w:val="32"/>
          <w:szCs w:val="32"/>
        </w:rPr>
      </w:pPr>
      <w:r>
        <w:rPr>
          <w:rFonts w:ascii="楷体_GB2312" w:eastAsia="楷体_GB2312" w:hAnsi="Calibri" w:hint="eastAsia"/>
          <w:kern w:val="0"/>
          <w:sz w:val="32"/>
          <w:szCs w:val="32"/>
        </w:rPr>
        <w:t>（五）推动粮食信息化建设。</w:t>
      </w:r>
      <w:r>
        <w:rPr>
          <w:rFonts w:ascii="仿宋_GB2312" w:eastAsia="仿宋_GB2312" w:hint="eastAsia"/>
          <w:kern w:val="0"/>
          <w:sz w:val="32"/>
          <w:szCs w:val="32"/>
        </w:rPr>
        <w:t>积极配合加快数字“浙江粮仓”建设，实现互联网和粮食业务、粮食产业的深度融合，构建贯穿生产、收购、储备、流通、消费等全环节，集统计、</w:t>
      </w:r>
      <w:r>
        <w:rPr>
          <w:rFonts w:ascii="仿宋_GB2312" w:eastAsia="仿宋_GB2312" w:hint="eastAsia"/>
          <w:kern w:val="0"/>
          <w:sz w:val="32"/>
          <w:szCs w:val="32"/>
        </w:rPr>
        <w:lastRenderedPageBreak/>
        <w:t>服务、监管于一体的数字化平台。加大育秧、施肥、植保、农机作业和产品流通等领域数字化改造，建设数字农业工厂，提升粮油生产数字化水平。</w:t>
      </w:r>
    </w:p>
    <w:p w:rsidR="00750079" w:rsidRDefault="00750079" w:rsidP="00750079">
      <w:pPr>
        <w:spacing w:line="640" w:lineRule="exact"/>
        <w:ind w:firstLineChars="200" w:firstLine="640"/>
        <w:rPr>
          <w:rFonts w:eastAsia="黑体"/>
          <w:kern w:val="0"/>
          <w:sz w:val="32"/>
          <w:szCs w:val="32"/>
        </w:rPr>
      </w:pPr>
      <w:r>
        <w:rPr>
          <w:rFonts w:eastAsia="黑体" w:hint="eastAsia"/>
          <w:kern w:val="0"/>
          <w:sz w:val="32"/>
          <w:szCs w:val="32"/>
        </w:rPr>
        <w:t>三、政策体系</w:t>
      </w:r>
    </w:p>
    <w:p w:rsidR="00750079" w:rsidRDefault="00750079" w:rsidP="00750079">
      <w:pPr>
        <w:adjustRightInd w:val="0"/>
        <w:snapToGrid w:val="0"/>
        <w:spacing w:line="640" w:lineRule="exact"/>
        <w:ind w:firstLine="645"/>
        <w:rPr>
          <w:rFonts w:ascii="仿宋_GB2312" w:eastAsia="仿宋_GB2312"/>
          <w:kern w:val="0"/>
          <w:sz w:val="32"/>
          <w:szCs w:val="32"/>
          <w:highlight w:val="lightGray"/>
        </w:rPr>
      </w:pPr>
      <w:r>
        <w:rPr>
          <w:rFonts w:ascii="楷体_GB2312" w:eastAsia="楷体_GB2312" w:hAnsi="Calibri" w:hint="eastAsia"/>
          <w:kern w:val="0"/>
          <w:sz w:val="32"/>
          <w:szCs w:val="32"/>
        </w:rPr>
        <w:t>（一）完善生产扶持政策。</w:t>
      </w:r>
      <w:r>
        <w:rPr>
          <w:rFonts w:ascii="仿宋_GB2312" w:eastAsia="仿宋_GB2312" w:hint="eastAsia"/>
          <w:kern w:val="0"/>
          <w:sz w:val="32"/>
          <w:szCs w:val="32"/>
        </w:rPr>
        <w:t>执行中央耕地地力保护补贴政策，强化“谁种粮谁受益，谁多种粮谁多得”导向，鼓励各地先行试点优化补贴办法，重点支持种粮农民。加大财政投入力度，对全年稻麦复种或一季旱粮种植或“三园”地间作套种同一旱粮作物（不含大小麦）50亩以上的规模种粮主体按实际种植面积给予每亩不低于140元的直接补贴（市区补贴标准为每亩140元）；鼓励早稻生产，各区、县（市）根据当地实际制定相应早稻种植补贴政策。对油菜种植50亩以上的规模主体，按实际种植面积给予每亩120元的直接补贴；对油菜相对集中种植30亩以上的种植主体，由各区、县（市）给予每亩30元的补贴（已享受各级财政其他油菜种植补贴的不再重复）。对种植早稻后进行机插连作晚稻面积50亩以上的种粮大户，按机插连作晚稻面积，由各区、县（市）给予每亩50元的补贴。支持粮食生产全程机械化和社会化服务体系建设，对秸秆综合利用、高效植保、侧深施肥、履带式拖拉机等重点农业机械，在中央、省补贴的基础上，可实行地方定额追加补贴，具体机具类型和追加补贴</w:t>
      </w:r>
      <w:r>
        <w:rPr>
          <w:rFonts w:ascii="仿宋_GB2312" w:eastAsia="仿宋_GB2312" w:hint="eastAsia"/>
          <w:kern w:val="0"/>
          <w:sz w:val="32"/>
          <w:szCs w:val="32"/>
        </w:rPr>
        <w:lastRenderedPageBreak/>
        <w:t>额度由各区、县（市）确定；对购置稻米加工包装设备投资额在30万元及以上且用地规范的经营主体，按设备投资额的50%给予奖补（列入农机购置补贴目录的不再补助），最高不超过30万元；对用植保无人飞机（需列入省农机购置补贴试点产品）开展飞防服务，服务面积超过1000亩次的经营主体，由各区、县（市）给予不低于每亩2.5元的作业奖励。</w:t>
      </w:r>
    </w:p>
    <w:p w:rsidR="00750079" w:rsidRDefault="00750079" w:rsidP="00750079">
      <w:pPr>
        <w:adjustRightInd w:val="0"/>
        <w:snapToGrid w:val="0"/>
        <w:spacing w:line="640" w:lineRule="exact"/>
        <w:ind w:firstLine="645"/>
        <w:rPr>
          <w:rFonts w:ascii="仿宋_GB2312" w:eastAsia="仿宋_GB2312" w:hAnsi="仿宋_GB2312" w:cs="仿宋_GB2312" w:hint="eastAsia"/>
          <w:kern w:val="0"/>
          <w:sz w:val="32"/>
          <w:szCs w:val="32"/>
        </w:rPr>
      </w:pPr>
      <w:r>
        <w:rPr>
          <w:rFonts w:ascii="楷体_GB2312" w:eastAsia="楷体_GB2312" w:hAnsi="Calibri" w:hint="eastAsia"/>
          <w:kern w:val="0"/>
          <w:sz w:val="32"/>
          <w:szCs w:val="32"/>
        </w:rPr>
        <w:t>（二）落实粮食收购和订单奖励政策。</w:t>
      </w:r>
      <w:r>
        <w:rPr>
          <w:rFonts w:ascii="仿宋_GB2312" w:eastAsia="仿宋_GB2312" w:hAnsi="仿宋_GB2312" w:cs="仿宋_GB2312" w:hint="eastAsia"/>
          <w:kern w:val="0"/>
          <w:sz w:val="32"/>
          <w:szCs w:val="32"/>
        </w:rPr>
        <w:t>严格执行省定小麦、稻谷最低收购价政策，确保不出现农民“卖粮难”。各级财政对按订单向国有粮食收储企业交售稻谷和小麦的种粮主体给予奖励。市内早稻实行订单全覆盖，全市统一早稻订单奖励，每百斤奖励30元；市级小麦订单每百斤奖励30元，每亩不超过150元；市级晚稻订单每百斤奖励20元，每亩不超过180元，区、县（市）订单奖励标准原则上不低于上年水平。全市粮食订单向粮食生产功能区种粮农民倾斜。各地在完成粮食产量指标和订单粮源满足本地粮食储备轮换的基础上，实行带订单奖励余缺调剂，调剂数量较大且完成任务较好的，省级财政给予奖励。对信用好、具有还贷能力并按订单交售粮食的规模种粮大户，发放粮食预购定金，所需资金由当地农发行提供贷款，按照“谁用粮、谁出钱”的原则给予财政贴息。对与种子企业签订订单合同，并按订</w:t>
      </w:r>
      <w:r>
        <w:rPr>
          <w:rFonts w:ascii="仿宋_GB2312" w:eastAsia="仿宋_GB2312" w:hAnsi="仿宋_GB2312" w:cs="仿宋_GB2312" w:hint="eastAsia"/>
          <w:kern w:val="0"/>
          <w:sz w:val="32"/>
          <w:szCs w:val="32"/>
        </w:rPr>
        <w:lastRenderedPageBreak/>
        <w:t>单交售水稻、小麦良种的种子生产者，按实际交售种子数量给予奖励，每交售50公斤常规水稻种子奖励30元，每亩最高不超过240元；每交售50公斤杂交水稻种子奖励100元，每亩最高不超过300元；每交售50公斤小麦种子奖励30元，每亩最高不超过150元。</w:t>
      </w:r>
    </w:p>
    <w:p w:rsidR="00750079" w:rsidRDefault="00750079" w:rsidP="00750079">
      <w:pPr>
        <w:spacing w:line="640" w:lineRule="exact"/>
        <w:ind w:firstLineChars="200" w:firstLine="640"/>
        <w:rPr>
          <w:rFonts w:ascii="仿宋_GB2312" w:eastAsia="仿宋_GB2312" w:hAnsi="仿宋_GB2312" w:cs="仿宋_GB2312" w:hint="eastAsia"/>
          <w:kern w:val="0"/>
          <w:sz w:val="32"/>
          <w:szCs w:val="32"/>
        </w:rPr>
      </w:pPr>
      <w:r>
        <w:rPr>
          <w:rFonts w:ascii="楷体_GB2312" w:eastAsia="楷体_GB2312" w:hint="eastAsia"/>
          <w:kern w:val="0"/>
          <w:sz w:val="32"/>
          <w:szCs w:val="32"/>
        </w:rPr>
        <w:t>（三）鼓励开展粮食产销协作。</w:t>
      </w:r>
      <w:r>
        <w:rPr>
          <w:rFonts w:ascii="仿宋_GB2312" w:eastAsia="仿宋_GB2312" w:hAnsi="仿宋_GB2312" w:cs="仿宋_GB2312" w:hint="eastAsia"/>
          <w:kern w:val="0"/>
          <w:sz w:val="32"/>
          <w:szCs w:val="32"/>
        </w:rPr>
        <w:t>开展市域内产销对接和市内储备粮源余缺调剂，调剂的粮食生产面积不重复计算，利益补偿由相关区、县（市）协商确定。加强省际间粮食产销合作对接，各区、县（市）根据实际出台产销合作政策，鼓励省外建粮源基地和省外调粮。对省、市外企业在我市投资建设米面油仓库、新建加工线和技术改造的享受市内企业同等政策待遇，并在用地、用电等方面给予支持。</w:t>
      </w:r>
    </w:p>
    <w:p w:rsidR="00750079" w:rsidRDefault="00750079" w:rsidP="00750079">
      <w:pPr>
        <w:autoSpaceDE w:val="0"/>
        <w:autoSpaceDN w:val="0"/>
        <w:spacing w:line="640" w:lineRule="exact"/>
        <w:ind w:firstLineChars="200" w:firstLine="640"/>
        <w:rPr>
          <w:rFonts w:ascii="仿宋_GB2312" w:eastAsia="仿宋_GB2312"/>
          <w:kern w:val="0"/>
          <w:sz w:val="32"/>
          <w:szCs w:val="32"/>
        </w:rPr>
      </w:pPr>
      <w:r>
        <w:rPr>
          <w:rFonts w:ascii="楷体_GB2312" w:eastAsia="楷体_GB2312" w:hAnsi="Calibri" w:hint="eastAsia"/>
          <w:kern w:val="0"/>
          <w:sz w:val="32"/>
          <w:szCs w:val="32"/>
        </w:rPr>
        <w:t>（四）强化金融保险支持。</w:t>
      </w:r>
      <w:r>
        <w:rPr>
          <w:rFonts w:ascii="仿宋_GB2312" w:eastAsia="仿宋_GB2312" w:hAnsi="仿宋_GB2312" w:cs="仿宋_GB2312" w:hint="eastAsia"/>
          <w:kern w:val="0"/>
          <w:sz w:val="32"/>
          <w:szCs w:val="32"/>
        </w:rPr>
        <w:t>继续实施稻麦、油菜种植和杂交水稻制种政策性农业保险政策，由各级财政按现行标准给予保费补贴，</w:t>
      </w:r>
      <w:r>
        <w:rPr>
          <w:rFonts w:ascii="仿宋_GB2312" w:eastAsia="仿宋_GB2312" w:hint="eastAsia"/>
          <w:kern w:val="0"/>
          <w:sz w:val="32"/>
          <w:szCs w:val="32"/>
        </w:rPr>
        <w:t>推进稻麦、油菜完全成本保险和收入保险试点。继续执行规模种粮贷款贴息政策，鼓励各地根据实际加大贴息力度。加大“粮农贷”等专属产品的组织实施。省农业融资担保公司对符合条件的贷款实行优惠担保费率，年担保费原则上不超过贷款金额的0.8%（粮食生产项目不超过0.5%）。</w:t>
      </w:r>
    </w:p>
    <w:p w:rsidR="00750079" w:rsidRDefault="00750079" w:rsidP="00750079">
      <w:pPr>
        <w:spacing w:line="640" w:lineRule="exact"/>
        <w:ind w:firstLineChars="200" w:firstLine="640"/>
        <w:rPr>
          <w:rFonts w:eastAsia="黑体"/>
          <w:bCs/>
          <w:kern w:val="0"/>
          <w:sz w:val="32"/>
          <w:szCs w:val="32"/>
        </w:rPr>
      </w:pPr>
      <w:r>
        <w:rPr>
          <w:rFonts w:eastAsia="黑体" w:hint="eastAsia"/>
          <w:kern w:val="0"/>
          <w:sz w:val="32"/>
          <w:szCs w:val="32"/>
        </w:rPr>
        <w:t>四、评价体系</w:t>
      </w:r>
    </w:p>
    <w:p w:rsidR="00750079" w:rsidRDefault="00750079" w:rsidP="00750079">
      <w:pPr>
        <w:spacing w:line="640" w:lineRule="exact"/>
        <w:ind w:firstLineChars="200" w:firstLine="640"/>
        <w:rPr>
          <w:rFonts w:ascii="仿宋_GB2312" w:eastAsia="仿宋_GB2312" w:hint="eastAsia"/>
          <w:strike/>
          <w:kern w:val="0"/>
          <w:sz w:val="32"/>
          <w:szCs w:val="32"/>
        </w:rPr>
      </w:pPr>
      <w:r>
        <w:rPr>
          <w:rFonts w:ascii="楷体_GB2312" w:eastAsia="楷体_GB2312" w:hint="eastAsia"/>
          <w:kern w:val="0"/>
          <w:sz w:val="32"/>
          <w:szCs w:val="32"/>
        </w:rPr>
        <w:lastRenderedPageBreak/>
        <w:t>（一）加强组织领导。</w:t>
      </w:r>
      <w:r>
        <w:rPr>
          <w:rFonts w:ascii="仿宋_GB2312" w:eastAsia="仿宋_GB2312" w:hint="eastAsia"/>
          <w:kern w:val="0"/>
          <w:sz w:val="32"/>
          <w:szCs w:val="32"/>
        </w:rPr>
        <w:t>各区、县（市）政府要切实加强组织领导，</w:t>
      </w:r>
      <w:r>
        <w:rPr>
          <w:rFonts w:ascii="仿宋_GB2312" w:eastAsia="仿宋_GB2312" w:cs="宋体" w:hint="eastAsia"/>
          <w:kern w:val="0"/>
          <w:sz w:val="32"/>
          <w:szCs w:val="32"/>
        </w:rPr>
        <w:t>担负起本地区粮食安全的主体责任，定期研究粮油生产保供工作，</w:t>
      </w:r>
      <w:r>
        <w:rPr>
          <w:rFonts w:ascii="仿宋_GB2312" w:eastAsia="仿宋_GB2312" w:hint="eastAsia"/>
          <w:kern w:val="0"/>
          <w:sz w:val="32"/>
          <w:szCs w:val="32"/>
        </w:rPr>
        <w:t>统筹抓好粮油生产、流通、储备和产销协作等各项工作，加大政策扶持力度，压实责任、落实措施，确保完成年度粮油生产保供任务。各级农业农村、发改、财政、自然资源、科技、生态环境、交通运输、水利、商务、市场监管、金融、统计、调查队、供销、人行、银保监等部门各司其职，密切配合，合力抓好粮油生产保供任务。</w:t>
      </w:r>
    </w:p>
    <w:p w:rsidR="00750079" w:rsidRDefault="00750079" w:rsidP="00750079">
      <w:pPr>
        <w:spacing w:line="640" w:lineRule="exact"/>
        <w:ind w:firstLineChars="200" w:firstLine="640"/>
        <w:rPr>
          <w:rFonts w:ascii="仿宋_GB2312" w:eastAsia="仿宋_GB2312" w:hint="eastAsia"/>
          <w:kern w:val="0"/>
          <w:sz w:val="32"/>
          <w:szCs w:val="32"/>
        </w:rPr>
      </w:pPr>
      <w:r>
        <w:rPr>
          <w:rFonts w:ascii="楷体_GB2312" w:eastAsia="楷体_GB2312" w:hint="eastAsia"/>
          <w:kern w:val="0"/>
          <w:sz w:val="32"/>
          <w:szCs w:val="32"/>
        </w:rPr>
        <w:t>（二）加强督查指导。</w:t>
      </w:r>
      <w:r>
        <w:rPr>
          <w:rFonts w:ascii="仿宋_GB2312" w:eastAsia="仿宋_GB2312" w:hint="eastAsia"/>
          <w:kern w:val="0"/>
          <w:sz w:val="32"/>
          <w:szCs w:val="32"/>
        </w:rPr>
        <w:t>市粮安办联合市政府督查室采取“四不两直”方式定期开展粮油生产保供督查，掌握进度、发现问题、督促整改，对各地、各部门落实或整改不到位的要严肃问责。</w:t>
      </w:r>
    </w:p>
    <w:p w:rsidR="00750079" w:rsidRDefault="00750079" w:rsidP="00750079">
      <w:pPr>
        <w:spacing w:line="640" w:lineRule="exact"/>
        <w:ind w:firstLineChars="200" w:firstLine="640"/>
        <w:rPr>
          <w:rFonts w:ascii="仿宋_GB2312" w:eastAsia="仿宋_GB2312" w:hint="eastAsia"/>
          <w:kern w:val="0"/>
          <w:sz w:val="32"/>
          <w:szCs w:val="32"/>
        </w:rPr>
      </w:pPr>
      <w:r>
        <w:rPr>
          <w:rFonts w:ascii="楷体_GB2312" w:eastAsia="楷体_GB2312" w:hint="eastAsia"/>
          <w:kern w:val="0"/>
          <w:sz w:val="32"/>
          <w:szCs w:val="32"/>
        </w:rPr>
        <w:t>（三）加强考核评价。</w:t>
      </w:r>
      <w:r>
        <w:rPr>
          <w:rFonts w:ascii="仿宋_GB2312" w:eastAsia="仿宋_GB2312" w:hint="eastAsia"/>
          <w:sz w:val="32"/>
          <w:szCs w:val="32"/>
        </w:rPr>
        <w:t>粮</w:t>
      </w:r>
      <w:r>
        <w:rPr>
          <w:rFonts w:ascii="仿宋_GB2312" w:eastAsia="仿宋_GB2312" w:hint="eastAsia"/>
          <w:kern w:val="0"/>
          <w:sz w:val="32"/>
          <w:szCs w:val="32"/>
        </w:rPr>
        <w:t>油生产保供工作纳入粮食安全</w:t>
      </w:r>
      <w:r>
        <w:rPr>
          <w:rFonts w:ascii="仿宋_GB2312" w:eastAsia="仿宋_GB2312" w:hint="eastAsia"/>
          <w:sz w:val="32"/>
          <w:szCs w:val="32"/>
        </w:rPr>
        <w:t>责任制、乡村振兴战略实绩考核</w:t>
      </w:r>
      <w:r>
        <w:rPr>
          <w:rFonts w:ascii="仿宋_GB2312" w:eastAsia="仿宋_GB2312" w:hint="eastAsia"/>
          <w:kern w:val="0"/>
          <w:sz w:val="32"/>
          <w:szCs w:val="32"/>
        </w:rPr>
        <w:t>。建立粮油生产保供监测评价体系，将完成年度生产目标任务情况作为合格要求，将制止耕地“非农化”、粮食生产功能区“非粮化”和抛荒作为争先创优指标，定期通报各地工作进展情况，推动形成争先创优的良好氛围。</w:t>
      </w:r>
    </w:p>
    <w:p w:rsidR="00750079" w:rsidRDefault="00750079" w:rsidP="00750079">
      <w:pPr>
        <w:spacing w:line="640" w:lineRule="exact"/>
        <w:jc w:val="left"/>
        <w:rPr>
          <w:rFonts w:ascii="仿宋_GB2312" w:eastAsia="仿宋_GB2312"/>
          <w:kern w:val="0"/>
          <w:sz w:val="32"/>
          <w:szCs w:val="32"/>
        </w:rPr>
      </w:pPr>
    </w:p>
    <w:p w:rsidR="00750079" w:rsidRDefault="00750079" w:rsidP="00750079">
      <w:pPr>
        <w:spacing w:line="64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附件：1.2021年粮食综合生产能力指标分解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r>
        <w:rPr>
          <w:rFonts w:ascii="仿宋_GB2312" w:eastAsia="仿宋_GB2312" w:hint="eastAsia"/>
          <w:kern w:val="0"/>
          <w:sz w:val="32"/>
          <w:szCs w:val="32"/>
        </w:rPr>
        <w:t>2.2021年粮食播种面积指标分解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r>
        <w:rPr>
          <w:rFonts w:ascii="仿宋_GB2312" w:eastAsia="仿宋_GB2312" w:hint="eastAsia"/>
          <w:kern w:val="0"/>
          <w:sz w:val="32"/>
          <w:szCs w:val="32"/>
        </w:rPr>
        <w:lastRenderedPageBreak/>
        <w:t>3.2021年粮食总产量指标分解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r>
        <w:rPr>
          <w:rFonts w:ascii="仿宋_GB2312" w:eastAsia="仿宋_GB2312" w:hint="eastAsia"/>
          <w:kern w:val="0"/>
          <w:sz w:val="32"/>
          <w:szCs w:val="32"/>
        </w:rPr>
        <w:t>4.2021年油菜、油茶面积和总产量指标分解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r>
        <w:rPr>
          <w:rFonts w:ascii="仿宋_GB2312" w:eastAsia="仿宋_GB2312" w:hint="eastAsia"/>
          <w:kern w:val="0"/>
          <w:sz w:val="32"/>
          <w:szCs w:val="32"/>
        </w:rPr>
        <w:t xml:space="preserve">5.2021年口粮（稻麦）自给率和粮食流通主渠道企业           </w:t>
      </w:r>
    </w:p>
    <w:p w:rsidR="00750079" w:rsidRDefault="00750079" w:rsidP="00750079">
      <w:pPr>
        <w:spacing w:line="640" w:lineRule="exact"/>
        <w:ind w:firstLineChars="600" w:firstLine="1920"/>
        <w:jc w:val="left"/>
        <w:rPr>
          <w:rFonts w:ascii="仿宋_GB2312" w:eastAsia="仿宋_GB2312" w:hint="eastAsia"/>
          <w:kern w:val="0"/>
          <w:sz w:val="32"/>
          <w:szCs w:val="32"/>
        </w:rPr>
      </w:pPr>
      <w:r>
        <w:rPr>
          <w:rFonts w:ascii="仿宋_GB2312" w:eastAsia="仿宋_GB2312" w:hint="eastAsia"/>
          <w:kern w:val="0"/>
          <w:sz w:val="32"/>
          <w:szCs w:val="32"/>
        </w:rPr>
        <w:t>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r>
        <w:rPr>
          <w:rFonts w:ascii="仿宋_GB2312" w:eastAsia="仿宋_GB2312" w:hint="eastAsia"/>
          <w:kern w:val="0"/>
          <w:sz w:val="32"/>
          <w:szCs w:val="32"/>
        </w:rPr>
        <w:t>6.2021年全市粮油储备指标分解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r>
        <w:rPr>
          <w:rFonts w:ascii="仿宋_GB2312" w:eastAsia="仿宋_GB2312" w:hint="eastAsia"/>
          <w:kern w:val="0"/>
          <w:sz w:val="32"/>
          <w:szCs w:val="32"/>
        </w:rPr>
        <w:t>7.2021年农资应急储备指标分解</w:t>
      </w:r>
    </w:p>
    <w:p w:rsidR="00750079" w:rsidRDefault="00750079" w:rsidP="00750079">
      <w:pPr>
        <w:spacing w:line="640" w:lineRule="exact"/>
        <w:ind w:firstLineChars="500" w:firstLine="1600"/>
        <w:jc w:val="left"/>
        <w:rPr>
          <w:rFonts w:ascii="仿宋_GB2312" w:eastAsia="仿宋_GB2312" w:hint="eastAsia"/>
          <w:kern w:val="0"/>
          <w:sz w:val="32"/>
          <w:szCs w:val="32"/>
        </w:rPr>
      </w:pPr>
    </w:p>
    <w:p w:rsidR="00750079" w:rsidRDefault="00750079" w:rsidP="00750079">
      <w:pPr>
        <w:spacing w:line="640" w:lineRule="exact"/>
        <w:ind w:rightChars="-337" w:right="-708" w:firstLineChars="50" w:firstLine="160"/>
        <w:rPr>
          <w:rFonts w:ascii="仿宋_GB2312" w:eastAsia="仿宋_GB2312" w:hint="eastAsia"/>
          <w:sz w:val="32"/>
          <w:szCs w:val="32"/>
        </w:rPr>
      </w:pPr>
      <w:r>
        <w:rPr>
          <w:rFonts w:ascii="仿宋_GB2312" w:eastAsia="仿宋_GB2312" w:hint="eastAsia"/>
          <w:sz w:val="32"/>
          <w:szCs w:val="32"/>
        </w:rPr>
        <w:t xml:space="preserve">绍兴市农业农村局   </w:t>
      </w:r>
      <w:r>
        <w:rPr>
          <w:rFonts w:ascii="仿宋_GB2312" w:eastAsia="仿宋_GB2312" w:hint="eastAsia"/>
          <w:spacing w:val="-20"/>
          <w:sz w:val="32"/>
          <w:szCs w:val="32"/>
        </w:rPr>
        <w:t>绍兴市发展和改革委员会（绍兴市粮食和物资储备局）</w:t>
      </w:r>
      <w:r>
        <w:rPr>
          <w:rFonts w:ascii="仿宋_GB2312" w:eastAsia="仿宋_GB2312" w:hint="eastAsia"/>
          <w:sz w:val="32"/>
          <w:szCs w:val="32"/>
        </w:rPr>
        <w:t xml:space="preserve">               </w:t>
      </w:r>
    </w:p>
    <w:p w:rsidR="00750079" w:rsidRDefault="00750079" w:rsidP="00750079">
      <w:pPr>
        <w:spacing w:line="640" w:lineRule="exact"/>
        <w:ind w:rightChars="-337" w:right="-708" w:firstLineChars="50" w:firstLine="160"/>
        <w:rPr>
          <w:rFonts w:ascii="仿宋_GB2312" w:eastAsia="仿宋_GB2312" w:hint="eastAsia"/>
          <w:sz w:val="32"/>
          <w:szCs w:val="32"/>
        </w:rPr>
      </w:pPr>
    </w:p>
    <w:p w:rsidR="00750079" w:rsidRDefault="00750079" w:rsidP="00750079">
      <w:pPr>
        <w:spacing w:line="640" w:lineRule="exact"/>
        <w:ind w:rightChars="-337" w:right="-708" w:firstLineChars="50" w:firstLine="160"/>
        <w:rPr>
          <w:rFonts w:ascii="仿宋_GB2312" w:eastAsia="仿宋_GB2312" w:hint="eastAsia"/>
          <w:sz w:val="32"/>
          <w:szCs w:val="32"/>
        </w:rPr>
      </w:pPr>
    </w:p>
    <w:p w:rsidR="00750079" w:rsidRDefault="00750079" w:rsidP="00750079">
      <w:pPr>
        <w:spacing w:line="640" w:lineRule="exact"/>
        <w:rPr>
          <w:rFonts w:ascii="仿宋_GB2312" w:eastAsia="仿宋_GB2312" w:hint="eastAsia"/>
          <w:sz w:val="32"/>
          <w:szCs w:val="32"/>
        </w:rPr>
      </w:pPr>
      <w:r>
        <w:rPr>
          <w:rFonts w:ascii="仿宋_GB2312" w:eastAsia="仿宋_GB2312" w:hint="eastAsia"/>
          <w:sz w:val="32"/>
          <w:szCs w:val="32"/>
        </w:rPr>
        <w:t xml:space="preserve"> 绍兴市财政局      </w:t>
      </w:r>
      <w:r>
        <w:rPr>
          <w:rFonts w:ascii="仿宋_GB2312" w:eastAsia="仿宋_GB2312" w:hint="eastAsia"/>
          <w:spacing w:val="-20"/>
          <w:sz w:val="32"/>
          <w:szCs w:val="32"/>
        </w:rPr>
        <w:t xml:space="preserve">绍兴市自然资源和规划局（绍兴市林业局）  </w:t>
      </w:r>
      <w:r>
        <w:rPr>
          <w:rFonts w:ascii="仿宋_GB2312" w:eastAsia="仿宋_GB2312" w:hint="eastAsia"/>
          <w:sz w:val="32"/>
          <w:szCs w:val="32"/>
        </w:rPr>
        <w:t xml:space="preserve">        </w:t>
      </w:r>
    </w:p>
    <w:p w:rsidR="00750079" w:rsidRDefault="00750079" w:rsidP="00750079">
      <w:pPr>
        <w:spacing w:line="640" w:lineRule="exact"/>
        <w:ind w:rightChars="-135" w:right="-283" w:firstLineChars="1800" w:firstLine="5760"/>
        <w:rPr>
          <w:rFonts w:ascii="仿宋_GB2312" w:eastAsia="仿宋_GB2312" w:hint="eastAsia"/>
          <w:sz w:val="32"/>
          <w:szCs w:val="32"/>
        </w:rPr>
      </w:pPr>
      <w:r>
        <w:rPr>
          <w:rFonts w:ascii="仿宋_GB2312" w:eastAsia="仿宋_GB2312" w:hint="eastAsia"/>
          <w:sz w:val="32"/>
          <w:szCs w:val="32"/>
        </w:rPr>
        <w:t>2020年12月</w:t>
      </w:r>
      <w:r>
        <w:rPr>
          <w:rFonts w:ascii="仿宋_GB2312" w:eastAsia="仿宋_GB2312"/>
          <w:sz w:val="32"/>
          <w:szCs w:val="32"/>
        </w:rPr>
        <w:t xml:space="preserve">  </w:t>
      </w:r>
      <w:r>
        <w:rPr>
          <w:rFonts w:ascii="仿宋_GB2312" w:eastAsia="仿宋_GB2312" w:hint="eastAsia"/>
          <w:sz w:val="32"/>
          <w:szCs w:val="32"/>
        </w:rPr>
        <w:t>日</w:t>
      </w:r>
    </w:p>
    <w:p w:rsidR="00750079" w:rsidRDefault="00750079" w:rsidP="00750079">
      <w:pPr>
        <w:widowControl/>
        <w:spacing w:line="660" w:lineRule="exact"/>
        <w:jc w:val="left"/>
        <w:rPr>
          <w:rFonts w:eastAsia="方正小标宋简体"/>
          <w:sz w:val="36"/>
          <w:szCs w:val="36"/>
        </w:rPr>
      </w:pPr>
      <w:r>
        <w:rPr>
          <w:rFonts w:ascii="黑体" w:eastAsia="黑体" w:hAnsi="黑体"/>
          <w:sz w:val="32"/>
        </w:rPr>
        <w:br w:type="page"/>
      </w:r>
      <w:r>
        <w:rPr>
          <w:rFonts w:ascii="黑体" w:eastAsia="黑体" w:hAnsi="黑体"/>
          <w:sz w:val="32"/>
        </w:rPr>
        <w:lastRenderedPageBreak/>
        <w:t>附件</w:t>
      </w:r>
      <w:r>
        <w:rPr>
          <w:rFonts w:ascii="黑体" w:eastAsia="黑体" w:hAnsi="黑体" w:hint="eastAsia"/>
          <w:sz w:val="32"/>
        </w:rPr>
        <w:t>1</w:t>
      </w:r>
    </w:p>
    <w:p w:rsidR="00750079" w:rsidRDefault="00750079" w:rsidP="00750079">
      <w:pPr>
        <w:spacing w:line="660" w:lineRule="exact"/>
        <w:jc w:val="center"/>
        <w:rPr>
          <w:rFonts w:eastAsia="方正小标宋简体"/>
          <w:sz w:val="44"/>
          <w:szCs w:val="36"/>
        </w:rPr>
      </w:pPr>
      <w:r>
        <w:rPr>
          <w:rFonts w:ascii="方正小标宋简体" w:eastAsia="方正小标宋简体" w:hAnsi="方正小标宋简体" w:cs="方正小标宋简体" w:hint="eastAsia"/>
          <w:sz w:val="44"/>
          <w:szCs w:val="36"/>
        </w:rPr>
        <w:t>2021年粮食综合生产</w:t>
      </w:r>
      <w:r>
        <w:rPr>
          <w:rFonts w:eastAsia="方正小标宋简体"/>
          <w:sz w:val="44"/>
          <w:szCs w:val="36"/>
        </w:rPr>
        <w:t>能力指标分解</w:t>
      </w:r>
    </w:p>
    <w:p w:rsidR="00750079" w:rsidRDefault="00750079" w:rsidP="00750079">
      <w:pPr>
        <w:spacing w:line="660" w:lineRule="exact"/>
        <w:ind w:firstLineChars="1746" w:firstLine="5587"/>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kern w:val="0"/>
          <w:sz w:val="32"/>
          <w:szCs w:val="32"/>
        </w:rPr>
        <w:t>万亩、亿斤</w:t>
      </w:r>
    </w:p>
    <w:tbl>
      <w:tblPr>
        <w:tblW w:w="0" w:type="auto"/>
        <w:jc w:val="center"/>
        <w:tblLayout w:type="fixed"/>
        <w:tblCellMar>
          <w:left w:w="0" w:type="dxa"/>
          <w:right w:w="0" w:type="dxa"/>
        </w:tblCellMar>
        <w:tblLook w:val="0000"/>
      </w:tblPr>
      <w:tblGrid>
        <w:gridCol w:w="1166"/>
        <w:gridCol w:w="2323"/>
        <w:gridCol w:w="2425"/>
        <w:gridCol w:w="2330"/>
      </w:tblGrid>
      <w:tr w:rsidR="00750079" w:rsidTr="0009677C">
        <w:trPr>
          <w:trHeight w:val="648"/>
          <w:jc w:val="center"/>
        </w:trPr>
        <w:tc>
          <w:tcPr>
            <w:tcW w:w="116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b/>
                <w:sz w:val="28"/>
                <w:szCs w:val="28"/>
              </w:rPr>
            </w:pPr>
            <w:r>
              <w:rPr>
                <w:rFonts w:ascii="仿宋_GB2312" w:eastAsia="仿宋_GB2312" w:hAnsi="宋体" w:cs="仿宋_GB2312" w:hint="eastAsia"/>
                <w:b/>
                <w:kern w:val="0"/>
                <w:sz w:val="28"/>
                <w:szCs w:val="28"/>
                <w:lang/>
              </w:rPr>
              <w:t>地  区</w:t>
            </w:r>
          </w:p>
        </w:tc>
        <w:tc>
          <w:tcPr>
            <w:tcW w:w="4748" w:type="dxa"/>
            <w:gridSpan w:val="2"/>
            <w:tcBorders>
              <w:top w:val="single" w:sz="8" w:space="0" w:color="000000"/>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kern w:val="0"/>
                <w:sz w:val="28"/>
                <w:szCs w:val="28"/>
                <w:lang/>
              </w:rPr>
            </w:pPr>
            <w:r>
              <w:rPr>
                <w:rFonts w:ascii="仿宋_GB2312" w:eastAsia="仿宋_GB2312" w:hAnsi="宋体" w:cs="仿宋_GB2312" w:hint="eastAsia"/>
                <w:b/>
                <w:kern w:val="0"/>
                <w:sz w:val="28"/>
                <w:szCs w:val="28"/>
                <w:lang/>
              </w:rPr>
              <w:t>耕地保护和地力提升面积</w:t>
            </w:r>
          </w:p>
        </w:tc>
        <w:tc>
          <w:tcPr>
            <w:tcW w:w="233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综合生产能力</w:t>
            </w:r>
          </w:p>
        </w:tc>
      </w:tr>
      <w:tr w:rsidR="00750079" w:rsidTr="0009677C">
        <w:trPr>
          <w:trHeight w:val="684"/>
          <w:jc w:val="center"/>
        </w:trPr>
        <w:tc>
          <w:tcPr>
            <w:tcW w:w="116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jc w:val="center"/>
              <w:rPr>
                <w:rFonts w:ascii="仿宋_GB2312" w:eastAsia="仿宋_GB2312" w:hAnsi="宋体" w:cs="仿宋_GB2312" w:hint="eastAsia"/>
                <w:b/>
                <w:sz w:val="28"/>
                <w:szCs w:val="28"/>
              </w:rPr>
            </w:pP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永久基本农田</w:t>
            </w:r>
          </w:p>
        </w:tc>
        <w:tc>
          <w:tcPr>
            <w:tcW w:w="242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kern w:val="0"/>
                <w:sz w:val="28"/>
                <w:szCs w:val="28"/>
                <w:lang/>
              </w:rPr>
            </w:pPr>
            <w:r>
              <w:rPr>
                <w:rFonts w:ascii="仿宋_GB2312" w:eastAsia="仿宋_GB2312" w:hAnsi="宋体" w:cs="仿宋_GB2312" w:hint="eastAsia"/>
                <w:b/>
                <w:kern w:val="0"/>
                <w:sz w:val="28"/>
                <w:szCs w:val="28"/>
                <w:lang/>
              </w:rPr>
              <w:t>粮食生产功能区</w:t>
            </w:r>
          </w:p>
        </w:tc>
        <w:tc>
          <w:tcPr>
            <w:tcW w:w="233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750079" w:rsidRDefault="00750079" w:rsidP="0009677C">
            <w:pPr>
              <w:jc w:val="center"/>
              <w:rPr>
                <w:rFonts w:ascii="仿宋_GB2312" w:eastAsia="仿宋_GB2312" w:hAnsi="宋体" w:cs="仿宋_GB2312" w:hint="eastAsia"/>
                <w:b/>
                <w:sz w:val="28"/>
                <w:szCs w:val="28"/>
              </w:rPr>
            </w:pPr>
          </w:p>
        </w:tc>
      </w:tr>
      <w:tr w:rsidR="00750079" w:rsidTr="0009677C">
        <w:trPr>
          <w:trHeight w:val="638"/>
          <w:jc w:val="center"/>
        </w:trPr>
        <w:tc>
          <w:tcPr>
            <w:tcW w:w="116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全  市</w:t>
            </w: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240</w:t>
            </w:r>
          </w:p>
        </w:tc>
        <w:tc>
          <w:tcPr>
            <w:tcW w:w="2425"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jc w:val="center"/>
              <w:rPr>
                <w:rFonts w:ascii="仿宋_GB2312" w:eastAsia="仿宋_GB2312" w:hAnsi="宋体" w:cs="仿宋_GB2312" w:hint="eastAsia"/>
                <w:b/>
                <w:kern w:val="0"/>
                <w:sz w:val="28"/>
                <w:szCs w:val="28"/>
                <w:lang/>
              </w:rPr>
            </w:pPr>
            <w:r>
              <w:rPr>
                <w:rFonts w:ascii="仿宋_GB2312" w:eastAsia="仿宋_GB2312" w:hAnsi="宋体" w:cs="仿宋_GB2312" w:hint="eastAsia"/>
                <w:b/>
                <w:kern w:val="0"/>
                <w:sz w:val="28"/>
                <w:szCs w:val="28"/>
                <w:lang/>
              </w:rPr>
              <w:t>100.27</w:t>
            </w:r>
          </w:p>
        </w:tc>
        <w:tc>
          <w:tcPr>
            <w:tcW w:w="2330"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30.6</w:t>
            </w:r>
          </w:p>
        </w:tc>
      </w:tr>
      <w:tr w:rsidR="00750079" w:rsidTr="0009677C">
        <w:trPr>
          <w:trHeight w:val="638"/>
          <w:jc w:val="center"/>
        </w:trPr>
        <w:tc>
          <w:tcPr>
            <w:tcW w:w="116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越城区</w:t>
            </w: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13.0</w:t>
            </w:r>
          </w:p>
        </w:tc>
        <w:tc>
          <w:tcPr>
            <w:tcW w:w="2425"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8.94</w:t>
            </w:r>
          </w:p>
        </w:tc>
        <w:tc>
          <w:tcPr>
            <w:tcW w:w="2330"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1.76</w:t>
            </w:r>
          </w:p>
        </w:tc>
      </w:tr>
      <w:tr w:rsidR="00750079" w:rsidTr="0009677C">
        <w:trPr>
          <w:trHeight w:val="638"/>
          <w:jc w:val="center"/>
        </w:trPr>
        <w:tc>
          <w:tcPr>
            <w:tcW w:w="116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柯桥区</w:t>
            </w: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24.6</w:t>
            </w:r>
          </w:p>
        </w:tc>
        <w:tc>
          <w:tcPr>
            <w:tcW w:w="2425"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14.16</w:t>
            </w:r>
          </w:p>
        </w:tc>
        <w:tc>
          <w:tcPr>
            <w:tcW w:w="2330"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3.19</w:t>
            </w:r>
          </w:p>
        </w:tc>
      </w:tr>
      <w:tr w:rsidR="00750079" w:rsidTr="0009677C">
        <w:trPr>
          <w:trHeight w:val="638"/>
          <w:jc w:val="center"/>
        </w:trPr>
        <w:tc>
          <w:tcPr>
            <w:tcW w:w="116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上虞区</w:t>
            </w: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47.9</w:t>
            </w:r>
          </w:p>
        </w:tc>
        <w:tc>
          <w:tcPr>
            <w:tcW w:w="2425"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21.03</w:t>
            </w:r>
          </w:p>
        </w:tc>
        <w:tc>
          <w:tcPr>
            <w:tcW w:w="2330"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int="eastAsia"/>
                <w:sz w:val="28"/>
                <w:szCs w:val="28"/>
              </w:rPr>
            </w:pPr>
            <w:r>
              <w:rPr>
                <w:rFonts w:ascii="仿宋_GB2312" w:eastAsia="仿宋_GB2312" w:hint="eastAsia"/>
                <w:sz w:val="28"/>
                <w:szCs w:val="28"/>
              </w:rPr>
              <w:t>6.13</w:t>
            </w:r>
          </w:p>
        </w:tc>
      </w:tr>
      <w:tr w:rsidR="00750079" w:rsidTr="0009677C">
        <w:trPr>
          <w:trHeight w:val="638"/>
          <w:jc w:val="center"/>
        </w:trPr>
        <w:tc>
          <w:tcPr>
            <w:tcW w:w="116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诸暨市</w:t>
            </w: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68.4</w:t>
            </w:r>
          </w:p>
        </w:tc>
        <w:tc>
          <w:tcPr>
            <w:tcW w:w="2425"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32.01</w:t>
            </w:r>
          </w:p>
        </w:tc>
        <w:tc>
          <w:tcPr>
            <w:tcW w:w="2330"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int="eastAsia"/>
                <w:sz w:val="28"/>
                <w:szCs w:val="28"/>
              </w:rPr>
            </w:pPr>
            <w:r>
              <w:rPr>
                <w:rFonts w:ascii="仿宋_GB2312" w:eastAsia="仿宋_GB2312" w:hint="eastAsia"/>
                <w:sz w:val="28"/>
                <w:szCs w:val="28"/>
              </w:rPr>
              <w:t>8.87</w:t>
            </w:r>
          </w:p>
        </w:tc>
      </w:tr>
      <w:tr w:rsidR="00750079" w:rsidTr="0009677C">
        <w:trPr>
          <w:trHeight w:val="638"/>
          <w:jc w:val="center"/>
        </w:trPr>
        <w:tc>
          <w:tcPr>
            <w:tcW w:w="1166"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嵊州市</w:t>
            </w:r>
          </w:p>
        </w:tc>
        <w:tc>
          <w:tcPr>
            <w:tcW w:w="2323"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54.9</w:t>
            </w:r>
          </w:p>
        </w:tc>
        <w:tc>
          <w:tcPr>
            <w:tcW w:w="2425"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18.02</w:t>
            </w:r>
          </w:p>
        </w:tc>
        <w:tc>
          <w:tcPr>
            <w:tcW w:w="2330" w:type="dxa"/>
            <w:tcBorders>
              <w:top w:val="nil"/>
              <w:left w:val="nil"/>
              <w:bottom w:val="single" w:sz="8" w:space="0" w:color="000000"/>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int="eastAsia"/>
                <w:sz w:val="28"/>
                <w:szCs w:val="28"/>
              </w:rPr>
            </w:pPr>
            <w:r>
              <w:rPr>
                <w:rFonts w:ascii="仿宋_GB2312" w:eastAsia="仿宋_GB2312" w:hint="eastAsia"/>
                <w:sz w:val="28"/>
                <w:szCs w:val="28"/>
              </w:rPr>
              <w:t>6.88</w:t>
            </w:r>
          </w:p>
        </w:tc>
      </w:tr>
      <w:tr w:rsidR="00750079" w:rsidTr="0009677C">
        <w:trPr>
          <w:trHeight w:val="658"/>
          <w:jc w:val="center"/>
        </w:trPr>
        <w:tc>
          <w:tcPr>
            <w:tcW w:w="1166" w:type="dxa"/>
            <w:tcBorders>
              <w:top w:val="single" w:sz="8" w:space="0" w:color="000000"/>
              <w:left w:val="single" w:sz="8" w:space="0" w:color="000000"/>
              <w:bottom w:val="single" w:sz="4" w:space="0" w:color="auto"/>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新昌县</w:t>
            </w:r>
          </w:p>
        </w:tc>
        <w:tc>
          <w:tcPr>
            <w:tcW w:w="2323" w:type="dxa"/>
            <w:tcBorders>
              <w:top w:val="single" w:sz="8" w:space="0" w:color="000000"/>
              <w:left w:val="nil"/>
              <w:bottom w:val="single" w:sz="4" w:space="0" w:color="auto"/>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31.2</w:t>
            </w:r>
          </w:p>
        </w:tc>
        <w:tc>
          <w:tcPr>
            <w:tcW w:w="2425" w:type="dxa"/>
            <w:tcBorders>
              <w:top w:val="single" w:sz="8" w:space="0" w:color="000000"/>
              <w:left w:val="nil"/>
              <w:bottom w:val="single" w:sz="4" w:space="0" w:color="auto"/>
              <w:right w:val="single" w:sz="8" w:space="0" w:color="000000"/>
            </w:tcBorders>
            <w:tcMar>
              <w:top w:w="15" w:type="dxa"/>
              <w:left w:w="15" w:type="dxa"/>
              <w:right w:w="15" w:type="dxa"/>
            </w:tcMar>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6.11</w:t>
            </w:r>
          </w:p>
        </w:tc>
        <w:tc>
          <w:tcPr>
            <w:tcW w:w="2330" w:type="dxa"/>
            <w:tcBorders>
              <w:top w:val="single" w:sz="8" w:space="0" w:color="000000"/>
              <w:left w:val="nil"/>
              <w:bottom w:val="single" w:sz="4" w:space="0" w:color="auto"/>
              <w:right w:val="single" w:sz="8"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int="eastAsia"/>
                <w:sz w:val="28"/>
                <w:szCs w:val="28"/>
              </w:rPr>
            </w:pPr>
            <w:r>
              <w:rPr>
                <w:rFonts w:ascii="仿宋_GB2312" w:eastAsia="仿宋_GB2312" w:hint="eastAsia"/>
                <w:sz w:val="28"/>
                <w:szCs w:val="28"/>
              </w:rPr>
              <w:t>3.77</w:t>
            </w:r>
          </w:p>
        </w:tc>
      </w:tr>
    </w:tbl>
    <w:p w:rsidR="00750079" w:rsidRDefault="00750079" w:rsidP="00750079">
      <w:pPr>
        <w:rPr>
          <w:rFonts w:ascii="黑体" w:eastAsia="黑体" w:hAnsi="黑体" w:cs="黑体" w:hint="eastAsia"/>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附件2</w:t>
      </w:r>
    </w:p>
    <w:p w:rsidR="00750079" w:rsidRDefault="00750079" w:rsidP="00750079">
      <w:pPr>
        <w:widowControl/>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2021年粮食播种面积指标分解</w:t>
      </w:r>
    </w:p>
    <w:p w:rsidR="00750079" w:rsidRDefault="00750079" w:rsidP="00750079">
      <w:pPr>
        <w:spacing w:line="640" w:lineRule="exact"/>
        <w:jc w:val="center"/>
        <w:rPr>
          <w:rFonts w:ascii="仿宋_GB2312" w:eastAsia="仿宋_GB2312"/>
          <w:sz w:val="32"/>
          <w:szCs w:val="32"/>
        </w:rPr>
      </w:pPr>
      <w:r>
        <w:rPr>
          <w:rFonts w:ascii="仿宋_GB2312" w:eastAsia="仿宋_GB2312" w:hint="eastAsia"/>
          <w:sz w:val="32"/>
          <w:szCs w:val="32"/>
        </w:rPr>
        <w:t xml:space="preserve">                                       单位：万亩</w:t>
      </w:r>
    </w:p>
    <w:tbl>
      <w:tblPr>
        <w:tblW w:w="0" w:type="auto"/>
        <w:jc w:val="center"/>
        <w:tblLayout w:type="fixed"/>
        <w:tblCellMar>
          <w:top w:w="15" w:type="dxa"/>
          <w:left w:w="15" w:type="dxa"/>
          <w:bottom w:w="15" w:type="dxa"/>
          <w:right w:w="15" w:type="dxa"/>
        </w:tblCellMar>
        <w:tblLook w:val="0000"/>
      </w:tblPr>
      <w:tblGrid>
        <w:gridCol w:w="1244"/>
        <w:gridCol w:w="1555"/>
        <w:gridCol w:w="1483"/>
        <w:gridCol w:w="1462"/>
        <w:gridCol w:w="1487"/>
        <w:gridCol w:w="1568"/>
      </w:tblGrid>
      <w:tr w:rsidR="00750079" w:rsidTr="0009677C">
        <w:trPr>
          <w:trHeight w:val="555"/>
          <w:jc w:val="center"/>
        </w:trPr>
        <w:tc>
          <w:tcPr>
            <w:tcW w:w="1244" w:type="dxa"/>
            <w:vMerge w:val="restart"/>
            <w:tcBorders>
              <w:top w:val="single" w:sz="4" w:space="0" w:color="000000"/>
              <w:left w:val="single" w:sz="4" w:space="0" w:color="000000"/>
              <w:right w:val="single" w:sz="4" w:space="0" w:color="000000"/>
            </w:tcBorders>
            <w:vAlign w:val="center"/>
          </w:tcPr>
          <w:p w:rsidR="00750079" w:rsidRDefault="00750079" w:rsidP="0009677C">
            <w:pPr>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地  区</w:t>
            </w:r>
          </w:p>
        </w:tc>
        <w:tc>
          <w:tcPr>
            <w:tcW w:w="1555" w:type="dxa"/>
            <w:vMerge w:val="restart"/>
            <w:tcBorders>
              <w:top w:val="single" w:sz="4" w:space="0" w:color="000000"/>
              <w:left w:val="single" w:sz="4" w:space="0" w:color="000000"/>
              <w:right w:val="single" w:sz="4" w:space="0" w:color="000000"/>
            </w:tcBorders>
            <w:vAlign w:val="center"/>
          </w:tcPr>
          <w:p w:rsidR="00750079" w:rsidRDefault="00750079" w:rsidP="0009677C">
            <w:pPr>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全年任务</w:t>
            </w:r>
          </w:p>
        </w:tc>
        <w:tc>
          <w:tcPr>
            <w:tcW w:w="6000" w:type="dxa"/>
            <w:gridSpan w:val="4"/>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其中</w:t>
            </w:r>
          </w:p>
        </w:tc>
      </w:tr>
      <w:tr w:rsidR="00750079" w:rsidTr="0009677C">
        <w:trPr>
          <w:trHeight w:val="650"/>
          <w:jc w:val="center"/>
        </w:trPr>
        <w:tc>
          <w:tcPr>
            <w:tcW w:w="1244" w:type="dxa"/>
            <w:vMerge/>
            <w:tcBorders>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p>
        </w:tc>
        <w:tc>
          <w:tcPr>
            <w:tcW w:w="1555" w:type="dxa"/>
            <w:vMerge/>
            <w:tcBorders>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早稻</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晚稻</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小麦</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旱杂粮</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640" w:lineRule="exact"/>
              <w:jc w:val="center"/>
              <w:textAlignment w:val="center"/>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全  市</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lang/>
              </w:rPr>
              <w:t>184.4</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lang/>
              </w:rPr>
              <w:t xml:space="preserve">25.0 </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lang/>
              </w:rPr>
              <w:t xml:space="preserve">105.6 </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lang/>
              </w:rPr>
              <w:t>10.9</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lang/>
              </w:rPr>
              <w:t xml:space="preserve">42.9 </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越城区</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15.36</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4.75</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9.00</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1.07</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仿宋_GB2312" w:cs="仿宋_GB2312" w:hint="eastAsia"/>
                <w:kern w:val="0"/>
                <w:sz w:val="28"/>
                <w:szCs w:val="28"/>
              </w:rPr>
            </w:pPr>
            <w:r>
              <w:rPr>
                <w:rFonts w:ascii="仿宋_GB2312" w:eastAsia="仿宋_GB2312" w:hAnsi="宋体" w:cs="宋体" w:hint="eastAsia"/>
                <w:kern w:val="0"/>
                <w:sz w:val="28"/>
                <w:szCs w:val="28"/>
              </w:rPr>
              <w:t>0.54</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柯桥区</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18.9</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0.84</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13.02</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1.04</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仿宋_GB2312" w:cs="仿宋_GB2312" w:hint="eastAsia"/>
                <w:kern w:val="0"/>
                <w:sz w:val="28"/>
                <w:szCs w:val="28"/>
              </w:rPr>
            </w:pPr>
            <w:r>
              <w:rPr>
                <w:rFonts w:ascii="仿宋_GB2312" w:eastAsia="仿宋_GB2312" w:hAnsi="宋体" w:cs="宋体" w:hint="eastAsia"/>
                <w:kern w:val="0"/>
                <w:sz w:val="28"/>
                <w:szCs w:val="28"/>
              </w:rPr>
              <w:t>4.00</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上虞区</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55.97</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14.86</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27.01</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5.16</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仿宋_GB2312" w:cs="仿宋_GB2312" w:hint="eastAsia"/>
                <w:kern w:val="0"/>
                <w:sz w:val="28"/>
                <w:szCs w:val="28"/>
              </w:rPr>
            </w:pPr>
            <w:r>
              <w:rPr>
                <w:rFonts w:ascii="仿宋_GB2312" w:eastAsia="仿宋_GB2312" w:hAnsi="宋体" w:cs="宋体" w:hint="eastAsia"/>
                <w:kern w:val="0"/>
                <w:sz w:val="28"/>
                <w:szCs w:val="28"/>
              </w:rPr>
              <w:t>8.94</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诸暨市</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51.66</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3.67</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32.33</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2.03</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仿宋_GB2312" w:cs="仿宋_GB2312" w:hint="eastAsia"/>
                <w:kern w:val="0"/>
                <w:sz w:val="28"/>
                <w:szCs w:val="28"/>
              </w:rPr>
            </w:pPr>
            <w:r>
              <w:rPr>
                <w:rFonts w:ascii="仿宋_GB2312" w:eastAsia="仿宋_GB2312" w:hAnsi="宋体" w:cs="宋体" w:hint="eastAsia"/>
                <w:kern w:val="0"/>
                <w:sz w:val="28"/>
                <w:szCs w:val="28"/>
              </w:rPr>
              <w:t>13.63</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嵊州市</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30.94</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0.88</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18.71</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1.13</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仿宋_GB2312" w:cs="仿宋_GB2312" w:hint="eastAsia"/>
                <w:kern w:val="0"/>
                <w:sz w:val="28"/>
                <w:szCs w:val="28"/>
              </w:rPr>
            </w:pPr>
            <w:r>
              <w:rPr>
                <w:rFonts w:ascii="仿宋_GB2312" w:eastAsia="仿宋_GB2312" w:hAnsi="宋体" w:cs="宋体" w:hint="eastAsia"/>
                <w:kern w:val="0"/>
                <w:sz w:val="28"/>
                <w:szCs w:val="28"/>
              </w:rPr>
              <w:t>10.22</w:t>
            </w:r>
          </w:p>
        </w:tc>
      </w:tr>
      <w:tr w:rsidR="00750079" w:rsidTr="0009677C">
        <w:trPr>
          <w:trHeight w:hRule="exact" w:val="680"/>
          <w:jc w:val="center"/>
        </w:trPr>
        <w:tc>
          <w:tcPr>
            <w:tcW w:w="124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新昌县</w:t>
            </w:r>
          </w:p>
        </w:tc>
        <w:tc>
          <w:tcPr>
            <w:tcW w:w="155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11.57</w:t>
            </w:r>
          </w:p>
        </w:tc>
        <w:tc>
          <w:tcPr>
            <w:tcW w:w="14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0</w:t>
            </w:r>
          </w:p>
        </w:tc>
        <w:tc>
          <w:tcPr>
            <w:tcW w:w="1462"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5.53</w:t>
            </w:r>
          </w:p>
        </w:tc>
        <w:tc>
          <w:tcPr>
            <w:tcW w:w="148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0.47</w:t>
            </w:r>
          </w:p>
        </w:tc>
        <w:tc>
          <w:tcPr>
            <w:tcW w:w="156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rPr>
                <w:rFonts w:ascii="仿宋_GB2312" w:eastAsia="仿宋_GB2312" w:hAnsi="仿宋_GB2312" w:cs="仿宋_GB2312" w:hint="eastAsia"/>
                <w:kern w:val="0"/>
                <w:sz w:val="28"/>
                <w:szCs w:val="28"/>
              </w:rPr>
            </w:pPr>
            <w:r>
              <w:rPr>
                <w:rFonts w:ascii="仿宋_GB2312" w:eastAsia="仿宋_GB2312" w:hAnsi="宋体" w:cs="宋体" w:hint="eastAsia"/>
                <w:kern w:val="0"/>
                <w:sz w:val="28"/>
                <w:szCs w:val="28"/>
              </w:rPr>
              <w:t>5.57</w:t>
            </w:r>
          </w:p>
        </w:tc>
      </w:tr>
    </w:tbl>
    <w:p w:rsidR="00750079" w:rsidRDefault="00750079" w:rsidP="00750079">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br w:type="page"/>
      </w:r>
      <w:r>
        <w:rPr>
          <w:rFonts w:ascii="黑体" w:eastAsia="黑体" w:hAnsi="黑体" w:cs="黑体" w:hint="eastAsia"/>
          <w:sz w:val="32"/>
          <w:szCs w:val="32"/>
        </w:rPr>
        <w:lastRenderedPageBreak/>
        <w:t>附件3</w:t>
      </w:r>
    </w:p>
    <w:p w:rsidR="00750079" w:rsidRDefault="00750079" w:rsidP="00750079">
      <w:pPr>
        <w:jc w:val="center"/>
        <w:rPr>
          <w:rFonts w:ascii="仿宋_GB2312" w:eastAsia="仿宋_GB2312" w:hAnsi="仿宋_GB2312" w:cs="仿宋_GB2312" w:hint="eastAsia"/>
          <w:sz w:val="28"/>
          <w:szCs w:val="28"/>
        </w:rPr>
      </w:pPr>
      <w:r>
        <w:rPr>
          <w:rFonts w:ascii="方正小标宋简体" w:eastAsia="方正小标宋简体" w:hAnsi="方正小标宋简体" w:cs="方正小标宋简体" w:hint="eastAsia"/>
          <w:sz w:val="44"/>
          <w:szCs w:val="44"/>
        </w:rPr>
        <w:t>2021年粮食总产量指标分解</w:t>
      </w:r>
    </w:p>
    <w:p w:rsidR="00750079" w:rsidRDefault="00750079" w:rsidP="00750079">
      <w:pPr>
        <w:ind w:firstLineChars="1700" w:firstLine="5440"/>
        <w:jc w:val="center"/>
        <w:rPr>
          <w:rFonts w:ascii="仿宋_GB2312" w:eastAsia="仿宋_GB2312" w:hint="eastAsia"/>
          <w:sz w:val="32"/>
          <w:szCs w:val="32"/>
        </w:rPr>
      </w:pPr>
      <w:r>
        <w:rPr>
          <w:rFonts w:ascii="仿宋_GB2312" w:eastAsia="仿宋_GB2312" w:hint="eastAsia"/>
          <w:sz w:val="32"/>
          <w:szCs w:val="32"/>
        </w:rPr>
        <w:t>单位：亿斤</w:t>
      </w:r>
    </w:p>
    <w:tbl>
      <w:tblPr>
        <w:tblW w:w="0" w:type="auto"/>
        <w:jc w:val="center"/>
        <w:tblLayout w:type="fixed"/>
        <w:tblCellMar>
          <w:top w:w="15" w:type="dxa"/>
          <w:left w:w="15" w:type="dxa"/>
          <w:bottom w:w="15" w:type="dxa"/>
          <w:right w:w="15" w:type="dxa"/>
        </w:tblCellMar>
        <w:tblLook w:val="0000"/>
      </w:tblPr>
      <w:tblGrid>
        <w:gridCol w:w="1454"/>
        <w:gridCol w:w="1515"/>
        <w:gridCol w:w="1515"/>
        <w:gridCol w:w="1440"/>
        <w:gridCol w:w="1290"/>
        <w:gridCol w:w="1383"/>
      </w:tblGrid>
      <w:tr w:rsidR="00750079" w:rsidTr="0009677C">
        <w:trPr>
          <w:trHeight w:hRule="exact" w:val="567"/>
          <w:jc w:val="center"/>
        </w:trPr>
        <w:tc>
          <w:tcPr>
            <w:tcW w:w="1454" w:type="dxa"/>
            <w:vMerge w:val="restart"/>
            <w:tcBorders>
              <w:top w:val="single" w:sz="4" w:space="0" w:color="auto"/>
              <w:left w:val="single" w:sz="4" w:space="0" w:color="000000"/>
              <w:bottom w:val="single" w:sz="4" w:space="0" w:color="000000"/>
              <w:right w:val="single" w:sz="4" w:space="0" w:color="000000"/>
            </w:tcBorders>
            <w:vAlign w:val="center"/>
          </w:tcPr>
          <w:p w:rsidR="00750079" w:rsidRDefault="00750079" w:rsidP="0009677C">
            <w:pPr>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地区</w:t>
            </w:r>
          </w:p>
        </w:tc>
        <w:tc>
          <w:tcPr>
            <w:tcW w:w="1515" w:type="dxa"/>
            <w:vMerge w:val="restart"/>
            <w:tcBorders>
              <w:top w:val="single" w:sz="4" w:space="0" w:color="000000"/>
              <w:left w:val="single" w:sz="4" w:space="0" w:color="000000"/>
              <w:right w:val="single" w:sz="4" w:space="0" w:color="000000"/>
            </w:tcBorders>
            <w:vAlign w:val="center"/>
          </w:tcPr>
          <w:p w:rsidR="00750079" w:rsidRDefault="00750079" w:rsidP="0009677C">
            <w:pPr>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全年目标</w:t>
            </w:r>
          </w:p>
        </w:tc>
        <w:tc>
          <w:tcPr>
            <w:tcW w:w="5628" w:type="dxa"/>
            <w:gridSpan w:val="4"/>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其中</w:t>
            </w:r>
          </w:p>
        </w:tc>
      </w:tr>
      <w:tr w:rsidR="00750079" w:rsidTr="0009677C">
        <w:trPr>
          <w:trHeight w:hRule="exact" w:val="567"/>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spacing w:line="360" w:lineRule="exact"/>
              <w:jc w:val="center"/>
              <w:rPr>
                <w:rFonts w:ascii="仿宋_GB2312" w:eastAsia="仿宋_GB2312" w:hAnsi="仿宋_GB2312" w:cs="仿宋_GB2312" w:hint="eastAsia"/>
                <w:b/>
                <w:sz w:val="28"/>
                <w:szCs w:val="28"/>
              </w:rPr>
            </w:pPr>
          </w:p>
        </w:tc>
        <w:tc>
          <w:tcPr>
            <w:tcW w:w="1515" w:type="dxa"/>
            <w:vMerge/>
            <w:tcBorders>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早稻</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晚稻</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小麦</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rPr>
              <w:t>旱杂粮</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全  市</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15.69</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10.53</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0.61</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2.25</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越城区</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1.394</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0.436</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0.868</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宋体" w:hint="eastAsia"/>
                <w:kern w:val="0"/>
                <w:sz w:val="28"/>
                <w:szCs w:val="28"/>
              </w:rPr>
            </w:pPr>
            <w:r>
              <w:rPr>
                <w:rFonts w:ascii="仿宋_GB2312" w:eastAsia="仿宋_GB2312" w:hAnsi="仿宋_GB2312" w:cs="仿宋_GB2312" w:hint="eastAsia"/>
                <w:kern w:val="0"/>
                <w:sz w:val="28"/>
                <w:szCs w:val="28"/>
                <w:lang/>
              </w:rPr>
              <w:t>0.064</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0.026</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柯桥区</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1.662</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0.073</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1.321</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宋体" w:hint="eastAsia"/>
                <w:kern w:val="0"/>
                <w:sz w:val="28"/>
                <w:szCs w:val="28"/>
              </w:rPr>
            </w:pPr>
            <w:r>
              <w:rPr>
                <w:rFonts w:ascii="仿宋_GB2312" w:eastAsia="仿宋_GB2312" w:hAnsi="仿宋_GB2312" w:cs="仿宋_GB2312" w:hint="eastAsia"/>
                <w:kern w:val="0"/>
                <w:sz w:val="28"/>
                <w:szCs w:val="28"/>
                <w:lang/>
              </w:rPr>
              <w:t>0.058</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0.21</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上虞区</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4.637</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1.411</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2.514</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宋体" w:hint="eastAsia"/>
                <w:kern w:val="0"/>
                <w:sz w:val="28"/>
                <w:szCs w:val="28"/>
              </w:rPr>
            </w:pPr>
            <w:r>
              <w:rPr>
                <w:rFonts w:ascii="仿宋_GB2312" w:eastAsia="仿宋_GB2312" w:hAnsi="仿宋_GB2312" w:cs="仿宋_GB2312" w:hint="eastAsia"/>
                <w:kern w:val="0"/>
                <w:sz w:val="28"/>
                <w:szCs w:val="28"/>
                <w:lang/>
              </w:rPr>
              <w:t>0.283</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0.429</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诸暨市</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4.423</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0.308</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3.283</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宋体" w:hint="eastAsia"/>
                <w:kern w:val="0"/>
                <w:sz w:val="28"/>
                <w:szCs w:val="28"/>
              </w:rPr>
            </w:pPr>
            <w:r>
              <w:rPr>
                <w:rFonts w:ascii="仿宋_GB2312" w:eastAsia="仿宋_GB2312" w:hAnsi="仿宋_GB2312" w:cs="仿宋_GB2312" w:hint="eastAsia"/>
                <w:kern w:val="0"/>
                <w:sz w:val="28"/>
                <w:szCs w:val="28"/>
                <w:lang/>
              </w:rPr>
              <w:t>0.106</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0.726</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嵊州市</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2.662</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0.072</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1.952</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宋体" w:hint="eastAsia"/>
                <w:kern w:val="0"/>
                <w:sz w:val="28"/>
                <w:szCs w:val="28"/>
              </w:rPr>
            </w:pPr>
            <w:r>
              <w:rPr>
                <w:rFonts w:ascii="仿宋_GB2312" w:eastAsia="仿宋_GB2312" w:hAnsi="仿宋_GB2312" w:cs="仿宋_GB2312" w:hint="eastAsia"/>
                <w:kern w:val="0"/>
                <w:sz w:val="28"/>
                <w:szCs w:val="28"/>
                <w:lang/>
              </w:rPr>
              <w:t>0.07</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0.568</w:t>
            </w:r>
          </w:p>
        </w:tc>
      </w:tr>
      <w:tr w:rsidR="00750079" w:rsidTr="0009677C">
        <w:trPr>
          <w:trHeight w:hRule="exact" w:val="680"/>
          <w:jc w:val="center"/>
        </w:trPr>
        <w:tc>
          <w:tcPr>
            <w:tcW w:w="1454"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新昌县</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0.912</w:t>
            </w:r>
          </w:p>
        </w:tc>
        <w:tc>
          <w:tcPr>
            <w:tcW w:w="1515"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lang/>
              </w:rPr>
              <w:t>0.592</w:t>
            </w:r>
          </w:p>
        </w:tc>
        <w:tc>
          <w:tcPr>
            <w:tcW w:w="129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宋体" w:hint="eastAsia"/>
                <w:kern w:val="0"/>
                <w:sz w:val="28"/>
                <w:szCs w:val="28"/>
              </w:rPr>
            </w:pPr>
            <w:r>
              <w:rPr>
                <w:rFonts w:ascii="仿宋_GB2312" w:eastAsia="仿宋_GB2312" w:hAnsi="仿宋_GB2312" w:cs="仿宋_GB2312" w:hint="eastAsia"/>
                <w:kern w:val="0"/>
                <w:sz w:val="28"/>
                <w:szCs w:val="28"/>
                <w:lang/>
              </w:rPr>
              <w:t>0.029</w:t>
            </w:r>
          </w:p>
        </w:tc>
        <w:tc>
          <w:tcPr>
            <w:tcW w:w="1383"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仿宋_GB2312" w:cs="仿宋_GB2312" w:hint="eastAsia"/>
                <w:bCs/>
                <w:kern w:val="0"/>
                <w:sz w:val="28"/>
                <w:szCs w:val="28"/>
                <w:lang/>
              </w:rPr>
            </w:pPr>
            <w:r>
              <w:rPr>
                <w:rFonts w:ascii="仿宋_GB2312" w:eastAsia="仿宋_GB2312" w:hAnsi="仿宋_GB2312" w:cs="仿宋_GB2312" w:hint="eastAsia"/>
                <w:kern w:val="0"/>
                <w:sz w:val="28"/>
                <w:szCs w:val="28"/>
                <w:lang/>
              </w:rPr>
              <w:t>0.291</w:t>
            </w:r>
          </w:p>
        </w:tc>
      </w:tr>
    </w:tbl>
    <w:p w:rsidR="00750079" w:rsidRDefault="00750079" w:rsidP="00750079">
      <w:pPr>
        <w:rPr>
          <w:rFonts w:ascii="黑体" w:eastAsia="黑体" w:hAnsi="黑体" w:cs="黑体"/>
          <w:sz w:val="32"/>
          <w:szCs w:val="32"/>
        </w:rPr>
      </w:pPr>
      <w:r>
        <w:rPr>
          <w:rFonts w:ascii="仿宋_GB2312" w:eastAsia="仿宋_GB2312" w:hint="eastAsia"/>
          <w:sz w:val="32"/>
          <w:szCs w:val="32"/>
        </w:rPr>
        <w:br w:type="page"/>
      </w:r>
      <w:r>
        <w:rPr>
          <w:rFonts w:ascii="黑体" w:eastAsia="黑体" w:hAnsi="黑体" w:cs="黑体" w:hint="eastAsia"/>
          <w:sz w:val="32"/>
          <w:szCs w:val="32"/>
        </w:rPr>
        <w:lastRenderedPageBreak/>
        <w:t>附件4</w:t>
      </w:r>
    </w:p>
    <w:p w:rsidR="00750079" w:rsidRDefault="00750079" w:rsidP="00750079">
      <w:pPr>
        <w:widowControl/>
        <w:spacing w:line="640" w:lineRule="exact"/>
        <w:jc w:val="center"/>
        <w:rPr>
          <w:rFonts w:eastAsia="方正小标宋简体"/>
          <w:sz w:val="44"/>
          <w:szCs w:val="44"/>
        </w:rPr>
      </w:pPr>
      <w:r>
        <w:rPr>
          <w:rFonts w:ascii="方正小标宋简体" w:eastAsia="方正小标宋简体" w:hAnsi="方正小标宋简体" w:cs="方正小标宋简体" w:hint="eastAsia"/>
          <w:sz w:val="44"/>
          <w:szCs w:val="44"/>
        </w:rPr>
        <w:t>2021年油菜、油茶面积</w:t>
      </w:r>
      <w:r>
        <w:rPr>
          <w:rFonts w:eastAsia="方正小标宋简体" w:hint="eastAsia"/>
          <w:sz w:val="44"/>
          <w:szCs w:val="44"/>
        </w:rPr>
        <w:t>和总产量</w:t>
      </w:r>
      <w:r>
        <w:rPr>
          <w:rFonts w:eastAsia="方正小标宋简体"/>
          <w:sz w:val="44"/>
          <w:szCs w:val="44"/>
        </w:rPr>
        <w:t>指标分解</w:t>
      </w:r>
    </w:p>
    <w:p w:rsidR="00750079" w:rsidRDefault="00750079" w:rsidP="00750079">
      <w:pPr>
        <w:ind w:firstLineChars="1400" w:firstLine="4480"/>
        <w:jc w:val="center"/>
        <w:rPr>
          <w:rFonts w:eastAsia="仿宋_GB2312" w:hint="eastAsia"/>
          <w:sz w:val="32"/>
          <w:szCs w:val="32"/>
        </w:rPr>
      </w:pPr>
      <w:r>
        <w:rPr>
          <w:rFonts w:eastAsia="仿宋_GB2312"/>
          <w:sz w:val="32"/>
          <w:szCs w:val="32"/>
        </w:rPr>
        <w:t>单位</w:t>
      </w:r>
      <w:r>
        <w:rPr>
          <w:rFonts w:eastAsia="仿宋_GB2312"/>
          <w:sz w:val="32"/>
          <w:szCs w:val="32"/>
        </w:rPr>
        <w:t>:</w:t>
      </w:r>
      <w:r>
        <w:rPr>
          <w:rFonts w:eastAsia="仿宋_GB2312"/>
          <w:sz w:val="32"/>
          <w:szCs w:val="32"/>
        </w:rPr>
        <w:t>万亩、</w:t>
      </w:r>
      <w:r>
        <w:rPr>
          <w:rFonts w:eastAsia="仿宋_GB2312" w:hint="eastAsia"/>
          <w:sz w:val="32"/>
          <w:szCs w:val="32"/>
        </w:rPr>
        <w:t>吨</w:t>
      </w:r>
    </w:p>
    <w:tbl>
      <w:tblPr>
        <w:tblW w:w="0" w:type="auto"/>
        <w:tblInd w:w="163" w:type="dxa"/>
        <w:tblLayout w:type="fixed"/>
        <w:tblCellMar>
          <w:left w:w="0" w:type="dxa"/>
          <w:right w:w="0" w:type="dxa"/>
        </w:tblCellMar>
        <w:tblLook w:val="0000"/>
      </w:tblPr>
      <w:tblGrid>
        <w:gridCol w:w="1365"/>
        <w:gridCol w:w="1335"/>
        <w:gridCol w:w="1275"/>
        <w:gridCol w:w="1245"/>
        <w:gridCol w:w="2012"/>
        <w:gridCol w:w="1425"/>
      </w:tblGrid>
      <w:tr w:rsidR="00750079" w:rsidTr="0009677C">
        <w:trPr>
          <w:trHeight w:val="405"/>
        </w:trPr>
        <w:tc>
          <w:tcPr>
            <w:tcW w:w="13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b/>
                <w:sz w:val="28"/>
                <w:szCs w:val="28"/>
              </w:rPr>
            </w:pPr>
            <w:r>
              <w:rPr>
                <w:rFonts w:ascii="仿宋_GB2312" w:eastAsia="仿宋_GB2312" w:hAnsi="宋体" w:cs="仿宋_GB2312" w:hint="eastAsia"/>
                <w:b/>
                <w:kern w:val="0"/>
                <w:sz w:val="28"/>
                <w:szCs w:val="28"/>
                <w:lang/>
              </w:rPr>
              <w:t>地  区</w:t>
            </w:r>
          </w:p>
        </w:tc>
        <w:tc>
          <w:tcPr>
            <w:tcW w:w="2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油菜</w:t>
            </w:r>
          </w:p>
        </w:tc>
        <w:tc>
          <w:tcPr>
            <w:tcW w:w="46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油茶</w:t>
            </w:r>
          </w:p>
        </w:tc>
      </w:tr>
      <w:tr w:rsidR="00750079" w:rsidTr="0009677C">
        <w:trPr>
          <w:trHeight w:val="460"/>
        </w:trPr>
        <w:tc>
          <w:tcPr>
            <w:tcW w:w="13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jc w:val="center"/>
              <w:rPr>
                <w:rFonts w:ascii="仿宋_GB2312" w:eastAsia="仿宋_GB2312" w:hAnsi="宋体" w:cs="仿宋_GB2312" w:hint="eastAsia"/>
                <w:b/>
                <w:sz w:val="28"/>
                <w:szCs w:val="28"/>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面  积</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总产量</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面积</w:t>
            </w: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其中新增面积</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总产量</w:t>
            </w: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全  市</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15.61</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232</w:t>
            </w:r>
            <w:r>
              <w:rPr>
                <w:rFonts w:ascii="仿宋_GB2312" w:eastAsia="仿宋_GB2312" w:hAnsi="宋体" w:cs="仿宋_GB2312"/>
                <w:b/>
                <w:kern w:val="0"/>
                <w:sz w:val="28"/>
                <w:szCs w:val="28"/>
                <w:lang/>
              </w:rPr>
              <w:t>00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3.11</w:t>
            </w: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0.21</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b/>
                <w:sz w:val="28"/>
                <w:szCs w:val="28"/>
              </w:rPr>
            </w:pPr>
            <w:r>
              <w:rPr>
                <w:rFonts w:ascii="仿宋_GB2312" w:eastAsia="仿宋_GB2312" w:hAnsi="宋体" w:cs="仿宋_GB2312"/>
                <w:b/>
                <w:kern w:val="0"/>
                <w:sz w:val="28"/>
                <w:szCs w:val="28"/>
                <w:lang/>
              </w:rPr>
              <w:t>7</w:t>
            </w:r>
            <w:r>
              <w:rPr>
                <w:rFonts w:ascii="仿宋_GB2312" w:eastAsia="仿宋_GB2312" w:hAnsi="宋体" w:cs="仿宋_GB2312" w:hint="eastAsia"/>
                <w:b/>
                <w:kern w:val="0"/>
                <w:sz w:val="28"/>
                <w:szCs w:val="28"/>
                <w:lang/>
              </w:rPr>
              <w:t>40</w:t>
            </w: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越城区</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0.79</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152</w:t>
            </w:r>
            <w:r>
              <w:rPr>
                <w:rFonts w:ascii="仿宋_GB2312" w:eastAsia="仿宋_GB2312" w:hAnsi="宋体" w:cs="宋体"/>
                <w:kern w:val="0"/>
                <w:sz w:val="28"/>
                <w:szCs w:val="28"/>
              </w:rPr>
              <w:t>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hint="eastAsia"/>
                <w:sz w:val="28"/>
                <w:szCs w:val="28"/>
              </w:rPr>
            </w:pP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柯桥区</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1.84</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289</w:t>
            </w:r>
            <w:r>
              <w:rPr>
                <w:rFonts w:ascii="仿宋_GB2312" w:eastAsia="仿宋_GB2312" w:hAnsi="宋体" w:cs="宋体"/>
                <w:kern w:val="0"/>
                <w:sz w:val="28"/>
                <w:szCs w:val="28"/>
              </w:rPr>
              <w:t>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hint="eastAsia"/>
                <w:sz w:val="28"/>
                <w:szCs w:val="28"/>
              </w:rPr>
            </w:pP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上虞区</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5.2</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808</w:t>
            </w:r>
            <w:r>
              <w:rPr>
                <w:rFonts w:ascii="仿宋_GB2312" w:eastAsia="仿宋_GB2312" w:hAnsi="宋体" w:cs="宋体"/>
                <w:kern w:val="0"/>
                <w:sz w:val="28"/>
                <w:szCs w:val="28"/>
              </w:rPr>
              <w:t>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0.27</w:t>
            </w: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hint="eastAsia"/>
                <w:sz w:val="28"/>
                <w:szCs w:val="28"/>
              </w:rPr>
            </w:pP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诸暨市</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2.36</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319</w:t>
            </w:r>
            <w:r>
              <w:rPr>
                <w:rFonts w:ascii="仿宋_GB2312" w:eastAsia="仿宋_GB2312" w:hAnsi="宋体" w:cs="宋体"/>
                <w:kern w:val="0"/>
                <w:sz w:val="28"/>
                <w:szCs w:val="28"/>
              </w:rPr>
              <w:t>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0.38</w:t>
            </w: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0.</w:t>
            </w:r>
            <w:r>
              <w:rPr>
                <w:rFonts w:ascii="仿宋_GB2312" w:eastAsia="仿宋_GB2312" w:hAnsi="宋体" w:cs="仿宋_GB2312" w:hint="eastAsia"/>
                <w:sz w:val="28"/>
                <w:szCs w:val="28"/>
              </w:rPr>
              <w:t>0</w:t>
            </w:r>
            <w:r>
              <w:rPr>
                <w:rFonts w:ascii="仿宋_GB2312" w:eastAsia="仿宋_GB2312" w:hAnsi="宋体" w:cs="仿宋_GB2312"/>
                <w:sz w:val="28"/>
                <w:szCs w:val="28"/>
              </w:rPr>
              <w:t>55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6</w:t>
            </w: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嵊州市</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1.66</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254</w:t>
            </w:r>
            <w:r>
              <w:rPr>
                <w:rFonts w:ascii="仿宋_GB2312" w:eastAsia="仿宋_GB2312" w:hAnsi="宋体" w:cs="宋体"/>
                <w:kern w:val="0"/>
                <w:sz w:val="28"/>
                <w:szCs w:val="28"/>
              </w:rPr>
              <w:t>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1.57</w:t>
            </w: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0.</w:t>
            </w:r>
            <w:r>
              <w:rPr>
                <w:rFonts w:ascii="仿宋_GB2312" w:eastAsia="仿宋_GB2312" w:hAnsi="宋体" w:cs="仿宋_GB2312" w:hint="eastAsia"/>
                <w:sz w:val="28"/>
                <w:szCs w:val="28"/>
              </w:rPr>
              <w:t>0</w:t>
            </w:r>
            <w:r>
              <w:rPr>
                <w:rFonts w:ascii="仿宋_GB2312" w:eastAsia="仿宋_GB2312" w:hAnsi="宋体" w:cs="仿宋_GB2312"/>
                <w:sz w:val="28"/>
                <w:szCs w:val="28"/>
              </w:rPr>
              <w:t>7</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sz w:val="28"/>
                <w:szCs w:val="28"/>
              </w:rPr>
            </w:pPr>
            <w:r>
              <w:rPr>
                <w:rFonts w:ascii="仿宋_GB2312" w:eastAsia="仿宋_GB2312" w:hAnsi="宋体" w:cs="仿宋_GB2312"/>
                <w:sz w:val="28"/>
                <w:szCs w:val="28"/>
              </w:rPr>
              <w:t>284</w:t>
            </w:r>
          </w:p>
        </w:tc>
      </w:tr>
      <w:tr w:rsidR="00750079" w:rsidTr="0009677C">
        <w:trPr>
          <w:trHeight w:val="375"/>
        </w:trPr>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新昌县</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3.76</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498</w:t>
            </w:r>
            <w:r>
              <w:rPr>
                <w:rFonts w:ascii="仿宋_GB2312" w:eastAsia="仿宋_GB2312" w:hAnsi="宋体" w:cs="宋体"/>
                <w:kern w:val="0"/>
                <w:sz w:val="28"/>
                <w:szCs w:val="28"/>
              </w:rPr>
              <w:t>0</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0.89</w:t>
            </w:r>
          </w:p>
        </w:tc>
        <w:tc>
          <w:tcPr>
            <w:tcW w:w="20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sz w:val="28"/>
                <w:szCs w:val="28"/>
              </w:rPr>
            </w:pPr>
            <w:r>
              <w:rPr>
                <w:rFonts w:ascii="仿宋_GB2312" w:eastAsia="仿宋_GB2312" w:hAnsi="宋体" w:cs="仿宋_GB2312"/>
                <w:sz w:val="28"/>
                <w:szCs w:val="28"/>
              </w:rPr>
              <w:t>0.085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50079" w:rsidRDefault="00750079" w:rsidP="0009677C">
            <w:pPr>
              <w:widowControl/>
              <w:jc w:val="center"/>
              <w:textAlignment w:val="bottom"/>
              <w:rPr>
                <w:rFonts w:ascii="仿宋_GB2312" w:eastAsia="仿宋_GB2312" w:hAnsi="宋体" w:cs="仿宋_GB2312"/>
                <w:sz w:val="28"/>
                <w:szCs w:val="28"/>
              </w:rPr>
            </w:pPr>
            <w:r>
              <w:rPr>
                <w:rFonts w:ascii="仿宋_GB2312" w:eastAsia="仿宋_GB2312" w:hAnsi="宋体" w:cs="仿宋_GB2312"/>
                <w:sz w:val="28"/>
                <w:szCs w:val="28"/>
              </w:rPr>
              <w:t>450</w:t>
            </w:r>
          </w:p>
        </w:tc>
      </w:tr>
    </w:tbl>
    <w:p w:rsidR="00750079" w:rsidRDefault="00750079" w:rsidP="00750079">
      <w:pPr>
        <w:rPr>
          <w:rFonts w:eastAsia="仿宋_GB2312" w:hint="eastAsia"/>
          <w:sz w:val="32"/>
          <w:szCs w:val="32"/>
        </w:rPr>
      </w:pPr>
    </w:p>
    <w:p w:rsidR="00750079" w:rsidRDefault="00750079" w:rsidP="00750079">
      <w:pPr>
        <w:rPr>
          <w:rFonts w:eastAsia="仿宋_GB2312" w:hint="eastAsia"/>
          <w:sz w:val="32"/>
          <w:szCs w:val="32"/>
        </w:rPr>
      </w:pPr>
    </w:p>
    <w:p w:rsidR="00750079" w:rsidRDefault="00750079" w:rsidP="00750079">
      <w:pPr>
        <w:rPr>
          <w:rFonts w:ascii="黑体" w:eastAsia="黑体" w:hAnsi="黑体" w:cs="黑体"/>
          <w:sz w:val="32"/>
          <w:szCs w:val="32"/>
        </w:rPr>
      </w:pPr>
      <w:r>
        <w:rPr>
          <w:rFonts w:eastAsia="仿宋_GB2312" w:hint="eastAsia"/>
          <w:sz w:val="32"/>
          <w:szCs w:val="32"/>
        </w:rPr>
        <w:br w:type="page"/>
      </w:r>
      <w:r>
        <w:rPr>
          <w:rFonts w:ascii="黑体" w:eastAsia="黑体" w:hAnsi="黑体" w:cs="黑体" w:hint="eastAsia"/>
          <w:sz w:val="32"/>
          <w:szCs w:val="32"/>
        </w:rPr>
        <w:lastRenderedPageBreak/>
        <w:t>附件5</w:t>
      </w:r>
    </w:p>
    <w:p w:rsidR="00750079" w:rsidRDefault="00750079" w:rsidP="00750079">
      <w:pPr>
        <w:spacing w:line="660" w:lineRule="exact"/>
        <w:jc w:val="center"/>
        <w:rPr>
          <w:rFonts w:ascii="方正小标宋简体" w:eastAsia="方正小标宋简体" w:hint="eastAsia"/>
          <w:kern w:val="0"/>
          <w:sz w:val="44"/>
          <w:szCs w:val="44"/>
        </w:rPr>
      </w:pPr>
      <w:r>
        <w:rPr>
          <w:rFonts w:ascii="方正小标宋简体" w:eastAsia="方正小标宋简体" w:hint="eastAsia"/>
          <w:sz w:val="44"/>
          <w:szCs w:val="44"/>
        </w:rPr>
        <w:t>2021年口粮（稻麦）自给率</w:t>
      </w:r>
      <w:r>
        <w:rPr>
          <w:rFonts w:ascii="方正小标宋简体" w:eastAsia="方正小标宋简体" w:hint="eastAsia"/>
          <w:kern w:val="0"/>
          <w:sz w:val="44"/>
          <w:szCs w:val="44"/>
        </w:rPr>
        <w:t>和粮食流通</w:t>
      </w:r>
    </w:p>
    <w:p w:rsidR="00750079" w:rsidRDefault="00750079" w:rsidP="00750079">
      <w:pPr>
        <w:spacing w:line="660" w:lineRule="exact"/>
        <w:jc w:val="center"/>
        <w:rPr>
          <w:rFonts w:ascii="方正小标宋简体" w:eastAsia="方正小标宋简体" w:hint="eastAsia"/>
          <w:sz w:val="44"/>
          <w:szCs w:val="44"/>
        </w:rPr>
      </w:pPr>
      <w:r>
        <w:rPr>
          <w:rFonts w:ascii="方正小标宋简体" w:eastAsia="方正小标宋简体" w:hint="eastAsia"/>
          <w:kern w:val="0"/>
          <w:sz w:val="44"/>
          <w:szCs w:val="44"/>
        </w:rPr>
        <w:t>主渠道企业</w:t>
      </w:r>
      <w:r>
        <w:rPr>
          <w:rFonts w:ascii="方正小标宋简体" w:eastAsia="方正小标宋简体" w:hint="eastAsia"/>
          <w:sz w:val="44"/>
          <w:szCs w:val="44"/>
        </w:rPr>
        <w:t>指标分解</w:t>
      </w:r>
    </w:p>
    <w:tbl>
      <w:tblPr>
        <w:tblW w:w="0" w:type="auto"/>
        <w:jc w:val="center"/>
        <w:tblLayout w:type="fixed"/>
        <w:tblCellMar>
          <w:top w:w="15" w:type="dxa"/>
          <w:left w:w="15" w:type="dxa"/>
          <w:bottom w:w="15" w:type="dxa"/>
          <w:right w:w="15" w:type="dxa"/>
        </w:tblCellMar>
        <w:tblLook w:val="0000"/>
      </w:tblPr>
      <w:tblGrid>
        <w:gridCol w:w="1518"/>
        <w:gridCol w:w="3407"/>
        <w:gridCol w:w="3410"/>
      </w:tblGrid>
      <w:tr w:rsidR="00750079" w:rsidTr="0009677C">
        <w:trPr>
          <w:trHeight w:hRule="exact" w:val="764"/>
          <w:jc w:val="center"/>
        </w:trPr>
        <w:tc>
          <w:tcPr>
            <w:tcW w:w="1518" w:type="dxa"/>
            <w:tcBorders>
              <w:top w:val="single" w:sz="4" w:space="0" w:color="auto"/>
              <w:left w:val="single" w:sz="4" w:space="0" w:color="000000"/>
              <w:bottom w:val="single" w:sz="4" w:space="0" w:color="000000"/>
              <w:right w:val="single" w:sz="4" w:space="0" w:color="000000"/>
            </w:tcBorders>
            <w:vAlign w:val="center"/>
          </w:tcPr>
          <w:p w:rsidR="00750079" w:rsidRDefault="00750079" w:rsidP="0009677C">
            <w:pPr>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地  区</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口粮（稻麦）自给率</w:t>
            </w:r>
          </w:p>
        </w:tc>
        <w:tc>
          <w:tcPr>
            <w:tcW w:w="3410" w:type="dxa"/>
            <w:tcBorders>
              <w:top w:val="single" w:sz="4" w:space="0" w:color="000000"/>
              <w:left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粮食流通主渠道企业（家）</w:t>
            </w: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rPr>
              <w:t>全  市</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kern w:val="0"/>
                <w:sz w:val="28"/>
                <w:szCs w:val="28"/>
              </w:rPr>
            </w:pPr>
            <w:r>
              <w:rPr>
                <w:rFonts w:ascii="仿宋_GB2312" w:eastAsia="仿宋_GB2312" w:hAnsi="Calibri" w:hint="eastAsia"/>
                <w:b/>
                <w:kern w:val="0"/>
                <w:sz w:val="28"/>
                <w:szCs w:val="28"/>
              </w:rPr>
              <w:t>78.9%</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b/>
                <w:kern w:val="0"/>
                <w:sz w:val="28"/>
                <w:szCs w:val="28"/>
              </w:rPr>
            </w:pPr>
            <w:r>
              <w:rPr>
                <w:rFonts w:ascii="仿宋_GB2312" w:eastAsia="仿宋_GB2312" w:hAnsi="Calibri" w:hint="eastAsia"/>
                <w:b/>
                <w:kern w:val="0"/>
                <w:sz w:val="28"/>
                <w:szCs w:val="28"/>
              </w:rPr>
              <w:t>6</w:t>
            </w: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越城区</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35.7%</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w:t>
            </w: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柯桥区</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46%</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w:t>
            </w: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上虞区</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144.7%</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w:t>
            </w: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诸暨市</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98.4%</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嵊州市</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101.3%</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w:t>
            </w:r>
          </w:p>
        </w:tc>
      </w:tr>
      <w:tr w:rsidR="00750079" w:rsidTr="0009677C">
        <w:trPr>
          <w:trHeight w:hRule="exact" w:val="624"/>
          <w:jc w:val="center"/>
        </w:trPr>
        <w:tc>
          <w:tcPr>
            <w:tcW w:w="1518"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新昌县</w:t>
            </w:r>
          </w:p>
        </w:tc>
        <w:tc>
          <w:tcPr>
            <w:tcW w:w="3407"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79%</w:t>
            </w:r>
          </w:p>
        </w:tc>
        <w:tc>
          <w:tcPr>
            <w:tcW w:w="3410" w:type="dxa"/>
            <w:tcBorders>
              <w:top w:val="single" w:sz="4" w:space="0" w:color="000000"/>
              <w:left w:val="single" w:sz="4" w:space="0" w:color="000000"/>
              <w:bottom w:val="single" w:sz="4" w:space="0" w:color="000000"/>
              <w:right w:val="single" w:sz="4" w:space="0" w:color="000000"/>
            </w:tcBorders>
            <w:vAlign w:val="center"/>
          </w:tcPr>
          <w:p w:rsidR="00750079" w:rsidRDefault="00750079" w:rsidP="0009677C">
            <w:pPr>
              <w:widowControl/>
              <w:spacing w:line="360" w:lineRule="exact"/>
              <w:jc w:val="center"/>
              <w:textAlignment w:val="center"/>
              <w:rPr>
                <w:rFonts w:ascii="仿宋_GB2312" w:eastAsia="仿宋_GB2312" w:hAnsi="仿宋_GB2312" w:cs="仿宋_GB2312" w:hint="eastAsia"/>
                <w:kern w:val="0"/>
                <w:sz w:val="28"/>
                <w:szCs w:val="28"/>
              </w:rPr>
            </w:pPr>
          </w:p>
        </w:tc>
      </w:tr>
    </w:tbl>
    <w:p w:rsidR="00750079" w:rsidRDefault="00750079" w:rsidP="00750079">
      <w:pPr>
        <w:rPr>
          <w:rFonts w:ascii="黑体" w:eastAsia="黑体" w:hAnsi="黑体" w:cs="黑体" w:hint="eastAsia"/>
          <w:sz w:val="32"/>
          <w:szCs w:val="32"/>
        </w:rPr>
      </w:pPr>
      <w:r>
        <w:rPr>
          <w:rFonts w:eastAsia="仿宋_GB2312" w:hint="eastAsia"/>
          <w:sz w:val="32"/>
          <w:szCs w:val="32"/>
        </w:rPr>
        <w:br w:type="page"/>
      </w:r>
      <w:r>
        <w:rPr>
          <w:rFonts w:ascii="黑体" w:eastAsia="黑体" w:hAnsi="黑体" w:cs="黑体" w:hint="eastAsia"/>
          <w:sz w:val="32"/>
          <w:szCs w:val="32"/>
        </w:rPr>
        <w:lastRenderedPageBreak/>
        <w:t>附件6</w:t>
      </w:r>
    </w:p>
    <w:p w:rsidR="00750079" w:rsidRDefault="00750079" w:rsidP="00750079">
      <w:pPr>
        <w:jc w:val="center"/>
        <w:rPr>
          <w:rFonts w:ascii="方正小标宋简体" w:eastAsia="方正小标宋简体" w:hAnsi="方正小标宋简体" w:cs="方正小标宋简体" w:hint="eastAsia"/>
          <w:sz w:val="44"/>
          <w:szCs w:val="44"/>
          <w:lang/>
        </w:rPr>
      </w:pPr>
      <w:r>
        <w:rPr>
          <w:rFonts w:ascii="方正小标宋简体" w:eastAsia="方正小标宋简体" w:hAnsi="方正小标宋简体" w:cs="方正小标宋简体" w:hint="eastAsia"/>
          <w:sz w:val="44"/>
          <w:szCs w:val="44"/>
          <w:lang/>
        </w:rPr>
        <w:t>2021年全市粮油储备指标分解</w:t>
      </w:r>
    </w:p>
    <w:tbl>
      <w:tblPr>
        <w:tblW w:w="0" w:type="auto"/>
        <w:jc w:val="center"/>
        <w:tblLayout w:type="fixed"/>
        <w:tblCellMar>
          <w:left w:w="0" w:type="dxa"/>
          <w:right w:w="0" w:type="dxa"/>
        </w:tblCellMar>
        <w:tblLook w:val="0000"/>
      </w:tblPr>
      <w:tblGrid>
        <w:gridCol w:w="1583"/>
        <w:gridCol w:w="2677"/>
        <w:gridCol w:w="2520"/>
        <w:gridCol w:w="2522"/>
      </w:tblGrid>
      <w:tr w:rsidR="00750079" w:rsidTr="0009677C">
        <w:trPr>
          <w:trHeight w:val="824"/>
          <w:jc w:val="center"/>
        </w:trPr>
        <w:tc>
          <w:tcPr>
            <w:tcW w:w="1583"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750079" w:rsidRDefault="00750079" w:rsidP="0009677C">
            <w:pPr>
              <w:spacing w:line="400" w:lineRule="exact"/>
              <w:jc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地区</w:t>
            </w:r>
          </w:p>
        </w:tc>
        <w:tc>
          <w:tcPr>
            <w:tcW w:w="267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750079" w:rsidRDefault="00750079" w:rsidP="0009677C">
            <w:pPr>
              <w:spacing w:line="400" w:lineRule="exact"/>
              <w:jc w:val="center"/>
              <w:rPr>
                <w:rFonts w:ascii="仿宋_GB2312" w:eastAsia="仿宋_GB2312" w:hAnsi="仿宋_GB2312" w:cs="仿宋_GB2312" w:hint="eastAsia"/>
                <w:b/>
                <w:bCs/>
                <w:kern w:val="0"/>
                <w:sz w:val="28"/>
                <w:szCs w:val="28"/>
                <w:lang/>
              </w:rPr>
            </w:pPr>
            <w:r>
              <w:rPr>
                <w:rFonts w:ascii="仿宋_GB2312" w:eastAsia="仿宋_GB2312" w:hAnsi="仿宋_GB2312" w:cs="仿宋_GB2312" w:hint="eastAsia"/>
                <w:b/>
                <w:bCs/>
                <w:kern w:val="0"/>
                <w:sz w:val="28"/>
                <w:szCs w:val="28"/>
                <w:lang/>
              </w:rPr>
              <w:t>粮食储备规模</w:t>
            </w:r>
          </w:p>
          <w:p w:rsidR="00750079" w:rsidRDefault="00750079" w:rsidP="0009677C">
            <w:pPr>
              <w:spacing w:line="400" w:lineRule="exact"/>
              <w:jc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lang/>
              </w:rPr>
              <w:t>（亿斤）</w:t>
            </w:r>
          </w:p>
        </w:tc>
        <w:tc>
          <w:tcPr>
            <w:tcW w:w="252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lang/>
              </w:rPr>
              <w:t>其中：成品粮规模（亿斤）</w:t>
            </w:r>
          </w:p>
        </w:tc>
        <w:tc>
          <w:tcPr>
            <w:tcW w:w="2522"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750079" w:rsidRDefault="00750079" w:rsidP="0009677C">
            <w:pPr>
              <w:spacing w:line="400" w:lineRule="exact"/>
              <w:jc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食用油储备规模（吨）</w:t>
            </w:r>
          </w:p>
        </w:tc>
      </w:tr>
      <w:tr w:rsidR="00750079" w:rsidTr="0009677C">
        <w:trPr>
          <w:trHeight w:val="647"/>
          <w:jc w:val="center"/>
        </w:trPr>
        <w:tc>
          <w:tcPr>
            <w:tcW w:w="158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lang/>
              </w:rPr>
              <w:t>全  市</w:t>
            </w:r>
          </w:p>
        </w:tc>
        <w:tc>
          <w:tcPr>
            <w:tcW w:w="26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 xml:space="preserve">8.09 </w:t>
            </w:r>
          </w:p>
        </w:tc>
        <w:tc>
          <w:tcPr>
            <w:tcW w:w="252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0.30</w:t>
            </w:r>
          </w:p>
        </w:tc>
        <w:tc>
          <w:tcPr>
            <w:tcW w:w="2522"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975</w:t>
            </w:r>
          </w:p>
        </w:tc>
      </w:tr>
      <w:tr w:rsidR="00750079" w:rsidTr="0009677C">
        <w:trPr>
          <w:trHeight w:val="647"/>
          <w:jc w:val="center"/>
        </w:trPr>
        <w:tc>
          <w:tcPr>
            <w:tcW w:w="158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仿宋_GB2312" w:cs="仿宋_GB2312" w:hint="eastAsia"/>
                <w:b/>
                <w:bCs/>
                <w:kern w:val="0"/>
                <w:sz w:val="28"/>
                <w:szCs w:val="28"/>
                <w:lang/>
              </w:rPr>
            </w:pPr>
            <w:r>
              <w:rPr>
                <w:rFonts w:ascii="仿宋_GB2312" w:eastAsia="仿宋_GB2312" w:hAnsi="宋体" w:cs="仿宋_GB2312" w:hint="eastAsia"/>
                <w:sz w:val="28"/>
                <w:szCs w:val="28"/>
              </w:rPr>
              <w:t>市本级</w:t>
            </w:r>
          </w:p>
        </w:tc>
        <w:tc>
          <w:tcPr>
            <w:tcW w:w="26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sz w:val="28"/>
                <w:szCs w:val="28"/>
              </w:rPr>
              <w:t>0.42</w:t>
            </w:r>
          </w:p>
        </w:tc>
        <w:tc>
          <w:tcPr>
            <w:tcW w:w="252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sz w:val="28"/>
                <w:szCs w:val="28"/>
              </w:rPr>
              <w:t>0.02</w:t>
            </w:r>
          </w:p>
        </w:tc>
        <w:tc>
          <w:tcPr>
            <w:tcW w:w="2522"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sz w:val="28"/>
                <w:szCs w:val="28"/>
              </w:rPr>
              <w:t>0</w:t>
            </w:r>
          </w:p>
        </w:tc>
      </w:tr>
      <w:tr w:rsidR="00750079" w:rsidTr="0009677C">
        <w:trPr>
          <w:trHeight w:val="647"/>
          <w:jc w:val="center"/>
        </w:trPr>
        <w:tc>
          <w:tcPr>
            <w:tcW w:w="1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越城区</w:t>
            </w:r>
          </w:p>
        </w:tc>
        <w:tc>
          <w:tcPr>
            <w:tcW w:w="2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1.39</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0.08</w:t>
            </w:r>
          </w:p>
        </w:tc>
        <w:tc>
          <w:tcPr>
            <w:tcW w:w="2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pStyle w:val="Default"/>
              <w:jc w:val="center"/>
              <w:rPr>
                <w:rFonts w:hint="eastAsia"/>
                <w:color w:val="auto"/>
                <w:sz w:val="28"/>
                <w:szCs w:val="28"/>
              </w:rPr>
            </w:pPr>
            <w:r>
              <w:rPr>
                <w:rFonts w:hint="eastAsia"/>
                <w:color w:val="auto"/>
                <w:sz w:val="28"/>
                <w:szCs w:val="28"/>
              </w:rPr>
              <w:t>225</w:t>
            </w:r>
          </w:p>
        </w:tc>
      </w:tr>
      <w:tr w:rsidR="00750079" w:rsidTr="0009677C">
        <w:trPr>
          <w:trHeight w:val="647"/>
          <w:jc w:val="center"/>
        </w:trPr>
        <w:tc>
          <w:tcPr>
            <w:tcW w:w="1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柯桥区</w:t>
            </w:r>
          </w:p>
        </w:tc>
        <w:tc>
          <w:tcPr>
            <w:tcW w:w="2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1.59</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0.08</w:t>
            </w:r>
          </w:p>
        </w:tc>
        <w:tc>
          <w:tcPr>
            <w:tcW w:w="2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225</w:t>
            </w:r>
          </w:p>
        </w:tc>
      </w:tr>
      <w:tr w:rsidR="00750079" w:rsidTr="0009677C">
        <w:trPr>
          <w:trHeight w:val="647"/>
          <w:jc w:val="center"/>
        </w:trPr>
        <w:tc>
          <w:tcPr>
            <w:tcW w:w="1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上虞区</w:t>
            </w:r>
          </w:p>
        </w:tc>
        <w:tc>
          <w:tcPr>
            <w:tcW w:w="2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1.39</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0.05</w:t>
            </w:r>
          </w:p>
        </w:tc>
        <w:tc>
          <w:tcPr>
            <w:tcW w:w="2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250</w:t>
            </w:r>
          </w:p>
        </w:tc>
      </w:tr>
      <w:tr w:rsidR="00750079" w:rsidTr="0009677C">
        <w:trPr>
          <w:trHeight w:val="647"/>
          <w:jc w:val="center"/>
        </w:trPr>
        <w:tc>
          <w:tcPr>
            <w:tcW w:w="1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诸暨市</w:t>
            </w:r>
          </w:p>
        </w:tc>
        <w:tc>
          <w:tcPr>
            <w:tcW w:w="2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1.71</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0.04</w:t>
            </w:r>
          </w:p>
        </w:tc>
        <w:tc>
          <w:tcPr>
            <w:tcW w:w="2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125</w:t>
            </w:r>
          </w:p>
        </w:tc>
      </w:tr>
      <w:tr w:rsidR="00750079" w:rsidTr="0009677C">
        <w:trPr>
          <w:trHeight w:val="647"/>
          <w:jc w:val="center"/>
        </w:trPr>
        <w:tc>
          <w:tcPr>
            <w:tcW w:w="1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嵊州市</w:t>
            </w:r>
          </w:p>
        </w:tc>
        <w:tc>
          <w:tcPr>
            <w:tcW w:w="2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1.03</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0.02</w:t>
            </w:r>
          </w:p>
        </w:tc>
        <w:tc>
          <w:tcPr>
            <w:tcW w:w="2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100</w:t>
            </w:r>
          </w:p>
        </w:tc>
      </w:tr>
      <w:tr w:rsidR="00750079" w:rsidTr="0009677C">
        <w:trPr>
          <w:trHeight w:val="647"/>
          <w:jc w:val="center"/>
        </w:trPr>
        <w:tc>
          <w:tcPr>
            <w:tcW w:w="1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jc w:val="center"/>
              <w:textAlignment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新昌县</w:t>
            </w:r>
          </w:p>
        </w:tc>
        <w:tc>
          <w:tcPr>
            <w:tcW w:w="2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0.56</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0.01</w:t>
            </w:r>
          </w:p>
        </w:tc>
        <w:tc>
          <w:tcPr>
            <w:tcW w:w="2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0079" w:rsidRDefault="00750079" w:rsidP="0009677C">
            <w:pPr>
              <w:widowControl/>
              <w:spacing w:line="40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50</w:t>
            </w:r>
          </w:p>
        </w:tc>
      </w:tr>
    </w:tbl>
    <w:p w:rsidR="00750079" w:rsidRDefault="00750079" w:rsidP="00750079">
      <w:pPr>
        <w:rPr>
          <w:rFonts w:ascii="黑体" w:eastAsia="黑体" w:hAnsi="黑体" w:cs="黑体"/>
          <w:sz w:val="32"/>
          <w:szCs w:val="32"/>
        </w:rPr>
      </w:pPr>
      <w:r>
        <w:rPr>
          <w:rFonts w:ascii="方正小标宋简体" w:eastAsia="方正小标宋简体" w:hAnsi="方正小标宋简体" w:cs="方正小标宋简体" w:hint="eastAsia"/>
          <w:sz w:val="44"/>
          <w:szCs w:val="44"/>
          <w:lang/>
        </w:rPr>
        <w:br w:type="page"/>
      </w:r>
      <w:r>
        <w:rPr>
          <w:rFonts w:ascii="黑体" w:eastAsia="黑体" w:hAnsi="黑体" w:cs="黑体" w:hint="eastAsia"/>
          <w:sz w:val="32"/>
          <w:szCs w:val="32"/>
        </w:rPr>
        <w:lastRenderedPageBreak/>
        <w:t>附件7</w:t>
      </w:r>
    </w:p>
    <w:p w:rsidR="00750079" w:rsidRDefault="00750079" w:rsidP="00750079">
      <w:pPr>
        <w:jc w:val="center"/>
        <w:rPr>
          <w:rFonts w:ascii="方正小标宋简体" w:eastAsia="方正小标宋简体" w:hint="eastAsia"/>
          <w:sz w:val="44"/>
          <w:szCs w:val="44"/>
        </w:rPr>
      </w:pPr>
      <w:r>
        <w:rPr>
          <w:rFonts w:ascii="方正小标宋简体" w:eastAsia="方正小标宋简体" w:hint="eastAsia"/>
          <w:sz w:val="44"/>
          <w:szCs w:val="44"/>
        </w:rPr>
        <w:t>2021年农资应急储备指标分解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2065"/>
        <w:gridCol w:w="1649"/>
        <w:gridCol w:w="1857"/>
        <w:gridCol w:w="1857"/>
      </w:tblGrid>
      <w:tr w:rsidR="00750079" w:rsidTr="0009677C">
        <w:trPr>
          <w:trHeight w:hRule="exact" w:val="864"/>
          <w:jc w:val="center"/>
        </w:trPr>
        <w:tc>
          <w:tcPr>
            <w:tcW w:w="1294" w:type="dxa"/>
            <w:vAlign w:val="center"/>
          </w:tcPr>
          <w:p w:rsidR="00750079" w:rsidRDefault="00750079" w:rsidP="0009677C">
            <w:pPr>
              <w:widowControl/>
              <w:spacing w:line="36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bCs/>
                <w:kern w:val="0"/>
                <w:sz w:val="28"/>
                <w:szCs w:val="28"/>
              </w:rPr>
              <w:t>地  区</w:t>
            </w:r>
          </w:p>
        </w:tc>
        <w:tc>
          <w:tcPr>
            <w:tcW w:w="2065" w:type="dxa"/>
            <w:vAlign w:val="center"/>
          </w:tcPr>
          <w:p w:rsidR="00750079" w:rsidRDefault="00750079" w:rsidP="0009677C">
            <w:pPr>
              <w:widowControl/>
              <w:spacing w:line="36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bCs/>
                <w:kern w:val="0"/>
                <w:sz w:val="28"/>
                <w:szCs w:val="28"/>
              </w:rPr>
              <w:t>粮食种子</w:t>
            </w:r>
          </w:p>
          <w:p w:rsidR="00750079" w:rsidRDefault="00750079" w:rsidP="0009677C">
            <w:pPr>
              <w:widowControl/>
              <w:spacing w:line="36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bCs/>
                <w:kern w:val="0"/>
                <w:sz w:val="28"/>
                <w:szCs w:val="28"/>
              </w:rPr>
              <w:t>（万斤）</w:t>
            </w:r>
          </w:p>
        </w:tc>
        <w:tc>
          <w:tcPr>
            <w:tcW w:w="1649" w:type="dxa"/>
            <w:vAlign w:val="center"/>
          </w:tcPr>
          <w:p w:rsidR="00750079" w:rsidRDefault="00750079" w:rsidP="0009677C">
            <w:pPr>
              <w:widowControl/>
              <w:spacing w:line="360" w:lineRule="exact"/>
              <w:jc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rPr>
              <w:t>油菜种子（斤）</w:t>
            </w:r>
          </w:p>
        </w:tc>
        <w:tc>
          <w:tcPr>
            <w:tcW w:w="1857" w:type="dxa"/>
            <w:vAlign w:val="center"/>
          </w:tcPr>
          <w:p w:rsidR="00750079" w:rsidRDefault="00750079" w:rsidP="0009677C">
            <w:pPr>
              <w:widowControl/>
              <w:adjustRightInd w:val="0"/>
              <w:snapToGrid w:val="0"/>
              <w:spacing w:line="360" w:lineRule="exact"/>
              <w:jc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rPr>
              <w:t>农药</w:t>
            </w:r>
          </w:p>
          <w:p w:rsidR="00750079" w:rsidRDefault="00750079" w:rsidP="0009677C">
            <w:pPr>
              <w:widowControl/>
              <w:spacing w:line="36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kern w:val="0"/>
                <w:sz w:val="28"/>
                <w:szCs w:val="28"/>
              </w:rPr>
              <w:t>（吨）</w:t>
            </w:r>
          </w:p>
        </w:tc>
        <w:tc>
          <w:tcPr>
            <w:tcW w:w="1857" w:type="dxa"/>
            <w:vAlign w:val="center"/>
          </w:tcPr>
          <w:p w:rsidR="00750079" w:rsidRDefault="00750079" w:rsidP="0009677C">
            <w:pPr>
              <w:widowControl/>
              <w:adjustRightInd w:val="0"/>
              <w:snapToGrid w:val="0"/>
              <w:spacing w:line="360" w:lineRule="exact"/>
              <w:jc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rPr>
              <w:t>化肥</w:t>
            </w:r>
          </w:p>
          <w:p w:rsidR="00750079" w:rsidRDefault="00750079" w:rsidP="0009677C">
            <w:pPr>
              <w:widowControl/>
              <w:spacing w:line="36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kern w:val="0"/>
                <w:sz w:val="28"/>
                <w:szCs w:val="28"/>
              </w:rPr>
              <w:t>（吨）</w:t>
            </w:r>
          </w:p>
        </w:tc>
      </w:tr>
      <w:tr w:rsidR="00750079" w:rsidTr="0009677C">
        <w:trPr>
          <w:trHeight w:hRule="exact" w:val="680"/>
          <w:jc w:val="center"/>
        </w:trPr>
        <w:tc>
          <w:tcPr>
            <w:tcW w:w="1294" w:type="dxa"/>
            <w:vAlign w:val="center"/>
          </w:tcPr>
          <w:p w:rsidR="00750079" w:rsidRDefault="00750079" w:rsidP="0009677C">
            <w:pPr>
              <w:widowControl/>
              <w:spacing w:line="360" w:lineRule="exact"/>
              <w:jc w:val="center"/>
              <w:rPr>
                <w:rFonts w:ascii="仿宋_GB2312" w:eastAsia="仿宋_GB2312" w:hAnsi="仿宋_GB2312" w:cs="仿宋_GB2312" w:hint="eastAsia"/>
                <w:b/>
                <w:kern w:val="0"/>
                <w:sz w:val="28"/>
                <w:szCs w:val="28"/>
              </w:rPr>
            </w:pPr>
            <w:r>
              <w:rPr>
                <w:rFonts w:ascii="仿宋_GB2312" w:eastAsia="仿宋_GB2312" w:hAnsi="仿宋_GB2312" w:cs="仿宋_GB2312" w:hint="eastAsia"/>
                <w:b/>
                <w:kern w:val="0"/>
                <w:sz w:val="28"/>
                <w:szCs w:val="28"/>
              </w:rPr>
              <w:t>全  市</w:t>
            </w:r>
          </w:p>
        </w:tc>
        <w:tc>
          <w:tcPr>
            <w:tcW w:w="2065" w:type="dxa"/>
            <w:vAlign w:val="center"/>
          </w:tcPr>
          <w:p w:rsidR="00750079" w:rsidRDefault="00750079" w:rsidP="0009677C">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186</w:t>
            </w:r>
          </w:p>
        </w:tc>
        <w:tc>
          <w:tcPr>
            <w:tcW w:w="1649" w:type="dxa"/>
            <w:vAlign w:val="center"/>
          </w:tcPr>
          <w:p w:rsidR="00750079" w:rsidRDefault="00750079" w:rsidP="0009677C">
            <w:pPr>
              <w:widowControl/>
              <w:jc w:val="center"/>
              <w:textAlignment w:val="center"/>
              <w:rPr>
                <w:rFonts w:ascii="仿宋_GB2312" w:eastAsia="仿宋_GB2312" w:hAnsi="仿宋_GB2312" w:cs="仿宋_GB2312" w:hint="eastAsia"/>
                <w:b/>
                <w:sz w:val="28"/>
                <w:szCs w:val="28"/>
              </w:rPr>
            </w:pPr>
            <w:r>
              <w:rPr>
                <w:rFonts w:ascii="仿宋_GB2312" w:eastAsia="仿宋_GB2312" w:hAnsi="仿宋_GB2312" w:cs="仿宋_GB2312" w:hint="eastAsia"/>
                <w:b/>
                <w:kern w:val="0"/>
                <w:sz w:val="28"/>
                <w:szCs w:val="28"/>
                <w:lang/>
              </w:rPr>
              <w:t>8700</w:t>
            </w:r>
          </w:p>
        </w:tc>
        <w:tc>
          <w:tcPr>
            <w:tcW w:w="1857" w:type="dxa"/>
            <w:vAlign w:val="center"/>
          </w:tcPr>
          <w:p w:rsidR="00750079" w:rsidRDefault="00750079" w:rsidP="0009677C">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49</w:t>
            </w:r>
          </w:p>
        </w:tc>
        <w:tc>
          <w:tcPr>
            <w:tcW w:w="1857" w:type="dxa"/>
            <w:vAlign w:val="center"/>
          </w:tcPr>
          <w:p w:rsidR="00750079" w:rsidRDefault="00750079" w:rsidP="0009677C">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12000</w:t>
            </w:r>
          </w:p>
        </w:tc>
      </w:tr>
      <w:tr w:rsidR="00750079" w:rsidTr="0009677C">
        <w:trPr>
          <w:trHeight w:hRule="exact" w:val="680"/>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市本级</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24</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color w:val="auto"/>
                <w:sz w:val="28"/>
                <w:szCs w:val="28"/>
              </w:rPr>
              <w:t>2500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14</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3600</w:t>
            </w:r>
          </w:p>
        </w:tc>
      </w:tr>
      <w:tr w:rsidR="00750079" w:rsidTr="0009677C">
        <w:trPr>
          <w:trHeight w:hRule="exact" w:val="680"/>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越城区</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10</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320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1.9</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460</w:t>
            </w:r>
          </w:p>
        </w:tc>
      </w:tr>
      <w:tr w:rsidR="00750079" w:rsidTr="0009677C">
        <w:trPr>
          <w:trHeight w:hRule="exact" w:val="680"/>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柯桥区</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16</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730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3.6</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860</w:t>
            </w:r>
          </w:p>
        </w:tc>
      </w:tr>
      <w:tr w:rsidR="00750079" w:rsidTr="0009677C">
        <w:trPr>
          <w:trHeight w:hRule="exact" w:val="680"/>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上虞区</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47</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2060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7.0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1680</w:t>
            </w:r>
          </w:p>
        </w:tc>
      </w:tr>
      <w:tr w:rsidR="00750079" w:rsidTr="0009677C">
        <w:trPr>
          <w:trHeight w:hRule="exact" w:val="680"/>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诸暨市</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42</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color w:val="auto"/>
                <w:sz w:val="28"/>
                <w:szCs w:val="28"/>
              </w:rPr>
              <w:t>940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10.0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2390</w:t>
            </w:r>
          </w:p>
        </w:tc>
      </w:tr>
      <w:tr w:rsidR="00750079" w:rsidTr="0009677C">
        <w:trPr>
          <w:trHeight w:hRule="exact" w:val="646"/>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嵊州市</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30</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color w:val="auto"/>
                <w:sz w:val="28"/>
                <w:szCs w:val="28"/>
              </w:rPr>
              <w:t>660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8.0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1920</w:t>
            </w:r>
          </w:p>
        </w:tc>
      </w:tr>
      <w:tr w:rsidR="00750079" w:rsidTr="0009677C">
        <w:trPr>
          <w:trHeight w:hRule="exact" w:val="680"/>
          <w:jc w:val="center"/>
        </w:trPr>
        <w:tc>
          <w:tcPr>
            <w:tcW w:w="1294"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新昌县</w:t>
            </w:r>
          </w:p>
        </w:tc>
        <w:tc>
          <w:tcPr>
            <w:tcW w:w="2065"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hint="eastAsia"/>
                <w:color w:val="auto"/>
                <w:sz w:val="28"/>
                <w:szCs w:val="28"/>
              </w:rPr>
              <w:t>17</w:t>
            </w:r>
          </w:p>
        </w:tc>
        <w:tc>
          <w:tcPr>
            <w:tcW w:w="1649" w:type="dxa"/>
            <w:vAlign w:val="center"/>
          </w:tcPr>
          <w:p w:rsidR="00750079" w:rsidRDefault="00750079" w:rsidP="0009677C">
            <w:pPr>
              <w:pStyle w:val="Default"/>
              <w:jc w:val="center"/>
              <w:rPr>
                <w:rFonts w:ascii="仿宋_GB2312" w:eastAsia="仿宋_GB2312" w:hint="eastAsia"/>
                <w:color w:val="auto"/>
                <w:sz w:val="28"/>
                <w:szCs w:val="28"/>
              </w:rPr>
            </w:pPr>
            <w:r>
              <w:rPr>
                <w:rFonts w:ascii="仿宋_GB2312" w:eastAsia="仿宋_GB2312"/>
                <w:color w:val="auto"/>
                <w:sz w:val="28"/>
                <w:szCs w:val="28"/>
              </w:rPr>
              <w:t>1490</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4.5</w:t>
            </w:r>
          </w:p>
        </w:tc>
        <w:tc>
          <w:tcPr>
            <w:tcW w:w="1857" w:type="dxa"/>
            <w:vAlign w:val="center"/>
          </w:tcPr>
          <w:p w:rsidR="00750079" w:rsidRDefault="00750079" w:rsidP="0009677C">
            <w:pPr>
              <w:spacing w:line="360" w:lineRule="exact"/>
              <w:jc w:val="center"/>
              <w:rPr>
                <w:rFonts w:ascii="仿宋_GB2312" w:eastAsia="仿宋_GB2312" w:hint="eastAsia"/>
                <w:sz w:val="28"/>
                <w:szCs w:val="28"/>
              </w:rPr>
            </w:pPr>
            <w:r>
              <w:rPr>
                <w:rFonts w:ascii="仿宋_GB2312" w:eastAsia="仿宋_GB2312" w:hint="eastAsia"/>
                <w:sz w:val="28"/>
                <w:szCs w:val="28"/>
              </w:rPr>
              <w:t>1090</w:t>
            </w:r>
          </w:p>
        </w:tc>
      </w:tr>
    </w:tbl>
    <w:p w:rsidR="00750079" w:rsidRDefault="00750079" w:rsidP="00750079">
      <w:pPr>
        <w:jc w:val="left"/>
        <w:rPr>
          <w:rFonts w:hint="eastAsia"/>
          <w:spacing w:val="24"/>
          <w:sz w:val="20"/>
          <w:szCs w:val="22"/>
        </w:rPr>
      </w:pPr>
      <w:r>
        <w:rPr>
          <w:rFonts w:ascii="仿宋_GB2312" w:eastAsia="仿宋_GB2312" w:hAnsi="仿宋_GB2312" w:cs="仿宋_GB2312" w:hint="eastAsia"/>
          <w:sz w:val="28"/>
          <w:szCs w:val="28"/>
        </w:rPr>
        <w:t>注：小麦、油菜、早稻、晚稻种子分别在7月底、7月底、9月底和次年1月底之前入库；农药、化肥在8月底之前储备到位。</w:t>
      </w:r>
    </w:p>
    <w:p w:rsidR="00750079" w:rsidRDefault="00750079" w:rsidP="00750079">
      <w:pPr>
        <w:spacing w:line="640" w:lineRule="exact"/>
        <w:rPr>
          <w:rFonts w:hint="eastAsia"/>
          <w:spacing w:val="24"/>
          <w:sz w:val="20"/>
          <w:szCs w:val="22"/>
        </w:rPr>
      </w:pPr>
    </w:p>
    <w:p w:rsidR="00750079" w:rsidRDefault="00750079" w:rsidP="00750079">
      <w:pPr>
        <w:spacing w:line="640" w:lineRule="exact"/>
        <w:rPr>
          <w:rFonts w:hint="eastAsia"/>
          <w:spacing w:val="24"/>
          <w:sz w:val="20"/>
          <w:szCs w:val="22"/>
        </w:rPr>
      </w:pPr>
    </w:p>
    <w:p w:rsidR="00750079" w:rsidRDefault="00750079" w:rsidP="00750079"/>
    <w:p w:rsidR="00FA505F" w:rsidRPr="00750079" w:rsidRDefault="00FA505F"/>
    <w:sectPr w:rsidR="00FA505F" w:rsidRPr="00750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5F" w:rsidRDefault="00FA505F" w:rsidP="00750079">
      <w:r>
        <w:separator/>
      </w:r>
    </w:p>
  </w:endnote>
  <w:endnote w:type="continuationSeparator" w:id="1">
    <w:p w:rsidR="00FA505F" w:rsidRDefault="00FA505F" w:rsidP="00750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5F" w:rsidRDefault="00FA505F" w:rsidP="00750079">
      <w:r>
        <w:separator/>
      </w:r>
    </w:p>
  </w:footnote>
  <w:footnote w:type="continuationSeparator" w:id="1">
    <w:p w:rsidR="00FA505F" w:rsidRDefault="00FA505F" w:rsidP="00750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079"/>
    <w:rsid w:val="00750079"/>
    <w:rsid w:val="00FA5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0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0079"/>
    <w:rPr>
      <w:sz w:val="18"/>
      <w:szCs w:val="18"/>
    </w:rPr>
  </w:style>
  <w:style w:type="paragraph" w:styleId="a4">
    <w:name w:val="footer"/>
    <w:basedOn w:val="a"/>
    <w:link w:val="Char0"/>
    <w:uiPriority w:val="99"/>
    <w:semiHidden/>
    <w:unhideWhenUsed/>
    <w:rsid w:val="007500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0079"/>
    <w:rPr>
      <w:sz w:val="18"/>
      <w:szCs w:val="18"/>
    </w:rPr>
  </w:style>
  <w:style w:type="paragraph" w:customStyle="1" w:styleId="Default">
    <w:name w:val="Default"/>
    <w:rsid w:val="00750079"/>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809</Words>
  <Characters>4614</Characters>
  <Application>Microsoft Office Word</Application>
  <DocSecurity>0</DocSecurity>
  <Lines>38</Lines>
  <Paragraphs>10</Paragraphs>
  <ScaleCrop>false</ScaleCrop>
  <Company>Microsoft</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2020-12-23T02:35:00Z</dcterms:created>
  <dcterms:modified xsi:type="dcterms:W3CDTF">2020-12-23T02:35:00Z</dcterms:modified>
</cp:coreProperties>
</file>