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附件</w:t>
      </w: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金华</w:t>
      </w:r>
      <w:r>
        <w:rPr>
          <w:rFonts w:hint="eastAsia" w:ascii="方正小标宋简体" w:hAnsi="方正小标宋简体" w:eastAsia="方正小标宋简体" w:cs="方正小标宋简体"/>
          <w:b w:val="0"/>
          <w:bCs/>
        </w:rPr>
        <w:t>市医疗保障局</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lang w:eastAsia="zh-CN"/>
        </w:rPr>
        <w:t>金华</w:t>
      </w:r>
      <w:r>
        <w:rPr>
          <w:rFonts w:hint="eastAsia" w:ascii="方正小标宋简体" w:hAnsi="方正小标宋简体" w:eastAsia="方正小标宋简体" w:cs="方正小标宋简体"/>
          <w:b w:val="0"/>
          <w:bCs/>
        </w:rPr>
        <w:t>市财政局</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lang w:eastAsia="zh-CN"/>
        </w:rPr>
        <w:t>金华</w:t>
      </w:r>
      <w:r>
        <w:rPr>
          <w:rFonts w:hint="eastAsia" w:ascii="方正小标宋简体" w:hAnsi="方正小标宋简体" w:eastAsia="方正小标宋简体" w:cs="方正小标宋简体"/>
          <w:b w:val="0"/>
          <w:bCs/>
        </w:rPr>
        <w:t>市</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卫生健康委</w:t>
      </w:r>
      <w:r>
        <w:rPr>
          <w:rFonts w:hint="eastAsia" w:ascii="方正小标宋简体" w:hAnsi="方正小标宋简体" w:eastAsia="方正小标宋简体" w:cs="方正小标宋简体"/>
          <w:b w:val="0"/>
          <w:bCs/>
          <w:lang w:eastAsia="zh-CN"/>
        </w:rPr>
        <w:t>员会</w:t>
      </w:r>
      <w:r>
        <w:rPr>
          <w:rFonts w:hint="eastAsia" w:ascii="方正小标宋简体" w:hAnsi="方正小标宋简体" w:eastAsia="方正小标宋简体" w:cs="方正小标宋简体"/>
          <w:b w:val="0"/>
          <w:bCs/>
          <w:lang w:val="en-US" w:eastAsia="zh-CN"/>
        </w:rPr>
        <w:t xml:space="preserve"> </w:t>
      </w:r>
      <w:r>
        <w:rPr>
          <w:rFonts w:hint="eastAsia" w:ascii="方正小标宋简体" w:hAnsi="方正小标宋简体" w:eastAsia="方正小标宋简体" w:cs="方正小标宋简体"/>
          <w:b w:val="0"/>
          <w:bCs/>
        </w:rPr>
        <w:t>关于</w:t>
      </w:r>
      <w:r>
        <w:rPr>
          <w:rFonts w:hint="eastAsia" w:ascii="方正小标宋简体" w:hAnsi="方正小标宋简体" w:eastAsia="方正小标宋简体" w:cs="方正小标宋简体"/>
          <w:b w:val="0"/>
          <w:bCs/>
          <w:lang w:eastAsia="zh-CN"/>
        </w:rPr>
        <w:t>完善</w:t>
      </w:r>
      <w:r>
        <w:rPr>
          <w:rFonts w:hint="eastAsia" w:ascii="方正小标宋简体" w:hAnsi="方正小标宋简体" w:eastAsia="方正小标宋简体" w:cs="方正小标宋简体"/>
          <w:b w:val="0"/>
          <w:bCs/>
        </w:rPr>
        <w:t>基本医疗保险丙型肝炎（抗病毒治疗）门诊医疗费用</w:t>
      </w:r>
    </w:p>
    <w:p>
      <w:pPr>
        <w:pStyle w:val="3"/>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按病种支付的通知</w:t>
      </w:r>
    </w:p>
    <w:p>
      <w:pPr>
        <w:ind w:firstLine="0" w:firstLineChars="0"/>
        <w:jc w:val="center"/>
        <w:rPr>
          <w:rFonts w:hint="eastAsia" w:ascii="楷体_GB2312" w:hAnsi="楷体_GB2312" w:eastAsia="楷体_GB2312" w:cs="楷体_GB2312"/>
          <w:b/>
          <w:bCs w:val="0"/>
          <w:color w:val="000000"/>
          <w:spacing w:val="0"/>
          <w:w w:val="100"/>
          <w:position w:val="0"/>
          <w:sz w:val="32"/>
          <w:szCs w:val="32"/>
          <w:u w:val="none"/>
          <w:shd w:val="clear" w:color="auto" w:fill="auto"/>
          <w:lang w:val="en-US" w:eastAsia="zh-CN" w:bidi="en-US"/>
        </w:rPr>
      </w:pPr>
      <w:r>
        <w:rPr>
          <w:rFonts w:hint="eastAsia" w:ascii="楷体_GB2312" w:hAnsi="楷体_GB2312" w:eastAsia="楷体_GB2312" w:cs="楷体_GB2312"/>
          <w:b/>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各县(市、区）医保局、财政局、卫生健康局：</w:t>
      </w:r>
    </w:p>
    <w:p>
      <w:pPr>
        <w:keepNext w:val="0"/>
        <w:keepLines w:val="0"/>
        <w:pageBreakBefore w:val="0"/>
        <w:widowControl/>
        <w:shd w:val="clear" w:color="auto" w:fill="auto"/>
        <w:kinsoku/>
        <w:wordWrap/>
        <w:overflowPunct/>
        <w:topLinePunct w:val="0"/>
        <w:autoSpaceDE/>
        <w:autoSpaceDN/>
        <w:bidi w:val="0"/>
        <w:adjustRightInd/>
        <w:snapToGrid/>
        <w:spacing w:line="540" w:lineRule="exact"/>
        <w:ind w:left="0" w:leftChars="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 xml:space="preserve">    根据浙江省医疗保障局等3部门印发的《关于开展基本医疗保险丙型肝炎（抗病毒治疗）门诊医疗费用按病种支付的通知》（浙医保联发〔2019〕3号）、浙江省医疗保障局浙江省人力资源和社会保障厅《关于执行&lt;国家基本医疗保险、工伤保险和生育保险药品目录&gt;有关事项的通知》（浙医保联发〔2019〕26号）文件精神，为进一步完善我市丙型肝炎（抗病毒治疗）门诊医疗费用按病种支付（以下简称“丙肝按病种支付”），现将有关事项通知如下：</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851" w:firstLineChars="266"/>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eastAsia="zh-CN"/>
        </w:rPr>
        <w:t>一、</w:t>
      </w:r>
      <w:r>
        <w:rPr>
          <w:rFonts w:hint="eastAsia" w:ascii="黑体" w:hAnsi="黑体" w:eastAsia="黑体" w:cs="黑体"/>
          <w:b w:val="0"/>
          <w:bCs w:val="0"/>
          <w:color w:val="000000"/>
          <w:spacing w:val="0"/>
          <w:w w:val="100"/>
          <w:position w:val="0"/>
          <w:sz w:val="32"/>
          <w:szCs w:val="32"/>
        </w:rPr>
        <w:t>适用范围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72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金华市基本医疗保险参保人员，经定点医疗机构确诊为丙型肝炎，原则上选择一家参保地或跨县域异地居住地丙肝按病种支付</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en-US"/>
        </w:rPr>
        <w:t>定点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医疗机构</w:t>
      </w:r>
      <w:r>
        <w:rPr>
          <w:rFonts w:hint="eastAsia" w:ascii="仿宋_GB2312" w:hAnsi="仿宋_GB2312" w:eastAsia="仿宋_GB2312" w:cs="仿宋_GB2312"/>
          <w:sz w:val="32"/>
          <w:szCs w:val="32"/>
          <w:lang w:val="en-US" w:eastAsia="zh-CN" w:bidi="en-US"/>
        </w:rPr>
        <w:t>（医疗机构名单见附件1，下简称“丙肝定点医疗机构”）定点就医</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，以丙肝直接抗病毒</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（DAA）</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药品治疗为主的医疗费用纳入丙肝按病种支付范围。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851" w:firstLineChars="266"/>
        <w:jc w:val="both"/>
        <w:textAlignment w:val="auto"/>
        <w:rPr>
          <w:rFonts w:hint="eastAsia"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二、诊疗服务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（一）</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丙肝</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定点医疗机构要按照卫生健康部门要求，进一步完善丙肝诊断标准和临床路径，由</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金华市中心医院</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牵头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确定金华市</w:t>
      </w:r>
      <w:r>
        <w:rPr>
          <w:rFonts w:hint="eastAsia" w:ascii="仿宋_GB2312" w:hAnsi="仿宋_GB2312" w:eastAsia="仿宋_GB2312" w:cs="仿宋_GB2312"/>
          <w:sz w:val="32"/>
          <w:szCs w:val="32"/>
          <w:u w:val="none"/>
          <w:lang w:eastAsia="zh-CN"/>
        </w:rPr>
        <w:t>丙肝直接抗病毒（DAA)药品目录</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各丙肝</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定点医疗机构</w:t>
      </w:r>
      <w:r>
        <w:rPr>
          <w:rFonts w:hint="eastAsia" w:ascii="仿宋_GB2312" w:hAnsi="仿宋_GB2312" w:eastAsia="仿宋_GB2312" w:cs="仿宋_GB2312"/>
          <w:sz w:val="32"/>
          <w:szCs w:val="32"/>
          <w:shd w:val="clear" w:color="auto" w:fill="auto"/>
          <w:lang w:val="en-US" w:eastAsia="en-US" w:bidi="en-US"/>
        </w:rPr>
        <w:t>指定相关科室医师作</w:t>
      </w:r>
      <w:r>
        <w:rPr>
          <w:rFonts w:hint="eastAsia" w:ascii="仿宋_GB2312" w:hAnsi="仿宋_GB2312" w:eastAsia="仿宋_GB2312" w:cs="仿宋_GB2312"/>
          <w:sz w:val="32"/>
          <w:szCs w:val="32"/>
          <w:shd w:val="clear" w:color="auto" w:fill="auto"/>
          <w:lang w:val="en-US" w:eastAsia="zh-CN" w:bidi="en-US"/>
        </w:rPr>
        <w:t xml:space="preserve"> </w:t>
      </w:r>
      <w:r>
        <w:rPr>
          <w:rFonts w:hint="eastAsia" w:ascii="仿宋_GB2312" w:hAnsi="仿宋_GB2312" w:eastAsia="仿宋_GB2312" w:cs="仿宋_GB2312"/>
          <w:sz w:val="32"/>
          <w:szCs w:val="32"/>
          <w:shd w:val="clear" w:color="auto" w:fill="auto"/>
          <w:lang w:val="en-US" w:eastAsia="en-US" w:bidi="en-US"/>
        </w:rPr>
        <w:t>为丙肝按病种支付诊断医师</w:t>
      </w:r>
      <w:r>
        <w:rPr>
          <w:rFonts w:hint="eastAsia" w:ascii="仿宋_GB2312" w:hAnsi="仿宋_GB2312" w:eastAsia="仿宋_GB2312" w:cs="仿宋_GB2312"/>
          <w:sz w:val="32"/>
          <w:szCs w:val="32"/>
          <w:shd w:val="clear" w:color="auto" w:fill="auto"/>
          <w:lang w:val="en-US" w:eastAsia="zh-CN" w:bidi="en-US"/>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并报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属</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地医保经办机构备案。</w:t>
      </w:r>
    </w:p>
    <w:p>
      <w:pPr>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sz w:val="32"/>
          <w:szCs w:val="32"/>
          <w:u w:val="none"/>
          <w:shd w:val="clear" w:color="auto" w:fill="auto"/>
          <w:lang w:eastAsia="en-US" w:bidi="en-US"/>
        </w:rPr>
        <w:t>（二）</w:t>
      </w:r>
      <w:r>
        <w:rPr>
          <w:rFonts w:hint="eastAsia" w:ascii="仿宋_GB2312" w:hAnsi="仿宋_GB2312" w:eastAsia="仿宋_GB2312" w:cs="仿宋_GB2312"/>
          <w:sz w:val="32"/>
          <w:szCs w:val="32"/>
          <w:u w:val="none"/>
          <w:shd w:val="clear" w:color="auto" w:fill="auto"/>
          <w:lang w:eastAsia="zh-CN" w:bidi="en-US"/>
        </w:rPr>
        <w:t>丙肝</w:t>
      </w:r>
      <w:r>
        <w:rPr>
          <w:rFonts w:hint="eastAsia" w:ascii="仿宋_GB2312" w:hAnsi="仿宋_GB2312" w:eastAsia="仿宋_GB2312" w:cs="仿宋_GB2312"/>
          <w:sz w:val="32"/>
          <w:szCs w:val="32"/>
          <w:u w:val="none"/>
          <w:shd w:val="clear" w:color="auto" w:fill="auto"/>
          <w:lang w:eastAsia="en-US" w:bidi="en-US"/>
        </w:rPr>
        <w:t>定点医疗机构应及时为符合规定的参保患者办理丙肝按病种支付登记手续，制定相应治疗方案，并通过医保信息系统报送</w:t>
      </w:r>
      <w:r>
        <w:rPr>
          <w:rFonts w:hint="eastAsia" w:ascii="仿宋_GB2312" w:hAnsi="仿宋_GB2312" w:eastAsia="仿宋_GB2312" w:cs="仿宋_GB2312"/>
          <w:sz w:val="32"/>
          <w:szCs w:val="32"/>
          <w:u w:val="none"/>
          <w:shd w:val="clear" w:color="auto" w:fill="auto"/>
          <w:lang w:eastAsia="zh-CN" w:bidi="en-US"/>
        </w:rPr>
        <w:t>属地</w:t>
      </w:r>
      <w:r>
        <w:rPr>
          <w:rFonts w:hint="eastAsia" w:ascii="仿宋_GB2312" w:hAnsi="仿宋_GB2312" w:eastAsia="仿宋_GB2312" w:cs="仿宋_GB2312"/>
          <w:sz w:val="32"/>
          <w:szCs w:val="32"/>
          <w:u w:val="none"/>
          <w:shd w:val="clear" w:color="auto" w:fill="auto"/>
          <w:lang w:eastAsia="en-US" w:bidi="en-US"/>
        </w:rPr>
        <w:t>医保经办机构。办理登记手续后，参保</w:t>
      </w:r>
      <w:r>
        <w:rPr>
          <w:rFonts w:hint="eastAsia" w:ascii="仿宋_GB2312" w:hAnsi="仿宋_GB2312" w:eastAsia="仿宋_GB2312" w:cs="仿宋_GB2312"/>
          <w:sz w:val="32"/>
          <w:szCs w:val="32"/>
          <w:u w:val="none"/>
          <w:shd w:val="clear" w:color="auto" w:fill="auto"/>
          <w:lang w:eastAsia="zh-CN" w:bidi="en-US"/>
        </w:rPr>
        <w:t>患者</w:t>
      </w:r>
      <w:r>
        <w:rPr>
          <w:rFonts w:hint="eastAsia" w:ascii="仿宋_GB2312" w:hAnsi="仿宋_GB2312" w:eastAsia="仿宋_GB2312" w:cs="仿宋_GB2312"/>
          <w:sz w:val="32"/>
          <w:szCs w:val="32"/>
          <w:u w:val="none"/>
          <w:shd w:val="clear" w:color="auto" w:fill="auto"/>
          <w:lang w:eastAsia="en-US" w:bidi="en-US"/>
        </w:rPr>
        <w:t>在该治疗过程中，</w:t>
      </w:r>
      <w:r>
        <w:rPr>
          <w:rFonts w:hint="eastAsia" w:ascii="仿宋_GB2312" w:hAnsi="仿宋_GB2312" w:eastAsia="仿宋_GB2312" w:cs="仿宋_GB2312"/>
          <w:sz w:val="32"/>
          <w:szCs w:val="32"/>
          <w:u w:val="none"/>
          <w:shd w:val="clear" w:color="auto" w:fill="auto"/>
          <w:lang w:eastAsia="zh-CN" w:bidi="en-US"/>
        </w:rPr>
        <w:t>不同步享受慢性活动性丙型肝炎的慢性病种待遇，</w:t>
      </w:r>
      <w:r>
        <w:rPr>
          <w:rFonts w:hint="eastAsia" w:ascii="仿宋_GB2312" w:hAnsi="仿宋_GB2312" w:eastAsia="仿宋_GB2312" w:cs="仿宋_GB2312"/>
          <w:sz w:val="32"/>
          <w:szCs w:val="32"/>
          <w:u w:val="none"/>
          <w:shd w:val="clear" w:color="auto" w:fill="auto"/>
          <w:lang w:eastAsia="en-US" w:bidi="en-US"/>
        </w:rPr>
        <w:t>不得更换</w:t>
      </w:r>
      <w:r>
        <w:rPr>
          <w:rFonts w:hint="eastAsia" w:ascii="仿宋_GB2312" w:hAnsi="仿宋_GB2312" w:eastAsia="仿宋_GB2312" w:cs="仿宋_GB2312"/>
          <w:sz w:val="32"/>
          <w:szCs w:val="32"/>
          <w:u w:val="none"/>
          <w:shd w:val="clear" w:color="auto" w:fill="auto"/>
          <w:lang w:eastAsia="zh-CN" w:bidi="en-US"/>
        </w:rPr>
        <w:t>丙肝</w:t>
      </w:r>
      <w:r>
        <w:rPr>
          <w:rFonts w:hint="eastAsia" w:ascii="仿宋_GB2312" w:hAnsi="仿宋_GB2312" w:eastAsia="仿宋_GB2312" w:cs="仿宋_GB2312"/>
          <w:sz w:val="32"/>
          <w:szCs w:val="32"/>
          <w:u w:val="none"/>
          <w:shd w:val="clear" w:color="auto" w:fill="auto"/>
          <w:lang w:eastAsia="en-US" w:bidi="en-US"/>
        </w:rPr>
        <w:t>定点医疗机构，</w:t>
      </w:r>
      <w:r>
        <w:rPr>
          <w:rFonts w:hint="eastAsia" w:ascii="仿宋_GB2312" w:hAnsi="仿宋_GB2312" w:eastAsia="仿宋_GB2312" w:cs="仿宋_GB2312"/>
          <w:sz w:val="32"/>
          <w:szCs w:val="32"/>
          <w:u w:val="none"/>
          <w:shd w:val="clear" w:color="auto" w:fill="auto"/>
          <w:lang w:eastAsia="zh-CN" w:bidi="en-US"/>
        </w:rPr>
        <w:t>丙肝</w:t>
      </w:r>
      <w:r>
        <w:rPr>
          <w:rFonts w:hint="eastAsia" w:ascii="仿宋_GB2312" w:hAnsi="仿宋_GB2312" w:eastAsia="仿宋_GB2312" w:cs="仿宋_GB2312"/>
          <w:sz w:val="32"/>
          <w:szCs w:val="32"/>
          <w:u w:val="none"/>
          <w:shd w:val="clear" w:color="auto" w:fill="auto"/>
          <w:lang w:eastAsia="en-US" w:bidi="en-US"/>
        </w:rPr>
        <w:t>定点医疗机构不得推诿病人。自登记之日起，参保患者在</w:t>
      </w:r>
      <w:r>
        <w:rPr>
          <w:rFonts w:hint="eastAsia" w:ascii="仿宋_GB2312" w:hAnsi="仿宋_GB2312" w:eastAsia="仿宋_GB2312" w:cs="仿宋_GB2312"/>
          <w:sz w:val="32"/>
          <w:szCs w:val="32"/>
          <w:u w:val="none"/>
          <w:shd w:val="clear" w:color="auto" w:fill="auto"/>
          <w:lang w:eastAsia="zh-CN" w:bidi="en-US"/>
        </w:rPr>
        <w:t>丙肝</w:t>
      </w:r>
      <w:r>
        <w:rPr>
          <w:rFonts w:hint="eastAsia" w:ascii="仿宋_GB2312" w:hAnsi="仿宋_GB2312" w:eastAsia="仿宋_GB2312" w:cs="仿宋_GB2312"/>
          <w:sz w:val="32"/>
          <w:szCs w:val="32"/>
          <w:u w:val="none"/>
          <w:shd w:val="clear" w:color="auto" w:fill="auto"/>
          <w:lang w:eastAsia="en-US" w:bidi="en-US"/>
        </w:rPr>
        <w:t>定点医疗机构接受丙肝抗病毒治疗，直到完成整个疗程，发生所有符合丙肝按病种支付临床路径的药品费、检查化验费、治疗费、材料费等门诊医疗费用，视同为甲类纳入丙肝按病种支付范围结算</w:t>
      </w:r>
      <w:r>
        <w:rPr>
          <w:rFonts w:hint="eastAsia" w:ascii="仿宋_GB2312" w:hAnsi="仿宋_GB2312" w:eastAsia="仿宋_GB2312" w:cs="仿宋_GB2312"/>
          <w:sz w:val="32"/>
          <w:szCs w:val="32"/>
          <w:u w:val="none"/>
          <w:shd w:val="clear" w:color="auto" w:fill="auto"/>
          <w:lang w:eastAsia="zh-CN" w:bidi="en-US"/>
        </w:rPr>
        <w:t>。本次疗程结束后，丙肝定点医疗机构应</w:t>
      </w:r>
      <w:r>
        <w:rPr>
          <w:rFonts w:hint="eastAsia" w:ascii="仿宋_GB2312" w:hAnsi="仿宋_GB2312" w:eastAsia="仿宋_GB2312" w:cs="仿宋_GB2312"/>
          <w:sz w:val="32"/>
          <w:szCs w:val="32"/>
          <w:u w:val="none"/>
          <w:shd w:val="clear" w:color="auto" w:fill="auto"/>
          <w:lang w:eastAsia="en-US" w:bidi="en-US"/>
        </w:rPr>
        <w:t>通过医保信息系统</w:t>
      </w:r>
      <w:r>
        <w:rPr>
          <w:rFonts w:hint="eastAsia" w:ascii="仿宋_GB2312" w:hAnsi="仿宋_GB2312" w:eastAsia="仿宋_GB2312" w:cs="仿宋_GB2312"/>
          <w:sz w:val="32"/>
          <w:szCs w:val="32"/>
          <w:u w:val="none"/>
          <w:shd w:val="clear" w:color="auto" w:fill="auto"/>
          <w:lang w:eastAsia="zh-CN" w:bidi="en-US"/>
        </w:rPr>
        <w:t>，及时向属地医保经办机构提交疗程结束相关信息。</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三</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丙肝</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定点医疗机构可</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将其指定的</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en-US"/>
        </w:rPr>
        <w:t>“特殊药品外配处方定点药店”或就近选择一家医保定点零售药店</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，作为合作药店，通过信息共享和</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电子</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处方流动，为参保人员提供便捷的配药服务。</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丙肝</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定点医疗机构选定合作药店后，应报属</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地</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医保经办机构备案。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合作药店DAA药品销售价超过医保支付标准的部分，医保基金和参保人员均不支付。</w:t>
      </w:r>
    </w:p>
    <w:p>
      <w:pPr>
        <w:pStyle w:val="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（四）</w:t>
      </w:r>
      <w:r>
        <w:rPr>
          <w:rFonts w:hint="eastAsia" w:ascii="仿宋_GB2312" w:hAnsi="仿宋_GB2312" w:eastAsia="仿宋_GB2312" w:cs="仿宋_GB2312"/>
          <w:sz w:val="32"/>
          <w:szCs w:val="32"/>
          <w:u w:val="none"/>
          <w:shd w:val="clear" w:color="auto" w:fill="auto"/>
          <w:lang w:eastAsia="en-US" w:bidi="en-US"/>
        </w:rPr>
        <w:t>参保患者自行到其他定点零售药店购药或到其他医疗机构就诊，所发生的丙肝门诊医疗费用，不纳入丙肝按病种支付范围。</w:t>
      </w:r>
    </w:p>
    <w:p>
      <w:pPr>
        <w:keepNext w:val="0"/>
        <w:keepLines w:val="0"/>
        <w:pageBreakBefore w:val="0"/>
        <w:shd w:val="clear" w:color="auto" w:fill="auto"/>
        <w:kinsoku/>
        <w:wordWrap/>
        <w:overflowPunct/>
        <w:topLinePunct w:val="0"/>
        <w:autoSpaceDE/>
        <w:autoSpaceDN/>
        <w:bidi w:val="0"/>
        <w:adjustRightInd/>
        <w:snapToGrid/>
        <w:spacing w:before="0" w:after="0" w:line="54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五）丙肝定点医疗机构应根据参保患者病情实际，提供合理有效丙肝治疗以及专家咨询、医保政策宣传、健康宣教、跟踪随访等服务，规范诊疗服务行为，保障医疗服务质量，合理控制医疗成本，减轻参保患者负担。</w:t>
      </w:r>
    </w:p>
    <w:p>
      <w:pPr>
        <w:pStyle w:val="8"/>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40" w:lineRule="exact"/>
        <w:ind w:left="0" w:leftChars="0" w:right="0" w:firstLine="720"/>
        <w:jc w:val="both"/>
        <w:textAlignment w:val="auto"/>
        <w:rPr>
          <w:rFonts w:hint="eastAsia" w:ascii="黑体" w:hAnsi="黑体" w:eastAsia="黑体" w:cs="黑体"/>
          <w:color w:val="000000"/>
          <w:spacing w:val="0"/>
          <w:w w:val="100"/>
          <w:position w:val="0"/>
          <w:sz w:val="32"/>
          <w:szCs w:val="32"/>
          <w:u w:val="none"/>
          <w:shd w:val="clear" w:color="auto" w:fill="auto"/>
          <w:lang w:val="en-US" w:eastAsia="zh-CN" w:bidi="en-US"/>
        </w:rPr>
      </w:pPr>
      <w:r>
        <w:rPr>
          <w:rFonts w:hint="eastAsia" w:ascii="黑体" w:hAnsi="黑体" w:eastAsia="黑体" w:cs="黑体"/>
          <w:color w:val="000000"/>
          <w:spacing w:val="0"/>
          <w:w w:val="100"/>
          <w:position w:val="0"/>
          <w:sz w:val="32"/>
          <w:szCs w:val="32"/>
          <w:u w:val="none"/>
          <w:shd w:val="clear" w:color="auto" w:fill="auto"/>
          <w:lang w:val="en-US" w:eastAsia="zh-CN" w:bidi="en-US"/>
        </w:rPr>
        <w:t>结算管理</w:t>
      </w:r>
    </w:p>
    <w:p>
      <w:pPr>
        <w:pStyle w:val="4"/>
        <w:keepNext w:val="0"/>
        <w:keepLines w:val="0"/>
        <w:pageBreakBefore w:val="0"/>
        <w:widowControl/>
        <w:numPr>
          <w:ilvl w:val="0"/>
          <w:numId w:val="2"/>
        </w:numPr>
        <w:suppressLineNumbers w:val="0"/>
        <w:shd w:val="clear" w:color="auto" w:fill="auto"/>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支付标准。以丙肝治疗历史数据和临床路径为基础，综合考虑医保基金支付能力、参保人员个人负担等情况，丙肝按病种支付标准为19000元，由医保基金和参保人员共同分担。建立支付标准动态调整机制，根据适宜技术服务利用和医药价格变动等因素适时调整。</w:t>
      </w:r>
      <w:bookmarkStart w:id="0" w:name="bookmark4"/>
    </w:p>
    <w:bookmarkEnd w:id="0"/>
    <w:p>
      <w:pPr>
        <w:pStyle w:val="4"/>
        <w:keepNext w:val="0"/>
        <w:keepLines w:val="0"/>
        <w:pageBreakBefore w:val="0"/>
        <w:widowControl/>
        <w:numPr>
          <w:ilvl w:val="0"/>
          <w:numId w:val="2"/>
        </w:numPr>
        <w:suppressLineNumbers w:val="0"/>
        <w:shd w:val="clear" w:color="auto" w:fill="auto"/>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个人支付。参保患者在丙肝定点医疗机构治疗丙肝发生的门诊医疗费用，以及到合作药店购药发生的药品费用，按照我市基本医疗保险特殊病种待遇实行“一站式”刷卡结算。</w:t>
      </w:r>
      <w:bookmarkStart w:id="2" w:name="_GoBack"/>
      <w:bookmarkEnd w:id="2"/>
      <w:bookmarkStart w:id="1" w:name="bookmark5"/>
    </w:p>
    <w:bookmarkEnd w:id="1"/>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支付范围。治疗药品包括：丙肝直接抗病毒</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（DAA）</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药品（详见附件2）和干扰素，今后如需调整的，由金华市中心医院牵头</w:t>
      </w:r>
      <w:r>
        <w:rPr>
          <w:rFonts w:hint="eastAsia" w:ascii="仿宋_GB2312" w:hAnsi="仿宋_GB2312" w:eastAsia="仿宋_GB2312" w:cs="仿宋_GB2312"/>
          <w:sz w:val="32"/>
          <w:szCs w:val="32"/>
          <w:u w:val="none"/>
          <w:lang w:bidi="en-US"/>
        </w:rPr>
        <w:t>修订</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报市医保经办机构备案。诊疗项目包括：HCV-RNA、HCV基因型、丙肝抗体、血常规、凝血四项、生化、乙肝两对半定量、HBV-DNA、抗核抗体、甲状腺功能、尿常规、心电图、肝胆胰脾B超、肝脏弹性检测、HIV+梅毒抗体、AFP、高敏HCV-RNA等。</w:t>
      </w:r>
    </w:p>
    <w:p>
      <w:pPr>
        <w:keepNext w:val="0"/>
        <w:keepLines w:val="0"/>
        <w:pageBreakBefore w:val="0"/>
        <w:kinsoku/>
        <w:wordWrap/>
        <w:overflowPunct/>
        <w:topLinePunct w:val="0"/>
        <w:autoSpaceDE/>
        <w:autoSpaceDN/>
        <w:bidi w:val="0"/>
        <w:adjustRightInd/>
        <w:snapToGrid/>
        <w:spacing w:line="540" w:lineRule="exact"/>
        <w:ind w:left="0" w:firstLine="640" w:firstLineChars="200"/>
        <w:jc w:val="both"/>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（四）医保支付。各医保经办机构根据丙肝按病种支付标准，扣除患者个人现金支付部分后，直接与丙肝定点医疗机构及合作药店结算，</w:t>
      </w:r>
      <w:r>
        <w:rPr>
          <w:rFonts w:hint="eastAsia" w:ascii="仿宋_GB2312" w:hAnsi="仿宋_GB2312" w:eastAsia="仿宋_GB2312" w:cs="仿宋_GB2312"/>
          <w:i w:val="0"/>
          <w:iCs w:val="0"/>
          <w:caps w:val="0"/>
          <w:color w:val="000000"/>
          <w:spacing w:val="0"/>
          <w:sz w:val="32"/>
          <w:szCs w:val="32"/>
          <w:u w:val="none"/>
          <w:shd w:val="clear" w:fill="auto"/>
          <w:lang w:eastAsia="zh-CN" w:bidi="en-US"/>
        </w:rPr>
        <w:t>基金支付按《</w:t>
      </w:r>
      <w:r>
        <w:rPr>
          <w:rFonts w:hint="eastAsia" w:ascii="仿宋_GB2312" w:hAnsi="仿宋_GB2312" w:eastAsia="仿宋_GB2312" w:cs="仿宋_GB2312"/>
          <w:sz w:val="32"/>
          <w:szCs w:val="32"/>
          <w:u w:val="none"/>
          <w:lang w:eastAsia="zh-CN"/>
        </w:rPr>
        <w:t>金华市基本医疗保险门诊付费办法（试行）》规定，</w:t>
      </w:r>
      <w:r>
        <w:rPr>
          <w:rFonts w:hint="eastAsia" w:ascii="仿宋_GB2312" w:hAnsi="仿宋_GB2312" w:eastAsia="仿宋_GB2312" w:cs="仿宋_GB2312"/>
          <w:i w:val="0"/>
          <w:iCs w:val="0"/>
          <w:caps w:val="0"/>
          <w:color w:val="000000"/>
          <w:spacing w:val="0"/>
          <w:sz w:val="32"/>
          <w:szCs w:val="32"/>
          <w:u w:val="none"/>
          <w:shd w:val="clear" w:fill="auto"/>
          <w:lang w:eastAsia="zh-CN" w:bidi="en-US"/>
        </w:rPr>
        <w:t>纳入门诊月度预付、年终清算。</w:t>
      </w:r>
    </w:p>
    <w:p>
      <w:pPr>
        <w:keepNext w:val="0"/>
        <w:keepLines w:val="0"/>
        <w:pageBreakBefore w:val="0"/>
        <w:kinsoku/>
        <w:wordWrap/>
        <w:overflowPunct/>
        <w:topLinePunct w:val="0"/>
        <w:autoSpaceDE/>
        <w:autoSpaceDN/>
        <w:bidi w:val="0"/>
        <w:adjustRightInd/>
        <w:snapToGrid/>
        <w:spacing w:before="0" w:after="0" w:line="540" w:lineRule="exact"/>
        <w:ind w:left="0" w:leftChars="0" w:firstLine="562" w:firstLineChars="200"/>
        <w:jc w:val="both"/>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四、管理考核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firstLine="560" w:firstLineChars="175"/>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（一）协议管理。各级医保经办机构负责丙肝按病种支付的日常管理工作，将丙肝按病种支付纳入医保服务协议管理，明确双方权利义务和各项质量控制指标。</w:t>
      </w:r>
    </w:p>
    <w:p>
      <w:pPr>
        <w:keepNext w:val="0"/>
        <w:keepLines w:val="0"/>
        <w:pageBreakBefore w:val="0"/>
        <w:shd w:val="clear" w:color="auto" w:fill="auto"/>
        <w:kinsoku/>
        <w:wordWrap/>
        <w:overflowPunct/>
        <w:topLinePunct w:val="0"/>
        <w:autoSpaceDE/>
        <w:autoSpaceDN/>
        <w:bidi w:val="0"/>
        <w:adjustRightInd/>
        <w:snapToGrid/>
        <w:spacing w:before="0" w:after="0" w:line="54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（二）监督考核。各级医保经办机构将丙肝按病种支付纳入监督检查范围，科学设定监控指标和阈值，强化对丙肝诊疗服务行为的监管，并加强考核管理。</w:t>
      </w:r>
    </w:p>
    <w:p>
      <w:pPr>
        <w:keepNext w:val="0"/>
        <w:keepLines w:val="0"/>
        <w:pageBreakBefore w:val="0"/>
        <w:kinsoku/>
        <w:wordWrap/>
        <w:overflowPunct/>
        <w:topLinePunct w:val="0"/>
        <w:autoSpaceDE/>
        <w:autoSpaceDN/>
        <w:bidi w:val="0"/>
        <w:adjustRightInd/>
        <w:snapToGrid/>
        <w:spacing w:before="0" w:after="0" w:line="540" w:lineRule="exact"/>
        <w:ind w:left="0" w:leftChars="0" w:firstLine="562" w:firstLineChars="200"/>
        <w:jc w:val="both"/>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五、年度清算</w:t>
      </w:r>
    </w:p>
    <w:p>
      <w:pPr>
        <w:pStyle w:val="4"/>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kern w:val="0"/>
          <w:position w:val="0"/>
          <w:sz w:val="32"/>
          <w:szCs w:val="32"/>
          <w:u w:val="none"/>
          <w:shd w:val="clear" w:color="auto" w:fill="auto"/>
          <w:lang w:val="en-US" w:eastAsia="zh-CN" w:bidi="en-US"/>
        </w:rPr>
        <w:t>丙肝按病种支付基金纳入各地门诊医保基金总额预算管理。各医保经办机构依据协议考核和监督检查情况，按照“结余留用、超支不补”原则，将丙肝定点医疗机构丙肝按病种支付医疗费用纳入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当地门诊APGs</w:t>
      </w:r>
      <w:r>
        <w:rPr>
          <w:rFonts w:hint="eastAsia" w:ascii="仿宋_GB2312" w:hAnsi="仿宋_GB2312" w:eastAsia="仿宋_GB2312" w:cs="仿宋_GB2312"/>
          <w:color w:val="000000"/>
          <w:spacing w:val="0"/>
          <w:w w:val="100"/>
          <w:kern w:val="0"/>
          <w:position w:val="0"/>
          <w:sz w:val="32"/>
          <w:szCs w:val="32"/>
          <w:u w:val="none"/>
          <w:shd w:val="clear" w:color="auto" w:fill="auto"/>
          <w:lang w:val="en-US" w:eastAsia="zh-CN" w:bidi="en-US"/>
        </w:rPr>
        <w:t>进行年终清算</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w:t>
      </w:r>
      <w:r>
        <w:rPr>
          <w:rFonts w:hint="eastAsia" w:ascii="仿宋_GB2312" w:hAnsi="仿宋_GB2312" w:eastAsia="仿宋_GB2312" w:cs="仿宋_GB2312"/>
          <w:color w:val="000000"/>
          <w:spacing w:val="0"/>
          <w:w w:val="100"/>
          <w:kern w:val="0"/>
          <w:position w:val="0"/>
          <w:sz w:val="32"/>
          <w:szCs w:val="32"/>
          <w:u w:val="none"/>
          <w:shd w:val="clear" w:color="auto" w:fill="auto"/>
          <w:lang w:val="en-US" w:eastAsia="zh-CN" w:bidi="en-US"/>
        </w:rPr>
        <w:t>丙肝定点医疗机构实际发生费用低于按病种支付标准的，结余部分由丙肝定点医疗机构留用；实际发生费用超过按病种支付标准的，超出部分由丙肝定点医疗机构承担。</w:t>
      </w:r>
    </w:p>
    <w:p>
      <w:pPr>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40" w:lineRule="exact"/>
        <w:ind w:lef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本通知自2021年 月 日起施行</w:t>
      </w:r>
    </w:p>
    <w:p>
      <w:pPr>
        <w:pStyle w:val="2"/>
        <w:keepNext w:val="0"/>
        <w:keepLines w:val="0"/>
        <w:pageBreakBefore w:val="0"/>
        <w:kinsoku/>
        <w:wordWrap/>
        <w:overflowPunct/>
        <w:topLinePunct w:val="0"/>
        <w:autoSpaceDE/>
        <w:autoSpaceDN/>
        <w:bidi w:val="0"/>
        <w:adjustRightInd/>
        <w:snapToGrid/>
        <w:spacing w:line="540" w:lineRule="exact"/>
        <w:ind w:left="0" w:leftChars="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p>
    <w:p>
      <w:pPr>
        <w:pStyle w:val="2"/>
        <w:keepNext w:val="0"/>
        <w:keepLines w:val="0"/>
        <w:pageBreakBefore w:val="0"/>
        <w:kinsoku/>
        <w:wordWrap/>
        <w:overflowPunct/>
        <w:topLinePunct w:val="0"/>
        <w:autoSpaceDE/>
        <w:autoSpaceDN/>
        <w:bidi w:val="0"/>
        <w:adjustRightInd/>
        <w:snapToGrid/>
        <w:spacing w:line="540" w:lineRule="exact"/>
        <w:ind w:left="1918" w:leftChars="304" w:hanging="1280" w:hangingChars="4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附件：1.金华市基本医疗保险丙型肝炎（抗病毒治疗）门诊医疗费用按病种支付定点医疗机构名单</w:t>
      </w:r>
    </w:p>
    <w:p>
      <w:pPr>
        <w:pStyle w:val="2"/>
        <w:keepNext w:val="0"/>
        <w:keepLines w:val="0"/>
        <w:pageBreakBefore w:val="0"/>
        <w:kinsoku/>
        <w:wordWrap/>
        <w:overflowPunct/>
        <w:topLinePunct w:val="0"/>
        <w:autoSpaceDE/>
        <w:autoSpaceDN/>
        <w:bidi w:val="0"/>
        <w:adjustRightInd/>
        <w:snapToGrid/>
        <w:spacing w:line="540" w:lineRule="exact"/>
        <w:ind w:left="1918" w:leftChars="304" w:hanging="1280" w:hangingChars="4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 xml:space="preserve">      2.丙肝直接抗病毒（DAA)药品信息表</w:t>
      </w:r>
    </w:p>
    <w:p>
      <w:pPr>
        <w:pStyle w:val="2"/>
        <w:rPr>
          <w:rFonts w:hint="eastAsia"/>
          <w:lang w:val="en-US" w:eastAsia="zh-CN"/>
        </w:rPr>
      </w:pPr>
    </w:p>
    <w:p>
      <w:pPr>
        <w:pStyle w:val="2"/>
        <w:rPr>
          <w:rFonts w:hint="eastAsia"/>
          <w:lang w:val="en-US" w:eastAsia="zh-CN"/>
        </w:rPr>
      </w:pPr>
    </w:p>
    <w:p>
      <w:pPr>
        <w:keepNext w:val="0"/>
        <w:keepLines w:val="0"/>
        <w:pageBreakBefore w:val="0"/>
        <w:shd w:val="clear" w:color="auto" w:fill="auto"/>
        <w:kinsoku/>
        <w:wordWrap/>
        <w:overflowPunct/>
        <w:topLinePunct w:val="0"/>
        <w:autoSpaceDE/>
        <w:autoSpaceDN/>
        <w:bidi w:val="0"/>
        <w:adjustRightInd/>
        <w:snapToGrid/>
        <w:spacing w:before="0" w:after="0" w:line="540" w:lineRule="exact"/>
        <w:ind w:left="0" w:firstLine="960" w:firstLineChars="300"/>
        <w:jc w:val="righ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金华市医疗保障局       金华市财政局</w:t>
      </w:r>
    </w:p>
    <w:p>
      <w:pPr>
        <w:keepNext w:val="0"/>
        <w:keepLines w:val="0"/>
        <w:pageBreakBefore w:val="0"/>
        <w:shd w:val="clear" w:color="auto" w:fill="auto"/>
        <w:kinsoku/>
        <w:wordWrap/>
        <w:overflowPunct/>
        <w:topLinePunct w:val="0"/>
        <w:autoSpaceDE/>
        <w:autoSpaceDN/>
        <w:bidi w:val="0"/>
        <w:adjustRightInd/>
        <w:snapToGrid/>
        <w:spacing w:before="0" w:after="0" w:line="540" w:lineRule="exact"/>
        <w:jc w:val="righ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金华市卫生健康委</w:t>
      </w:r>
    </w:p>
    <w:p>
      <w:pPr>
        <w:keepNext w:val="0"/>
        <w:keepLines w:val="0"/>
        <w:pageBreakBefore w:val="0"/>
        <w:shd w:val="clear" w:color="auto" w:fill="auto"/>
        <w:kinsoku/>
        <w:wordWrap/>
        <w:overflowPunct/>
        <w:topLinePunct w:val="0"/>
        <w:autoSpaceDE/>
        <w:autoSpaceDN/>
        <w:bidi w:val="0"/>
        <w:adjustRightInd/>
        <w:snapToGrid/>
        <w:spacing w:before="0" w:after="0" w:line="540" w:lineRule="exact"/>
        <w:ind w:firstLine="3200" w:firstLineChars="1000"/>
        <w:jc w:val="right"/>
        <w:textAlignment w:val="auto"/>
        <w:rPr>
          <w:rFonts w:hint="eastAsia" w:ascii="黑体" w:hAnsi="黑体" w:eastAsia="黑体" w:cs="黑体"/>
          <w:color w:val="000000"/>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2021年9月 日</w:t>
      </w:r>
    </w:p>
    <w:p>
      <w:pPr>
        <w:pStyle w:val="2"/>
        <w:ind w:left="0" w:leftChars="0" w:firstLine="0" w:firstLineChars="0"/>
        <w:rPr>
          <w:rFonts w:hint="eastAsia" w:ascii="黑体" w:hAnsi="黑体" w:eastAsia="黑体" w:cs="黑体"/>
          <w:color w:val="000000"/>
          <w:spacing w:val="0"/>
          <w:w w:val="100"/>
          <w:position w:val="0"/>
          <w:sz w:val="32"/>
          <w:szCs w:val="32"/>
          <w:u w:val="none"/>
          <w:shd w:val="clear" w:color="auto" w:fill="auto"/>
          <w:lang w:val="en-US" w:eastAsia="zh-CN" w:bidi="en-US"/>
        </w:rPr>
      </w:pPr>
    </w:p>
    <w:p>
      <w:pPr>
        <w:pStyle w:val="2"/>
        <w:ind w:left="0" w:leftChars="0" w:firstLine="0" w:firstLineChars="0"/>
        <w:rPr>
          <w:rFonts w:hint="eastAsia" w:ascii="黑体" w:hAnsi="黑体" w:eastAsia="黑体" w:cs="黑体"/>
          <w:color w:val="000000"/>
          <w:spacing w:val="0"/>
          <w:w w:val="100"/>
          <w:position w:val="0"/>
          <w:sz w:val="32"/>
          <w:szCs w:val="32"/>
          <w:u w:val="none"/>
          <w:shd w:val="clear" w:color="auto" w:fill="auto"/>
          <w:lang w:val="en-US" w:eastAsia="zh-CN" w:bidi="en-US"/>
        </w:rPr>
      </w:pPr>
    </w:p>
    <w:p>
      <w:pPr>
        <w:pStyle w:val="2"/>
        <w:ind w:left="0" w:leftChars="0" w:firstLine="0" w:firstLineChars="0"/>
        <w:rPr>
          <w:rFonts w:hint="eastAsia" w:ascii="黑体" w:hAnsi="黑体" w:eastAsia="黑体" w:cs="黑体"/>
          <w:color w:val="000000"/>
          <w:spacing w:val="0"/>
          <w:w w:val="100"/>
          <w:position w:val="0"/>
          <w:sz w:val="32"/>
          <w:szCs w:val="32"/>
          <w:u w:val="none"/>
          <w:shd w:val="clear" w:color="auto" w:fill="auto"/>
          <w:lang w:val="en-US" w:eastAsia="zh-CN" w:bidi="en-US"/>
        </w:rPr>
      </w:pPr>
      <w:r>
        <w:rPr>
          <w:rFonts w:hint="eastAsia" w:ascii="黑体" w:hAnsi="黑体" w:eastAsia="黑体" w:cs="黑体"/>
          <w:color w:val="000000"/>
          <w:spacing w:val="0"/>
          <w:w w:val="100"/>
          <w:position w:val="0"/>
          <w:sz w:val="32"/>
          <w:szCs w:val="32"/>
          <w:u w:val="none"/>
          <w:shd w:val="clear" w:color="auto" w:fill="auto"/>
          <w:lang w:val="en-US" w:eastAsia="zh-CN" w:bidi="en-US"/>
        </w:rPr>
        <w:t>附件1</w:t>
      </w:r>
    </w:p>
    <w:p>
      <w:pPr>
        <w:pStyle w:val="2"/>
        <w:ind w:left="0" w:leftChars="0" w:firstLine="0" w:firstLineChars="0"/>
        <w:rPr>
          <w:rFonts w:hint="default" w:ascii="黑体" w:hAnsi="黑体" w:eastAsia="黑体" w:cs="黑体"/>
          <w:color w:val="000000"/>
          <w:spacing w:val="0"/>
          <w:w w:val="100"/>
          <w:position w:val="0"/>
          <w:sz w:val="32"/>
          <w:szCs w:val="32"/>
          <w:u w:val="none"/>
          <w:shd w:val="clear" w:color="auto" w:fill="auto"/>
          <w:lang w:val="en-US" w:eastAsia="zh-CN" w:bidi="en-US"/>
        </w:rPr>
      </w:pPr>
    </w:p>
    <w:p>
      <w:pPr>
        <w:pStyle w:val="2"/>
        <w:ind w:left="0" w:leftChars="0" w:firstLine="0" w:firstLineChars="0"/>
        <w:jc w:val="center"/>
        <w:rPr>
          <w:rFonts w:hint="eastAsia" w:ascii="方正小标宋简体" w:hAnsi="方正小标宋简体" w:eastAsia="方正小标宋简体" w:cs="方正小标宋简体"/>
          <w:color w:val="000000"/>
          <w:spacing w:val="0"/>
          <w:w w:val="100"/>
          <w:position w:val="0"/>
          <w:sz w:val="36"/>
          <w:szCs w:val="36"/>
          <w:u w:val="none"/>
          <w:shd w:val="clear" w:color="auto" w:fill="auto"/>
          <w:lang w:val="en-US" w:eastAsia="zh-CN" w:bidi="en-US"/>
        </w:rPr>
      </w:pPr>
      <w:r>
        <w:rPr>
          <w:rFonts w:hint="eastAsia" w:ascii="方正小标宋简体" w:hAnsi="方正小标宋简体" w:eastAsia="方正小标宋简体" w:cs="方正小标宋简体"/>
          <w:color w:val="000000"/>
          <w:spacing w:val="0"/>
          <w:w w:val="100"/>
          <w:position w:val="0"/>
          <w:sz w:val="36"/>
          <w:szCs w:val="36"/>
          <w:u w:val="none"/>
          <w:shd w:val="clear" w:color="auto" w:fill="auto"/>
          <w:lang w:val="en-US" w:eastAsia="zh-CN" w:bidi="en-US"/>
        </w:rPr>
        <w:t>金华市基本医疗保险丙型肝炎（抗病毒治疗）</w:t>
      </w:r>
    </w:p>
    <w:p>
      <w:pPr>
        <w:pStyle w:val="2"/>
        <w:keepNext w:val="0"/>
        <w:keepLines w:val="0"/>
        <w:pageBreakBefore w:val="0"/>
        <w:widowControl w:val="0"/>
        <w:kinsoku/>
        <w:wordWrap/>
        <w:overflowPunct/>
        <w:topLinePunct w:val="0"/>
        <w:autoSpaceDE/>
        <w:autoSpaceDN/>
        <w:bidi w:val="0"/>
        <w:adjustRightInd/>
        <w:snapToGrid/>
        <w:spacing w:line="560" w:lineRule="exact"/>
        <w:ind w:left="1080" w:leftChars="0" w:hanging="1080" w:hangingChars="300"/>
        <w:jc w:val="center"/>
        <w:textAlignment w:val="auto"/>
        <w:rPr>
          <w:rFonts w:hint="eastAsia" w:ascii="方正小标宋简体" w:hAnsi="方正小标宋简体" w:eastAsia="方正小标宋简体" w:cs="方正小标宋简体"/>
          <w:color w:val="000000"/>
          <w:spacing w:val="0"/>
          <w:w w:val="100"/>
          <w:position w:val="0"/>
          <w:sz w:val="36"/>
          <w:szCs w:val="36"/>
          <w:u w:val="none"/>
          <w:shd w:val="clear" w:color="auto" w:fill="auto"/>
          <w:lang w:val="en-US" w:eastAsia="zh-CN" w:bidi="en-US"/>
        </w:rPr>
      </w:pPr>
      <w:r>
        <w:rPr>
          <w:rFonts w:hint="eastAsia" w:ascii="方正小标宋简体" w:hAnsi="方正小标宋简体" w:eastAsia="方正小标宋简体" w:cs="方正小标宋简体"/>
          <w:color w:val="000000"/>
          <w:spacing w:val="0"/>
          <w:w w:val="100"/>
          <w:position w:val="0"/>
          <w:sz w:val="36"/>
          <w:szCs w:val="36"/>
          <w:u w:val="none"/>
          <w:shd w:val="clear" w:color="auto" w:fill="auto"/>
          <w:lang w:val="en-US" w:eastAsia="zh-CN" w:bidi="en-US"/>
        </w:rPr>
        <w:t>门诊医疗费用按病种支付定点医疗机构名单</w:t>
      </w:r>
    </w:p>
    <w:p>
      <w:pPr>
        <w:pStyle w:val="2"/>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jc w:val="center"/>
        <w:textAlignment w:val="auto"/>
        <w:rPr>
          <w:rFonts w:hint="eastAsia" w:ascii="方正小标宋简体" w:hAnsi="方正小标宋简体" w:eastAsia="方正小标宋简体" w:cs="方正小标宋简体"/>
          <w:color w:val="000000"/>
          <w:spacing w:val="0"/>
          <w:w w:val="100"/>
          <w:position w:val="0"/>
          <w:sz w:val="32"/>
          <w:szCs w:val="32"/>
          <w:u w:val="none"/>
          <w:shd w:val="clear" w:color="auto" w:fill="auto"/>
          <w:lang w:val="en-US" w:eastAsia="zh-CN" w:bidi="en-US"/>
        </w:rPr>
      </w:pPr>
    </w:p>
    <w:tbl>
      <w:tblPr>
        <w:tblStyle w:val="6"/>
        <w:tblpPr w:leftFromText="180" w:rightFromText="180" w:vertAnchor="text" w:horzAnchor="page" w:tblpX="1881"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2045"/>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ind w:left="0" w:leftChars="0" w:firstLine="320" w:firstLineChars="100"/>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序号</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地区</w:t>
            </w:r>
          </w:p>
        </w:tc>
        <w:tc>
          <w:tcPr>
            <w:tcW w:w="4759"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医疗机构名称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1</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市本级</w:t>
            </w:r>
          </w:p>
        </w:tc>
        <w:tc>
          <w:tcPr>
            <w:tcW w:w="4759"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2</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金东区</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金华市金东区中医院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3</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婺城区</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4</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婺城区</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金华市婺城区第一人民医院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5</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兰溪</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6</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东阳</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7</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义乌</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8</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义乌</w:t>
            </w:r>
          </w:p>
        </w:tc>
        <w:tc>
          <w:tcPr>
            <w:tcW w:w="4759" w:type="dxa"/>
          </w:tcPr>
          <w:p>
            <w:pPr>
              <w:pStyle w:val="2"/>
              <w:shd w:val="clear" w:color="auto" w:fill="auto"/>
              <w:ind w:left="0" w:leftChars="0" w:firstLine="0" w:firstLineChars="0"/>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9</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永康</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10</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浦江</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浦江县人民医院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11</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磐安</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磐安县人民医院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86" w:type="dxa"/>
          </w:tcPr>
          <w:p>
            <w:pPr>
              <w:pStyle w:val="2"/>
              <w:rPr>
                <w:rFonts w:hint="default"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12</w:t>
            </w:r>
          </w:p>
        </w:tc>
        <w:tc>
          <w:tcPr>
            <w:tcW w:w="2045" w:type="dxa"/>
          </w:tcPr>
          <w:p>
            <w:pPr>
              <w:pStyle w:val="2"/>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武义</w:t>
            </w:r>
          </w:p>
        </w:tc>
        <w:tc>
          <w:tcPr>
            <w:tcW w:w="4759" w:type="dxa"/>
          </w:tcPr>
          <w:p>
            <w:pPr>
              <w:pStyle w:val="2"/>
              <w:shd w:val="clear" w:color="auto" w:fill="auto"/>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pPr>
            <w:r>
              <w:rPr>
                <w:rFonts w:hint="eastAsia" w:ascii="仿宋_GB2312" w:hAnsi="仿宋_GB2312" w:eastAsia="仿宋_GB2312" w:cs="仿宋_GB2312"/>
                <w:color w:val="000000"/>
                <w:spacing w:val="0"/>
                <w:w w:val="100"/>
                <w:position w:val="0"/>
                <w:sz w:val="32"/>
                <w:szCs w:val="32"/>
                <w:u w:val="none"/>
                <w:shd w:val="clear" w:color="auto" w:fill="auto"/>
                <w:vertAlign w:val="baseline"/>
                <w:lang w:val="en-US" w:eastAsia="zh-CN" w:bidi="en-US"/>
              </w:rPr>
              <w:t>武义县第一人民医院</w:t>
            </w:r>
          </w:p>
        </w:tc>
      </w:tr>
    </w:tbl>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hint="eastAsia" w:ascii="黑体" w:hAnsi="黑体" w:eastAsia="黑体" w:cs="仿宋_GB2312"/>
          <w:sz w:val="32"/>
          <w:szCs w:val="32"/>
        </w:rPr>
      </w:pPr>
    </w:p>
    <w:p>
      <w:pPr>
        <w:rPr>
          <w:rFonts w:hint="eastAsia" w:ascii="黑体" w:hAnsi="黑体" w:eastAsia="黑体" w:cs="仿宋_GB2312"/>
          <w:sz w:val="32"/>
          <w:szCs w:val="32"/>
          <w:lang w:val="en-US" w:eastAsia="zh-CN"/>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p>
    <w:p>
      <w:pPr>
        <w:jc w:val="center"/>
        <w:rPr>
          <w:rFonts w:hint="eastAsia" w:ascii="方正小标宋简体" w:hAnsi="宋体" w:eastAsia="方正小标宋简体" w:cs="仿宋_GB2312"/>
          <w:sz w:val="32"/>
          <w:szCs w:val="32"/>
        </w:rPr>
      </w:pPr>
      <w:r>
        <w:rPr>
          <w:rFonts w:hint="eastAsia" w:ascii="方正小标宋简体" w:hAnsi="宋体" w:eastAsia="方正小标宋简体"/>
          <w:sz w:val="44"/>
          <w:szCs w:val="44"/>
        </w:rPr>
        <w:t>丙肝直接抗病毒（DAA)药品信息表</w:t>
      </w:r>
    </w:p>
    <w:p/>
    <w:tbl>
      <w:tblPr>
        <w:tblStyle w:val="5"/>
        <w:tblW w:w="9852" w:type="dxa"/>
        <w:tblInd w:w="-550" w:type="dxa"/>
        <w:tblLayout w:type="fixed"/>
        <w:tblCellMar>
          <w:top w:w="0" w:type="dxa"/>
          <w:left w:w="0" w:type="dxa"/>
          <w:bottom w:w="0" w:type="dxa"/>
          <w:right w:w="0" w:type="dxa"/>
        </w:tblCellMar>
      </w:tblPr>
      <w:tblGrid>
        <w:gridCol w:w="960"/>
        <w:gridCol w:w="1633"/>
        <w:gridCol w:w="1187"/>
        <w:gridCol w:w="994"/>
        <w:gridCol w:w="1270"/>
        <w:gridCol w:w="912"/>
        <w:gridCol w:w="1257"/>
        <w:gridCol w:w="1639"/>
      </w:tblGrid>
      <w:tr>
        <w:tblPrEx>
          <w:tblCellMar>
            <w:top w:w="0" w:type="dxa"/>
            <w:left w:w="0" w:type="dxa"/>
            <w:bottom w:w="0" w:type="dxa"/>
            <w:right w:w="0" w:type="dxa"/>
          </w:tblCellMar>
        </w:tblPrEx>
        <w:trPr>
          <w:trHeight w:val="53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药品编码</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通用名</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商品名</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剂型</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转换比</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生产企业</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支付标准</w:t>
            </w:r>
          </w:p>
        </w:tc>
      </w:tr>
      <w:tr>
        <w:tblPrEx>
          <w:tblCellMar>
            <w:top w:w="0" w:type="dxa"/>
            <w:left w:w="0" w:type="dxa"/>
            <w:bottom w:w="0" w:type="dxa"/>
            <w:right w:w="0" w:type="dxa"/>
          </w:tblCellMar>
        </w:tblPrEx>
        <w:trPr>
          <w:trHeight w:val="58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both"/>
              <w:textAlignment w:val="center"/>
              <w:rPr>
                <w:rFonts w:hint="eastAsia" w:ascii="宋体" w:hAnsi="宋体" w:cs="宋体"/>
                <w:color w:val="000000"/>
                <w:kern w:val="0"/>
                <w:sz w:val="22"/>
              </w:rPr>
            </w:pPr>
            <w:r>
              <w:rPr>
                <w:rFonts w:hint="eastAsia" w:ascii="宋体" w:hAnsi="宋体" w:cs="宋体"/>
                <w:color w:val="000000"/>
                <w:kern w:val="0"/>
                <w:sz w:val="22"/>
              </w:rPr>
              <w:t xml:space="preserve">XJ05APS268A001010182157 </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both"/>
              <w:textAlignment w:val="center"/>
              <w:rPr>
                <w:rFonts w:hint="eastAsia" w:ascii="宋体" w:hAnsi="宋体" w:eastAsia="宋体" w:cs="宋体"/>
                <w:color w:val="000000"/>
                <w:sz w:val="22"/>
                <w:lang w:eastAsia="zh-CN"/>
              </w:rPr>
            </w:pPr>
            <w:r>
              <w:rPr>
                <w:rFonts w:hint="eastAsia" w:ascii="宋体" w:hAnsi="宋体" w:cs="宋体"/>
                <w:color w:val="000000"/>
                <w:kern w:val="0"/>
                <w:sz w:val="22"/>
              </w:rPr>
              <w:t>索磷布韦</w:t>
            </w:r>
            <w:r>
              <w:rPr>
                <w:rFonts w:hint="eastAsia" w:ascii="宋体" w:hAnsi="宋体" w:eastAsia="宋体" w:cs="宋体"/>
                <w:color w:val="000000"/>
                <w:kern w:val="0"/>
                <w:sz w:val="22"/>
                <w:lang w:eastAsia="zh-CN"/>
              </w:rPr>
              <w:t>维帕他韦片</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eastAsia="zh-CN"/>
              </w:rPr>
              <w:t>丙通沙</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口服常释剂型</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28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爱尔兰Gilead Sciences Ireland UC</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4,368.00</w:t>
            </w:r>
          </w:p>
        </w:tc>
      </w:tr>
      <w:tr>
        <w:tblPrEx>
          <w:tblCellMar>
            <w:top w:w="0" w:type="dxa"/>
            <w:left w:w="0" w:type="dxa"/>
            <w:bottom w:w="0" w:type="dxa"/>
            <w:right w:w="0" w:type="dxa"/>
          </w:tblCellMar>
        </w:tblPrEx>
        <w:trPr>
          <w:trHeight w:val="87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both"/>
              <w:textAlignment w:val="center"/>
              <w:rPr>
                <w:rFonts w:hint="eastAsia" w:ascii="宋体" w:hAnsi="宋体" w:cs="宋体"/>
                <w:color w:val="000000"/>
                <w:kern w:val="0"/>
                <w:sz w:val="22"/>
              </w:rPr>
            </w:pPr>
            <w:r>
              <w:rPr>
                <w:rFonts w:hint="eastAsia" w:ascii="宋体" w:hAnsi="宋体" w:cs="宋体"/>
                <w:color w:val="000000"/>
                <w:kern w:val="0"/>
                <w:sz w:val="22"/>
              </w:rPr>
              <w:t xml:space="preserve">XJ05APA312A001010178633  </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both"/>
              <w:textAlignment w:val="center"/>
              <w:rPr>
                <w:rFonts w:ascii="宋体" w:hAnsi="宋体" w:cs="宋体"/>
                <w:color w:val="000000"/>
                <w:sz w:val="22"/>
              </w:rPr>
            </w:pPr>
            <w:r>
              <w:rPr>
                <w:rFonts w:hint="eastAsia" w:ascii="宋体" w:hAnsi="宋体" w:cs="宋体"/>
                <w:color w:val="000000"/>
                <w:kern w:val="0"/>
                <w:sz w:val="22"/>
              </w:rPr>
              <w:t>艾尔巴韦格拉瑞韦片</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eastAsia="zh-CN"/>
              </w:rPr>
              <w:t>择必达</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ind w:left="0" w:leftChars="0" w:right="0" w:rightChars="0" w:firstLine="0" w:firstLineChars="0"/>
              <w:jc w:val="center"/>
              <w:textAlignment w:val="center"/>
              <w:rPr>
                <w:rFonts w:ascii="宋体" w:hAnsi="宋体" w:eastAsia="Times New Roman" w:cs="宋体"/>
                <w:color w:val="000000"/>
                <w:spacing w:val="0"/>
                <w:w w:val="100"/>
                <w:position w:val="0"/>
                <w:sz w:val="22"/>
                <w:szCs w:val="24"/>
                <w:shd w:val="clear" w:color="auto" w:fill="auto"/>
                <w:lang w:val="en-US" w:eastAsia="en-US" w:bidi="en-US"/>
              </w:rPr>
            </w:pPr>
            <w:r>
              <w:rPr>
                <w:rFonts w:hint="eastAsia" w:ascii="宋体" w:hAnsi="宋体" w:cs="宋体"/>
                <w:color w:val="000000"/>
                <w:sz w:val="22"/>
              </w:rPr>
              <w:t>口服常释剂型</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ind w:left="0" w:leftChars="0" w:right="0" w:rightChars="0" w:firstLine="0" w:firstLineChars="0"/>
              <w:jc w:val="center"/>
              <w:textAlignment w:val="center"/>
              <w:rPr>
                <w:rFonts w:ascii="宋体" w:hAnsi="宋体" w:eastAsia="Times New Roman" w:cs="宋体"/>
                <w:color w:val="000000"/>
                <w:spacing w:val="0"/>
                <w:w w:val="100"/>
                <w:position w:val="0"/>
                <w:sz w:val="22"/>
                <w:szCs w:val="24"/>
                <w:shd w:val="clear" w:color="auto" w:fill="auto"/>
                <w:lang w:val="en-US" w:eastAsia="en-US" w:bidi="en-US"/>
              </w:rPr>
            </w:pPr>
            <w:r>
              <w:rPr>
                <w:rFonts w:hint="eastAsia" w:ascii="宋体" w:hAnsi="宋体" w:cs="宋体"/>
                <w:color w:val="000000"/>
                <w:sz w:val="22"/>
              </w:rPr>
              <w:t>28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爱尔兰MSD International GmbH</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2,193.24</w:t>
            </w:r>
          </w:p>
        </w:tc>
      </w:tr>
      <w:tr>
        <w:tblPrEx>
          <w:tblCellMar>
            <w:top w:w="0" w:type="dxa"/>
            <w:left w:w="0" w:type="dxa"/>
            <w:bottom w:w="0" w:type="dxa"/>
            <w:right w:w="0" w:type="dxa"/>
          </w:tblCellMar>
        </w:tblPrEx>
        <w:trPr>
          <w:trHeight w:val="58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633"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 xml:space="preserve">XJ05APL372A001010182157 </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来迪派韦索磷布韦片</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夏帆宁</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ind w:left="0" w:leftChars="0" w:right="0" w:rightChars="0" w:firstLine="0" w:firstLineChars="0"/>
              <w:jc w:val="center"/>
              <w:textAlignment w:val="center"/>
              <w:rPr>
                <w:rFonts w:ascii="宋体" w:hAnsi="宋体" w:eastAsia="Times New Roman" w:cs="宋体"/>
                <w:color w:val="000000"/>
                <w:spacing w:val="0"/>
                <w:w w:val="100"/>
                <w:position w:val="0"/>
                <w:sz w:val="22"/>
                <w:szCs w:val="24"/>
                <w:shd w:val="clear" w:color="auto" w:fill="auto"/>
                <w:lang w:val="en-US" w:eastAsia="en-US" w:bidi="en-US"/>
              </w:rPr>
            </w:pPr>
            <w:r>
              <w:rPr>
                <w:rFonts w:hint="eastAsia" w:ascii="宋体" w:hAnsi="宋体" w:cs="宋体"/>
                <w:color w:val="000000"/>
                <w:sz w:val="22"/>
              </w:rPr>
              <w:t>口服常释剂型</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ind w:left="0" w:leftChars="0" w:right="0" w:rightChars="0" w:firstLine="0" w:firstLineChars="0"/>
              <w:jc w:val="center"/>
              <w:textAlignment w:val="center"/>
              <w:rPr>
                <w:rFonts w:ascii="宋体" w:hAnsi="宋体" w:eastAsia="Times New Roman" w:cs="宋体"/>
                <w:color w:val="000000"/>
                <w:spacing w:val="0"/>
                <w:w w:val="100"/>
                <w:position w:val="0"/>
                <w:sz w:val="22"/>
                <w:szCs w:val="24"/>
                <w:shd w:val="clear" w:color="auto" w:fill="auto"/>
                <w:lang w:val="en-US" w:eastAsia="en-US" w:bidi="en-US"/>
              </w:rPr>
            </w:pPr>
            <w:r>
              <w:rPr>
                <w:rFonts w:hint="eastAsia" w:ascii="宋体" w:hAnsi="宋体" w:cs="宋体"/>
                <w:color w:val="000000"/>
                <w:sz w:val="22"/>
              </w:rPr>
              <w:t>28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爱尔兰Gilead Sciences Ireland UC</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widowControl/>
              <w:jc w:val="center"/>
              <w:textAlignment w:val="center"/>
              <w:rPr>
                <w:rFonts w:ascii="宋体" w:hAnsi="宋体" w:cs="宋体"/>
                <w:color w:val="000000"/>
                <w:sz w:val="22"/>
              </w:rPr>
            </w:pPr>
            <w:r>
              <w:rPr>
                <w:rFonts w:hint="eastAsia" w:ascii="宋体" w:hAnsi="宋体" w:cs="宋体"/>
                <w:color w:val="000000"/>
                <w:sz w:val="22"/>
              </w:rPr>
              <w:t>2,187.92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9B0B3"/>
    <w:multiLevelType w:val="singleLevel"/>
    <w:tmpl w:val="4849B0B3"/>
    <w:lvl w:ilvl="0" w:tentative="0">
      <w:start w:val="3"/>
      <w:numFmt w:val="chineseCounting"/>
      <w:suff w:val="nothing"/>
      <w:lvlText w:val="%1、"/>
      <w:lvlJc w:val="left"/>
      <w:rPr>
        <w:rFonts w:hint="eastAsia"/>
      </w:rPr>
    </w:lvl>
  </w:abstractNum>
  <w:abstractNum w:abstractNumId="1">
    <w:nsid w:val="61DCD585"/>
    <w:multiLevelType w:val="singleLevel"/>
    <w:tmpl w:val="61DCD58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A0BF4"/>
    <w:rsid w:val="2A757E04"/>
    <w:rsid w:val="6D8A0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textAlignment w:val="auto"/>
    </w:pPr>
    <w:rPr>
      <w:rFonts w:eastAsia="宋体"/>
      <w:sz w:val="21"/>
      <w:szCs w:val="21"/>
    </w:rPr>
  </w:style>
  <w:style w:type="paragraph" w:styleId="4">
    <w:name w:val="Normal (Web)"/>
    <w:basedOn w:val="1"/>
    <w:qFormat/>
    <w:uiPriority w:val="0"/>
    <w:pPr>
      <w:spacing w:beforeAutospacing="1" w:afterAutospacing="1"/>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widowControl w:val="0"/>
      <w:shd w:val="clear" w:color="auto" w:fill="auto"/>
      <w:spacing w:line="446"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2021-09-29T07:17:00Z</dcterms:created>
  <dc:creator>jj</dc:creator>
  <cp:lastModifiedBy>jj</cp:lastModifiedBy>
  <dcterms:modified xsi:type="dcterms:W3CDTF">2022-10-11T08:21:20Z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