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0" w:after="0" w:line="600" w:lineRule="exact"/>
        <w:jc w:val="center"/>
        <w:rPr>
          <w:rFonts w:ascii="方正小标宋简体" w:hAnsi="方正小标宋简体" w:eastAsia="方正小标宋简体" w:cs="方正小标宋简体"/>
          <w:b w:val="0"/>
          <w:bCs w:val="0"/>
          <w:snapToGrid w:val="0"/>
          <w:kern w:val="0"/>
        </w:rPr>
      </w:pPr>
    </w:p>
    <w:p>
      <w:pPr>
        <w:pStyle w:val="5"/>
        <w:snapToGrid w:val="0"/>
        <w:spacing w:before="0" w:after="0" w:line="600" w:lineRule="exact"/>
        <w:jc w:val="center"/>
        <w:rPr>
          <w:rFonts w:ascii="方正小标宋简体" w:hAnsi="方正小标宋简体" w:eastAsia="方正小标宋简体" w:cs="方正小标宋简体"/>
          <w:b w:val="0"/>
          <w:bCs w:val="0"/>
          <w:snapToGrid w:val="0"/>
          <w:kern w:val="0"/>
        </w:rPr>
      </w:pPr>
      <w:r>
        <w:rPr>
          <w:rFonts w:hint="eastAsia" w:ascii="方正小标宋简体" w:hAnsi="方正小标宋简体" w:eastAsia="方正小标宋简体" w:cs="方正小标宋简体"/>
          <w:b w:val="0"/>
          <w:bCs w:val="0"/>
          <w:snapToGrid w:val="0"/>
          <w:kern w:val="0"/>
        </w:rPr>
        <w:t>关于《温州市服务业发展“十四五”规划</w:t>
      </w:r>
    </w:p>
    <w:p>
      <w:pPr>
        <w:pStyle w:val="5"/>
        <w:snapToGrid w:val="0"/>
        <w:spacing w:before="0" w:after="0" w:line="600" w:lineRule="exact"/>
        <w:jc w:val="center"/>
        <w:rPr>
          <w:rFonts w:ascii="仿宋_GB2312" w:hAnsi="仿宋_GB2312" w:eastAsia="仿宋_GB2312" w:cs="仿宋_GB2312"/>
          <w:snapToGrid w:val="0"/>
          <w:kern w:val="0"/>
          <w:sz w:val="32"/>
          <w:szCs w:val="32"/>
        </w:rPr>
      </w:pPr>
      <w:r>
        <w:rPr>
          <w:rFonts w:hint="eastAsia" w:ascii="方正小标宋简体" w:hAnsi="方正小标宋简体" w:eastAsia="方正小标宋简体" w:cs="方正小标宋简体"/>
          <w:b w:val="0"/>
          <w:bCs w:val="0"/>
          <w:snapToGrid w:val="0"/>
          <w:kern w:val="0"/>
        </w:rPr>
        <w:t>（</w:t>
      </w:r>
      <w:r>
        <w:rPr>
          <w:rFonts w:hint="eastAsia" w:ascii="方正小标宋简体" w:hAnsi="方正小标宋简体" w:eastAsia="方正小标宋简体" w:cs="方正小标宋简体"/>
          <w:b w:val="0"/>
          <w:bCs w:val="0"/>
          <w:snapToGrid w:val="0"/>
          <w:kern w:val="0"/>
          <w:lang w:eastAsia="zh-CN"/>
        </w:rPr>
        <w:t>征求意见稿</w:t>
      </w:r>
      <w:r>
        <w:rPr>
          <w:rFonts w:hint="eastAsia" w:ascii="方正小标宋简体" w:hAnsi="方正小标宋简体" w:eastAsia="方正小标宋简体" w:cs="方正小标宋简体"/>
          <w:b w:val="0"/>
          <w:bCs w:val="0"/>
          <w:snapToGrid w:val="0"/>
          <w:kern w:val="0"/>
        </w:rPr>
        <w:t>）》编制情况的说明</w:t>
      </w:r>
    </w:p>
    <w:p>
      <w:pPr>
        <w:snapToGrid w:val="0"/>
        <w:spacing w:line="600" w:lineRule="exact"/>
        <w:jc w:val="center"/>
        <w:rPr>
          <w:rFonts w:ascii="黑体" w:hAnsi="黑体" w:eastAsia="黑体"/>
          <w:bCs/>
          <w:sz w:val="30"/>
          <w:szCs w:val="30"/>
        </w:rPr>
      </w:pPr>
    </w:p>
    <w:p>
      <w:pPr>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《温州市服务业发展“十四五”规划》（以下简称《规划》）是“十四五”重点专项规划，由我委牵头编制，目前已形成</w:t>
      </w:r>
      <w:r>
        <w:rPr>
          <w:rFonts w:hint="eastAsia" w:ascii="Times New Roman" w:hAnsi="Times New Roman" w:eastAsia="仿宋_GB2312"/>
          <w:sz w:val="32"/>
          <w:szCs w:val="32"/>
          <w:lang w:eastAsia="zh-CN"/>
        </w:rPr>
        <w:t>征求意见稿</w:t>
      </w:r>
      <w:r>
        <w:rPr>
          <w:rFonts w:hint="eastAsia" w:ascii="Times New Roman" w:hAnsi="Times New Roman" w:eastAsia="仿宋_GB2312"/>
          <w:sz w:val="32"/>
          <w:szCs w:val="32"/>
        </w:rPr>
        <w:t>。现将有关情况</w:t>
      </w:r>
      <w:bookmarkStart w:id="0" w:name="_GoBack"/>
      <w:bookmarkEnd w:id="0"/>
      <w:r>
        <w:rPr>
          <w:rFonts w:hint="eastAsia" w:ascii="Times New Roman" w:hAnsi="Times New Roman" w:eastAsia="仿宋_GB2312"/>
          <w:sz w:val="32"/>
          <w:szCs w:val="32"/>
        </w:rPr>
        <w:t>说明如下：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起草背景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仿宋_GB2312" w:eastAsia="仿宋_GB2312" w:cs="仿宋_GB2312"/>
          <w:sz w:val="32"/>
          <w:szCs w:val="32"/>
          <w:lang w:val="en" w:eastAsia="zh-CN"/>
        </w:rPr>
        <w:t>“十四五”时期，是</w:t>
      </w:r>
      <w:r>
        <w:rPr>
          <w:rFonts w:hint="eastAsia" w:ascii="仿宋_GB2312" w:hAnsi="宋体" w:eastAsia="仿宋_GB2312"/>
          <w:bCs/>
          <w:color w:val="000000"/>
          <w:sz w:val="32"/>
          <w:szCs w:val="32"/>
        </w:rPr>
        <w:t>温州市高水平全面建成小康社会之后，乘势而上开启全面建设社会主义现代化新征程的第一个五年</w:t>
      </w:r>
      <w:r>
        <w:rPr>
          <w:rFonts w:hint="eastAsia" w:ascii="仿宋_GB2312" w:hAnsi="宋体" w:eastAsia="仿宋_GB2312"/>
          <w:bCs/>
          <w:color w:val="000000"/>
          <w:sz w:val="32"/>
          <w:szCs w:val="32"/>
          <w:lang w:eastAsia="zh-CN"/>
        </w:rPr>
        <w:t>，也是系统推进“五城五高地”建设，全力打造创业之都、创新之城、创富之市，争创高质量发展建设共同富裕示范区市域样板的重要五年。当前，服务业已成为我市促增长的主引擎、惠民生的主渠道、新业态新模式培育的主阵地，深化服务业供给侧结构性改革，努力构建结构优化、服务优质、布局合理、融合共享的服务业发展新体系，是我市进一步满足产业转型升级需求和人民美好生活需要的重要支撑。为此，我委牵头编制了《温州市服务业发展“十四五”规划》（以下简称《规划》），该《规划》是我市“十四五”重点专项规划。</w:t>
      </w:r>
    </w:p>
    <w:p>
      <w:pPr>
        <w:snapToGrid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eastAsia="zh-CN"/>
        </w:rPr>
        <w:t>二、</w:t>
      </w:r>
      <w:r>
        <w:rPr>
          <w:rFonts w:ascii="Times New Roman" w:hAnsi="Times New Roman" w:eastAsia="黑体"/>
          <w:spacing w:val="-4"/>
          <w:sz w:val="32"/>
          <w:szCs w:val="32"/>
        </w:rPr>
        <w:t>编制</w:t>
      </w:r>
      <w:r>
        <w:rPr>
          <w:rFonts w:hint="eastAsia" w:ascii="Times New Roman" w:hAnsi="Times New Roman" w:eastAsia="黑体"/>
          <w:spacing w:val="-4"/>
          <w:sz w:val="32"/>
          <w:szCs w:val="32"/>
        </w:rPr>
        <w:t>过程</w:t>
      </w:r>
    </w:p>
    <w:p>
      <w:pPr>
        <w:snapToGrid w:val="0"/>
        <w:spacing w:line="600"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《规划》启动编制以来，我委坚持“开门编规划”的原则，会同编制单位上海福卡经济预测研究所（</w:t>
      </w:r>
      <w:r>
        <w:rPr>
          <w:rFonts w:ascii="仿宋_GB2312" w:hAnsi="Times New Roman" w:eastAsia="仿宋_GB2312"/>
          <w:sz w:val="32"/>
          <w:szCs w:val="32"/>
        </w:rPr>
        <w:t>上海市10家重点培育智库</w:t>
      </w:r>
      <w:r>
        <w:rPr>
          <w:rFonts w:hint="eastAsia" w:ascii="仿宋_GB2312" w:hAnsi="Times New Roman" w:eastAsia="仿宋_GB2312"/>
          <w:sz w:val="32"/>
          <w:szCs w:val="32"/>
        </w:rPr>
        <w:t>之一）走访调研重点县（市、区），2次书面征求市级有关部门和县（市、区）意见，2次召开《规划》意见征求座谈会。期间，我委多次与《浙江省服务业发展“十四五”规划》、《温州市国民经济和社会发展第十四个五年规划和二〇三五年远景目标纲要》（</w:t>
      </w:r>
      <w:r>
        <w:rPr>
          <w:rFonts w:hint="eastAsia" w:ascii="Times New Roman" w:hAnsi="Times New Roman" w:eastAsia="仿宋_GB2312"/>
          <w:sz w:val="32"/>
          <w:szCs w:val="32"/>
        </w:rPr>
        <w:t>以下简称《纲要》）进行对接，并与金融业、信息化、商务发展、旅游发展等相关行业市级“十四五”专项规划充分衔接，在此基础上起草并经多轮修改形成</w:t>
      </w:r>
      <w:r>
        <w:rPr>
          <w:rFonts w:hint="eastAsia" w:ascii="Times New Roman" w:hAnsi="Times New Roman" w:eastAsia="仿宋_GB2312"/>
          <w:sz w:val="32"/>
          <w:szCs w:val="32"/>
          <w:lang w:eastAsia="zh-CN"/>
        </w:rPr>
        <w:t>征求意见稿</w:t>
      </w:r>
      <w:r>
        <w:rPr>
          <w:rFonts w:hint="eastAsia" w:ascii="Times New Roman" w:hAnsi="Times New Roman" w:eastAsia="仿宋_GB2312"/>
          <w:sz w:val="32"/>
          <w:szCs w:val="32"/>
        </w:rPr>
        <w:t>。</w:t>
      </w:r>
    </w:p>
    <w:p>
      <w:pPr>
        <w:snapToGrid w:val="0"/>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eastAsia="zh-CN"/>
        </w:rPr>
        <w:t>三、</w:t>
      </w:r>
      <w:r>
        <w:rPr>
          <w:rFonts w:hint="eastAsia" w:ascii="Times New Roman" w:hAnsi="Times New Roman" w:eastAsia="黑体"/>
          <w:sz w:val="32"/>
          <w:szCs w:val="32"/>
        </w:rPr>
        <w:t>主要内容</w:t>
      </w:r>
    </w:p>
    <w:p>
      <w:pPr>
        <w:pStyle w:val="2"/>
        <w:snapToGrid w:val="0"/>
        <w:spacing w:after="0" w:line="600" w:lineRule="exact"/>
        <w:ind w:left="0" w:leftChars="0" w:firstLine="640"/>
        <w:rPr>
          <w:rFonts w:ascii="仿宋_GB2312" w:hAnsi="Times New Roman" w:eastAsia="仿宋_GB2312"/>
          <w:sz w:val="32"/>
          <w:szCs w:val="32"/>
        </w:rPr>
      </w:pPr>
      <w:r>
        <w:rPr>
          <w:rFonts w:hint="eastAsia" w:ascii="仿宋_GB2312" w:hAnsi="Times New Roman" w:eastAsia="仿宋_GB2312"/>
          <w:sz w:val="32"/>
          <w:szCs w:val="32"/>
        </w:rPr>
        <w:t>《规划》包括正文和附件两大块。其中正文共6章20节，主要内容如下：</w:t>
      </w:r>
    </w:p>
    <w:p>
      <w:pPr>
        <w:pStyle w:val="2"/>
        <w:snapToGrid w:val="0"/>
        <w:spacing w:after="0" w:line="600" w:lineRule="exact"/>
        <w:ind w:left="0" w:leftChars="0" w:firstLine="627"/>
        <w:rPr>
          <w:rFonts w:ascii="仿宋_GB2312" w:hAnsi="Times New Roman" w:eastAsia="仿宋_GB2312"/>
          <w:sz w:val="32"/>
          <w:szCs w:val="32"/>
        </w:rPr>
      </w:pPr>
      <w:r>
        <w:rPr>
          <w:rFonts w:hint="eastAsia" w:ascii="楷体_GB2312" w:hAnsi="Times New Roman" w:eastAsia="楷体_GB2312"/>
          <w:b/>
          <w:bCs/>
          <w:spacing w:val="-4"/>
          <w:sz w:val="32"/>
          <w:szCs w:val="32"/>
        </w:rPr>
        <w:t>1、总体思路。</w:t>
      </w:r>
      <w:r>
        <w:rPr>
          <w:rFonts w:hint="eastAsia" w:ascii="仿宋_GB2312" w:hAnsi="Times New Roman" w:eastAsia="仿宋_GB2312"/>
          <w:sz w:val="32"/>
          <w:szCs w:val="32"/>
        </w:rPr>
        <w:t>围绕温州打造“五城五高地”的战略目标，着力深化服务业供给侧结构性改革，以提高质量和核心竞争力为中心，加快推动生产性服务业向专业化和高端化拓展、生活性服务业向精细化和高品质提升，努力构建结构优化、服务优质、布局合理、融合共享的“352”现代服务业发展新体系，推动温州服务与温州制造互促共进，加快形成服务经济发展新动能。</w:t>
      </w:r>
    </w:p>
    <w:p>
      <w:pPr>
        <w:snapToGrid w:val="0"/>
        <w:spacing w:line="600" w:lineRule="exact"/>
        <w:ind w:firstLine="626" w:firstLineChars="200"/>
        <w:rPr>
          <w:rFonts w:ascii="仿宋_GB2312" w:eastAsia="仿宋_GB2312"/>
          <w:sz w:val="32"/>
          <w:szCs w:val="32"/>
        </w:rPr>
      </w:pPr>
      <w:r>
        <w:rPr>
          <w:rFonts w:hint="eastAsia" w:ascii="楷体_GB2312" w:hAnsi="Times New Roman" w:eastAsia="楷体_GB2312"/>
          <w:b/>
          <w:bCs/>
          <w:spacing w:val="-4"/>
          <w:sz w:val="32"/>
          <w:szCs w:val="32"/>
        </w:rPr>
        <w:t>2、发展目标。</w:t>
      </w:r>
      <w:r>
        <w:rPr>
          <w:rFonts w:hint="eastAsia" w:ascii="仿宋_GB2312" w:eastAsia="仿宋_GB2312"/>
          <w:sz w:val="32"/>
          <w:szCs w:val="32"/>
        </w:rPr>
        <w:t>到“十四五”期末，基本构建新时代现代服务业发展新体系。服务业主体地位进一步巩固，全市服务业增加值占地区生产总值的比重稳定在55.5%左右，社会消费品零售总额达到5000亿元。产业结构进一步优化，生产性服务业增加值占服务业增加值比重提高到45%左右。新旧动能加速转换，数字经济核心产业服务业营业收入年均增速达到15%左右。载体建设持续加强，服务业创新发展示范区数量达到20个，税收超亿元楼宇达到60幢。</w:t>
      </w:r>
    </w:p>
    <w:p>
      <w:pPr>
        <w:pStyle w:val="2"/>
        <w:snapToGrid w:val="0"/>
        <w:spacing w:after="0" w:line="600" w:lineRule="exact"/>
        <w:ind w:left="0" w:leftChars="0" w:firstLine="627"/>
        <w:rPr>
          <w:rFonts w:ascii="仿宋_GB2312" w:eastAsia="仿宋_GB2312"/>
          <w:sz w:val="32"/>
          <w:szCs w:val="32"/>
        </w:rPr>
      </w:pPr>
      <w:r>
        <w:rPr>
          <w:rFonts w:hint="eastAsia" w:ascii="楷体_GB2312" w:hAnsi="Times New Roman" w:eastAsia="楷体_GB2312"/>
          <w:b/>
          <w:bCs/>
          <w:spacing w:val="-4"/>
          <w:sz w:val="32"/>
          <w:szCs w:val="32"/>
        </w:rPr>
        <w:t>3、服务业重点行业。</w:t>
      </w:r>
      <w:r>
        <w:rPr>
          <w:rFonts w:hint="eastAsia" w:ascii="仿宋_GB2312" w:eastAsia="仿宋_GB2312"/>
          <w:sz w:val="32"/>
          <w:szCs w:val="32"/>
        </w:rPr>
        <w:t>在研究分析我市服务业发展现状和基础上，《规划》提出“十四五”期间重点构建“352”服务业发展新体系，即全力打造现代商贸、现代物流、现代金融三大行业，培育壮大科技服务、信息服务、商务会展、创意设计、数字贸易五大行业，提升发展文化旅游、健康服务两大行业。这十个行业也是《纲要》明确的未来五年我市服务业发展重点。</w:t>
      </w:r>
    </w:p>
    <w:p>
      <w:pPr>
        <w:pStyle w:val="2"/>
        <w:snapToGrid w:val="0"/>
        <w:spacing w:after="0" w:line="600" w:lineRule="exact"/>
        <w:ind w:left="0" w:leftChars="0" w:firstLine="627"/>
        <w:rPr>
          <w:rFonts w:ascii="仿宋_GB2312" w:hAnsi="Times New Roman" w:eastAsia="仿宋_GB2312"/>
          <w:b/>
          <w:bCs/>
          <w:spacing w:val="-4"/>
          <w:sz w:val="32"/>
          <w:szCs w:val="32"/>
        </w:rPr>
      </w:pPr>
      <w:r>
        <w:rPr>
          <w:rFonts w:hint="eastAsia" w:ascii="仿宋_GB2312" w:hAnsi="Times New Roman" w:eastAsia="仿宋_GB2312"/>
          <w:b/>
          <w:bCs/>
          <w:spacing w:val="-4"/>
          <w:sz w:val="32"/>
          <w:szCs w:val="32"/>
        </w:rPr>
        <w:t>一是全力打造现代商贸、现代物流、现代金融三大重点行业。</w:t>
      </w:r>
      <w:r>
        <w:rPr>
          <w:rFonts w:hint="eastAsia" w:ascii="Times New Roman" w:hAnsi="Times New Roman" w:eastAsia="仿宋_GB2312"/>
          <w:spacing w:val="-4"/>
          <w:sz w:val="32"/>
          <w:szCs w:val="32"/>
        </w:rPr>
        <w:t>进一步优化城市商圈布局，完善商贸流通体系，加快推动线上线下消费有机</w:t>
      </w:r>
      <w:r>
        <w:rPr>
          <w:rFonts w:hint="eastAsia" w:ascii="仿宋_GB2312" w:hAnsi="Times New Roman" w:eastAsia="仿宋_GB2312"/>
          <w:spacing w:val="-4"/>
          <w:sz w:val="32"/>
          <w:szCs w:val="32"/>
        </w:rPr>
        <w:t>融合，打造新消费高地。进一步优化物流设施空间布局，增强物流与产业融合发展，提升物流组织效率，推动物流业降本增效。加强金融产业培育，加快打造区域金融中心，加快多层次资本市场建设，推进地方金融治理体系和治理能力现代化</w:t>
      </w:r>
      <w:r>
        <w:rPr>
          <w:rFonts w:hint="eastAsia" w:ascii="Times New Roman" w:hAnsi="Times New Roman" w:eastAsia="仿宋_GB2312"/>
          <w:spacing w:val="-4"/>
          <w:sz w:val="32"/>
          <w:szCs w:val="32"/>
        </w:rPr>
        <w:t>。</w:t>
      </w:r>
    </w:p>
    <w:p>
      <w:pPr>
        <w:pStyle w:val="2"/>
        <w:snapToGrid w:val="0"/>
        <w:spacing w:after="0" w:line="600" w:lineRule="exact"/>
        <w:ind w:left="0" w:leftChars="0" w:firstLine="627"/>
        <w:rPr>
          <w:rFonts w:ascii="仿宋_GB2312" w:hAnsi="Times New Roman" w:eastAsia="仿宋_GB2312"/>
          <w:spacing w:val="-4"/>
          <w:sz w:val="32"/>
          <w:szCs w:val="32"/>
        </w:rPr>
      </w:pPr>
      <w:r>
        <w:rPr>
          <w:rFonts w:hint="eastAsia" w:ascii="仿宋_GB2312" w:hAnsi="Times New Roman" w:eastAsia="仿宋_GB2312"/>
          <w:b/>
          <w:bCs/>
          <w:spacing w:val="-4"/>
          <w:sz w:val="32"/>
          <w:szCs w:val="32"/>
        </w:rPr>
        <w:t>二是培育壮大科技服务、信息服务、商务会展、创意设计和数字贸易五大新兴产业</w:t>
      </w:r>
      <w:r>
        <w:rPr>
          <w:rFonts w:hint="eastAsia" w:ascii="仿宋_GB2312" w:hAnsi="Times New Roman" w:eastAsia="仿宋_GB2312"/>
          <w:spacing w:val="-4"/>
          <w:sz w:val="32"/>
          <w:szCs w:val="32"/>
        </w:rPr>
        <w:t>。</w:t>
      </w:r>
      <w:r>
        <w:rPr>
          <w:rFonts w:hint="eastAsia" w:ascii="Times New Roman" w:hAnsi="Times New Roman" w:eastAsia="仿宋_GB2312"/>
          <w:spacing w:val="-4"/>
          <w:sz w:val="32"/>
          <w:szCs w:val="32"/>
        </w:rPr>
        <w:t>依托科创高地建设，加快发展科技服务业，构建科技服务平台体系，加强科技成果转移转化。全面推进</w:t>
      </w:r>
      <w:r>
        <w:rPr>
          <w:rFonts w:hint="eastAsia" w:ascii="仿宋_GB2312" w:hAnsi="Times New Roman" w:eastAsia="仿宋_GB2312"/>
          <w:spacing w:val="-4"/>
          <w:sz w:val="32"/>
          <w:szCs w:val="32"/>
        </w:rPr>
        <w:t>数字化改革、数字经济“一号工程”，加快培育软件信息服务业</w:t>
      </w:r>
      <w:r>
        <w:rPr>
          <w:rFonts w:hint="eastAsia" w:ascii="Times New Roman" w:hAnsi="Times New Roman" w:eastAsia="仿宋_GB2312"/>
          <w:spacing w:val="-4"/>
          <w:sz w:val="32"/>
          <w:szCs w:val="32"/>
        </w:rPr>
        <w:t>。大力发展</w:t>
      </w:r>
      <w:r>
        <w:rPr>
          <w:rFonts w:hint="eastAsia" w:ascii="仿宋_GB2312" w:hAnsi="Times New Roman" w:eastAsia="仿宋_GB2312"/>
          <w:spacing w:val="-4"/>
          <w:sz w:val="32"/>
          <w:szCs w:val="32"/>
        </w:rPr>
        <w:t>总部经济、楼宇经济、会展经济，提升商务会展业发展水平。加快发展工业设计、时尚设计、智能设计等高端设计服务，支撑“5+5”万亿产业集群发展。加强数字贸易平台建设，大力发展跨境电商，加快推进数字贸易提质增量，助力我市开放型经济发展。</w:t>
      </w:r>
    </w:p>
    <w:p>
      <w:pPr>
        <w:pStyle w:val="2"/>
        <w:snapToGrid w:val="0"/>
        <w:spacing w:after="0" w:line="600" w:lineRule="exact"/>
        <w:ind w:left="0" w:leftChars="0" w:firstLine="627"/>
        <w:rPr>
          <w:rFonts w:ascii="仿宋_GB2312" w:hAnsi="Times New Roman" w:eastAsia="仿宋_GB2312"/>
          <w:spacing w:val="-4"/>
          <w:sz w:val="32"/>
          <w:szCs w:val="32"/>
        </w:rPr>
      </w:pPr>
      <w:r>
        <w:rPr>
          <w:rFonts w:hint="eastAsia" w:ascii="仿宋_GB2312" w:hAnsi="Times New Roman" w:eastAsia="仿宋_GB2312"/>
          <w:b/>
          <w:bCs/>
          <w:spacing w:val="-4"/>
          <w:sz w:val="32"/>
          <w:szCs w:val="32"/>
        </w:rPr>
        <w:t>三是提升发展文化旅游、健康服务两大幸福产业</w:t>
      </w:r>
      <w:r>
        <w:rPr>
          <w:rFonts w:hint="eastAsia" w:ascii="仿宋_GB2312" w:hAnsi="Times New Roman" w:eastAsia="仿宋_GB2312"/>
          <w:spacing w:val="-4"/>
          <w:sz w:val="32"/>
          <w:szCs w:val="32"/>
        </w:rPr>
        <w:t>。按照打造国际化休闲度假旅游城市的定位，加快促进文旅融合发展，升级文旅要素体系，加快公共服务体系建设，加大文旅市场宣传营销，不断培育壮大文旅消费新业态新模式。推动社会办医加快发展，培育健康服务新业态，发展养老养生产业，基本构建温州健康产业体系。</w:t>
      </w:r>
    </w:p>
    <w:p>
      <w:pPr>
        <w:pStyle w:val="2"/>
        <w:snapToGrid w:val="0"/>
        <w:spacing w:after="0" w:line="600" w:lineRule="exact"/>
        <w:ind w:left="0" w:leftChars="0" w:firstLine="627"/>
        <w:rPr>
          <w:rFonts w:ascii="仿宋_GB2312" w:hAnsi="Times New Roman" w:eastAsia="仿宋_GB2312"/>
          <w:spacing w:val="-4"/>
          <w:sz w:val="32"/>
          <w:szCs w:val="32"/>
        </w:rPr>
      </w:pPr>
      <w:r>
        <w:rPr>
          <w:rFonts w:hint="eastAsia" w:ascii="楷体_GB2312" w:hAnsi="Times New Roman" w:eastAsia="楷体_GB2312"/>
          <w:b/>
          <w:bCs/>
          <w:spacing w:val="-4"/>
          <w:sz w:val="32"/>
          <w:szCs w:val="32"/>
        </w:rPr>
        <w:t>4.服务业发展空间格局。</w:t>
      </w:r>
      <w:r>
        <w:rPr>
          <w:rFonts w:hint="eastAsia" w:ascii="仿宋_GB2312" w:hAnsi="Times New Roman" w:eastAsia="仿宋_GB2312"/>
          <w:sz w:val="32"/>
          <w:szCs w:val="32"/>
        </w:rPr>
        <w:t>《规划》提出</w:t>
      </w:r>
      <w:r>
        <w:rPr>
          <w:rFonts w:hint="eastAsia" w:ascii="仿宋_GB2312" w:eastAsia="仿宋_GB2312"/>
          <w:color w:val="000000" w:themeColor="text1"/>
          <w:sz w:val="32"/>
          <w:szCs w:val="32"/>
        </w:rPr>
        <w:t>以服务产业和改善民生为前提，以服务业集聚发展、特色发展、错位竞争为导向，推进形成“一主一副三带多节点”的空间布局主架构，进一步提升温州中心城区首位度，建设都市区南部副中心，引导各县（市、区）发展各具特色的服务经济。</w:t>
      </w:r>
    </w:p>
    <w:p>
      <w:pPr>
        <w:pStyle w:val="2"/>
        <w:snapToGrid w:val="0"/>
        <w:spacing w:after="0" w:line="600" w:lineRule="exact"/>
        <w:ind w:left="0" w:leftChars="0" w:firstLine="627"/>
        <w:rPr>
          <w:rFonts w:ascii="仿宋_GB2312" w:hAnsi="Times New Roman" w:eastAsia="仿宋_GB2312"/>
          <w:spacing w:val="-4"/>
          <w:sz w:val="32"/>
          <w:szCs w:val="32"/>
        </w:rPr>
      </w:pPr>
      <w:r>
        <w:rPr>
          <w:rFonts w:hint="eastAsia" w:ascii="楷体_GB2312" w:hAnsi="Times New Roman" w:eastAsia="楷体_GB2312"/>
          <w:b/>
          <w:bCs/>
          <w:spacing w:val="-4"/>
          <w:sz w:val="32"/>
          <w:szCs w:val="32"/>
        </w:rPr>
        <w:t>5.服务业重点工程。</w:t>
      </w:r>
      <w:r>
        <w:rPr>
          <w:rFonts w:hint="eastAsia" w:ascii="仿宋_GB2312" w:hAnsi="Times New Roman" w:eastAsia="仿宋_GB2312"/>
          <w:sz w:val="32"/>
          <w:szCs w:val="32"/>
        </w:rPr>
        <w:t>《规划》</w:t>
      </w:r>
      <w:r>
        <w:rPr>
          <w:rFonts w:hint="eastAsia" w:ascii="仿宋_GB2312" w:hAnsi="Times New Roman" w:eastAsia="仿宋_GB2312"/>
          <w:spacing w:val="-4"/>
          <w:sz w:val="32"/>
          <w:szCs w:val="32"/>
        </w:rPr>
        <w:t>提出五大服务业发展重点工程，分别为：改革示范工程、融合创新工程、载体提质工程、消费升级工程和品质提升工程。</w:t>
      </w:r>
    </w:p>
    <w:p>
      <w:pPr>
        <w:pStyle w:val="2"/>
        <w:snapToGrid w:val="0"/>
        <w:spacing w:after="0" w:line="600" w:lineRule="exact"/>
        <w:ind w:left="0" w:leftChars="0" w:firstLine="624"/>
        <w:rPr>
          <w:rFonts w:ascii="仿宋_GB2312" w:hAnsi="Times New Roman" w:eastAsia="仿宋_GB2312"/>
          <w:spacing w:val="-4"/>
          <w:sz w:val="32"/>
          <w:szCs w:val="32"/>
        </w:rPr>
      </w:pPr>
    </w:p>
    <w:p>
      <w:pPr>
        <w:pStyle w:val="2"/>
        <w:snapToGrid w:val="0"/>
        <w:spacing w:after="0" w:line="600" w:lineRule="exact"/>
        <w:ind w:left="0" w:leftChars="0" w:firstLine="624"/>
        <w:jc w:val="right"/>
        <w:rPr>
          <w:rFonts w:ascii="仿宋_GB2312" w:hAnsi="Times New Roman" w:eastAsia="仿宋_GB2312"/>
          <w:spacing w:val="-4"/>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26D9E"/>
    <w:multiLevelType w:val="singleLevel"/>
    <w:tmpl w:val="EFF26D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7FB6"/>
    <w:rsid w:val="00021B08"/>
    <w:rsid w:val="000A05D1"/>
    <w:rsid w:val="000B3752"/>
    <w:rsid w:val="000E5BDC"/>
    <w:rsid w:val="000E6A25"/>
    <w:rsid w:val="00101C88"/>
    <w:rsid w:val="001473D6"/>
    <w:rsid w:val="001C08E1"/>
    <w:rsid w:val="001C28E7"/>
    <w:rsid w:val="002147BB"/>
    <w:rsid w:val="00231734"/>
    <w:rsid w:val="00244EEF"/>
    <w:rsid w:val="0026482D"/>
    <w:rsid w:val="00280B46"/>
    <w:rsid w:val="0039090D"/>
    <w:rsid w:val="00400AC5"/>
    <w:rsid w:val="004C558D"/>
    <w:rsid w:val="005269FD"/>
    <w:rsid w:val="00532EA1"/>
    <w:rsid w:val="006058AD"/>
    <w:rsid w:val="00613B3E"/>
    <w:rsid w:val="006A3FD2"/>
    <w:rsid w:val="007223D4"/>
    <w:rsid w:val="00772A03"/>
    <w:rsid w:val="00787434"/>
    <w:rsid w:val="007C6384"/>
    <w:rsid w:val="008226A0"/>
    <w:rsid w:val="00860A1E"/>
    <w:rsid w:val="00872ACE"/>
    <w:rsid w:val="008C1F01"/>
    <w:rsid w:val="008E53C1"/>
    <w:rsid w:val="009904AF"/>
    <w:rsid w:val="009A12F5"/>
    <w:rsid w:val="009E064E"/>
    <w:rsid w:val="00A164C5"/>
    <w:rsid w:val="00A20E67"/>
    <w:rsid w:val="00A348F9"/>
    <w:rsid w:val="00A475C6"/>
    <w:rsid w:val="00A77FB6"/>
    <w:rsid w:val="00B07F02"/>
    <w:rsid w:val="00B260CB"/>
    <w:rsid w:val="00B31E58"/>
    <w:rsid w:val="00BB6411"/>
    <w:rsid w:val="00C05A65"/>
    <w:rsid w:val="00CF4EAA"/>
    <w:rsid w:val="00D14BD8"/>
    <w:rsid w:val="00DA3DB5"/>
    <w:rsid w:val="00DC2DEC"/>
    <w:rsid w:val="00DF2228"/>
    <w:rsid w:val="00E0158F"/>
    <w:rsid w:val="00E04341"/>
    <w:rsid w:val="00E17248"/>
    <w:rsid w:val="00E54398"/>
    <w:rsid w:val="00E55CA6"/>
    <w:rsid w:val="00E7212E"/>
    <w:rsid w:val="00EC47F7"/>
    <w:rsid w:val="00ED63D8"/>
    <w:rsid w:val="00ED6F48"/>
    <w:rsid w:val="00F1454C"/>
    <w:rsid w:val="00F212F2"/>
    <w:rsid w:val="00F57126"/>
    <w:rsid w:val="00F80E02"/>
    <w:rsid w:val="00FD3CF5"/>
    <w:rsid w:val="00FD4FBE"/>
    <w:rsid w:val="00FE0103"/>
    <w:rsid w:val="00FE4802"/>
    <w:rsid w:val="02D70866"/>
    <w:rsid w:val="05061E55"/>
    <w:rsid w:val="05242FAF"/>
    <w:rsid w:val="07B70FC4"/>
    <w:rsid w:val="0A3976AF"/>
    <w:rsid w:val="0B840D6A"/>
    <w:rsid w:val="0C7F18C8"/>
    <w:rsid w:val="0D3559A1"/>
    <w:rsid w:val="0F6E2DB5"/>
    <w:rsid w:val="10204328"/>
    <w:rsid w:val="12E55659"/>
    <w:rsid w:val="14743818"/>
    <w:rsid w:val="15526FA8"/>
    <w:rsid w:val="16DC6B19"/>
    <w:rsid w:val="17B05D29"/>
    <w:rsid w:val="17DE4EB3"/>
    <w:rsid w:val="1AA971E9"/>
    <w:rsid w:val="1B413FDC"/>
    <w:rsid w:val="1BC3570B"/>
    <w:rsid w:val="1DED6F6E"/>
    <w:rsid w:val="1E075AEA"/>
    <w:rsid w:val="1E431EFD"/>
    <w:rsid w:val="22E61812"/>
    <w:rsid w:val="22FDF394"/>
    <w:rsid w:val="2337449E"/>
    <w:rsid w:val="241D383E"/>
    <w:rsid w:val="25603ED8"/>
    <w:rsid w:val="293941BA"/>
    <w:rsid w:val="2C664FEC"/>
    <w:rsid w:val="2C815017"/>
    <w:rsid w:val="2DFADAEC"/>
    <w:rsid w:val="2E5E12B2"/>
    <w:rsid w:val="317C0C8F"/>
    <w:rsid w:val="3220405D"/>
    <w:rsid w:val="333817BB"/>
    <w:rsid w:val="35357A77"/>
    <w:rsid w:val="39622DC4"/>
    <w:rsid w:val="3DEA09C5"/>
    <w:rsid w:val="404272D5"/>
    <w:rsid w:val="427D5294"/>
    <w:rsid w:val="4B2D44FE"/>
    <w:rsid w:val="4C2A1C39"/>
    <w:rsid w:val="4D1A6E91"/>
    <w:rsid w:val="4F1F16E5"/>
    <w:rsid w:val="51B64390"/>
    <w:rsid w:val="54A17E1B"/>
    <w:rsid w:val="57380F22"/>
    <w:rsid w:val="574812B2"/>
    <w:rsid w:val="593E7FEF"/>
    <w:rsid w:val="5ADF221F"/>
    <w:rsid w:val="5D471311"/>
    <w:rsid w:val="62385669"/>
    <w:rsid w:val="6259038C"/>
    <w:rsid w:val="636F2217"/>
    <w:rsid w:val="68603336"/>
    <w:rsid w:val="6B3B74ED"/>
    <w:rsid w:val="71AF08ED"/>
    <w:rsid w:val="71EA7C58"/>
    <w:rsid w:val="71FF6702"/>
    <w:rsid w:val="74EC4468"/>
    <w:rsid w:val="7993227C"/>
    <w:rsid w:val="7A935D33"/>
    <w:rsid w:val="7DFFF8ED"/>
    <w:rsid w:val="7F39221D"/>
    <w:rsid w:val="AFDFD5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120" w:line="240" w:lineRule="auto"/>
      <w:ind w:left="420" w:leftChars="200" w:firstLine="420" w:firstLineChars="200"/>
    </w:pPr>
    <w:rPr>
      <w:szCs w:val="22"/>
    </w:rPr>
  </w:style>
  <w:style w:type="paragraph" w:styleId="3">
    <w:name w:val="Body Text Indent"/>
    <w:basedOn w:val="1"/>
    <w:next w:val="4"/>
    <w:qFormat/>
    <w:uiPriority w:val="99"/>
    <w:pPr>
      <w:spacing w:line="580" w:lineRule="exact"/>
      <w:ind w:firstLine="645"/>
    </w:pPr>
    <w:rPr>
      <w:szCs w:val="32"/>
    </w:rPr>
  </w:style>
  <w:style w:type="paragraph" w:styleId="4">
    <w:name w:val="Normal Indent"/>
    <w:basedOn w:val="1"/>
    <w:semiHidden/>
    <w:unhideWhenUsed/>
    <w:qFormat/>
    <w:uiPriority w:val="99"/>
    <w:pPr>
      <w:ind w:firstLine="420" w:firstLineChars="200"/>
    </w:pPr>
  </w:style>
  <w:style w:type="paragraph" w:styleId="8">
    <w:name w:val="Body Text"/>
    <w:basedOn w:val="1"/>
    <w:link w:val="23"/>
    <w:semiHidden/>
    <w:unhideWhenUsed/>
    <w:qFormat/>
    <w:uiPriority w:val="99"/>
    <w:pPr>
      <w:spacing w:after="120"/>
    </w:pPr>
  </w:style>
  <w:style w:type="paragraph" w:styleId="9">
    <w:name w:val="footer"/>
    <w:basedOn w:val="1"/>
    <w:unhideWhenUsed/>
    <w:qFormat/>
    <w:uiPriority w:val="99"/>
    <w:pPr>
      <w:tabs>
        <w:tab w:val="center" w:pos="4153"/>
        <w:tab w:val="right" w:pos="8306"/>
      </w:tabs>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link w:val="26"/>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w:basedOn w:val="8"/>
    <w:link w:val="24"/>
    <w:unhideWhenUsed/>
    <w:qFormat/>
    <w:uiPriority w:val="99"/>
    <w:pPr>
      <w:ind w:firstLine="420" w:firstLineChars="100"/>
    </w:pPr>
  </w:style>
  <w:style w:type="table" w:styleId="14">
    <w:name w:val="Table Grid"/>
    <w:basedOn w:val="13"/>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样式3"/>
    <w:basedOn w:val="5"/>
    <w:link w:val="18"/>
    <w:qFormat/>
    <w:uiPriority w:val="0"/>
    <w:pPr>
      <w:spacing w:before="0" w:afterLines="100" w:line="600" w:lineRule="exact"/>
      <w:jc w:val="center"/>
    </w:pPr>
    <w:rPr>
      <w:rFonts w:ascii="黑体" w:hAnsi="黑体" w:eastAsia="黑体"/>
      <w:b w:val="0"/>
      <w:sz w:val="36"/>
      <w:szCs w:val="36"/>
    </w:rPr>
  </w:style>
  <w:style w:type="paragraph" w:customStyle="1" w:styleId="17">
    <w:name w:val="样式4"/>
    <w:basedOn w:val="6"/>
    <w:link w:val="20"/>
    <w:qFormat/>
    <w:uiPriority w:val="0"/>
    <w:pPr>
      <w:spacing w:beforeLines="50" w:afterLines="50" w:line="600" w:lineRule="exact"/>
      <w:jc w:val="center"/>
    </w:pPr>
    <w:rPr>
      <w:rFonts w:ascii="楷体" w:hAnsi="楷体" w:eastAsia="楷体"/>
    </w:rPr>
  </w:style>
  <w:style w:type="character" w:customStyle="1" w:styleId="18">
    <w:name w:val="样式3 字符"/>
    <w:basedOn w:val="19"/>
    <w:link w:val="16"/>
    <w:qFormat/>
    <w:uiPriority w:val="0"/>
    <w:rPr>
      <w:rFonts w:ascii="黑体" w:hAnsi="黑体" w:eastAsia="黑体"/>
      <w:b w:val="0"/>
      <w:kern w:val="44"/>
      <w:sz w:val="36"/>
      <w:szCs w:val="36"/>
    </w:rPr>
  </w:style>
  <w:style w:type="character" w:customStyle="1" w:styleId="19">
    <w:name w:val="标题 1 Char"/>
    <w:basedOn w:val="15"/>
    <w:link w:val="5"/>
    <w:qFormat/>
    <w:uiPriority w:val="9"/>
    <w:rPr>
      <w:b/>
      <w:bCs/>
      <w:kern w:val="44"/>
      <w:sz w:val="44"/>
      <w:szCs w:val="44"/>
    </w:rPr>
  </w:style>
  <w:style w:type="character" w:customStyle="1" w:styleId="20">
    <w:name w:val="样式4 字符"/>
    <w:basedOn w:val="21"/>
    <w:link w:val="17"/>
    <w:qFormat/>
    <w:uiPriority w:val="0"/>
    <w:rPr>
      <w:rFonts w:ascii="楷体" w:hAnsi="楷体" w:eastAsia="楷体" w:cstheme="majorBidi"/>
      <w:sz w:val="32"/>
      <w:szCs w:val="32"/>
    </w:rPr>
  </w:style>
  <w:style w:type="character" w:customStyle="1" w:styleId="21">
    <w:name w:val="标题 2 Char"/>
    <w:basedOn w:val="15"/>
    <w:link w:val="6"/>
    <w:semiHidden/>
    <w:qFormat/>
    <w:uiPriority w:val="9"/>
    <w:rPr>
      <w:rFonts w:asciiTheme="majorHAnsi" w:hAnsiTheme="majorHAnsi" w:eastAsiaTheme="majorEastAsia" w:cstheme="majorBidi"/>
      <w:b/>
      <w:bCs/>
      <w:sz w:val="32"/>
      <w:szCs w:val="32"/>
    </w:rPr>
  </w:style>
  <w:style w:type="character" w:customStyle="1" w:styleId="22">
    <w:name w:val="标题 3 Char"/>
    <w:basedOn w:val="15"/>
    <w:link w:val="7"/>
    <w:qFormat/>
    <w:uiPriority w:val="9"/>
    <w:rPr>
      <w:b/>
      <w:bCs/>
      <w:sz w:val="32"/>
      <w:szCs w:val="32"/>
    </w:rPr>
  </w:style>
  <w:style w:type="character" w:customStyle="1" w:styleId="23">
    <w:name w:val="正文文本 Char"/>
    <w:basedOn w:val="15"/>
    <w:link w:val="8"/>
    <w:semiHidden/>
    <w:qFormat/>
    <w:uiPriority w:val="99"/>
  </w:style>
  <w:style w:type="character" w:customStyle="1" w:styleId="24">
    <w:name w:val="正文首行缩进 Char"/>
    <w:basedOn w:val="23"/>
    <w:link w:val="12"/>
    <w:qFormat/>
    <w:uiPriority w:val="99"/>
  </w:style>
  <w:style w:type="character" w:customStyle="1" w:styleId="25">
    <w:name w:val="fontstyle01"/>
    <w:basedOn w:val="15"/>
    <w:qFormat/>
    <w:uiPriority w:val="0"/>
    <w:rPr>
      <w:rFonts w:hint="eastAsia" w:ascii="仿宋_GB2312" w:eastAsia="仿宋_GB2312"/>
      <w:color w:val="000000"/>
      <w:sz w:val="32"/>
      <w:szCs w:val="32"/>
    </w:rPr>
  </w:style>
  <w:style w:type="character" w:customStyle="1" w:styleId="26">
    <w:name w:val="普通(网站) Char"/>
    <w:link w:val="11"/>
    <w:qFormat/>
    <w:locked/>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343</Words>
  <Characters>1957</Characters>
  <Lines>16</Lines>
  <Paragraphs>4</Paragraphs>
  <TotalTime>1</TotalTime>
  <ScaleCrop>false</ScaleCrop>
  <LinksUpToDate>false</LinksUpToDate>
  <CharactersWithSpaces>2296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2021-04-06T20:21:00Z</dcterms:created>
  <dc:creator>Gia</dc:creator>
  <cp:lastModifiedBy>greatwall</cp:lastModifiedBy>
  <dcterms:modified xsi:type="dcterms:W3CDTF">2021-12-24T09:16:12Z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