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pPr>
    </w:p>
    <w:p>
      <w:pPr>
        <w:pStyle w:val="22"/>
      </w:pPr>
      <w:r>
        <w:rPr>
          <w:rFonts w:hint="eastAsia"/>
          <w:lang w:eastAsia="zh-CN"/>
        </w:rPr>
        <w:t>金义新区（金东区）</w:t>
      </w:r>
      <w:r>
        <w:t>物流仓储“</w:t>
      </w:r>
      <w:r>
        <w:rPr>
          <w:rFonts w:hint="eastAsia"/>
        </w:rPr>
        <w:t>标准地</w:t>
      </w:r>
      <w:r>
        <w:t>”</w:t>
      </w:r>
      <w:r>
        <w:rPr>
          <w:rFonts w:hint="eastAsia"/>
        </w:rPr>
        <w:t>改革</w:t>
      </w:r>
    </w:p>
    <w:p>
      <w:pPr>
        <w:pStyle w:val="22"/>
        <w:rPr>
          <w:rFonts w:hint="eastAsia" w:eastAsia="楷体_GB2312"/>
          <w:sz w:val="32"/>
        </w:rPr>
      </w:pPr>
      <w:r>
        <w:rPr>
          <w:rFonts w:hint="eastAsia"/>
        </w:rPr>
        <w:t>实施方案</w:t>
      </w:r>
      <w:r>
        <w:rPr>
          <w:rFonts w:hint="eastAsia" w:eastAsia="楷体_GB2312"/>
          <w:sz w:val="32"/>
        </w:rPr>
        <w:t>（试行）</w:t>
      </w:r>
    </w:p>
    <w:p>
      <w:pPr>
        <w:spacing w:line="240" w:lineRule="exact"/>
        <w:jc w:val="center"/>
      </w:pPr>
    </w:p>
    <w:p>
      <w:pPr>
        <w:spacing w:line="240" w:lineRule="exact"/>
        <w:jc w:val="center"/>
      </w:pPr>
    </w:p>
    <w:p>
      <w:pPr>
        <w:pageBreakBefore w:val="0"/>
        <w:widowControl w:val="0"/>
        <w:kinsoku/>
        <w:wordWrap/>
        <w:overflowPunct w:val="0"/>
        <w:topLinePunct/>
        <w:autoSpaceDE/>
        <w:autoSpaceDN/>
        <w:bidi w:val="0"/>
        <w:snapToGrid w:val="0"/>
        <w:ind w:firstLine="574"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为深入贯彻落实郑栅洁省长关于“标准地”改革重要批示精神，进一步延伸改革领域，探索</w:t>
      </w:r>
      <w:r>
        <w:rPr>
          <w:rFonts w:hint="eastAsia"/>
          <w:color w:val="000000" w:themeColor="text1"/>
          <w:lang w:val="en-US" w:eastAsia="zh-CN"/>
          <w14:textFill>
            <w14:solidFill>
              <w14:schemeClr w14:val="tx1"/>
            </w14:solidFill>
          </w14:textFill>
        </w:rPr>
        <w:t>物流仓储</w:t>
      </w:r>
      <w:r>
        <w:rPr>
          <w:rFonts w:hint="eastAsia"/>
          <w:color w:val="000000" w:themeColor="text1"/>
          <w14:textFill>
            <w14:solidFill>
              <w14:schemeClr w14:val="tx1"/>
            </w14:solidFill>
          </w14:textFill>
        </w:rPr>
        <w:t>“标准地”改革试点工作，根据《浙江省人</w:t>
      </w:r>
      <w:bookmarkStart w:id="0" w:name="_GoBack"/>
      <w:bookmarkEnd w:id="0"/>
      <w:r>
        <w:rPr>
          <w:rFonts w:hint="eastAsia"/>
          <w:color w:val="000000" w:themeColor="text1"/>
          <w14:textFill>
            <w14:solidFill>
              <w14:schemeClr w14:val="tx1"/>
            </w14:solidFill>
          </w14:textFill>
        </w:rPr>
        <w:t>民政府办公厅关于加快推进“标准地”改革的实施意见》</w:t>
      </w:r>
      <w:r>
        <w:rPr>
          <w:rFonts w:hint="eastAsia"/>
          <w:color w:val="auto"/>
        </w:rPr>
        <w:t>（浙政办发〔2018〕73号）</w:t>
      </w:r>
      <w:r>
        <w:rPr>
          <w:rFonts w:hint="eastAsia"/>
          <w:color w:val="auto"/>
          <w:lang w:eastAsia="zh-CN"/>
        </w:rPr>
        <w:t>、《</w:t>
      </w:r>
      <w:r>
        <w:rPr>
          <w:rFonts w:hint="eastAsia"/>
          <w:color w:val="auto"/>
          <w:lang w:val="en-US" w:eastAsia="zh-CN"/>
        </w:rPr>
        <w:t>中共浙江省委全面深化改革委员会关于印发&lt;浙江省数字化改革总体方案&gt;的通知</w:t>
      </w:r>
      <w:r>
        <w:rPr>
          <w:rFonts w:hint="eastAsia"/>
          <w:color w:val="auto"/>
          <w:lang w:eastAsia="zh-CN"/>
        </w:rPr>
        <w:t>》</w:t>
      </w:r>
      <w:r>
        <w:rPr>
          <w:rFonts w:hint="eastAsia"/>
          <w:color w:val="auto"/>
        </w:rPr>
        <w:t>（浙政办发〔</w:t>
      </w:r>
      <w:r>
        <w:rPr>
          <w:rFonts w:hint="eastAsia"/>
          <w:color w:val="auto"/>
          <w:lang w:val="en-US" w:eastAsia="zh-CN"/>
        </w:rPr>
        <w:t>2021</w:t>
      </w:r>
      <w:r>
        <w:rPr>
          <w:rFonts w:hint="eastAsia"/>
          <w:color w:val="auto"/>
        </w:rPr>
        <w:t>〕</w:t>
      </w:r>
      <w:r>
        <w:rPr>
          <w:rFonts w:hint="eastAsia"/>
          <w:color w:val="auto"/>
          <w:lang w:val="en-US" w:eastAsia="zh-CN"/>
        </w:rPr>
        <w:t>2</w:t>
      </w:r>
      <w:r>
        <w:rPr>
          <w:rFonts w:hint="eastAsia"/>
          <w:color w:val="auto"/>
        </w:rPr>
        <w:t>号）</w:t>
      </w:r>
      <w:r>
        <w:rPr>
          <w:rFonts w:hint="eastAsia"/>
          <w:color w:val="000000" w:themeColor="text1"/>
          <w14:textFill>
            <w14:solidFill>
              <w14:schemeClr w14:val="tx1"/>
            </w14:solidFill>
          </w14:textFill>
        </w:rPr>
        <w:t>等文件精神，特制定本实施方案。</w:t>
      </w:r>
    </w:p>
    <w:p>
      <w:pPr>
        <w:pStyle w:val="2"/>
        <w:pageBreakBefore w:val="0"/>
        <w:widowControl w:val="0"/>
        <w:kinsoku/>
        <w:wordWrap/>
        <w:overflowPunct w:val="0"/>
        <w:topLinePunct/>
        <w:autoSpaceDE/>
        <w:autoSpaceDN/>
        <w:bidi w:val="0"/>
        <w:snapToGrid w:val="0"/>
        <w:spacing w:before="0"/>
        <w:ind w:firstLine="574"/>
        <w:textAlignment w:val="center"/>
        <w:rPr>
          <w:rFonts w:hint="default"/>
          <w:color w:val="000000" w:themeColor="text1"/>
          <w:lang w:val="en-US" w:eastAsia="zh-CN"/>
          <w14:textFill>
            <w14:solidFill>
              <w14:schemeClr w14:val="tx1"/>
            </w14:solidFill>
          </w14:textFill>
        </w:rPr>
      </w:pPr>
      <w:r>
        <w:rPr>
          <w:rFonts w:hint="eastAsia"/>
          <w:color w:val="000000" w:themeColor="text1"/>
          <w14:textFill>
            <w14:solidFill>
              <w14:schemeClr w14:val="tx1"/>
            </w14:solidFill>
          </w14:textFill>
        </w:rPr>
        <w:t>一、</w:t>
      </w:r>
      <w:r>
        <w:rPr>
          <w:rFonts w:hint="eastAsia"/>
          <w:color w:val="000000" w:themeColor="text1"/>
          <w:lang w:val="en-US" w:eastAsia="zh-CN"/>
          <w14:textFill>
            <w14:solidFill>
              <w14:schemeClr w14:val="tx1"/>
            </w14:solidFill>
          </w14:textFill>
        </w:rPr>
        <w:t>改革目标</w:t>
      </w:r>
    </w:p>
    <w:p>
      <w:pPr>
        <w:pageBreakBefore w:val="0"/>
        <w:widowControl w:val="0"/>
        <w:kinsoku/>
        <w:wordWrap/>
        <w:overflowPunct w:val="0"/>
        <w:topLinePunct/>
        <w:autoSpaceDE/>
        <w:autoSpaceDN/>
        <w:bidi w:val="0"/>
        <w:snapToGrid w:val="0"/>
        <w:ind w:firstLine="574" w:firstLineChars="200"/>
        <w:textAlignment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全面贯彻落实省委、省政府关于推进企业投资项目“最多跑一次”改革的决策部署，充分吸收我区</w:t>
      </w:r>
      <w:r>
        <w:rPr>
          <w:rFonts w:hint="eastAsia"/>
          <w:color w:val="000000" w:themeColor="text1"/>
          <w14:textFill>
            <w14:solidFill>
              <w14:schemeClr w14:val="tx1"/>
            </w14:solidFill>
          </w14:textFill>
        </w:rPr>
        <w:t>企业投资工业项目</w:t>
      </w:r>
      <w:r>
        <w:rPr>
          <w:rFonts w:hint="eastAsia"/>
          <w:color w:val="000000" w:themeColor="text1"/>
          <w:lang w:val="en-US" w:eastAsia="zh-CN"/>
          <w14:textFill>
            <w14:solidFill>
              <w14:schemeClr w14:val="tx1"/>
            </w14:solidFill>
          </w14:textFill>
        </w:rPr>
        <w:t>“标准地+承诺制+代办制”改革的成功经验，结合省数字化改革和极简改革目标，积极探索物流仓储“标准地”改革，聚焦现代物流业规模化发展、智能化发展、绿色化发展方向，对招商模式、审批模式、事中事后监管等进行系统改革，</w:t>
      </w:r>
      <w:r>
        <w:rPr>
          <w:rFonts w:hint="eastAsia" w:ascii="仿宋_GB2312" w:hAnsi="仿宋_GB2312" w:eastAsia="仿宋_GB2312" w:cs="仿宋_GB2312"/>
          <w:color w:val="000000" w:themeColor="text1"/>
          <w:kern w:val="0"/>
          <w:sz w:val="32"/>
          <w:szCs w:val="32"/>
          <w14:textFill>
            <w14:solidFill>
              <w14:schemeClr w14:val="tx1"/>
            </w14:solidFill>
          </w14:textFill>
        </w:rPr>
        <w:t>打造营商生态环境最优区，</w:t>
      </w:r>
      <w:r>
        <w:rPr>
          <w:rFonts w:hint="eastAsia"/>
          <w:color w:val="000000" w:themeColor="text1"/>
          <w:lang w:val="en-US" w:eastAsia="zh-CN"/>
          <w14:textFill>
            <w14:solidFill>
              <w14:schemeClr w14:val="tx1"/>
            </w14:solidFill>
          </w14:textFill>
        </w:rPr>
        <w:t>实现审批提速、服务提速，实现“拿地即可开工”，标准提质，监管提质，发挥叠加效应，着力推进我区物流仓储企业的高质量发展</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新增建设用地的物流仓储投资项目原则上全面实行“标准地+承诺制”模式（负面清单除外）。</w:t>
      </w:r>
    </w:p>
    <w:p>
      <w:pPr>
        <w:pageBreakBefore w:val="0"/>
        <w:widowControl w:val="0"/>
        <w:numPr>
          <w:ilvl w:val="0"/>
          <w:numId w:val="1"/>
        </w:numPr>
        <w:kinsoku/>
        <w:wordWrap/>
        <w:overflowPunct w:val="0"/>
        <w:topLinePunct/>
        <w:autoSpaceDE/>
        <w:autoSpaceDN/>
        <w:bidi w:val="0"/>
        <w:snapToGrid w:val="0"/>
        <w:ind w:firstLine="574" w:firstLineChars="200"/>
        <w:textAlignment w:val="center"/>
        <w:rPr>
          <w:rFonts w:hint="eastAsia" w:ascii="黑体" w:hAnsi="黑体" w:eastAsia="黑体" w:cs="黑体"/>
          <w:color w:val="000000" w:themeColor="text1"/>
          <w:lang w:val="en-US" w:eastAsia="zh-CN"/>
          <w14:textFill>
            <w14:solidFill>
              <w14:schemeClr w14:val="tx1"/>
            </w14:solidFill>
          </w14:textFill>
        </w:rPr>
      </w:pPr>
      <w:r>
        <w:rPr>
          <w:rFonts w:hint="eastAsia" w:ascii="黑体" w:hAnsi="黑体" w:eastAsia="黑体" w:cs="黑体"/>
          <w:color w:val="000000" w:themeColor="text1"/>
          <w:lang w:val="en-US" w:eastAsia="zh-CN"/>
          <w14:textFill>
            <w14:solidFill>
              <w14:schemeClr w14:val="tx1"/>
            </w14:solidFill>
          </w14:textFill>
        </w:rPr>
        <w:t>基本原则</w:t>
      </w:r>
    </w:p>
    <w:p>
      <w:pPr>
        <w:pageBreakBefore w:val="0"/>
        <w:widowControl w:val="0"/>
        <w:numPr>
          <w:ilvl w:val="0"/>
          <w:numId w:val="0"/>
        </w:numPr>
        <w:kinsoku/>
        <w:wordWrap/>
        <w:overflowPunct w:val="0"/>
        <w:topLinePunct/>
        <w:autoSpaceDE/>
        <w:autoSpaceDN/>
        <w:bidi w:val="0"/>
        <w:snapToGrid w:val="0"/>
        <w:ind w:firstLine="574" w:firstLineChars="200"/>
        <w:textAlignment w:val="cente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pPr>
      <w:r>
        <w:rPr>
          <w:rFonts w:hint="eastAsia" w:ascii="楷体" w:hAnsi="楷体" w:eastAsia="楷体" w:cs="楷体"/>
          <w:b/>
          <w:bCs/>
          <w:color w:val="000000" w:themeColor="text1"/>
          <w:spacing w:val="10"/>
          <w:kern w:val="0"/>
          <w:sz w:val="32"/>
          <w:szCs w:val="28"/>
          <w:lang w:val="en-US" w:eastAsia="zh-CN" w:bidi="ar-SA"/>
          <w14:textFill>
            <w14:solidFill>
              <w14:schemeClr w14:val="tx1"/>
            </w14:solidFill>
          </w14:textFill>
        </w:rPr>
        <w:t>——市场化配置强改革。</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前瞻谋划指标体系创样板</w:t>
      </w:r>
      <w:r>
        <w:rPr>
          <w:rFonts w:hint="eastAsia" w:eastAsia="仿宋_GB2312" w:cs="宋体"/>
          <w:b w:val="0"/>
          <w:bCs w:val="0"/>
          <w:color w:val="000000" w:themeColor="text1"/>
          <w:spacing w:val="10"/>
          <w:kern w:val="0"/>
          <w:sz w:val="32"/>
          <w:szCs w:val="28"/>
          <w:lang w:val="en-US" w:eastAsia="zh-CN" w:bidi="ar-SA"/>
          <w14:textFill>
            <w14:solidFill>
              <w14:schemeClr w14:val="tx1"/>
            </w14:solidFill>
          </w14:textFill>
        </w:rPr>
        <w:t>，</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深化要素市场化配置改革，前瞻性谋划物流仓储“标准地”出让指标体系，明确土地出让前的固定资产投资强度、土地产出、亩均税收、容积率、屋顶光伏发电利用率、碳排放强度、物流智能信息化水平等7项指标为物流仓储“标准地”出让控制性指标，推动物流仓储企业的单位资源产出最优化，促进全域全局提质增效。</w:t>
      </w:r>
    </w:p>
    <w:p>
      <w:pPr>
        <w:pageBreakBefore w:val="0"/>
        <w:widowControl w:val="0"/>
        <w:kinsoku/>
        <w:wordWrap/>
        <w:overflowPunct w:val="0"/>
        <w:topLinePunct/>
        <w:autoSpaceDE/>
        <w:autoSpaceDN/>
        <w:bidi w:val="0"/>
        <w:snapToGrid w:val="0"/>
        <w:ind w:firstLine="574" w:firstLineChars="200"/>
        <w:textAlignment w:val="center"/>
        <w:rPr>
          <w:rFonts w:hint="eastAsia"/>
          <w:b w:val="0"/>
          <w:bCs w:val="0"/>
          <w:color w:val="000000" w:themeColor="text1"/>
          <w14:textFill>
            <w14:solidFill>
              <w14:schemeClr w14:val="tx1"/>
            </w14:solidFill>
          </w14:textFill>
        </w:rPr>
      </w:pPr>
      <w:r>
        <w:rPr>
          <w:rFonts w:hint="eastAsia" w:ascii="楷体" w:hAnsi="楷体" w:eastAsia="楷体" w:cs="楷体"/>
          <w:b/>
          <w:bCs/>
          <w:color w:val="000000" w:themeColor="text1"/>
          <w:spacing w:val="10"/>
          <w:kern w:val="0"/>
          <w:sz w:val="32"/>
          <w:szCs w:val="28"/>
          <w:lang w:val="en-US" w:eastAsia="zh-CN" w:bidi="ar-SA"/>
          <w14:textFill>
            <w14:solidFill>
              <w14:schemeClr w14:val="tx1"/>
            </w14:solidFill>
          </w14:textFill>
        </w:rPr>
        <w:t>——高质量发展引行业。</w:t>
      </w:r>
      <w:r>
        <w:rPr>
          <w:rFonts w:hint="eastAsia"/>
          <w:color w:val="000000" w:themeColor="text1"/>
          <w:lang w:val="en-US" w:eastAsia="zh-CN"/>
          <w14:textFill>
            <w14:solidFill>
              <w14:schemeClr w14:val="tx1"/>
            </w14:solidFill>
          </w14:textFill>
        </w:rPr>
        <w:t>分类细化固定资产投资强度、土地产出、亩均税收、容积率等硬性约束控制指标与屋顶光伏发电利用率、碳排放强度、物流智能信息化水平等</w:t>
      </w:r>
      <w:r>
        <w:rPr>
          <w:rFonts w:hint="eastAsia"/>
          <w:color w:val="000000" w:themeColor="text1"/>
          <w14:textFill>
            <w14:solidFill>
              <w14:schemeClr w14:val="tx1"/>
            </w14:solidFill>
          </w14:textFill>
        </w:rPr>
        <w:t>绿色创新控制指标，</w:t>
      </w:r>
      <w:r>
        <w:rPr>
          <w:rFonts w:hint="eastAsia"/>
          <w:b w:val="0"/>
          <w:bCs w:val="0"/>
          <w:color w:val="000000" w:themeColor="text1"/>
          <w14:textFill>
            <w14:solidFill>
              <w14:schemeClr w14:val="tx1"/>
            </w14:solidFill>
          </w14:textFill>
        </w:rPr>
        <w:t>引导物流仓储</w:t>
      </w:r>
      <w:r>
        <w:rPr>
          <w:rFonts w:hint="eastAsia"/>
          <w:b w:val="0"/>
          <w:bCs w:val="0"/>
          <w:color w:val="000000" w:themeColor="text1"/>
          <w:lang w:val="en-US" w:eastAsia="zh-CN"/>
          <w14:textFill>
            <w14:solidFill>
              <w14:schemeClr w14:val="tx1"/>
            </w14:solidFill>
          </w14:textFill>
        </w:rPr>
        <w:t>项目</w:t>
      </w:r>
      <w:r>
        <w:rPr>
          <w:rFonts w:hint="eastAsia"/>
          <w:b w:val="0"/>
          <w:bCs w:val="0"/>
          <w:color w:val="000000" w:themeColor="text1"/>
          <w14:textFill>
            <w14:solidFill>
              <w14:schemeClr w14:val="tx1"/>
            </w14:solidFill>
          </w14:textFill>
        </w:rPr>
        <w:t>积极“向空中</w:t>
      </w:r>
      <w:r>
        <w:rPr>
          <w:rFonts w:hint="eastAsia"/>
          <w:b w:val="0"/>
          <w:bCs w:val="0"/>
          <w:color w:val="000000" w:themeColor="text1"/>
          <w:lang w:val="en-US" w:eastAsia="zh-CN"/>
          <w14:textFill>
            <w14:solidFill>
              <w14:schemeClr w14:val="tx1"/>
            </w14:solidFill>
          </w14:textFill>
        </w:rPr>
        <w:t>发展</w:t>
      </w:r>
      <w:r>
        <w:rPr>
          <w:rFonts w:hint="eastAsia"/>
          <w:b w:val="0"/>
          <w:bCs w:val="0"/>
          <w:color w:val="000000" w:themeColor="text1"/>
          <w14:textFill>
            <w14:solidFill>
              <w14:schemeClr w14:val="tx1"/>
            </w14:solidFill>
          </w14:textFill>
        </w:rPr>
        <w:t>”，打造立体式的绿色物流</w:t>
      </w:r>
      <w:r>
        <w:rPr>
          <w:rFonts w:hint="eastAsia"/>
          <w:b w:val="0"/>
          <w:bCs w:val="0"/>
          <w:color w:val="000000" w:themeColor="text1"/>
          <w:lang w:eastAsia="zh-CN"/>
          <w14:textFill>
            <w14:solidFill>
              <w14:schemeClr w14:val="tx1"/>
            </w14:solidFill>
          </w14:textFill>
        </w:rPr>
        <w:t>，从</w:t>
      </w:r>
      <w:r>
        <w:rPr>
          <w:rFonts w:hint="eastAsia"/>
          <w:b w:val="0"/>
          <w:bCs w:val="0"/>
          <w:color w:val="000000" w:themeColor="text1"/>
          <w14:textFill>
            <w14:solidFill>
              <w14:schemeClr w14:val="tx1"/>
            </w14:solidFill>
          </w14:textFill>
        </w:rPr>
        <w:t>单一</w:t>
      </w:r>
      <w:r>
        <w:rPr>
          <w:rFonts w:hint="eastAsia"/>
          <w:b w:val="0"/>
          <w:bCs w:val="0"/>
          <w:color w:val="000000" w:themeColor="text1"/>
          <w:lang w:val="en-US" w:eastAsia="zh-CN"/>
          <w14:textFill>
            <w14:solidFill>
              <w14:schemeClr w14:val="tx1"/>
            </w14:solidFill>
          </w14:textFill>
        </w:rPr>
        <w:t>型</w:t>
      </w:r>
      <w:r>
        <w:rPr>
          <w:rFonts w:hint="eastAsia"/>
          <w:b w:val="0"/>
          <w:bCs w:val="0"/>
          <w:color w:val="000000" w:themeColor="text1"/>
          <w14:textFill>
            <w14:solidFill>
              <w14:schemeClr w14:val="tx1"/>
            </w14:solidFill>
          </w14:textFill>
        </w:rPr>
        <w:t>向全产业链复合型</w:t>
      </w:r>
      <w:r>
        <w:rPr>
          <w:rFonts w:hint="eastAsia"/>
          <w:b w:val="0"/>
          <w:bCs w:val="0"/>
          <w:color w:val="000000" w:themeColor="text1"/>
          <w:lang w:val="en-US" w:eastAsia="zh-CN"/>
          <w14:textFill>
            <w14:solidFill>
              <w14:schemeClr w14:val="tx1"/>
            </w14:solidFill>
          </w14:textFill>
        </w:rPr>
        <w:t>发展</w:t>
      </w:r>
      <w:r>
        <w:rPr>
          <w:rFonts w:hint="eastAsia"/>
          <w:b w:val="0"/>
          <w:bCs w:val="0"/>
          <w:color w:val="000000" w:themeColor="text1"/>
          <w14:textFill>
            <w14:solidFill>
              <w14:schemeClr w14:val="tx1"/>
            </w14:solidFill>
          </w14:textFill>
        </w:rPr>
        <w:t>，</w:t>
      </w:r>
      <w:r>
        <w:rPr>
          <w:rFonts w:hint="eastAsia"/>
          <w:b w:val="0"/>
          <w:bCs w:val="0"/>
          <w:color w:val="000000" w:themeColor="text1"/>
          <w:lang w:val="en-US" w:eastAsia="zh-CN"/>
          <w14:textFill>
            <w14:solidFill>
              <w14:schemeClr w14:val="tx1"/>
            </w14:solidFill>
          </w14:textFill>
        </w:rPr>
        <w:t>从传统机械设备向高智能化管理设备发展，</w:t>
      </w:r>
      <w:r>
        <w:rPr>
          <w:rFonts w:hint="eastAsia"/>
          <w:b w:val="0"/>
          <w:bCs w:val="0"/>
          <w:color w:val="000000" w:themeColor="text1"/>
          <w14:textFill>
            <w14:solidFill>
              <w14:schemeClr w14:val="tx1"/>
            </w14:solidFill>
          </w14:textFill>
        </w:rPr>
        <w:t>增加土地资源的投入产出效益，有效</w:t>
      </w:r>
      <w:r>
        <w:rPr>
          <w:rFonts w:hint="eastAsia"/>
          <w:b w:val="0"/>
          <w:bCs w:val="0"/>
          <w:color w:val="000000" w:themeColor="text1"/>
          <w:lang w:val="en-US" w:eastAsia="zh-CN"/>
          <w14:textFill>
            <w14:solidFill>
              <w14:schemeClr w14:val="tx1"/>
            </w14:solidFill>
          </w14:textFill>
        </w:rPr>
        <w:t>推动物流仓储迭代升级</w:t>
      </w:r>
      <w:r>
        <w:rPr>
          <w:rFonts w:hint="eastAsia"/>
          <w:b w:val="0"/>
          <w:bCs w:val="0"/>
          <w:color w:val="000000" w:themeColor="text1"/>
          <w14:textFill>
            <w14:solidFill>
              <w14:schemeClr w14:val="tx1"/>
            </w14:solidFill>
          </w14:textFill>
        </w:rPr>
        <w:t>。</w:t>
      </w:r>
    </w:p>
    <w:p>
      <w:pPr>
        <w:pageBreakBefore w:val="0"/>
        <w:widowControl w:val="0"/>
        <w:numPr>
          <w:ilvl w:val="0"/>
          <w:numId w:val="0"/>
        </w:numPr>
        <w:kinsoku/>
        <w:wordWrap/>
        <w:overflowPunct w:val="0"/>
        <w:topLinePunct/>
        <w:autoSpaceDE/>
        <w:autoSpaceDN/>
        <w:bidi w:val="0"/>
        <w:snapToGrid w:val="0"/>
        <w:ind w:firstLine="574" w:firstLineChars="200"/>
        <w:textAlignment w:val="cente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pPr>
      <w:r>
        <w:rPr>
          <w:rFonts w:hint="eastAsia" w:ascii="楷体" w:hAnsi="楷体" w:eastAsia="楷体" w:cs="楷体"/>
          <w:b/>
          <w:bCs/>
          <w:color w:val="000000" w:themeColor="text1"/>
          <w:spacing w:val="10"/>
          <w:kern w:val="0"/>
          <w:sz w:val="32"/>
          <w:szCs w:val="28"/>
          <w:lang w:val="en-US" w:eastAsia="zh-CN" w:bidi="ar-SA"/>
          <w14:textFill>
            <w14:solidFill>
              <w14:schemeClr w14:val="tx1"/>
            </w14:solidFill>
          </w14:textFill>
        </w:rPr>
        <w:t>——数字化改革优营商。</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以企业需求为导向，以“最多跑一次”为目标，围绕物流仓储投资项目拿地、审批、建设、投产四个环节，通过数字赋能，提升便利化和高效化</w:t>
      </w:r>
      <w:r>
        <w:rPr>
          <w:rFonts w:hint="eastAsia" w:cs="宋体"/>
          <w:b w:val="0"/>
          <w:bCs w:val="0"/>
          <w:color w:val="000000" w:themeColor="text1"/>
          <w:spacing w:val="10"/>
          <w:kern w:val="0"/>
          <w:sz w:val="32"/>
          <w:szCs w:val="28"/>
          <w:lang w:val="en-US" w:eastAsia="zh-CN" w:bidi="ar-SA"/>
          <w14:textFill>
            <w14:solidFill>
              <w14:schemeClr w14:val="tx1"/>
            </w14:solidFill>
          </w14:textFill>
        </w:rPr>
        <w:t>，</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全面优化营商环境，创新物流仓储“标准地”</w:t>
      </w:r>
      <w:r>
        <w:rPr>
          <w:rFonts w:hint="eastAsia" w:cs="宋体"/>
          <w:b w:val="0"/>
          <w:bCs w:val="0"/>
          <w:color w:val="000000" w:themeColor="text1"/>
          <w:spacing w:val="10"/>
          <w:kern w:val="0"/>
          <w:sz w:val="32"/>
          <w:szCs w:val="28"/>
          <w:lang w:val="en-US" w:eastAsia="zh-CN" w:bidi="ar-SA"/>
          <w14:textFill>
            <w14:solidFill>
              <w14:schemeClr w14:val="tx1"/>
            </w14:solidFill>
          </w14:textFill>
        </w:rPr>
        <w:t>云</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招商，建立“一个部门牵头、多部门分工负责”的数字化协同审批工作机制，实现前期</w:t>
      </w:r>
      <w:r>
        <w:rPr>
          <w:rFonts w:hint="eastAsia" w:cs="宋体"/>
          <w:b w:val="0"/>
          <w:bCs w:val="0"/>
          <w:color w:val="000000" w:themeColor="text1"/>
          <w:spacing w:val="10"/>
          <w:kern w:val="0"/>
          <w:sz w:val="32"/>
          <w:szCs w:val="28"/>
          <w:lang w:val="en-US" w:eastAsia="zh-CN" w:bidi="ar-SA"/>
          <w14:textFill>
            <w14:solidFill>
              <w14:schemeClr w14:val="tx1"/>
            </w14:solidFill>
          </w14:textFill>
        </w:rPr>
        <w:t>服务</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线上协同，问题一键交办，采用“一窗受理、全程代办”的审批模式，投资项目在线审批监管平台实现审批一站式、审批数字化，数字赋能提</w:t>
      </w:r>
      <w:r>
        <w:rPr>
          <w:rFonts w:hint="eastAsia" w:cs="宋体"/>
          <w:b w:val="0"/>
          <w:bCs w:val="0"/>
          <w:color w:val="000000" w:themeColor="text1"/>
          <w:spacing w:val="10"/>
          <w:kern w:val="0"/>
          <w:sz w:val="32"/>
          <w:szCs w:val="28"/>
          <w:lang w:val="en-US" w:eastAsia="zh-CN" w:bidi="ar-SA"/>
          <w14:textFill>
            <w14:solidFill>
              <w14:schemeClr w14:val="tx1"/>
            </w14:solidFill>
          </w14:textFill>
        </w:rPr>
        <w:t>升政务</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效率，提升企业满意度，降低企业成本。</w:t>
      </w:r>
    </w:p>
    <w:p>
      <w:pPr>
        <w:pageBreakBefore w:val="0"/>
        <w:widowControl w:val="0"/>
        <w:kinsoku/>
        <w:wordWrap/>
        <w:overflowPunct w:val="0"/>
        <w:topLinePunct/>
        <w:autoSpaceDE/>
        <w:autoSpaceDN/>
        <w:bidi w:val="0"/>
        <w:snapToGrid w:val="0"/>
        <w:ind w:firstLine="574" w:firstLineChars="200"/>
        <w:textAlignment w:val="center"/>
        <w:rPr>
          <w:rFonts w:hint="eastAsia"/>
          <w:color w:val="000000" w:themeColor="text1"/>
          <w:lang w:val="en-US" w:eastAsia="zh-CN"/>
          <w14:textFill>
            <w14:solidFill>
              <w14:schemeClr w14:val="tx1"/>
            </w14:solidFill>
          </w14:textFill>
        </w:rPr>
      </w:pPr>
      <w:r>
        <w:rPr>
          <w:rFonts w:hint="eastAsia" w:ascii="楷体" w:hAnsi="楷体" w:eastAsia="楷体" w:cs="楷体"/>
          <w:b/>
          <w:bCs/>
          <w:color w:val="000000" w:themeColor="text1"/>
          <w:spacing w:val="10"/>
          <w:kern w:val="0"/>
          <w:sz w:val="32"/>
          <w:szCs w:val="28"/>
          <w:lang w:val="en-US" w:eastAsia="zh-CN" w:bidi="ar-SA"/>
          <w14:textFill>
            <w14:solidFill>
              <w14:schemeClr w14:val="tx1"/>
            </w14:solidFill>
          </w14:textFill>
        </w:rPr>
        <w:t>——全过程监管保履约。</w:t>
      </w:r>
      <w:r>
        <w:rPr>
          <w:rFonts w:hint="eastAsia"/>
          <w:color w:val="000000" w:themeColor="text1"/>
          <w:lang w:val="en-US" w:eastAsia="zh-CN"/>
          <w14:textFill>
            <w14:solidFill>
              <w14:schemeClr w14:val="tx1"/>
            </w14:solidFill>
          </w14:textFill>
        </w:rPr>
        <w:t>围绕</w:t>
      </w:r>
      <w:r>
        <w:rPr>
          <w:rFonts w:hint="eastAsia"/>
          <w:color w:val="000000" w:themeColor="text1"/>
          <w14:textFill>
            <w14:solidFill>
              <w14:schemeClr w14:val="tx1"/>
            </w14:solidFill>
          </w14:textFill>
        </w:rPr>
        <w:t>物流仓储“标准地”企业承诺</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创新</w:t>
      </w:r>
      <w:r>
        <w:rPr>
          <w:rFonts w:hint="eastAsia"/>
          <w:color w:val="000000" w:themeColor="text1"/>
          <w:lang w:val="en-US" w:eastAsia="zh-CN"/>
          <w14:textFill>
            <w14:solidFill>
              <w14:schemeClr w14:val="tx1"/>
            </w14:solidFill>
          </w14:textFill>
        </w:rPr>
        <w:t>实行“</w:t>
      </w:r>
      <w:r>
        <w:rPr>
          <w:rFonts w:hint="eastAsia"/>
          <w:color w:val="000000" w:themeColor="text1"/>
          <w14:textFill>
            <w14:solidFill>
              <w14:schemeClr w14:val="tx1"/>
            </w14:solidFill>
          </w14:textFill>
        </w:rPr>
        <w:t>信用评价+数据应用</w:t>
      </w:r>
      <w:r>
        <w:rPr>
          <w:rFonts w:hint="eastAsia"/>
          <w:color w:val="000000" w:themeColor="text1"/>
          <w:lang w:val="en-US" w:eastAsia="zh-CN"/>
          <w14:textFill>
            <w14:solidFill>
              <w14:schemeClr w14:val="tx1"/>
            </w14:solidFill>
          </w14:textFill>
        </w:rPr>
        <w:t>”</w:t>
      </w:r>
      <w:r>
        <w:rPr>
          <w:rFonts w:hint="eastAsia"/>
          <w:color w:val="000000" w:themeColor="text1"/>
          <w14:textFill>
            <w14:solidFill>
              <w14:schemeClr w14:val="tx1"/>
            </w14:solidFill>
          </w14:textFill>
        </w:rPr>
        <w:t>的“一诺双用”全过程监管机制，</w:t>
      </w:r>
      <w:r>
        <w:rPr>
          <w:rFonts w:hint="eastAsia"/>
          <w:color w:val="000000" w:themeColor="text1"/>
          <w:lang w:val="en-US" w:eastAsia="zh-CN"/>
          <w14:textFill>
            <w14:solidFill>
              <w14:schemeClr w14:val="tx1"/>
            </w14:solidFill>
          </w14:textFill>
        </w:rPr>
        <w:t>加强政策咨询、技术指导服务，提供全过程服务，加强全过程事中事后监管，</w:t>
      </w:r>
      <w:r>
        <w:rPr>
          <w:rFonts w:hint="eastAsia"/>
          <w:color w:val="000000" w:themeColor="text1"/>
          <w14:textFill>
            <w14:solidFill>
              <w14:schemeClr w14:val="tx1"/>
            </w14:solidFill>
          </w14:textFill>
        </w:rPr>
        <w:t>健全监管规则，建立</w:t>
      </w:r>
      <w:r>
        <w:rPr>
          <w:rFonts w:hint="eastAsia"/>
          <w:color w:val="000000" w:themeColor="text1"/>
          <w:lang w:val="en-US" w:eastAsia="zh-CN"/>
          <w14:textFill>
            <w14:solidFill>
              <w14:schemeClr w14:val="tx1"/>
            </w14:solidFill>
          </w14:textFill>
        </w:rPr>
        <w:t>信用保惩</w:t>
      </w:r>
      <w:r>
        <w:rPr>
          <w:rFonts w:hint="eastAsia"/>
          <w:color w:val="000000" w:themeColor="text1"/>
          <w14:textFill>
            <w14:solidFill>
              <w14:schemeClr w14:val="tx1"/>
            </w14:solidFill>
          </w14:textFill>
        </w:rPr>
        <w:t>制度，</w:t>
      </w:r>
      <w:r>
        <w:rPr>
          <w:rFonts w:hint="eastAsia"/>
          <w:color w:val="000000" w:themeColor="text1"/>
          <w:lang w:val="en-US" w:eastAsia="zh-CN"/>
          <w14:textFill>
            <w14:solidFill>
              <w14:schemeClr w14:val="tx1"/>
            </w14:solidFill>
          </w14:textFill>
        </w:rPr>
        <w:t>通过</w:t>
      </w:r>
      <w:r>
        <w:rPr>
          <w:rFonts w:hint="eastAsia"/>
          <w:color w:val="000000" w:themeColor="text1"/>
          <w14:textFill>
            <w14:solidFill>
              <w14:schemeClr w14:val="tx1"/>
            </w14:solidFill>
          </w14:textFill>
        </w:rPr>
        <w:t>激励</w:t>
      </w:r>
      <w:r>
        <w:rPr>
          <w:rFonts w:hint="eastAsia"/>
          <w:color w:val="000000" w:themeColor="text1"/>
          <w:lang w:val="en-US" w:eastAsia="zh-CN"/>
          <w14:textFill>
            <w14:solidFill>
              <w14:schemeClr w14:val="tx1"/>
            </w14:solidFill>
          </w14:textFill>
        </w:rPr>
        <w:t>机制和</w:t>
      </w:r>
      <w:r>
        <w:rPr>
          <w:rFonts w:hint="eastAsia"/>
          <w:color w:val="000000" w:themeColor="text1"/>
          <w14:textFill>
            <w14:solidFill>
              <w14:schemeClr w14:val="tx1"/>
            </w14:solidFill>
          </w14:textFill>
        </w:rPr>
        <w:t>倒逼机制，提升</w:t>
      </w:r>
      <w:r>
        <w:rPr>
          <w:rFonts w:hint="eastAsia"/>
          <w:color w:val="000000" w:themeColor="text1"/>
          <w:lang w:val="en-US" w:eastAsia="zh-CN"/>
          <w14:textFill>
            <w14:solidFill>
              <w14:schemeClr w14:val="tx1"/>
            </w14:solidFill>
          </w14:textFill>
        </w:rPr>
        <w:t>物流仓储用地的</w:t>
      </w:r>
      <w:r>
        <w:rPr>
          <w:rFonts w:hint="eastAsia"/>
          <w:color w:val="000000" w:themeColor="text1"/>
          <w14:textFill>
            <w14:solidFill>
              <w14:schemeClr w14:val="tx1"/>
            </w14:solidFill>
          </w14:textFill>
        </w:rPr>
        <w:t>节约集约利用</w:t>
      </w:r>
      <w:r>
        <w:rPr>
          <w:rFonts w:hint="eastAsia"/>
          <w:color w:val="000000" w:themeColor="text1"/>
          <w:lang w:val="en-US" w:eastAsia="zh-CN"/>
          <w14:textFill>
            <w14:solidFill>
              <w14:schemeClr w14:val="tx1"/>
            </w14:solidFill>
          </w14:textFill>
        </w:rPr>
        <w:t>和高质量发展。</w:t>
      </w:r>
    </w:p>
    <w:p>
      <w:pPr>
        <w:pageBreakBefore w:val="0"/>
        <w:widowControl w:val="0"/>
        <w:kinsoku/>
        <w:wordWrap/>
        <w:overflowPunct w:val="0"/>
        <w:topLinePunct/>
        <w:autoSpaceDE/>
        <w:autoSpaceDN/>
        <w:bidi w:val="0"/>
        <w:snapToGrid w:val="0"/>
        <w:ind w:firstLine="574" w:firstLineChars="200"/>
        <w:textAlignment w:val="center"/>
        <w:rPr>
          <w:rFonts w:hint="eastAsia" w:ascii="黑体" w:hAnsi="黑体" w:eastAsia="黑体" w:cs="黑体"/>
          <w:b/>
          <w:bCs/>
          <w:color w:val="000000" w:themeColor="text1"/>
          <w:lang w:val="en-US" w:eastAsia="zh-CN"/>
          <w14:textFill>
            <w14:solidFill>
              <w14:schemeClr w14:val="tx1"/>
            </w14:solidFill>
          </w14:textFill>
        </w:rPr>
      </w:pPr>
      <w:r>
        <w:rPr>
          <w:rFonts w:hint="eastAsia" w:ascii="黑体" w:hAnsi="黑体" w:eastAsia="黑体" w:cs="黑体"/>
          <w:b/>
          <w:bCs/>
          <w:color w:val="000000" w:themeColor="text1"/>
          <w:lang w:val="en-US" w:eastAsia="zh-CN"/>
          <w14:textFill>
            <w14:solidFill>
              <w14:schemeClr w14:val="tx1"/>
            </w14:solidFill>
          </w14:textFill>
        </w:rPr>
        <w:t>三、实施范围</w:t>
      </w:r>
    </w:p>
    <w:p>
      <w:pPr>
        <w:pageBreakBefore w:val="0"/>
        <w:widowControl w:val="0"/>
        <w:kinsoku/>
        <w:wordWrap/>
        <w:overflowPunct w:val="0"/>
        <w:topLinePunct/>
        <w:autoSpaceDE/>
        <w:autoSpaceDN/>
        <w:bidi w:val="0"/>
        <w:snapToGrid w:val="0"/>
        <w:textAlignment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金义新区（金东区）范围内的新增物流仓储用地（化学危险品类仓储、油气仓储等危化品仓储类列入负面清单）。</w:t>
      </w:r>
    </w:p>
    <w:p>
      <w:pPr>
        <w:pageBreakBefore w:val="0"/>
        <w:widowControl w:val="0"/>
        <w:kinsoku/>
        <w:wordWrap/>
        <w:overflowPunct w:val="0"/>
        <w:topLinePunct/>
        <w:autoSpaceDE/>
        <w:autoSpaceDN/>
        <w:bidi w:val="0"/>
        <w:snapToGrid w:val="0"/>
        <w:ind w:firstLine="574" w:firstLineChars="200"/>
        <w:textAlignment w:val="center"/>
        <w:rPr>
          <w:rFonts w:hint="eastAsia" w:ascii="黑体" w:hAnsi="黑体" w:eastAsia="黑体" w:cs="黑体"/>
          <w:b/>
          <w:bCs/>
          <w:color w:val="000000" w:themeColor="text1"/>
          <w:lang w:val="en-US" w:eastAsia="zh-CN"/>
          <w14:textFill>
            <w14:solidFill>
              <w14:schemeClr w14:val="tx1"/>
            </w14:solidFill>
          </w14:textFill>
        </w:rPr>
      </w:pPr>
      <w:r>
        <w:rPr>
          <w:rFonts w:hint="eastAsia" w:ascii="黑体" w:hAnsi="黑体" w:eastAsia="黑体" w:cs="黑体"/>
          <w:b/>
          <w:bCs/>
          <w:color w:val="000000" w:themeColor="text1"/>
          <w:lang w:val="en-US" w:eastAsia="zh-CN"/>
          <w14:textFill>
            <w14:solidFill>
              <w14:schemeClr w14:val="tx1"/>
            </w14:solidFill>
          </w14:textFill>
        </w:rPr>
        <w:t>四、重点任务</w:t>
      </w:r>
    </w:p>
    <w:p>
      <w:pPr>
        <w:pageBreakBefore w:val="0"/>
        <w:widowControl w:val="0"/>
        <w:numPr>
          <w:ilvl w:val="0"/>
          <w:numId w:val="0"/>
        </w:numPr>
        <w:kinsoku/>
        <w:wordWrap/>
        <w:overflowPunct w:val="0"/>
        <w:topLinePunct/>
        <w:autoSpaceDE/>
        <w:autoSpaceDN/>
        <w:bidi w:val="0"/>
        <w:snapToGrid w:val="0"/>
        <w:textAlignment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采用物流仓储“标准地”项目分地块定标、按标出让、承诺许可、按标施建、对标验收五个阶段，把项目前期审批阶段工作向前延伸到“标准地”地块制作阶段和招商选商阶段。政府、中介提前介入服务，优化审批流程，压缩审批时间，企业拿地后在最短时间内开工。</w:t>
      </w:r>
    </w:p>
    <w:p>
      <w:pPr>
        <w:pageBreakBefore w:val="0"/>
        <w:widowControl w:val="0"/>
        <w:kinsoku/>
        <w:wordWrap/>
        <w:overflowPunct w:val="0"/>
        <w:topLinePunct/>
        <w:autoSpaceDE/>
        <w:autoSpaceDN/>
        <w:bidi w:val="0"/>
        <w:snapToGrid w:val="0"/>
        <w:ind w:firstLine="574" w:firstLineChars="200"/>
        <w:textAlignment w:val="center"/>
        <w:rPr>
          <w:color w:val="000000" w:themeColor="text1"/>
          <w14:textFill>
            <w14:solidFill>
              <w14:schemeClr w14:val="tx1"/>
            </w14:solidFill>
          </w14:textFill>
        </w:rPr>
      </w:pPr>
      <w:r>
        <w:rPr>
          <w:rFonts w:hint="eastAsia" w:ascii="楷体" w:hAnsi="楷体" w:eastAsia="楷体" w:cs="楷体"/>
          <w:b/>
          <w:bCs/>
          <w:color w:val="000000" w:themeColor="text1"/>
          <w:lang w:val="en-US" w:eastAsia="zh-CN"/>
          <w14:textFill>
            <w14:solidFill>
              <w14:schemeClr w14:val="tx1"/>
            </w14:solidFill>
          </w14:textFill>
        </w:rPr>
        <w:t>1.地块定标。</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各做地主体做好物流仓储“标准地”出让地块的“七通一平</w:t>
      </w:r>
      <w:r>
        <w:rPr>
          <w:rFonts w:hint="eastAsia" w:cs="宋体"/>
          <w:b w:val="0"/>
          <w:bCs w:val="0"/>
          <w:color w:val="000000" w:themeColor="text1"/>
          <w:spacing w:val="10"/>
          <w:kern w:val="0"/>
          <w:sz w:val="32"/>
          <w:szCs w:val="28"/>
          <w:lang w:val="en-US" w:eastAsia="zh-CN" w:bidi="ar-SA"/>
          <w14:textFill>
            <w14:solidFill>
              <w14:schemeClr w14:val="tx1"/>
            </w14:solidFill>
          </w14:textFill>
        </w:rPr>
        <w:t>一围墙</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”工作，</w:t>
      </w:r>
      <w:r>
        <w:rPr>
          <w:rFonts w:hint="eastAsia" w:cs="宋体"/>
          <w:b w:val="0"/>
          <w:bCs w:val="0"/>
          <w:color w:val="000000" w:themeColor="text1"/>
          <w:spacing w:val="10"/>
          <w:kern w:val="0"/>
          <w:sz w:val="32"/>
          <w:szCs w:val="28"/>
          <w:lang w:val="en-US" w:eastAsia="zh-CN" w:bidi="ar-SA"/>
          <w14:textFill>
            <w14:solidFill>
              <w14:schemeClr w14:val="tx1"/>
            </w14:solidFill>
          </w14:textFill>
        </w:rPr>
        <w:t>做到“地等项目”。</w:t>
      </w:r>
      <w:r>
        <w:rPr>
          <w:rFonts w:hint="eastAsia"/>
          <w:color w:val="000000" w:themeColor="text1"/>
          <w:lang w:val="en-US" w:eastAsia="zh-CN"/>
          <w14:textFill>
            <w14:solidFill>
              <w14:schemeClr w14:val="tx1"/>
            </w14:solidFill>
          </w14:textFill>
        </w:rPr>
        <w:t>资规</w:t>
      </w:r>
      <w:r>
        <w:rPr>
          <w:rFonts w:hint="eastAsia"/>
          <w:color w:val="000000" w:themeColor="text1"/>
          <w14:textFill>
            <w14:solidFill>
              <w14:schemeClr w14:val="tx1"/>
            </w14:solidFill>
          </w14:textFill>
        </w:rPr>
        <w:t>部门召集各职能部门</w:t>
      </w:r>
      <w:r>
        <w:rPr>
          <w:rFonts w:hint="eastAsia"/>
          <w:color w:val="000000" w:themeColor="text1"/>
          <w:lang w:val="en-US" w:eastAsia="zh-CN"/>
          <w14:textFill>
            <w14:solidFill>
              <w14:schemeClr w14:val="tx1"/>
            </w14:solidFill>
          </w14:textFill>
        </w:rPr>
        <w:t>设置</w:t>
      </w:r>
      <w:r>
        <w:rPr>
          <w:rFonts w:hint="eastAsia"/>
          <w:color w:val="000000" w:themeColor="text1"/>
          <w14:textFill>
            <w14:solidFill>
              <w14:schemeClr w14:val="tx1"/>
            </w14:solidFill>
          </w14:textFill>
        </w:rPr>
        <w:t>拟出让</w:t>
      </w:r>
      <w:r>
        <w:rPr>
          <w:rFonts w:hint="eastAsia"/>
          <w:color w:val="000000" w:themeColor="text1"/>
          <w:lang w:val="en-US" w:eastAsia="zh-CN"/>
          <w14:textFill>
            <w14:solidFill>
              <w14:schemeClr w14:val="tx1"/>
            </w14:solidFill>
          </w14:textFill>
        </w:rPr>
        <w:t>物流仓储</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标准地</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出让指标，明确固定资产投资强度、土地产出、亩均税收、容积率等硬性约束控制指标与屋顶光伏发电利用率、碳排放强度、物流智能信息化水平等指标要求</w:t>
      </w:r>
      <w:r>
        <w:rPr>
          <w:rFonts w:hint="eastAsia"/>
          <w:color w:val="000000" w:themeColor="text1"/>
          <w14:textFill>
            <w14:solidFill>
              <w14:schemeClr w14:val="tx1"/>
            </w14:solidFill>
          </w14:textFill>
        </w:rPr>
        <w:t>，提交土地出让领导小组审查。</w:t>
      </w:r>
    </w:p>
    <w:p>
      <w:pPr>
        <w:pStyle w:val="4"/>
        <w:pageBreakBefore w:val="0"/>
        <w:widowControl w:val="0"/>
        <w:kinsoku/>
        <w:wordWrap/>
        <w:overflowPunct w:val="0"/>
        <w:topLinePunct/>
        <w:autoSpaceDE/>
        <w:autoSpaceDN/>
        <w:bidi w:val="0"/>
        <w:snapToGrid w:val="0"/>
        <w:ind w:firstLine="576"/>
        <w:textAlignment w:val="center"/>
        <w:rPr>
          <w:rFonts w:hint="default"/>
          <w:color w:val="000000" w:themeColor="text1"/>
          <w:lang w:val="en-US"/>
          <w14:textFill>
            <w14:solidFill>
              <w14:schemeClr w14:val="tx1"/>
            </w14:solidFill>
          </w14:textFill>
        </w:rPr>
      </w:pPr>
      <w:r>
        <w:rPr>
          <w:rFonts w:hint="eastAsia" w:ascii="楷体" w:hAnsi="楷体" w:eastAsia="楷体" w:cs="楷体"/>
          <w:color w:val="000000" w:themeColor="text1"/>
          <w:lang w:val="en-US" w:eastAsia="zh-CN"/>
          <w14:textFill>
            <w14:solidFill>
              <w14:schemeClr w14:val="tx1"/>
            </w14:solidFill>
          </w14:textFill>
        </w:rPr>
        <w:t>2.按标出让。</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物流仓储“标准地”</w:t>
      </w:r>
      <w:r>
        <w:rPr>
          <w:rFonts w:hint="eastAsia" w:cs="宋体"/>
          <w:b w:val="0"/>
          <w:bCs w:val="0"/>
          <w:color w:val="000000" w:themeColor="text1"/>
          <w:spacing w:val="10"/>
          <w:kern w:val="0"/>
          <w:sz w:val="32"/>
          <w:szCs w:val="28"/>
          <w:lang w:val="en-US" w:eastAsia="zh-CN" w:bidi="ar-SA"/>
          <w14:textFill>
            <w14:solidFill>
              <w14:schemeClr w14:val="tx1"/>
            </w14:solidFill>
          </w14:textFill>
        </w:rPr>
        <w:t>信息</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录入浙江省“标准地”数字地图，扩大招商范围。</w:t>
      </w:r>
      <w:r>
        <w:rPr>
          <w:rFonts w:hint="eastAsia" w:cs="宋体"/>
          <w:b w:val="0"/>
          <w:bCs w:val="0"/>
          <w:color w:val="000000" w:themeColor="text1"/>
          <w:spacing w:val="10"/>
          <w:kern w:val="0"/>
          <w:sz w:val="32"/>
          <w:szCs w:val="28"/>
          <w:lang w:val="en-US" w:eastAsia="zh-CN" w:bidi="ar-SA"/>
          <w14:textFill>
            <w14:solidFill>
              <w14:schemeClr w14:val="tx1"/>
            </w14:solidFill>
          </w14:textFill>
        </w:rPr>
        <w:t>意向投资项目由</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招商部门通过</w:t>
      </w:r>
      <w:r>
        <w:rPr>
          <w:rFonts w:hint="eastAsia" w:cs="宋体"/>
          <w:b w:val="0"/>
          <w:bCs w:val="0"/>
          <w:color w:val="000000" w:themeColor="text1"/>
          <w:spacing w:val="10"/>
          <w:kern w:val="0"/>
          <w:sz w:val="32"/>
          <w:szCs w:val="28"/>
          <w:lang w:val="en-US" w:eastAsia="zh-CN" w:bidi="ar-SA"/>
          <w14:textFill>
            <w14:solidFill>
              <w14:schemeClr w14:val="tx1"/>
            </w14:solidFill>
          </w14:textFill>
        </w:rPr>
        <w:t>金东区投资项目全周期数字化管理平台</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征求相关部门、乡镇和平台意见，出具</w:t>
      </w:r>
      <w:r>
        <w:rPr>
          <w:rFonts w:hint="eastAsia" w:cs="宋体"/>
          <w:b w:val="0"/>
          <w:bCs w:val="0"/>
          <w:color w:val="000000" w:themeColor="text1"/>
          <w:spacing w:val="10"/>
          <w:kern w:val="0"/>
          <w:sz w:val="32"/>
          <w:szCs w:val="28"/>
          <w:lang w:val="en-US" w:eastAsia="zh-CN" w:bidi="ar-SA"/>
          <w14:textFill>
            <w14:solidFill>
              <w14:schemeClr w14:val="tx1"/>
            </w14:solidFill>
          </w14:textFill>
        </w:rPr>
        <w:t>准入预审</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意见。</w:t>
      </w:r>
      <w:r>
        <w:rPr>
          <w:rFonts w:hint="eastAsia" w:cs="宋体"/>
          <w:b w:val="0"/>
          <w:bCs w:val="0"/>
          <w:color w:val="000000" w:themeColor="text1"/>
          <w:spacing w:val="10"/>
          <w:kern w:val="0"/>
          <w:sz w:val="32"/>
          <w:szCs w:val="28"/>
          <w:lang w:val="en-US" w:eastAsia="zh-CN" w:bidi="ar-SA"/>
          <w14:textFill>
            <w14:solidFill>
              <w14:schemeClr w14:val="tx1"/>
            </w14:solidFill>
          </w14:textFill>
        </w:rPr>
        <w:t>项目准入后，做地主体立即提供地块红线图，供土地竞买人按标开展项目方案设计和总平面图设计，为土地受让做好准备。资规部门凭物流仓储“标准地”审查意见，做好土地按标出让工作。</w:t>
      </w:r>
    </w:p>
    <w:p>
      <w:pPr>
        <w:pStyle w:val="4"/>
        <w:pageBreakBefore w:val="0"/>
        <w:widowControl w:val="0"/>
        <w:kinsoku/>
        <w:wordWrap/>
        <w:overflowPunct w:val="0"/>
        <w:topLinePunct/>
        <w:autoSpaceDE/>
        <w:autoSpaceDN/>
        <w:bidi w:val="0"/>
        <w:snapToGrid w:val="0"/>
        <w:ind w:firstLine="576"/>
        <w:textAlignment w:val="center"/>
        <w:rPr>
          <w:rFonts w:hint="eastAsia" w:cs="宋体"/>
          <w:b w:val="0"/>
          <w:bCs w:val="0"/>
          <w:color w:val="000000" w:themeColor="text1"/>
          <w:spacing w:val="10"/>
          <w:kern w:val="0"/>
          <w:sz w:val="32"/>
          <w:szCs w:val="28"/>
          <w:lang w:val="en-US" w:eastAsia="zh-CN" w:bidi="ar-SA"/>
          <w14:textFill>
            <w14:solidFill>
              <w14:schemeClr w14:val="tx1"/>
            </w14:solidFill>
          </w14:textFill>
        </w:rPr>
      </w:pPr>
      <w:r>
        <w:rPr>
          <w:rFonts w:hint="eastAsia" w:ascii="楷体" w:hAnsi="楷体" w:eastAsia="楷体" w:cs="楷体"/>
          <w:color w:val="000000" w:themeColor="text1"/>
          <w:lang w:val="en-US" w:eastAsia="zh-CN"/>
          <w14:textFill>
            <w14:solidFill>
              <w14:schemeClr w14:val="tx1"/>
            </w14:solidFill>
          </w14:textFill>
        </w:rPr>
        <w:t>3.承诺许可。</w:t>
      </w:r>
      <w:r>
        <w:rPr>
          <w:rFonts w:hint="eastAsia" w:cs="宋体"/>
          <w:b w:val="0"/>
          <w:bCs w:val="0"/>
          <w:color w:val="000000" w:themeColor="text1"/>
          <w:spacing w:val="10"/>
          <w:kern w:val="0"/>
          <w:sz w:val="32"/>
          <w:szCs w:val="28"/>
          <w:lang w:val="en-US" w:eastAsia="zh-CN" w:bidi="ar-SA"/>
          <w14:textFill>
            <w14:solidFill>
              <w14:schemeClr w14:val="tx1"/>
            </w14:solidFill>
          </w14:textFill>
        </w:rPr>
        <w:t>区政府确定部门与土地竞得人签订物流仓储“标准地”投资建设协议，根据“标准地”指标要求，对规划、环境、经济、固定资产投资等指标进行承诺，对监管办法、违约责任作出明确。采用并联审批、承诺制审批，全程代办，限时办结，3个工作日内完成各项审批工作。</w:t>
      </w:r>
    </w:p>
    <w:p>
      <w:pPr>
        <w:pageBreakBefore w:val="0"/>
        <w:widowControl w:val="0"/>
        <w:kinsoku/>
        <w:wordWrap/>
        <w:overflowPunct w:val="0"/>
        <w:topLinePunct/>
        <w:autoSpaceDE/>
        <w:autoSpaceDN/>
        <w:bidi w:val="0"/>
        <w:snapToGrid w:val="0"/>
        <w:ind w:firstLine="613"/>
        <w:textAlignment w:val="cente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pPr>
      <w:r>
        <w:rPr>
          <w:rFonts w:hint="eastAsia" w:ascii="楷体" w:hAnsi="楷体" w:eastAsia="楷体" w:cs="楷体"/>
          <w:b/>
          <w:bCs/>
          <w:color w:val="000000" w:themeColor="text1"/>
          <w:spacing w:val="10"/>
          <w:kern w:val="2"/>
          <w:sz w:val="32"/>
          <w:szCs w:val="32"/>
          <w:lang w:val="en-US" w:eastAsia="zh-CN" w:bidi="ar-SA"/>
          <w14:textFill>
            <w14:solidFill>
              <w14:schemeClr w14:val="tx1"/>
            </w14:solidFill>
          </w14:textFill>
        </w:rPr>
        <w:t>4.按标施建。</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项目开工后，企业严格按照承诺的标准和各项指标要求及经审查通过的设计图纸进行施工建设，各职能部门加强项目建设过程指导服务和监督，明确监管方法、监管节点，监管信息互联互通，形成整体监管合力。发现企业违反承诺行为，责令限期整改，确保项目按照相关规定实施建设。</w:t>
      </w:r>
    </w:p>
    <w:p>
      <w:pPr>
        <w:pageBreakBefore w:val="0"/>
        <w:widowControl w:val="0"/>
        <w:kinsoku/>
        <w:wordWrap/>
        <w:overflowPunct w:val="0"/>
        <w:topLinePunct/>
        <w:autoSpaceDE/>
        <w:autoSpaceDN/>
        <w:bidi w:val="0"/>
        <w:snapToGrid w:val="0"/>
        <w:ind w:firstLine="613"/>
        <w:textAlignment w:val="center"/>
        <w:rPr>
          <w:rFonts w:hint="eastAsia" w:cs="宋体"/>
          <w:b w:val="0"/>
          <w:bCs w:val="0"/>
          <w:color w:val="000000" w:themeColor="text1"/>
          <w:spacing w:val="10"/>
          <w:kern w:val="0"/>
          <w:sz w:val="32"/>
          <w:szCs w:val="28"/>
          <w:lang w:val="en-US" w:eastAsia="zh-CN" w:bidi="ar-SA"/>
          <w14:textFill>
            <w14:solidFill>
              <w14:schemeClr w14:val="tx1"/>
            </w14:solidFill>
          </w14:textFill>
        </w:rPr>
      </w:pPr>
      <w:r>
        <w:rPr>
          <w:rFonts w:hint="eastAsia" w:ascii="楷体" w:hAnsi="楷体" w:eastAsia="楷体" w:cs="楷体"/>
          <w:b/>
          <w:bCs/>
          <w:color w:val="000000" w:themeColor="text1"/>
          <w:spacing w:val="10"/>
          <w:kern w:val="2"/>
          <w:sz w:val="32"/>
          <w:szCs w:val="32"/>
          <w:lang w:val="en-US" w:eastAsia="zh-CN" w:bidi="ar-SA"/>
          <w14:textFill>
            <w14:solidFill>
              <w14:schemeClr w14:val="tx1"/>
            </w14:solidFill>
          </w14:textFill>
        </w:rPr>
        <w:t>5.对标验收。</w:t>
      </w:r>
      <w:r>
        <w:rPr>
          <w:rFonts w:hint="eastAsia" w:cs="宋体"/>
          <w:b w:val="0"/>
          <w:bCs w:val="0"/>
          <w:color w:val="000000" w:themeColor="text1"/>
          <w:spacing w:val="10"/>
          <w:kern w:val="0"/>
          <w:sz w:val="32"/>
          <w:szCs w:val="28"/>
          <w:lang w:val="en-US" w:eastAsia="zh-CN" w:bidi="ar-SA"/>
          <w14:textFill>
            <w14:solidFill>
              <w14:schemeClr w14:val="tx1"/>
            </w14:solidFill>
          </w14:textFill>
        </w:rPr>
        <w:t>物流仓储“标准地”出让项目的竣工、投产实行分阶段验收管理。项目竣工后，由资规部门牵头会同相关职能部门分别对固定资产投资强度、容积率、屋顶光伏发电利用率、开工时间、竣工时间等指标进行复核验收。投产初始运行约定期限届满后，由做地主体牵头对土地产出、亩均税收、碳排放强度、物流智能信息化水平等指标进行履约认定。对未能通过履约认定的，根据“标准地”投资建设协议追究违约责任。</w:t>
      </w:r>
    </w:p>
    <w:p>
      <w:pPr>
        <w:pStyle w:val="2"/>
        <w:pageBreakBefore w:val="0"/>
        <w:widowControl w:val="0"/>
        <w:numPr>
          <w:ilvl w:val="0"/>
          <w:numId w:val="0"/>
        </w:numPr>
        <w:kinsoku/>
        <w:wordWrap/>
        <w:overflowPunct w:val="0"/>
        <w:topLinePunct/>
        <w:autoSpaceDE/>
        <w:autoSpaceDN/>
        <w:bidi w:val="0"/>
        <w:snapToGrid w:val="0"/>
        <w:spacing w:before="0"/>
        <w:ind w:left="572" w:leftChars="0"/>
        <w:textAlignment w:val="center"/>
        <w:rPr>
          <w:rFonts w:hint="eastAsia" w:ascii="黑体" w:hAnsi="黑体" w:eastAsia="黑体" w:cs="黑体"/>
          <w:b/>
          <w:bCs w:val="0"/>
          <w:color w:val="000000" w:themeColor="text1"/>
          <w:lang w:val="en-US" w:eastAsia="zh-CN"/>
          <w14:textFill>
            <w14:solidFill>
              <w14:schemeClr w14:val="tx1"/>
            </w14:solidFill>
          </w14:textFill>
        </w:rPr>
      </w:pPr>
      <w:r>
        <w:rPr>
          <w:rFonts w:hint="eastAsia" w:ascii="黑体" w:hAnsi="黑体" w:eastAsia="黑体" w:cs="黑体"/>
          <w:b/>
          <w:bCs w:val="0"/>
          <w:color w:val="000000" w:themeColor="text1"/>
          <w:lang w:val="en-US" w:eastAsia="zh-CN"/>
          <w14:textFill>
            <w14:solidFill>
              <w14:schemeClr w14:val="tx1"/>
            </w14:solidFill>
          </w14:textFill>
        </w:rPr>
        <w:t>五、工作推进计划</w:t>
      </w:r>
    </w:p>
    <w:p>
      <w:pPr>
        <w:pageBreakBefore w:val="0"/>
        <w:widowControl w:val="0"/>
        <w:kinsoku/>
        <w:wordWrap/>
        <w:overflowPunct w:val="0"/>
        <w:topLinePunct/>
        <w:autoSpaceDE/>
        <w:autoSpaceDN/>
        <w:bidi w:val="0"/>
        <w:snapToGrid w:val="0"/>
        <w:ind w:firstLine="574" w:firstLineChars="200"/>
        <w:textAlignment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围绕物流仓储用地，在</w:t>
      </w:r>
      <w:r>
        <w:rPr>
          <w:rFonts w:hint="eastAsia"/>
          <w:color w:val="000000" w:themeColor="text1"/>
          <w:lang w:eastAsia="zh-CN"/>
          <w14:textFill>
            <w14:solidFill>
              <w14:schemeClr w14:val="tx1"/>
            </w14:solidFill>
          </w14:textFill>
        </w:rPr>
        <w:t>金义新区（金东区）</w:t>
      </w:r>
      <w:r>
        <w:rPr>
          <w:rFonts w:hint="eastAsia"/>
          <w:color w:val="000000" w:themeColor="text1"/>
          <w14:textFill>
            <w14:solidFill>
              <w14:schemeClr w14:val="tx1"/>
            </w14:solidFill>
          </w14:textFill>
        </w:rPr>
        <w:t>拟开发建设用地符合上位规划要求的区域内，</w:t>
      </w:r>
      <w:r>
        <w:rPr>
          <w:rFonts w:hint="eastAsia"/>
          <w:color w:val="000000" w:themeColor="text1"/>
          <w:lang w:val="en-US" w:eastAsia="zh-CN"/>
          <w14:textFill>
            <w14:solidFill>
              <w14:schemeClr w14:val="tx1"/>
            </w14:solidFill>
          </w14:textFill>
        </w:rPr>
        <w:t>全域</w:t>
      </w:r>
      <w:r>
        <w:rPr>
          <w:rFonts w:hint="eastAsia"/>
          <w:color w:val="000000" w:themeColor="text1"/>
          <w14:textFill>
            <w14:solidFill>
              <w14:schemeClr w14:val="tx1"/>
            </w14:solidFill>
          </w14:textFill>
        </w:rPr>
        <w:t>实施物流仓储“标准地”出让制度，覆盖通用仓储类、低温仓储类、农副产品仓储类、医药仓储类、其他仓储类等</w:t>
      </w:r>
      <w:r>
        <w:rPr>
          <w:rFonts w:hint="eastAsia"/>
          <w:color w:val="000000" w:themeColor="text1"/>
          <w:lang w:val="en-US" w:eastAsia="zh-CN"/>
          <w14:textFill>
            <w14:solidFill>
              <w14:schemeClr w14:val="tx1"/>
            </w14:solidFill>
          </w14:textFill>
        </w:rPr>
        <w:t>5大</w:t>
      </w:r>
      <w:r>
        <w:rPr>
          <w:rFonts w:hint="eastAsia"/>
          <w:color w:val="000000" w:themeColor="text1"/>
          <w14:textFill>
            <w14:solidFill>
              <w14:schemeClr w14:val="tx1"/>
            </w14:solidFill>
          </w14:textFill>
        </w:rPr>
        <w:t>物流仓储类别，形成可复制、可推广的物流仓储“标准地”出让“金东样板”。力争到2</w:t>
      </w:r>
      <w:r>
        <w:rPr>
          <w:color w:val="000000" w:themeColor="text1"/>
          <w14:textFill>
            <w14:solidFill>
              <w14:schemeClr w14:val="tx1"/>
            </w14:solidFill>
          </w14:textFill>
        </w:rPr>
        <w:t>02</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年，实现全区物流仓储用地</w:t>
      </w:r>
      <w:r>
        <w:rPr>
          <w:color w:val="000000" w:themeColor="text1"/>
          <w14:textFill>
            <w14:solidFill>
              <w14:schemeClr w14:val="tx1"/>
            </w14:solidFill>
          </w14:textFill>
        </w:rPr>
        <w:t>100</w:t>
      </w:r>
      <w:r>
        <w:rPr>
          <w:rFonts w:hint="eastAsia"/>
          <w:color w:val="000000" w:themeColor="text1"/>
          <w14:textFill>
            <w14:solidFill>
              <w14:schemeClr w14:val="tx1"/>
            </w14:solidFill>
          </w14:textFill>
        </w:rPr>
        <w:t>%以“标准地”出让</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危化品仓储类列入负面清单）</w:t>
      </w:r>
      <w:r>
        <w:rPr>
          <w:rFonts w:hint="eastAsia"/>
          <w:color w:val="000000" w:themeColor="text1"/>
          <w14:textFill>
            <w14:solidFill>
              <w14:schemeClr w14:val="tx1"/>
            </w14:solidFill>
          </w14:textFill>
        </w:rPr>
        <w:t>。具体工作推进计划如下：</w:t>
      </w:r>
    </w:p>
    <w:p>
      <w:pPr>
        <w:pageBreakBefore w:val="0"/>
        <w:widowControl w:val="0"/>
        <w:kinsoku/>
        <w:wordWrap/>
        <w:overflowPunct w:val="0"/>
        <w:topLinePunct/>
        <w:autoSpaceDE/>
        <w:autoSpaceDN/>
        <w:bidi w:val="0"/>
        <w:snapToGrid w:val="0"/>
        <w:ind w:firstLine="574" w:firstLineChars="200"/>
        <w:textAlignment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——研究探索期</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021.1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2021.8</w:t>
      </w:r>
      <w:r>
        <w:rPr>
          <w:rFonts w:hint="eastAsia"/>
          <w:color w:val="000000" w:themeColor="text1"/>
          <w14:textFill>
            <w14:solidFill>
              <w14:schemeClr w14:val="tx1"/>
            </w14:solidFill>
          </w14:textFill>
        </w:rPr>
        <w:t>）</w:t>
      </w:r>
      <w:r>
        <w:rPr>
          <w:rFonts w:hint="eastAsia"/>
          <w:b/>
          <w:bCs/>
          <w:color w:val="000000" w:themeColor="text1"/>
          <w14:textFill>
            <w14:solidFill>
              <w14:schemeClr w14:val="tx1"/>
            </w14:solidFill>
          </w14:textFill>
        </w:rPr>
        <w:t>。</w:t>
      </w:r>
      <w:r>
        <w:rPr>
          <w:rFonts w:hint="eastAsia"/>
          <w:color w:val="000000" w:themeColor="text1"/>
          <w14:textFill>
            <w14:solidFill>
              <w14:schemeClr w14:val="tx1"/>
            </w14:solidFill>
          </w14:textFill>
        </w:rPr>
        <w:t>成立试点工作领导小组，召开部署会议。根据仓储用地类别，</w:t>
      </w:r>
      <w:r>
        <w:rPr>
          <w:rFonts w:hint="eastAsia"/>
          <w:color w:val="000000" w:themeColor="text1"/>
          <w:lang w:val="en-US" w:eastAsia="zh-CN"/>
          <w14:textFill>
            <w14:solidFill>
              <w14:schemeClr w14:val="tx1"/>
            </w14:solidFill>
          </w14:textFill>
        </w:rPr>
        <w:t>分类</w:t>
      </w:r>
      <w:r>
        <w:rPr>
          <w:rFonts w:hint="eastAsia"/>
          <w:color w:val="000000" w:themeColor="text1"/>
          <w14:textFill>
            <w14:solidFill>
              <w14:schemeClr w14:val="tx1"/>
            </w14:solidFill>
          </w14:textFill>
        </w:rPr>
        <w:t>研究制定固定资产投资强度、土地产出、</w:t>
      </w:r>
      <w:r>
        <w:rPr>
          <w:rFonts w:hint="eastAsia"/>
          <w:color w:val="000000" w:themeColor="text1"/>
          <w:lang w:eastAsia="zh-CN"/>
          <w14:textFill>
            <w14:solidFill>
              <w14:schemeClr w14:val="tx1"/>
            </w14:solidFill>
          </w14:textFill>
        </w:rPr>
        <w:t>亩均税收</w:t>
      </w:r>
      <w:r>
        <w:rPr>
          <w:rFonts w:hint="eastAsia"/>
          <w:color w:val="000000" w:themeColor="text1"/>
          <w14:textFill>
            <w14:solidFill>
              <w14:schemeClr w14:val="tx1"/>
            </w14:solidFill>
          </w14:textFill>
        </w:rPr>
        <w:t>、容积率、</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屋顶光伏发电利用率、</w:t>
      </w:r>
      <w:r>
        <w:rPr>
          <w:rFonts w:hint="eastAsia"/>
          <w:color w:val="000000" w:themeColor="text1"/>
          <w14:textFill>
            <w14:solidFill>
              <w14:schemeClr w14:val="tx1"/>
            </w14:solidFill>
          </w14:textFill>
        </w:rPr>
        <w:t>碳排放强度、物流智能信息化水平等</w:t>
      </w:r>
      <w:r>
        <w:rPr>
          <w:rFonts w:hint="eastAsia"/>
          <w:color w:val="000000" w:themeColor="text1"/>
          <w:lang w:val="en-US" w:eastAsia="zh-CN"/>
          <w14:textFill>
            <w14:solidFill>
              <w14:schemeClr w14:val="tx1"/>
            </w14:solidFill>
          </w14:textFill>
        </w:rPr>
        <w:t>指标</w:t>
      </w:r>
      <w:r>
        <w:rPr>
          <w:rFonts w:hint="eastAsia"/>
          <w:color w:val="000000" w:themeColor="text1"/>
          <w14:textFill>
            <w14:solidFill>
              <w14:schemeClr w14:val="tx1"/>
            </w14:solidFill>
          </w14:textFill>
        </w:rPr>
        <w:t>标准，同步研究制定物流仓储“标准地”实施方案。</w:t>
      </w:r>
    </w:p>
    <w:p>
      <w:pPr>
        <w:pageBreakBefore w:val="0"/>
        <w:widowControl w:val="0"/>
        <w:kinsoku/>
        <w:wordWrap/>
        <w:overflowPunct w:val="0"/>
        <w:topLinePunct/>
        <w:autoSpaceDE/>
        <w:autoSpaceDN/>
        <w:bidi w:val="0"/>
        <w:snapToGrid w:val="0"/>
        <w:ind w:firstLine="574" w:firstLineChars="200"/>
        <w:textAlignment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——实践深化期</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021.9</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w:t>
      </w:r>
      <w:r>
        <w:rPr>
          <w:rFonts w:hint="eastAsia"/>
          <w:b/>
          <w:bCs/>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确定</w:t>
      </w:r>
      <w:r>
        <w:rPr>
          <w:rFonts w:hint="eastAsia"/>
          <w:color w:val="000000" w:themeColor="text1"/>
          <w14:textFill>
            <w14:solidFill>
              <w14:schemeClr w14:val="tx1"/>
            </w14:solidFill>
          </w14:textFill>
        </w:rPr>
        <w:t>物流仓储“标准地”</w:t>
      </w:r>
      <w:r>
        <w:rPr>
          <w:rFonts w:hint="eastAsia"/>
          <w:color w:val="000000" w:themeColor="text1"/>
          <w:lang w:val="en-US" w:eastAsia="zh-CN"/>
          <w14:textFill>
            <w14:solidFill>
              <w14:schemeClr w14:val="tx1"/>
            </w14:solidFill>
          </w14:textFill>
        </w:rPr>
        <w:t>出让试点项目</w:t>
      </w:r>
      <w:r>
        <w:rPr>
          <w:rFonts w:hint="eastAsia"/>
          <w:color w:val="000000" w:themeColor="text1"/>
          <w14:textFill>
            <w14:solidFill>
              <w14:schemeClr w14:val="tx1"/>
            </w14:solidFill>
          </w14:textFill>
        </w:rPr>
        <w:t>，实行物流仓储“标准地”出让制度，</w:t>
      </w:r>
      <w:r>
        <w:rPr>
          <w:rFonts w:hint="eastAsia"/>
          <w:color w:val="000000" w:themeColor="text1"/>
          <w:lang w:val="en-US" w:eastAsia="zh-CN"/>
          <w14:textFill>
            <w14:solidFill>
              <w14:schemeClr w14:val="tx1"/>
            </w14:solidFill>
          </w14:textFill>
        </w:rPr>
        <w:t>实现</w:t>
      </w:r>
      <w:r>
        <w:rPr>
          <w:rFonts w:hint="eastAsia"/>
          <w:color w:val="000000" w:themeColor="text1"/>
          <w14:textFill>
            <w14:solidFill>
              <w14:schemeClr w14:val="tx1"/>
            </w14:solidFill>
          </w14:textFill>
        </w:rPr>
        <w:t>首宗物流仓储用地出让地块</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根据试点项目，深化</w:t>
      </w:r>
      <w:r>
        <w:rPr>
          <w:rFonts w:hint="eastAsia"/>
          <w:color w:val="000000" w:themeColor="text1"/>
          <w14:textFill>
            <w14:solidFill>
              <w14:schemeClr w14:val="tx1"/>
            </w14:solidFill>
          </w14:textFill>
        </w:rPr>
        <w:t>操作流程和奖惩措施</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建立</w:t>
      </w:r>
      <w:r>
        <w:rPr>
          <w:rFonts w:hint="eastAsia"/>
          <w:color w:val="000000" w:themeColor="text1"/>
          <w14:textFill>
            <w14:solidFill>
              <w14:schemeClr w14:val="tx1"/>
            </w14:solidFill>
          </w14:textFill>
        </w:rPr>
        <w:t>物流仓储“标准地”制度体系。</w:t>
      </w:r>
    </w:p>
    <w:p>
      <w:pPr>
        <w:pageBreakBefore w:val="0"/>
        <w:widowControl w:val="0"/>
        <w:kinsoku/>
        <w:wordWrap/>
        <w:overflowPunct w:val="0"/>
        <w:topLinePunct/>
        <w:autoSpaceDE/>
        <w:autoSpaceDN/>
        <w:bidi w:val="0"/>
        <w:snapToGrid w:val="0"/>
        <w:ind w:firstLine="574" w:firstLineChars="200"/>
        <w:textAlignment w:val="center"/>
        <w:rPr>
          <w:color w:val="000000" w:themeColor="text1"/>
          <w14:textFill>
            <w14:solidFill>
              <w14:schemeClr w14:val="tx1"/>
            </w14:solidFill>
          </w14:textFill>
        </w:rPr>
      </w:pPr>
      <w:r>
        <w:rPr>
          <w:rFonts w:hint="eastAsia"/>
          <w:b/>
          <w:bCs/>
          <w:color w:val="000000" w:themeColor="text1"/>
          <w14:textFill>
            <w14:solidFill>
              <w14:schemeClr w14:val="tx1"/>
            </w14:solidFill>
          </w14:textFill>
        </w:rPr>
        <w:t>——全面示范期</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022.</w:t>
      </w:r>
      <w:r>
        <w:rPr>
          <w:rFonts w:hint="eastAsia"/>
          <w:color w:val="000000" w:themeColor="text1"/>
          <w:lang w:val="en-US" w:eastAsia="zh-CN"/>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12</w:t>
      </w:r>
      <w:r>
        <w:rPr>
          <w:rFonts w:hint="eastAsia"/>
          <w:color w:val="000000" w:themeColor="text1"/>
          <w14:textFill>
            <w14:solidFill>
              <w14:schemeClr w14:val="tx1"/>
            </w14:solidFill>
          </w14:textFill>
        </w:rPr>
        <w:t>）</w:t>
      </w:r>
      <w:r>
        <w:rPr>
          <w:rFonts w:hint="eastAsia"/>
          <w:b/>
          <w:bCs/>
          <w:color w:val="000000" w:themeColor="text1"/>
          <w14:textFill>
            <w14:solidFill>
              <w14:schemeClr w14:val="tx1"/>
            </w14:solidFill>
          </w14:textFill>
        </w:rPr>
        <w:t>。</w:t>
      </w:r>
      <w:r>
        <w:rPr>
          <w:rFonts w:hint="eastAsia"/>
          <w:color w:val="000000" w:themeColor="text1"/>
          <w14:textFill>
            <w14:solidFill>
              <w14:schemeClr w14:val="tx1"/>
            </w14:solidFill>
          </w14:textFill>
        </w:rPr>
        <w:t>坚持边推进、边总结、边推广、边深化原则，完善物流仓储“标准地”制度体系，形成具有全域化、普适性特征的可复制、可推广的物流仓储“标准地”“金东样板”。</w:t>
      </w:r>
    </w:p>
    <w:p>
      <w:pPr>
        <w:pStyle w:val="2"/>
        <w:pageBreakBefore w:val="0"/>
        <w:widowControl w:val="0"/>
        <w:kinsoku/>
        <w:wordWrap/>
        <w:overflowPunct w:val="0"/>
        <w:topLinePunct/>
        <w:autoSpaceDE/>
        <w:autoSpaceDN/>
        <w:bidi w:val="0"/>
        <w:snapToGrid w:val="0"/>
        <w:spacing w:before="0"/>
        <w:ind w:firstLine="574"/>
        <w:textAlignment w:val="center"/>
        <w:rPr>
          <w:b/>
          <w:bCs w:val="0"/>
          <w:color w:val="000000" w:themeColor="text1"/>
          <w14:textFill>
            <w14:solidFill>
              <w14:schemeClr w14:val="tx1"/>
            </w14:solidFill>
          </w14:textFill>
        </w:rPr>
      </w:pPr>
      <w:r>
        <w:rPr>
          <w:rFonts w:hint="eastAsia"/>
          <w:b/>
          <w:bCs w:val="0"/>
          <w:color w:val="000000" w:themeColor="text1"/>
          <w:lang w:val="en-US" w:eastAsia="zh-CN"/>
          <w14:textFill>
            <w14:solidFill>
              <w14:schemeClr w14:val="tx1"/>
            </w14:solidFill>
          </w14:textFill>
        </w:rPr>
        <w:t>六、</w:t>
      </w:r>
      <w:r>
        <w:rPr>
          <w:rFonts w:hint="eastAsia"/>
          <w:b/>
          <w:bCs w:val="0"/>
          <w:color w:val="000000" w:themeColor="text1"/>
          <w14:textFill>
            <w14:solidFill>
              <w14:schemeClr w14:val="tx1"/>
            </w14:solidFill>
          </w14:textFill>
        </w:rPr>
        <w:t>保障措施</w:t>
      </w:r>
    </w:p>
    <w:p>
      <w:pPr>
        <w:pStyle w:val="3"/>
        <w:pageBreakBefore w:val="0"/>
        <w:widowControl w:val="0"/>
        <w:kinsoku/>
        <w:wordWrap/>
        <w:overflowPunct w:val="0"/>
        <w:topLinePunct/>
        <w:autoSpaceDE/>
        <w:autoSpaceDN/>
        <w:bidi w:val="0"/>
        <w:snapToGrid w:val="0"/>
        <w:spacing w:before="0" w:after="0"/>
        <w:ind w:firstLine="576"/>
        <w:textAlignment w:val="cente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pPr>
      <w:r>
        <w:rPr>
          <w:rFonts w:hint="eastAsia"/>
          <w:color w:val="000000" w:themeColor="text1"/>
          <w14:textFill>
            <w14:solidFill>
              <w14:schemeClr w14:val="tx1"/>
            </w14:solidFill>
          </w14:textFill>
        </w:rPr>
        <w:t>（一）加强组织领导</w:t>
      </w:r>
      <w:r>
        <w:rPr>
          <w:rFonts w:hint="eastAsia"/>
          <w:color w:val="000000" w:themeColor="text1"/>
          <w:lang w:eastAsia="zh-CN"/>
          <w14:textFill>
            <w14:solidFill>
              <w14:schemeClr w14:val="tx1"/>
            </w14:solidFill>
          </w14:textFill>
        </w:rPr>
        <w:t>。</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成立金义新区（金东区）物流仓储“标准地”改革试点工作领导小组，由区长任组长，常务副区长任副组长，责任单位主要领导为成员，领导小组下设办公室。领导小组主要负责统筹推进改革相关工作，协调解决改革推进过程中的重大事项。各部门成立相应组织机构，扎实推进各项改革政策措施落地。</w:t>
      </w:r>
      <w:r>
        <w:rPr>
          <w:rFonts w:hint="eastAsia" w:eastAsia="仿宋_GB2312" w:cs="宋体"/>
          <w:b w:val="0"/>
          <w:bCs w:val="0"/>
          <w:color w:val="000000" w:themeColor="text1"/>
          <w:spacing w:val="10"/>
          <w:kern w:val="0"/>
          <w:sz w:val="32"/>
          <w:szCs w:val="28"/>
          <w:lang w:val="en-US" w:eastAsia="zh-CN" w:bidi="ar-SA"/>
          <w14:textFill>
            <w14:solidFill>
              <w14:schemeClr w14:val="tx1"/>
            </w14:solidFill>
          </w14:textFill>
        </w:rPr>
        <w:t>对各相关职能部门的改革执行情况进行专项督查，切实推进改革。</w:t>
      </w:r>
    </w:p>
    <w:p>
      <w:pPr>
        <w:pStyle w:val="3"/>
        <w:pageBreakBefore w:val="0"/>
        <w:widowControl w:val="0"/>
        <w:kinsoku/>
        <w:wordWrap/>
        <w:overflowPunct w:val="0"/>
        <w:topLinePunct/>
        <w:autoSpaceDE/>
        <w:autoSpaceDN/>
        <w:bidi w:val="0"/>
        <w:snapToGrid w:val="0"/>
        <w:spacing w:before="0" w:after="0"/>
        <w:ind w:firstLine="576"/>
        <w:textAlignment w:val="center"/>
        <w:rPr>
          <w:rFonts w:hint="default" w:eastAsia="仿宋_GB2312" w:cs="宋体"/>
          <w:b w:val="0"/>
          <w:bCs w:val="0"/>
          <w:color w:val="000000" w:themeColor="text1"/>
          <w:spacing w:val="10"/>
          <w:kern w:val="0"/>
          <w:sz w:val="32"/>
          <w:szCs w:val="28"/>
          <w:lang w:val="en-US" w:eastAsia="zh-CN" w:bidi="ar-SA"/>
          <w14:textFill>
            <w14:solidFill>
              <w14:schemeClr w14:val="tx1"/>
            </w14:solidFill>
          </w14:textFill>
        </w:rPr>
      </w:pP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二</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完善</w:t>
      </w:r>
      <w:r>
        <w:rPr>
          <w:rFonts w:hint="eastAsia"/>
          <w:color w:val="000000" w:themeColor="text1"/>
          <w:lang w:val="en-US" w:eastAsia="zh-CN"/>
          <w14:textFill>
            <w14:solidFill>
              <w14:schemeClr w14:val="tx1"/>
            </w14:solidFill>
          </w14:textFill>
        </w:rPr>
        <w:t>服务</w:t>
      </w:r>
      <w:r>
        <w:rPr>
          <w:rFonts w:hint="eastAsia"/>
          <w:color w:val="000000" w:themeColor="text1"/>
          <w14:textFill>
            <w14:solidFill>
              <w14:schemeClr w14:val="tx1"/>
            </w14:solidFill>
          </w14:textFill>
        </w:rPr>
        <w:t>机制</w:t>
      </w:r>
      <w:r>
        <w:rPr>
          <w:rFonts w:hint="eastAsia"/>
          <w:color w:val="000000" w:themeColor="text1"/>
          <w:lang w:eastAsia="zh-CN"/>
          <w14:textFill>
            <w14:solidFill>
              <w14:schemeClr w14:val="tx1"/>
            </w14:solidFill>
          </w14:textFill>
        </w:rPr>
        <w:t>。</w:t>
      </w:r>
      <w:r>
        <w:rPr>
          <w:rFonts w:hint="eastAsia" w:eastAsia="仿宋_GB2312" w:cs="宋体"/>
          <w:b w:val="0"/>
          <w:bCs w:val="0"/>
          <w:color w:val="000000" w:themeColor="text1"/>
          <w:spacing w:val="10"/>
          <w:kern w:val="0"/>
          <w:sz w:val="32"/>
          <w:szCs w:val="28"/>
          <w:lang w:val="en-US" w:eastAsia="zh-CN" w:bidi="ar-SA"/>
          <w14:textFill>
            <w14:solidFill>
              <w14:schemeClr w14:val="tx1"/>
            </w14:solidFill>
          </w14:textFill>
        </w:rPr>
        <w:t>全面推行集“代办制、联办制、模拟制、容缺制”为一体的全程集成办理机制，实现投资项目“最多跑一次”。完善供水、供电、供气、通信等市政公用事项供给保障，建立区级的强弱电搬迁战略框架协议，切实解决堵点问题</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w:t>
      </w:r>
      <w:r>
        <w:rPr>
          <w:rFonts w:hint="eastAsia" w:eastAsia="仿宋_GB2312" w:cs="宋体"/>
          <w:b w:val="0"/>
          <w:bCs w:val="0"/>
          <w:color w:val="000000" w:themeColor="text1"/>
          <w:spacing w:val="10"/>
          <w:kern w:val="0"/>
          <w:sz w:val="32"/>
          <w:szCs w:val="28"/>
          <w:lang w:val="en-US" w:eastAsia="zh-CN" w:bidi="ar-SA"/>
          <w14:textFill>
            <w14:solidFill>
              <w14:schemeClr w14:val="tx1"/>
            </w14:solidFill>
          </w14:textFill>
        </w:rPr>
        <w:t>区域评估全面应用，</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项目涉审</w:t>
      </w:r>
      <w:r>
        <w:rPr>
          <w:rFonts w:hint="eastAsia" w:eastAsia="仿宋_GB2312" w:cs="宋体"/>
          <w:b w:val="0"/>
          <w:bCs w:val="0"/>
          <w:color w:val="000000" w:themeColor="text1"/>
          <w:spacing w:val="10"/>
          <w:kern w:val="0"/>
          <w:sz w:val="32"/>
          <w:szCs w:val="28"/>
          <w:lang w:val="en-US" w:eastAsia="zh-CN" w:bidi="ar-SA"/>
          <w14:textFill>
            <w14:solidFill>
              <w14:schemeClr w14:val="tx1"/>
            </w14:solidFill>
          </w14:textFill>
        </w:rPr>
        <w:t>事项采用</w:t>
      </w:r>
      <w:r>
        <w:rPr>
          <w:rFonts w:hint="eastAsia" w:ascii="Times New Roman" w:hAnsi="Times New Roman" w:eastAsia="仿宋_GB2312" w:cs="宋体"/>
          <w:b w:val="0"/>
          <w:bCs w:val="0"/>
          <w:color w:val="000000" w:themeColor="text1"/>
          <w:spacing w:val="10"/>
          <w:kern w:val="0"/>
          <w:sz w:val="32"/>
          <w:szCs w:val="28"/>
          <w:lang w:val="en-US" w:eastAsia="zh-CN" w:bidi="ar-SA"/>
          <w14:textFill>
            <w14:solidFill>
              <w14:schemeClr w14:val="tx1"/>
            </w14:solidFill>
          </w14:textFill>
        </w:rPr>
        <w:t>政府购买服务</w:t>
      </w:r>
      <w:r>
        <w:rPr>
          <w:rFonts w:hint="eastAsia" w:eastAsia="仿宋_GB2312" w:cs="宋体"/>
          <w:b w:val="0"/>
          <w:bCs w:val="0"/>
          <w:color w:val="000000" w:themeColor="text1"/>
          <w:spacing w:val="10"/>
          <w:kern w:val="0"/>
          <w:sz w:val="32"/>
          <w:szCs w:val="28"/>
          <w:lang w:val="en-US" w:eastAsia="zh-CN" w:bidi="ar-SA"/>
          <w14:textFill>
            <w14:solidFill>
              <w14:schemeClr w14:val="tx1"/>
            </w14:solidFill>
          </w14:textFill>
        </w:rPr>
        <w:t>，中介为政府部门提供技术支撑，提高审批效率。</w:t>
      </w:r>
    </w:p>
    <w:p>
      <w:pPr>
        <w:pStyle w:val="3"/>
        <w:pageBreakBefore w:val="0"/>
        <w:widowControl w:val="0"/>
        <w:kinsoku/>
        <w:wordWrap/>
        <w:overflowPunct w:val="0"/>
        <w:topLinePunct/>
        <w:autoSpaceDE/>
        <w:autoSpaceDN/>
        <w:bidi w:val="0"/>
        <w:snapToGrid w:val="0"/>
        <w:spacing w:before="0" w:after="0"/>
        <w:ind w:firstLine="576"/>
        <w:textAlignment w:val="center"/>
        <w:rPr>
          <w:rFonts w:hint="eastAsia" w:eastAsia="仿宋_GB2312" w:cs="宋体"/>
          <w:b w:val="0"/>
          <w:bCs w:val="0"/>
          <w:color w:val="000000" w:themeColor="text1"/>
          <w:spacing w:val="10"/>
          <w:kern w:val="0"/>
          <w:sz w:val="32"/>
          <w:szCs w:val="28"/>
          <w:lang w:val="en-US" w:eastAsia="zh-CN" w:bidi="ar-SA"/>
          <w14:textFill>
            <w14:solidFill>
              <w14:schemeClr w14:val="tx1"/>
            </w14:solidFill>
          </w14:textFill>
        </w:rPr>
      </w:pP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三</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健全监管制度</w:t>
      </w:r>
      <w:r>
        <w:rPr>
          <w:rFonts w:hint="eastAsia"/>
          <w:color w:val="000000" w:themeColor="text1"/>
          <w:lang w:eastAsia="zh-CN"/>
          <w14:textFill>
            <w14:solidFill>
              <w14:schemeClr w14:val="tx1"/>
            </w14:solidFill>
          </w14:textFill>
        </w:rPr>
        <w:t>。</w:t>
      </w:r>
      <w:r>
        <w:rPr>
          <w:rFonts w:hint="eastAsia" w:eastAsia="仿宋_GB2312" w:cs="宋体"/>
          <w:b w:val="0"/>
          <w:bCs w:val="0"/>
          <w:color w:val="000000" w:themeColor="text1"/>
          <w:spacing w:val="10"/>
          <w:kern w:val="0"/>
          <w:sz w:val="32"/>
          <w:szCs w:val="28"/>
          <w:lang w:val="en-US" w:eastAsia="zh-CN" w:bidi="ar-SA"/>
          <w14:textFill>
            <w14:solidFill>
              <w14:schemeClr w14:val="tx1"/>
            </w14:solidFill>
          </w14:textFill>
        </w:rPr>
        <w:t>构建事前管标准、事中管达标、事后管信用的物流仓储“标准地”全过程监管机制，确保项目合法建设、按标建设。探索标准化、可量化、可统计、可追溯的系列信用评价指标，建立物流仓储项目信用评价体系和信用联合奖惩机制。</w:t>
      </w:r>
    </w:p>
    <w:p>
      <w:pPr>
        <w:pStyle w:val="3"/>
        <w:pageBreakBefore w:val="0"/>
        <w:widowControl w:val="0"/>
        <w:kinsoku/>
        <w:wordWrap/>
        <w:overflowPunct w:val="0"/>
        <w:topLinePunct/>
        <w:autoSpaceDE/>
        <w:autoSpaceDN/>
        <w:bidi w:val="0"/>
        <w:snapToGrid w:val="0"/>
        <w:spacing w:before="0" w:after="0"/>
        <w:ind w:firstLine="576"/>
        <w:textAlignment w:val="center"/>
        <w:rPr>
          <w:rFonts w:hint="eastAsia" w:eastAsia="仿宋_GB2312" w:cs="宋体"/>
          <w:b w:val="0"/>
          <w:bCs w:val="0"/>
          <w:color w:val="000000" w:themeColor="text1"/>
          <w:spacing w:val="10"/>
          <w:kern w:val="0"/>
          <w:sz w:val="32"/>
          <w:szCs w:val="28"/>
          <w:lang w:val="en-US" w:eastAsia="zh-CN" w:bidi="ar-SA"/>
          <w14:textFill>
            <w14:solidFill>
              <w14:schemeClr w14:val="tx1"/>
            </w14:solidFill>
          </w14:textFill>
        </w:rPr>
      </w:pPr>
      <w:r>
        <w:rPr>
          <w:rFonts w:hint="eastAsia" w:ascii="楷体" w:hAnsi="楷体" w:eastAsia="楷体" w:cs="楷体"/>
          <w:b/>
          <w:bCs/>
          <w:color w:val="000000" w:themeColor="text1"/>
          <w:spacing w:val="10"/>
          <w:kern w:val="0"/>
          <w:sz w:val="32"/>
          <w:szCs w:val="28"/>
          <w:lang w:val="en-US" w:eastAsia="zh-CN" w:bidi="ar-SA"/>
          <w14:textFill>
            <w14:solidFill>
              <w14:schemeClr w14:val="tx1"/>
            </w14:solidFill>
          </w14:textFill>
        </w:rPr>
        <w:t>（四）强化评估总结。</w:t>
      </w:r>
      <w:r>
        <w:rPr>
          <w:rFonts w:hint="eastAsia" w:eastAsia="仿宋_GB2312" w:cs="宋体"/>
          <w:b w:val="0"/>
          <w:bCs w:val="0"/>
          <w:color w:val="000000" w:themeColor="text1"/>
          <w:spacing w:val="10"/>
          <w:kern w:val="0"/>
          <w:sz w:val="32"/>
          <w:szCs w:val="28"/>
          <w:lang w:val="en-US" w:eastAsia="zh-CN" w:bidi="ar-SA"/>
          <w14:textFill>
            <w14:solidFill>
              <w14:schemeClr w14:val="tx1"/>
            </w14:solidFill>
          </w14:textFill>
        </w:rPr>
        <w:t>充分利用各种新闻媒体，广泛宣传，正确引导社会预期，采取第三方评估等方式，对物流仓储“标准地”试点开展情况、实施效果、企业获得感等进行综合评估，并进一步改进和完善试点政策，不断深化物流仓储“标准地+承诺制”的管理模式，及时总结提炼改革经验，形成可复制、可推广的物流仓储“标准地”改革“金东样板”。</w:t>
      </w:r>
    </w:p>
    <w:p>
      <w:pPr>
        <w:pStyle w:val="3"/>
        <w:pageBreakBefore w:val="0"/>
        <w:widowControl w:val="0"/>
        <w:kinsoku/>
        <w:wordWrap/>
        <w:overflowPunct w:val="0"/>
        <w:topLinePunct/>
        <w:autoSpaceDE/>
        <w:autoSpaceDN/>
        <w:bidi w:val="0"/>
        <w:snapToGrid w:val="0"/>
        <w:spacing w:before="0" w:after="0"/>
        <w:ind w:firstLine="576"/>
        <w:textAlignment w:val="center"/>
        <w:rPr>
          <w:rFonts w:hint="eastAsia" w:eastAsia="仿宋_GB2312" w:cs="宋体"/>
          <w:b w:val="0"/>
          <w:bCs w:val="0"/>
          <w:color w:val="000000" w:themeColor="text1"/>
          <w:spacing w:val="10"/>
          <w:kern w:val="0"/>
          <w:sz w:val="32"/>
          <w:szCs w:val="28"/>
          <w:lang w:val="en-US" w:eastAsia="zh-CN" w:bidi="ar-SA"/>
          <w14:textFill>
            <w14:solidFill>
              <w14:schemeClr w14:val="tx1"/>
            </w14:solidFill>
          </w14:textFill>
        </w:rPr>
        <w:sectPr>
          <w:headerReference r:id="rId5" w:type="default"/>
          <w:footerReference r:id="rId6" w:type="default"/>
          <w:pgSz w:w="11906" w:h="16838"/>
          <w:pgMar w:top="1440" w:right="1797" w:bottom="1440" w:left="1797" w:header="794" w:footer="794" w:gutter="0"/>
          <w:cols w:space="425" w:num="1"/>
          <w:docGrid w:type="linesAndChars" w:linePitch="436" w:charSpace="-10884"/>
        </w:sectPr>
      </w:pPr>
    </w:p>
    <w:p>
      <w:pPr>
        <w:pStyle w:val="2"/>
        <w:spacing w:before="0" w:after="218" w:afterLines="50"/>
        <w:ind w:firstLine="0" w:firstLineChars="0"/>
      </w:pPr>
      <w:r>
        <w:rPr>
          <w:rFonts w:hint="eastAsia"/>
        </w:rPr>
        <w:t>附件</w:t>
      </w:r>
      <w:r>
        <w:t>1</w:t>
      </w:r>
      <w:r>
        <w:rPr>
          <w:rFonts w:hint="eastAsia"/>
        </w:rPr>
        <w:t>：</w:t>
      </w:r>
      <w:r>
        <w:rPr>
          <w:rFonts w:hint="eastAsia"/>
          <w:lang w:val="en-US" w:eastAsia="zh-CN"/>
        </w:rPr>
        <w:t>金义新区（金东区）</w:t>
      </w:r>
      <w:r>
        <w:rPr>
          <w:rFonts w:hint="eastAsia"/>
        </w:rPr>
        <w:t>物流仓储“标准地”指标体系</w:t>
      </w:r>
    </w:p>
    <w:tbl>
      <w:tblPr>
        <w:tblStyle w:val="13"/>
        <w:tblW w:w="15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
        <w:gridCol w:w="1757"/>
        <w:gridCol w:w="2694"/>
        <w:gridCol w:w="1880"/>
        <w:gridCol w:w="1997"/>
        <w:gridCol w:w="942"/>
        <w:gridCol w:w="2410"/>
        <w:gridCol w:w="11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5588" w:type="dxa"/>
            <w:gridSpan w:val="9"/>
            <w:vAlign w:val="center"/>
          </w:tcPr>
          <w:p>
            <w:pPr>
              <w:spacing w:line="240" w:lineRule="auto"/>
              <w:jc w:val="center"/>
              <w:rPr>
                <w:rFonts w:ascii="黑体" w:hAnsi="黑体" w:eastAsia="黑体"/>
                <w:b/>
                <w:bCs/>
                <w:sz w:val="21"/>
                <w:szCs w:val="24"/>
              </w:rPr>
            </w:pPr>
            <w:r>
              <w:rPr>
                <w:rFonts w:hint="eastAsia" w:ascii="黑体" w:hAnsi="黑体" w:eastAsia="黑体"/>
                <w:b/>
                <w:bCs/>
                <w:sz w:val="22"/>
                <w:lang w:eastAsia="zh-CN"/>
              </w:rPr>
              <w:t>金义新区（金东区）</w:t>
            </w:r>
            <w:r>
              <w:rPr>
                <w:rFonts w:hint="eastAsia" w:ascii="黑体" w:hAnsi="黑体" w:eastAsia="黑体"/>
                <w:b/>
                <w:bCs/>
                <w:sz w:val="22"/>
              </w:rPr>
              <w:t>物流仓储“标准地”指标体系一览表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6" w:type="dxa"/>
            <w:vMerge w:val="restart"/>
            <w:vAlign w:val="center"/>
          </w:tcPr>
          <w:p>
            <w:pPr>
              <w:spacing w:line="240" w:lineRule="auto"/>
              <w:jc w:val="center"/>
              <w:rPr>
                <w:spacing w:val="11"/>
                <w:sz w:val="21"/>
              </w:rPr>
            </w:pPr>
            <w:r>
              <w:rPr>
                <w:rFonts w:hint="eastAsia"/>
                <w:b/>
                <w:bCs/>
                <w:sz w:val="21"/>
                <w:szCs w:val="24"/>
              </w:rPr>
              <w:t>序号</w:t>
            </w:r>
          </w:p>
        </w:tc>
        <w:tc>
          <w:tcPr>
            <w:tcW w:w="1757" w:type="dxa"/>
            <w:vMerge w:val="restart"/>
            <w:vAlign w:val="center"/>
          </w:tcPr>
          <w:p>
            <w:pPr>
              <w:spacing w:line="240" w:lineRule="auto"/>
              <w:jc w:val="center"/>
              <w:rPr>
                <w:b/>
                <w:bCs/>
                <w:sz w:val="21"/>
                <w:szCs w:val="24"/>
              </w:rPr>
            </w:pPr>
            <w:r>
              <w:rPr>
                <w:rFonts w:hint="eastAsia"/>
                <w:b/>
                <w:bCs/>
                <w:sz w:val="21"/>
                <w:szCs w:val="24"/>
              </w:rPr>
              <w:t>物流仓储类别</w:t>
            </w:r>
          </w:p>
        </w:tc>
        <w:tc>
          <w:tcPr>
            <w:tcW w:w="7513" w:type="dxa"/>
            <w:gridSpan w:val="4"/>
            <w:vAlign w:val="center"/>
          </w:tcPr>
          <w:p>
            <w:pPr>
              <w:spacing w:line="240" w:lineRule="auto"/>
              <w:jc w:val="center"/>
              <w:rPr>
                <w:b/>
                <w:bCs/>
                <w:sz w:val="21"/>
                <w:szCs w:val="24"/>
              </w:rPr>
            </w:pPr>
            <w:r>
              <w:rPr>
                <w:rFonts w:hint="eastAsia"/>
                <w:b/>
                <w:bCs/>
                <w:sz w:val="21"/>
                <w:szCs w:val="24"/>
              </w:rPr>
              <w:t>硬性约束指标</w:t>
            </w:r>
          </w:p>
        </w:tc>
        <w:tc>
          <w:tcPr>
            <w:tcW w:w="5812" w:type="dxa"/>
            <w:gridSpan w:val="3"/>
            <w:vAlign w:val="center"/>
          </w:tcPr>
          <w:p>
            <w:pPr>
              <w:spacing w:line="240" w:lineRule="auto"/>
              <w:jc w:val="center"/>
              <w:rPr>
                <w:b/>
                <w:bCs/>
                <w:sz w:val="21"/>
                <w:szCs w:val="24"/>
              </w:rPr>
            </w:pPr>
            <w:r>
              <w:rPr>
                <w:rFonts w:hint="eastAsia"/>
                <w:b/>
                <w:bCs/>
                <w:sz w:val="21"/>
                <w:szCs w:val="24"/>
              </w:rPr>
              <w:t>绿色创新指标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6" w:type="dxa"/>
            <w:vMerge w:val="continue"/>
            <w:vAlign w:val="center"/>
          </w:tcPr>
          <w:p>
            <w:pPr>
              <w:spacing w:line="240" w:lineRule="auto"/>
              <w:jc w:val="center"/>
              <w:rPr>
                <w:spacing w:val="11"/>
                <w:sz w:val="21"/>
              </w:rPr>
            </w:pPr>
          </w:p>
        </w:tc>
        <w:tc>
          <w:tcPr>
            <w:tcW w:w="1757" w:type="dxa"/>
            <w:vMerge w:val="continue"/>
            <w:vAlign w:val="center"/>
          </w:tcPr>
          <w:p>
            <w:pPr>
              <w:spacing w:line="240" w:lineRule="auto"/>
              <w:jc w:val="center"/>
              <w:rPr>
                <w:spacing w:val="11"/>
                <w:sz w:val="21"/>
              </w:rPr>
            </w:pPr>
          </w:p>
        </w:tc>
        <w:tc>
          <w:tcPr>
            <w:tcW w:w="2694" w:type="dxa"/>
            <w:vAlign w:val="center"/>
          </w:tcPr>
          <w:p>
            <w:pPr>
              <w:spacing w:line="240" w:lineRule="auto"/>
              <w:jc w:val="center"/>
              <w:rPr>
                <w:b/>
                <w:bCs/>
                <w:sz w:val="21"/>
                <w:szCs w:val="24"/>
              </w:rPr>
            </w:pPr>
            <w:r>
              <w:rPr>
                <w:rFonts w:hint="eastAsia"/>
                <w:b/>
                <w:bCs/>
                <w:sz w:val="21"/>
                <w:szCs w:val="24"/>
              </w:rPr>
              <w:t>固定资产投资强度（万元/亩）</w:t>
            </w:r>
          </w:p>
        </w:tc>
        <w:tc>
          <w:tcPr>
            <w:tcW w:w="1880" w:type="dxa"/>
            <w:vAlign w:val="center"/>
          </w:tcPr>
          <w:p>
            <w:pPr>
              <w:spacing w:line="240" w:lineRule="auto"/>
              <w:jc w:val="center"/>
              <w:rPr>
                <w:b/>
                <w:bCs/>
                <w:sz w:val="21"/>
                <w:szCs w:val="24"/>
              </w:rPr>
            </w:pPr>
            <w:r>
              <w:rPr>
                <w:rFonts w:hint="eastAsia"/>
                <w:b/>
                <w:bCs/>
                <w:sz w:val="21"/>
                <w:szCs w:val="24"/>
              </w:rPr>
              <w:t>土地产出（万元/亩）</w:t>
            </w:r>
          </w:p>
        </w:tc>
        <w:tc>
          <w:tcPr>
            <w:tcW w:w="1997" w:type="dxa"/>
            <w:vAlign w:val="center"/>
          </w:tcPr>
          <w:p>
            <w:pPr>
              <w:spacing w:line="240" w:lineRule="auto"/>
              <w:jc w:val="center"/>
              <w:rPr>
                <w:b/>
                <w:bCs/>
                <w:sz w:val="21"/>
                <w:szCs w:val="24"/>
              </w:rPr>
            </w:pPr>
            <w:r>
              <w:rPr>
                <w:rFonts w:hint="eastAsia"/>
                <w:b/>
                <w:bCs/>
                <w:sz w:val="21"/>
                <w:szCs w:val="24"/>
                <w:lang w:eastAsia="zh-CN"/>
              </w:rPr>
              <w:t>亩均税收</w:t>
            </w:r>
            <w:r>
              <w:rPr>
                <w:rFonts w:hint="eastAsia"/>
                <w:b/>
                <w:bCs/>
                <w:sz w:val="21"/>
                <w:szCs w:val="24"/>
              </w:rPr>
              <w:t>（万元/亩）</w:t>
            </w:r>
          </w:p>
        </w:tc>
        <w:tc>
          <w:tcPr>
            <w:tcW w:w="942" w:type="dxa"/>
            <w:vAlign w:val="center"/>
          </w:tcPr>
          <w:p>
            <w:pPr>
              <w:spacing w:line="240" w:lineRule="auto"/>
              <w:jc w:val="center"/>
              <w:rPr>
                <w:b/>
                <w:bCs/>
                <w:sz w:val="21"/>
                <w:szCs w:val="24"/>
              </w:rPr>
            </w:pPr>
            <w:r>
              <w:rPr>
                <w:rFonts w:hint="eastAsia"/>
                <w:b/>
                <w:bCs/>
                <w:sz w:val="21"/>
                <w:szCs w:val="24"/>
              </w:rPr>
              <w:t>容积率</w:t>
            </w:r>
          </w:p>
        </w:tc>
        <w:tc>
          <w:tcPr>
            <w:tcW w:w="2410" w:type="dxa"/>
            <w:vAlign w:val="center"/>
          </w:tcPr>
          <w:p>
            <w:pPr>
              <w:spacing w:line="240" w:lineRule="auto"/>
              <w:jc w:val="center"/>
              <w:rPr>
                <w:b/>
                <w:bCs/>
                <w:sz w:val="21"/>
                <w:szCs w:val="24"/>
              </w:rPr>
            </w:pPr>
            <w:r>
              <w:rPr>
                <w:rFonts w:hint="eastAsia"/>
                <w:b/>
                <w:bCs/>
                <w:sz w:val="21"/>
                <w:szCs w:val="24"/>
              </w:rPr>
              <w:t>屋顶光伏发电利用率（%）</w:t>
            </w:r>
          </w:p>
        </w:tc>
        <w:tc>
          <w:tcPr>
            <w:tcW w:w="1134" w:type="dxa"/>
            <w:vAlign w:val="center"/>
          </w:tcPr>
          <w:p>
            <w:pPr>
              <w:spacing w:line="240" w:lineRule="auto"/>
              <w:jc w:val="center"/>
              <w:rPr>
                <w:b/>
                <w:bCs/>
                <w:sz w:val="21"/>
                <w:szCs w:val="24"/>
              </w:rPr>
            </w:pPr>
            <w:r>
              <w:rPr>
                <w:rFonts w:hint="eastAsia"/>
                <w:b/>
                <w:bCs/>
                <w:sz w:val="21"/>
                <w:szCs w:val="24"/>
              </w:rPr>
              <w:t>碳排放强度</w:t>
            </w:r>
          </w:p>
        </w:tc>
        <w:tc>
          <w:tcPr>
            <w:tcW w:w="2268" w:type="dxa"/>
            <w:vAlign w:val="center"/>
          </w:tcPr>
          <w:p>
            <w:pPr>
              <w:spacing w:line="240" w:lineRule="auto"/>
              <w:jc w:val="center"/>
              <w:rPr>
                <w:b/>
                <w:bCs/>
                <w:sz w:val="21"/>
                <w:szCs w:val="24"/>
              </w:rPr>
            </w:pPr>
            <w:r>
              <w:rPr>
                <w:rFonts w:hint="eastAsia"/>
                <w:b/>
                <w:bCs/>
                <w:sz w:val="21"/>
                <w:szCs w:val="24"/>
              </w:rPr>
              <w:t>物流智能信息化水平(%)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06" w:type="dxa"/>
            <w:vAlign w:val="center"/>
          </w:tcPr>
          <w:p>
            <w:pPr>
              <w:spacing w:line="240" w:lineRule="auto"/>
              <w:jc w:val="center"/>
              <w:rPr>
                <w:spacing w:val="11"/>
                <w:sz w:val="21"/>
              </w:rPr>
            </w:pPr>
            <w:r>
              <w:rPr>
                <w:rFonts w:hint="eastAsia"/>
                <w:b/>
                <w:bCs/>
                <w:sz w:val="21"/>
                <w:szCs w:val="24"/>
              </w:rPr>
              <w:t>1</w:t>
            </w:r>
          </w:p>
        </w:tc>
        <w:tc>
          <w:tcPr>
            <w:tcW w:w="1757" w:type="dxa"/>
            <w:vAlign w:val="center"/>
          </w:tcPr>
          <w:p>
            <w:pPr>
              <w:spacing w:line="240" w:lineRule="auto"/>
              <w:jc w:val="center"/>
              <w:rPr>
                <w:spacing w:val="11"/>
                <w:sz w:val="21"/>
              </w:rPr>
            </w:pPr>
            <w:r>
              <w:rPr>
                <w:rFonts w:hint="eastAsia"/>
                <w:b/>
                <w:bCs/>
                <w:sz w:val="21"/>
                <w:szCs w:val="24"/>
              </w:rPr>
              <w:t>通用仓储类</w:t>
            </w:r>
          </w:p>
        </w:tc>
        <w:tc>
          <w:tcPr>
            <w:tcW w:w="2694" w:type="dxa"/>
            <w:vAlign w:val="center"/>
          </w:tcPr>
          <w:p>
            <w:pPr>
              <w:spacing w:line="240" w:lineRule="auto"/>
              <w:jc w:val="center"/>
              <w:rPr>
                <w:spacing w:val="11"/>
                <w:sz w:val="21"/>
              </w:rPr>
            </w:pPr>
            <w:r>
              <w:rPr>
                <w:rFonts w:hint="eastAsia"/>
                <w:sz w:val="21"/>
                <w:szCs w:val="22"/>
              </w:rPr>
              <w:t>≥</w:t>
            </w:r>
            <w:r>
              <w:rPr>
                <w:sz w:val="21"/>
                <w:szCs w:val="22"/>
              </w:rPr>
              <w:t>300</w:t>
            </w:r>
          </w:p>
        </w:tc>
        <w:tc>
          <w:tcPr>
            <w:tcW w:w="1880" w:type="dxa"/>
            <w:vAlign w:val="center"/>
          </w:tcPr>
          <w:p>
            <w:pPr>
              <w:spacing w:line="240" w:lineRule="auto"/>
              <w:jc w:val="center"/>
              <w:rPr>
                <w:spacing w:val="11"/>
                <w:sz w:val="21"/>
              </w:rPr>
            </w:pPr>
            <w:r>
              <w:rPr>
                <w:rFonts w:hint="eastAsia"/>
                <w:sz w:val="21"/>
                <w:szCs w:val="22"/>
              </w:rPr>
              <w:t>≥</w:t>
            </w:r>
            <w:r>
              <w:rPr>
                <w:sz w:val="21"/>
                <w:szCs w:val="22"/>
              </w:rPr>
              <w:t>400</w:t>
            </w:r>
          </w:p>
        </w:tc>
        <w:tc>
          <w:tcPr>
            <w:tcW w:w="1997" w:type="dxa"/>
            <w:vAlign w:val="center"/>
          </w:tcPr>
          <w:p>
            <w:pPr>
              <w:spacing w:line="240" w:lineRule="auto"/>
              <w:jc w:val="center"/>
              <w:rPr>
                <w:spacing w:val="11"/>
                <w:sz w:val="21"/>
              </w:rPr>
            </w:pPr>
            <w:r>
              <w:rPr>
                <w:rFonts w:hint="eastAsia"/>
                <w:sz w:val="21"/>
                <w:szCs w:val="22"/>
              </w:rPr>
              <w:t>≥</w:t>
            </w:r>
            <w:r>
              <w:rPr>
                <w:sz w:val="21"/>
                <w:szCs w:val="22"/>
              </w:rPr>
              <w:t>15</w:t>
            </w:r>
          </w:p>
        </w:tc>
        <w:tc>
          <w:tcPr>
            <w:tcW w:w="942" w:type="dxa"/>
            <w:vAlign w:val="center"/>
          </w:tcPr>
          <w:p>
            <w:pPr>
              <w:spacing w:line="240" w:lineRule="auto"/>
              <w:jc w:val="center"/>
              <w:rPr>
                <w:spacing w:val="11"/>
                <w:sz w:val="21"/>
              </w:rPr>
            </w:pPr>
            <w:r>
              <w:rPr>
                <w:sz w:val="21"/>
                <w:szCs w:val="22"/>
              </w:rPr>
              <w:t>1.8</w:t>
            </w:r>
            <w:r>
              <w:rPr>
                <w:rFonts w:hint="eastAsia"/>
                <w:sz w:val="21"/>
                <w:szCs w:val="22"/>
              </w:rPr>
              <w:t>-</w:t>
            </w:r>
            <w:r>
              <w:rPr>
                <w:sz w:val="21"/>
                <w:szCs w:val="22"/>
              </w:rPr>
              <w:t>3</w:t>
            </w:r>
          </w:p>
        </w:tc>
        <w:tc>
          <w:tcPr>
            <w:tcW w:w="2410" w:type="dxa"/>
            <w:vAlign w:val="center"/>
          </w:tcPr>
          <w:p>
            <w:pPr>
              <w:spacing w:line="240" w:lineRule="auto"/>
              <w:jc w:val="center"/>
              <w:rPr>
                <w:spacing w:val="11"/>
                <w:sz w:val="21"/>
              </w:rPr>
            </w:pPr>
            <w:r>
              <w:rPr>
                <w:rFonts w:hint="eastAsia"/>
                <w:sz w:val="21"/>
                <w:szCs w:val="22"/>
              </w:rPr>
              <w:t>≥3</w:t>
            </w:r>
            <w:r>
              <w:rPr>
                <w:sz w:val="21"/>
                <w:szCs w:val="22"/>
              </w:rPr>
              <w:t>0</w:t>
            </w:r>
            <w:r>
              <w:rPr>
                <w:rFonts w:hint="eastAsia"/>
                <w:sz w:val="21"/>
                <w:szCs w:val="22"/>
              </w:rPr>
              <w:t>%</w:t>
            </w:r>
          </w:p>
        </w:tc>
        <w:tc>
          <w:tcPr>
            <w:tcW w:w="1134" w:type="dxa"/>
            <w:vAlign w:val="center"/>
          </w:tcPr>
          <w:p>
            <w:pPr>
              <w:spacing w:before="120" w:after="120" w:line="320" w:lineRule="exact"/>
              <w:jc w:val="center"/>
              <w:rPr>
                <w:spacing w:val="11"/>
                <w:sz w:val="21"/>
              </w:rPr>
            </w:pPr>
            <w:r>
              <w:rPr>
                <w:rFonts w:hint="eastAsia"/>
                <w:sz w:val="21"/>
              </w:rPr>
              <w:t>低于金华市碳排放强度考核目标值</w:t>
            </w:r>
          </w:p>
        </w:tc>
        <w:tc>
          <w:tcPr>
            <w:tcW w:w="2268" w:type="dxa"/>
            <w:vAlign w:val="center"/>
          </w:tcPr>
          <w:p>
            <w:pPr>
              <w:spacing w:line="240" w:lineRule="auto"/>
              <w:jc w:val="center"/>
              <w:rPr>
                <w:spacing w:val="11"/>
                <w:sz w:val="21"/>
              </w:rPr>
            </w:pPr>
            <w:r>
              <w:rPr>
                <w:rFonts w:hint="eastAsia"/>
                <w:sz w:val="21"/>
                <w:szCs w:val="22"/>
              </w:rPr>
              <w:t>≥</w:t>
            </w:r>
            <w:r>
              <w:rPr>
                <w:sz w:val="21"/>
                <w:szCs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06" w:type="dxa"/>
            <w:vAlign w:val="center"/>
          </w:tcPr>
          <w:p>
            <w:pPr>
              <w:spacing w:line="240" w:lineRule="exact"/>
              <w:jc w:val="center"/>
              <w:rPr>
                <w:spacing w:val="11"/>
                <w:sz w:val="21"/>
              </w:rPr>
            </w:pPr>
            <w:r>
              <w:rPr>
                <w:rFonts w:hint="eastAsia"/>
                <w:b/>
                <w:bCs/>
                <w:sz w:val="21"/>
                <w:szCs w:val="24"/>
              </w:rPr>
              <w:t>2</w:t>
            </w:r>
          </w:p>
        </w:tc>
        <w:tc>
          <w:tcPr>
            <w:tcW w:w="1757" w:type="dxa"/>
            <w:vAlign w:val="center"/>
          </w:tcPr>
          <w:p>
            <w:pPr>
              <w:spacing w:line="240" w:lineRule="exact"/>
              <w:jc w:val="center"/>
              <w:rPr>
                <w:spacing w:val="11"/>
                <w:sz w:val="21"/>
              </w:rPr>
            </w:pPr>
            <w:r>
              <w:rPr>
                <w:rFonts w:hint="eastAsia"/>
                <w:b/>
                <w:bCs/>
                <w:sz w:val="21"/>
                <w:szCs w:val="24"/>
              </w:rPr>
              <w:t>低温仓储类（含保温冷藏冷冻类）</w:t>
            </w:r>
          </w:p>
        </w:tc>
        <w:tc>
          <w:tcPr>
            <w:tcW w:w="2694" w:type="dxa"/>
            <w:vAlign w:val="center"/>
          </w:tcPr>
          <w:p>
            <w:pPr>
              <w:spacing w:line="240" w:lineRule="exact"/>
              <w:jc w:val="center"/>
              <w:rPr>
                <w:spacing w:val="11"/>
                <w:sz w:val="21"/>
              </w:rPr>
            </w:pPr>
            <w:r>
              <w:rPr>
                <w:rFonts w:hint="eastAsia"/>
                <w:sz w:val="21"/>
                <w:szCs w:val="22"/>
              </w:rPr>
              <w:t>≥</w:t>
            </w:r>
            <w:r>
              <w:rPr>
                <w:sz w:val="21"/>
                <w:szCs w:val="22"/>
              </w:rPr>
              <w:t>400</w:t>
            </w:r>
          </w:p>
        </w:tc>
        <w:tc>
          <w:tcPr>
            <w:tcW w:w="1880" w:type="dxa"/>
            <w:vAlign w:val="center"/>
          </w:tcPr>
          <w:p>
            <w:pPr>
              <w:spacing w:line="240" w:lineRule="exact"/>
              <w:jc w:val="center"/>
              <w:rPr>
                <w:spacing w:val="11"/>
                <w:sz w:val="21"/>
              </w:rPr>
            </w:pPr>
            <w:r>
              <w:rPr>
                <w:rFonts w:hint="eastAsia"/>
                <w:sz w:val="21"/>
                <w:szCs w:val="22"/>
              </w:rPr>
              <w:t>≥3</w:t>
            </w:r>
            <w:r>
              <w:rPr>
                <w:sz w:val="21"/>
                <w:szCs w:val="22"/>
              </w:rPr>
              <w:t>90</w:t>
            </w:r>
          </w:p>
        </w:tc>
        <w:tc>
          <w:tcPr>
            <w:tcW w:w="1997" w:type="dxa"/>
            <w:vAlign w:val="center"/>
          </w:tcPr>
          <w:p>
            <w:pPr>
              <w:spacing w:line="240" w:lineRule="exact"/>
              <w:jc w:val="center"/>
              <w:rPr>
                <w:spacing w:val="11"/>
                <w:sz w:val="21"/>
              </w:rPr>
            </w:pPr>
            <w:r>
              <w:rPr>
                <w:rFonts w:hint="eastAsia"/>
                <w:sz w:val="21"/>
                <w:szCs w:val="22"/>
              </w:rPr>
              <w:t>≥</w:t>
            </w:r>
            <w:r>
              <w:rPr>
                <w:sz w:val="21"/>
                <w:szCs w:val="22"/>
              </w:rPr>
              <w:t>15</w:t>
            </w:r>
          </w:p>
        </w:tc>
        <w:tc>
          <w:tcPr>
            <w:tcW w:w="942" w:type="dxa"/>
            <w:vAlign w:val="center"/>
          </w:tcPr>
          <w:p>
            <w:pPr>
              <w:spacing w:line="240" w:lineRule="exact"/>
              <w:jc w:val="center"/>
              <w:rPr>
                <w:spacing w:val="11"/>
                <w:sz w:val="21"/>
              </w:rPr>
            </w:pPr>
            <w:r>
              <w:rPr>
                <w:sz w:val="21"/>
                <w:szCs w:val="22"/>
              </w:rPr>
              <w:t>1.8</w:t>
            </w:r>
            <w:r>
              <w:rPr>
                <w:rFonts w:hint="eastAsia"/>
                <w:sz w:val="21"/>
                <w:szCs w:val="22"/>
              </w:rPr>
              <w:t>-</w:t>
            </w:r>
            <w:r>
              <w:rPr>
                <w:sz w:val="21"/>
                <w:szCs w:val="22"/>
              </w:rPr>
              <w:t>3</w:t>
            </w:r>
          </w:p>
        </w:tc>
        <w:tc>
          <w:tcPr>
            <w:tcW w:w="2410" w:type="dxa"/>
            <w:vAlign w:val="center"/>
          </w:tcPr>
          <w:p>
            <w:pPr>
              <w:spacing w:line="240" w:lineRule="exact"/>
              <w:jc w:val="center"/>
              <w:rPr>
                <w:spacing w:val="11"/>
                <w:sz w:val="21"/>
              </w:rPr>
            </w:pPr>
            <w:r>
              <w:rPr>
                <w:rFonts w:hint="eastAsia"/>
                <w:sz w:val="21"/>
                <w:szCs w:val="22"/>
              </w:rPr>
              <w:t>≥</w:t>
            </w:r>
            <w:r>
              <w:rPr>
                <w:sz w:val="21"/>
                <w:szCs w:val="22"/>
              </w:rPr>
              <w:t>50</w:t>
            </w:r>
            <w:r>
              <w:rPr>
                <w:rFonts w:hint="eastAsia"/>
                <w:sz w:val="21"/>
                <w:szCs w:val="22"/>
              </w:rPr>
              <w:t>%</w:t>
            </w:r>
          </w:p>
        </w:tc>
        <w:tc>
          <w:tcPr>
            <w:tcW w:w="1134" w:type="dxa"/>
            <w:vAlign w:val="center"/>
          </w:tcPr>
          <w:p>
            <w:pPr>
              <w:spacing w:before="120" w:after="120" w:line="240" w:lineRule="exact"/>
              <w:jc w:val="center"/>
              <w:rPr>
                <w:spacing w:val="11"/>
                <w:sz w:val="21"/>
              </w:rPr>
            </w:pPr>
            <w:r>
              <w:rPr>
                <w:rFonts w:hint="eastAsia"/>
                <w:sz w:val="21"/>
              </w:rPr>
              <w:t>低于金华市碳排放强度考核目标值</w:t>
            </w:r>
          </w:p>
        </w:tc>
        <w:tc>
          <w:tcPr>
            <w:tcW w:w="2268" w:type="dxa"/>
            <w:vAlign w:val="center"/>
          </w:tcPr>
          <w:p>
            <w:pPr>
              <w:spacing w:line="240" w:lineRule="exact"/>
              <w:jc w:val="center"/>
              <w:rPr>
                <w:spacing w:val="11"/>
                <w:sz w:val="21"/>
              </w:rPr>
            </w:pPr>
            <w:r>
              <w:rPr>
                <w:rFonts w:hint="eastAsia"/>
                <w:sz w:val="21"/>
                <w:szCs w:val="22"/>
              </w:rPr>
              <w:t>≥</w:t>
            </w:r>
            <w:r>
              <w:rPr>
                <w:sz w:val="21"/>
                <w:szCs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06" w:type="dxa"/>
            <w:vAlign w:val="center"/>
          </w:tcPr>
          <w:p>
            <w:pPr>
              <w:spacing w:line="240" w:lineRule="auto"/>
              <w:jc w:val="center"/>
              <w:rPr>
                <w:spacing w:val="11"/>
                <w:sz w:val="21"/>
              </w:rPr>
            </w:pPr>
            <w:r>
              <w:rPr>
                <w:b/>
                <w:bCs/>
                <w:sz w:val="21"/>
                <w:szCs w:val="24"/>
              </w:rPr>
              <w:t>3</w:t>
            </w:r>
          </w:p>
        </w:tc>
        <w:tc>
          <w:tcPr>
            <w:tcW w:w="1757" w:type="dxa"/>
            <w:vAlign w:val="center"/>
          </w:tcPr>
          <w:p>
            <w:pPr>
              <w:spacing w:line="240" w:lineRule="auto"/>
              <w:jc w:val="center"/>
              <w:rPr>
                <w:spacing w:val="11"/>
                <w:sz w:val="21"/>
              </w:rPr>
            </w:pPr>
            <w:r>
              <w:rPr>
                <w:rFonts w:hint="eastAsia"/>
                <w:b/>
                <w:bCs/>
                <w:sz w:val="21"/>
                <w:szCs w:val="24"/>
              </w:rPr>
              <w:t>农副产品仓储类</w:t>
            </w:r>
          </w:p>
        </w:tc>
        <w:tc>
          <w:tcPr>
            <w:tcW w:w="2694" w:type="dxa"/>
            <w:vAlign w:val="center"/>
          </w:tcPr>
          <w:p>
            <w:pPr>
              <w:spacing w:line="240" w:lineRule="auto"/>
              <w:jc w:val="center"/>
              <w:rPr>
                <w:spacing w:val="11"/>
                <w:sz w:val="21"/>
              </w:rPr>
            </w:pPr>
            <w:r>
              <w:rPr>
                <w:rFonts w:hint="eastAsia"/>
                <w:sz w:val="21"/>
                <w:szCs w:val="22"/>
              </w:rPr>
              <w:t>≥</w:t>
            </w:r>
            <w:r>
              <w:rPr>
                <w:sz w:val="21"/>
                <w:szCs w:val="22"/>
              </w:rPr>
              <w:t>300</w:t>
            </w:r>
          </w:p>
        </w:tc>
        <w:tc>
          <w:tcPr>
            <w:tcW w:w="1880" w:type="dxa"/>
            <w:vAlign w:val="center"/>
          </w:tcPr>
          <w:p>
            <w:pPr>
              <w:spacing w:line="240" w:lineRule="auto"/>
              <w:jc w:val="center"/>
              <w:rPr>
                <w:spacing w:val="11"/>
                <w:sz w:val="21"/>
              </w:rPr>
            </w:pPr>
            <w:r>
              <w:rPr>
                <w:rFonts w:hint="eastAsia"/>
                <w:sz w:val="21"/>
                <w:szCs w:val="22"/>
              </w:rPr>
              <w:t>≥</w:t>
            </w:r>
            <w:r>
              <w:rPr>
                <w:sz w:val="21"/>
                <w:szCs w:val="22"/>
              </w:rPr>
              <w:t>350</w:t>
            </w:r>
          </w:p>
        </w:tc>
        <w:tc>
          <w:tcPr>
            <w:tcW w:w="1997" w:type="dxa"/>
            <w:vAlign w:val="center"/>
          </w:tcPr>
          <w:p>
            <w:pPr>
              <w:spacing w:line="240" w:lineRule="auto"/>
              <w:jc w:val="center"/>
              <w:rPr>
                <w:spacing w:val="11"/>
                <w:sz w:val="21"/>
              </w:rPr>
            </w:pPr>
            <w:r>
              <w:rPr>
                <w:rFonts w:hint="eastAsia"/>
                <w:sz w:val="21"/>
                <w:szCs w:val="22"/>
              </w:rPr>
              <w:t>≥1</w:t>
            </w:r>
            <w:r>
              <w:rPr>
                <w:sz w:val="21"/>
                <w:szCs w:val="22"/>
              </w:rPr>
              <w:t>0</w:t>
            </w:r>
          </w:p>
        </w:tc>
        <w:tc>
          <w:tcPr>
            <w:tcW w:w="942" w:type="dxa"/>
            <w:vAlign w:val="center"/>
          </w:tcPr>
          <w:p>
            <w:pPr>
              <w:spacing w:line="240" w:lineRule="auto"/>
              <w:jc w:val="center"/>
              <w:rPr>
                <w:spacing w:val="11"/>
                <w:sz w:val="21"/>
              </w:rPr>
            </w:pPr>
            <w:r>
              <w:rPr>
                <w:sz w:val="21"/>
                <w:szCs w:val="22"/>
              </w:rPr>
              <w:t>1.8</w:t>
            </w:r>
            <w:r>
              <w:rPr>
                <w:rFonts w:hint="eastAsia"/>
                <w:sz w:val="21"/>
                <w:szCs w:val="22"/>
              </w:rPr>
              <w:t>-</w:t>
            </w:r>
            <w:r>
              <w:rPr>
                <w:sz w:val="21"/>
                <w:szCs w:val="22"/>
              </w:rPr>
              <w:t>3</w:t>
            </w:r>
          </w:p>
        </w:tc>
        <w:tc>
          <w:tcPr>
            <w:tcW w:w="2410" w:type="dxa"/>
            <w:vAlign w:val="center"/>
          </w:tcPr>
          <w:p>
            <w:pPr>
              <w:spacing w:line="240" w:lineRule="auto"/>
              <w:jc w:val="center"/>
              <w:rPr>
                <w:spacing w:val="11"/>
                <w:sz w:val="21"/>
              </w:rPr>
            </w:pPr>
            <w:r>
              <w:rPr>
                <w:rFonts w:hint="eastAsia"/>
                <w:sz w:val="21"/>
                <w:szCs w:val="22"/>
              </w:rPr>
              <w:t>≥3</w:t>
            </w:r>
            <w:r>
              <w:rPr>
                <w:sz w:val="21"/>
                <w:szCs w:val="22"/>
              </w:rPr>
              <w:t>0</w:t>
            </w:r>
            <w:r>
              <w:rPr>
                <w:rFonts w:hint="eastAsia"/>
                <w:sz w:val="21"/>
                <w:szCs w:val="22"/>
              </w:rPr>
              <w:t>%</w:t>
            </w:r>
          </w:p>
        </w:tc>
        <w:tc>
          <w:tcPr>
            <w:tcW w:w="1134" w:type="dxa"/>
            <w:vAlign w:val="center"/>
          </w:tcPr>
          <w:p>
            <w:pPr>
              <w:spacing w:before="120" w:after="120" w:line="240" w:lineRule="exact"/>
              <w:jc w:val="center"/>
              <w:rPr>
                <w:spacing w:val="11"/>
                <w:sz w:val="21"/>
              </w:rPr>
            </w:pPr>
            <w:r>
              <w:rPr>
                <w:rFonts w:hint="eastAsia"/>
                <w:sz w:val="21"/>
              </w:rPr>
              <w:t>低于金华市碳排放强度考核目标值</w:t>
            </w:r>
          </w:p>
        </w:tc>
        <w:tc>
          <w:tcPr>
            <w:tcW w:w="2268" w:type="dxa"/>
            <w:vAlign w:val="center"/>
          </w:tcPr>
          <w:p>
            <w:pPr>
              <w:spacing w:line="240" w:lineRule="auto"/>
              <w:jc w:val="center"/>
              <w:rPr>
                <w:spacing w:val="11"/>
                <w:sz w:val="21"/>
              </w:rPr>
            </w:pPr>
            <w:r>
              <w:rPr>
                <w:rFonts w:hint="eastAsia"/>
                <w:sz w:val="21"/>
                <w:szCs w:val="22"/>
              </w:rPr>
              <w:t>≥</w:t>
            </w:r>
            <w:r>
              <w:rPr>
                <w:sz w:val="21"/>
                <w:szCs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06" w:type="dxa"/>
            <w:vAlign w:val="center"/>
          </w:tcPr>
          <w:p>
            <w:pPr>
              <w:spacing w:line="240" w:lineRule="auto"/>
              <w:jc w:val="center"/>
              <w:rPr>
                <w:spacing w:val="11"/>
                <w:sz w:val="21"/>
              </w:rPr>
            </w:pPr>
            <w:r>
              <w:rPr>
                <w:b/>
                <w:bCs/>
                <w:sz w:val="21"/>
                <w:szCs w:val="24"/>
              </w:rPr>
              <w:t>4</w:t>
            </w:r>
          </w:p>
        </w:tc>
        <w:tc>
          <w:tcPr>
            <w:tcW w:w="1757" w:type="dxa"/>
            <w:vAlign w:val="center"/>
          </w:tcPr>
          <w:p>
            <w:pPr>
              <w:spacing w:line="240" w:lineRule="auto"/>
              <w:jc w:val="center"/>
              <w:rPr>
                <w:spacing w:val="11"/>
                <w:sz w:val="21"/>
              </w:rPr>
            </w:pPr>
            <w:r>
              <w:rPr>
                <w:rFonts w:hint="eastAsia"/>
                <w:b/>
                <w:bCs/>
                <w:sz w:val="21"/>
                <w:szCs w:val="24"/>
              </w:rPr>
              <w:t>医药仓储类</w:t>
            </w:r>
          </w:p>
        </w:tc>
        <w:tc>
          <w:tcPr>
            <w:tcW w:w="2694" w:type="dxa"/>
            <w:vAlign w:val="center"/>
          </w:tcPr>
          <w:p>
            <w:pPr>
              <w:spacing w:line="240" w:lineRule="auto"/>
              <w:jc w:val="center"/>
              <w:rPr>
                <w:spacing w:val="11"/>
                <w:sz w:val="21"/>
              </w:rPr>
            </w:pPr>
            <w:r>
              <w:rPr>
                <w:rFonts w:hint="eastAsia"/>
                <w:sz w:val="21"/>
                <w:szCs w:val="22"/>
              </w:rPr>
              <w:t>≥</w:t>
            </w:r>
            <w:r>
              <w:rPr>
                <w:sz w:val="21"/>
                <w:szCs w:val="22"/>
              </w:rPr>
              <w:t>400</w:t>
            </w:r>
          </w:p>
        </w:tc>
        <w:tc>
          <w:tcPr>
            <w:tcW w:w="1880" w:type="dxa"/>
            <w:vAlign w:val="center"/>
          </w:tcPr>
          <w:p>
            <w:pPr>
              <w:spacing w:line="240" w:lineRule="auto"/>
              <w:jc w:val="center"/>
              <w:rPr>
                <w:spacing w:val="11"/>
                <w:sz w:val="21"/>
              </w:rPr>
            </w:pPr>
            <w:r>
              <w:rPr>
                <w:rFonts w:hint="eastAsia"/>
                <w:sz w:val="21"/>
                <w:szCs w:val="22"/>
              </w:rPr>
              <w:t>≥39</w:t>
            </w:r>
            <w:r>
              <w:rPr>
                <w:sz w:val="21"/>
                <w:szCs w:val="22"/>
              </w:rPr>
              <w:t>0</w:t>
            </w:r>
          </w:p>
        </w:tc>
        <w:tc>
          <w:tcPr>
            <w:tcW w:w="1997" w:type="dxa"/>
            <w:vAlign w:val="center"/>
          </w:tcPr>
          <w:p>
            <w:pPr>
              <w:spacing w:line="240" w:lineRule="auto"/>
              <w:jc w:val="center"/>
              <w:rPr>
                <w:spacing w:val="11"/>
                <w:sz w:val="21"/>
              </w:rPr>
            </w:pPr>
            <w:r>
              <w:rPr>
                <w:rFonts w:hint="eastAsia"/>
                <w:sz w:val="21"/>
                <w:szCs w:val="22"/>
              </w:rPr>
              <w:t>≥</w:t>
            </w:r>
            <w:r>
              <w:rPr>
                <w:sz w:val="21"/>
                <w:szCs w:val="22"/>
              </w:rPr>
              <w:t>15</w:t>
            </w:r>
          </w:p>
        </w:tc>
        <w:tc>
          <w:tcPr>
            <w:tcW w:w="942" w:type="dxa"/>
            <w:vAlign w:val="center"/>
          </w:tcPr>
          <w:p>
            <w:pPr>
              <w:spacing w:line="240" w:lineRule="auto"/>
              <w:jc w:val="center"/>
              <w:rPr>
                <w:spacing w:val="11"/>
                <w:sz w:val="21"/>
              </w:rPr>
            </w:pPr>
            <w:r>
              <w:rPr>
                <w:sz w:val="21"/>
                <w:szCs w:val="22"/>
              </w:rPr>
              <w:t>1.8</w:t>
            </w:r>
            <w:r>
              <w:rPr>
                <w:rFonts w:hint="eastAsia"/>
                <w:sz w:val="21"/>
                <w:szCs w:val="22"/>
              </w:rPr>
              <w:t>-</w:t>
            </w:r>
            <w:r>
              <w:rPr>
                <w:sz w:val="21"/>
                <w:szCs w:val="22"/>
              </w:rPr>
              <w:t>3</w:t>
            </w:r>
          </w:p>
        </w:tc>
        <w:tc>
          <w:tcPr>
            <w:tcW w:w="2410" w:type="dxa"/>
            <w:vAlign w:val="center"/>
          </w:tcPr>
          <w:p>
            <w:pPr>
              <w:spacing w:line="240" w:lineRule="auto"/>
              <w:jc w:val="center"/>
              <w:rPr>
                <w:spacing w:val="11"/>
                <w:sz w:val="21"/>
              </w:rPr>
            </w:pPr>
            <w:r>
              <w:rPr>
                <w:rFonts w:hint="eastAsia"/>
                <w:sz w:val="21"/>
                <w:szCs w:val="22"/>
              </w:rPr>
              <w:t>≥</w:t>
            </w:r>
            <w:r>
              <w:rPr>
                <w:sz w:val="21"/>
                <w:szCs w:val="22"/>
              </w:rPr>
              <w:t>50</w:t>
            </w:r>
            <w:r>
              <w:rPr>
                <w:rFonts w:hint="eastAsia"/>
                <w:sz w:val="21"/>
                <w:szCs w:val="22"/>
              </w:rPr>
              <w:t>%</w:t>
            </w:r>
          </w:p>
        </w:tc>
        <w:tc>
          <w:tcPr>
            <w:tcW w:w="1134" w:type="dxa"/>
            <w:vAlign w:val="center"/>
          </w:tcPr>
          <w:p>
            <w:pPr>
              <w:spacing w:before="120" w:after="120" w:line="240" w:lineRule="exact"/>
              <w:jc w:val="center"/>
              <w:rPr>
                <w:spacing w:val="11"/>
                <w:sz w:val="21"/>
              </w:rPr>
            </w:pPr>
            <w:r>
              <w:rPr>
                <w:rFonts w:hint="eastAsia"/>
                <w:sz w:val="21"/>
              </w:rPr>
              <w:t>低于金华市碳排放强度考核目标值</w:t>
            </w:r>
          </w:p>
        </w:tc>
        <w:tc>
          <w:tcPr>
            <w:tcW w:w="2268" w:type="dxa"/>
            <w:vAlign w:val="center"/>
          </w:tcPr>
          <w:p>
            <w:pPr>
              <w:spacing w:line="240" w:lineRule="auto"/>
              <w:jc w:val="center"/>
              <w:rPr>
                <w:spacing w:val="11"/>
                <w:sz w:val="21"/>
              </w:rPr>
            </w:pPr>
            <w:r>
              <w:rPr>
                <w:rFonts w:hint="eastAsia"/>
                <w:sz w:val="21"/>
                <w:szCs w:val="22"/>
              </w:rPr>
              <w:t>≥</w:t>
            </w:r>
            <w:r>
              <w:rPr>
                <w:sz w:val="21"/>
                <w:szCs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506" w:type="dxa"/>
            <w:vAlign w:val="center"/>
          </w:tcPr>
          <w:p>
            <w:pPr>
              <w:spacing w:line="240" w:lineRule="auto"/>
              <w:jc w:val="center"/>
              <w:rPr>
                <w:spacing w:val="11"/>
                <w:sz w:val="21"/>
              </w:rPr>
            </w:pPr>
            <w:r>
              <w:rPr>
                <w:b/>
                <w:bCs/>
                <w:sz w:val="21"/>
                <w:szCs w:val="24"/>
              </w:rPr>
              <w:t>5</w:t>
            </w:r>
          </w:p>
        </w:tc>
        <w:tc>
          <w:tcPr>
            <w:tcW w:w="1757" w:type="dxa"/>
            <w:vAlign w:val="center"/>
          </w:tcPr>
          <w:p>
            <w:pPr>
              <w:spacing w:line="240" w:lineRule="auto"/>
              <w:jc w:val="center"/>
              <w:rPr>
                <w:spacing w:val="11"/>
                <w:sz w:val="21"/>
              </w:rPr>
            </w:pPr>
            <w:r>
              <w:rPr>
                <w:rFonts w:hint="eastAsia"/>
                <w:b/>
                <w:bCs/>
                <w:sz w:val="21"/>
                <w:szCs w:val="24"/>
              </w:rPr>
              <w:t>其他仓储类</w:t>
            </w:r>
          </w:p>
        </w:tc>
        <w:tc>
          <w:tcPr>
            <w:tcW w:w="2694" w:type="dxa"/>
            <w:vAlign w:val="center"/>
          </w:tcPr>
          <w:p>
            <w:pPr>
              <w:spacing w:line="240" w:lineRule="auto"/>
              <w:jc w:val="center"/>
              <w:rPr>
                <w:spacing w:val="11"/>
                <w:sz w:val="21"/>
              </w:rPr>
            </w:pPr>
            <w:r>
              <w:rPr>
                <w:rFonts w:hint="eastAsia"/>
                <w:sz w:val="21"/>
                <w:szCs w:val="22"/>
              </w:rPr>
              <w:t>≥</w:t>
            </w:r>
            <w:r>
              <w:rPr>
                <w:sz w:val="21"/>
                <w:szCs w:val="22"/>
              </w:rPr>
              <w:t>350</w:t>
            </w:r>
          </w:p>
        </w:tc>
        <w:tc>
          <w:tcPr>
            <w:tcW w:w="1880" w:type="dxa"/>
            <w:vAlign w:val="center"/>
          </w:tcPr>
          <w:p>
            <w:pPr>
              <w:spacing w:line="240" w:lineRule="auto"/>
              <w:jc w:val="center"/>
              <w:rPr>
                <w:spacing w:val="11"/>
                <w:sz w:val="21"/>
              </w:rPr>
            </w:pPr>
            <w:r>
              <w:rPr>
                <w:rFonts w:hint="eastAsia"/>
                <w:sz w:val="21"/>
                <w:szCs w:val="22"/>
              </w:rPr>
              <w:t>≥</w:t>
            </w:r>
            <w:r>
              <w:rPr>
                <w:sz w:val="21"/>
                <w:szCs w:val="22"/>
              </w:rPr>
              <w:t>380</w:t>
            </w:r>
          </w:p>
        </w:tc>
        <w:tc>
          <w:tcPr>
            <w:tcW w:w="1997" w:type="dxa"/>
            <w:vAlign w:val="center"/>
          </w:tcPr>
          <w:p>
            <w:pPr>
              <w:spacing w:line="240" w:lineRule="auto"/>
              <w:jc w:val="center"/>
              <w:rPr>
                <w:spacing w:val="11"/>
                <w:sz w:val="21"/>
              </w:rPr>
            </w:pPr>
            <w:r>
              <w:rPr>
                <w:rFonts w:hint="eastAsia"/>
                <w:sz w:val="21"/>
                <w:szCs w:val="22"/>
              </w:rPr>
              <w:t>≥</w:t>
            </w:r>
            <w:r>
              <w:rPr>
                <w:sz w:val="21"/>
                <w:szCs w:val="22"/>
              </w:rPr>
              <w:t>10</w:t>
            </w:r>
          </w:p>
        </w:tc>
        <w:tc>
          <w:tcPr>
            <w:tcW w:w="942" w:type="dxa"/>
            <w:vAlign w:val="center"/>
          </w:tcPr>
          <w:p>
            <w:pPr>
              <w:spacing w:line="240" w:lineRule="auto"/>
              <w:jc w:val="center"/>
              <w:rPr>
                <w:spacing w:val="11"/>
                <w:sz w:val="21"/>
              </w:rPr>
            </w:pPr>
            <w:r>
              <w:rPr>
                <w:sz w:val="21"/>
                <w:szCs w:val="22"/>
              </w:rPr>
              <w:t>1.8</w:t>
            </w:r>
            <w:r>
              <w:rPr>
                <w:rFonts w:hint="eastAsia"/>
                <w:sz w:val="21"/>
                <w:szCs w:val="22"/>
              </w:rPr>
              <w:t>-</w:t>
            </w:r>
            <w:r>
              <w:rPr>
                <w:sz w:val="21"/>
                <w:szCs w:val="22"/>
              </w:rPr>
              <w:t>3</w:t>
            </w:r>
          </w:p>
        </w:tc>
        <w:tc>
          <w:tcPr>
            <w:tcW w:w="2410" w:type="dxa"/>
            <w:vAlign w:val="center"/>
          </w:tcPr>
          <w:p>
            <w:pPr>
              <w:spacing w:line="240" w:lineRule="auto"/>
              <w:jc w:val="center"/>
              <w:rPr>
                <w:spacing w:val="11"/>
                <w:sz w:val="21"/>
              </w:rPr>
            </w:pPr>
            <w:r>
              <w:rPr>
                <w:rFonts w:hint="eastAsia"/>
                <w:sz w:val="21"/>
                <w:szCs w:val="22"/>
              </w:rPr>
              <w:t>≥3</w:t>
            </w:r>
            <w:r>
              <w:rPr>
                <w:sz w:val="21"/>
                <w:szCs w:val="22"/>
              </w:rPr>
              <w:t>0</w:t>
            </w:r>
            <w:r>
              <w:rPr>
                <w:rFonts w:hint="eastAsia"/>
                <w:sz w:val="21"/>
                <w:szCs w:val="22"/>
              </w:rPr>
              <w:t>%</w:t>
            </w:r>
          </w:p>
        </w:tc>
        <w:tc>
          <w:tcPr>
            <w:tcW w:w="1134" w:type="dxa"/>
            <w:vAlign w:val="center"/>
          </w:tcPr>
          <w:p>
            <w:pPr>
              <w:spacing w:before="120" w:after="120" w:line="240" w:lineRule="exact"/>
              <w:jc w:val="center"/>
              <w:rPr>
                <w:spacing w:val="11"/>
                <w:sz w:val="21"/>
              </w:rPr>
            </w:pPr>
            <w:r>
              <w:rPr>
                <w:rFonts w:hint="eastAsia"/>
                <w:sz w:val="21"/>
              </w:rPr>
              <w:t>低于金华市碳排放强度考核目标值</w:t>
            </w:r>
          </w:p>
        </w:tc>
        <w:tc>
          <w:tcPr>
            <w:tcW w:w="2268" w:type="dxa"/>
            <w:vAlign w:val="center"/>
          </w:tcPr>
          <w:p>
            <w:pPr>
              <w:spacing w:line="240" w:lineRule="auto"/>
              <w:jc w:val="center"/>
              <w:rPr>
                <w:spacing w:val="11"/>
                <w:sz w:val="21"/>
              </w:rPr>
            </w:pPr>
            <w:r>
              <w:rPr>
                <w:rFonts w:hint="eastAsia"/>
                <w:sz w:val="21"/>
                <w:szCs w:val="22"/>
              </w:rPr>
              <w:t>≥</w:t>
            </w:r>
            <w:r>
              <w:rPr>
                <w:sz w:val="21"/>
                <w:szCs w:val="22"/>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15588" w:type="dxa"/>
            <w:gridSpan w:val="9"/>
            <w:vAlign w:val="center"/>
          </w:tcPr>
          <w:p>
            <w:pPr>
              <w:spacing w:line="440" w:lineRule="exact"/>
              <w:ind w:firstLine="414" w:firstLineChars="200"/>
              <w:rPr>
                <w:sz w:val="24"/>
                <w:szCs w:val="22"/>
              </w:rPr>
            </w:pPr>
            <w:r>
              <w:rPr>
                <w:rFonts w:hint="eastAsia" w:eastAsia="黑体"/>
                <w:sz w:val="24"/>
                <w:szCs w:val="22"/>
              </w:rPr>
              <w:t>注1：</w:t>
            </w:r>
            <w:r>
              <w:rPr>
                <w:rFonts w:hint="eastAsia"/>
                <w:sz w:val="24"/>
                <w:szCs w:val="22"/>
              </w:rPr>
              <w:t>固定资产投资强度、土地产出、</w:t>
            </w:r>
            <w:r>
              <w:rPr>
                <w:rFonts w:hint="eastAsia"/>
                <w:sz w:val="24"/>
                <w:szCs w:val="22"/>
                <w:lang w:eastAsia="zh-CN"/>
              </w:rPr>
              <w:t>亩均税收</w:t>
            </w:r>
            <w:r>
              <w:rPr>
                <w:rFonts w:hint="eastAsia"/>
                <w:sz w:val="24"/>
                <w:szCs w:val="22"/>
              </w:rPr>
              <w:t>根据《浙江省工业等项目建设用地控制指标（2014）》和</w:t>
            </w:r>
            <w:r>
              <w:rPr>
                <w:rFonts w:hint="eastAsia"/>
                <w:sz w:val="24"/>
                <w:szCs w:val="22"/>
                <w:lang w:eastAsia="zh-CN"/>
              </w:rPr>
              <w:t>金义新区（金东区）</w:t>
            </w:r>
            <w:r>
              <w:rPr>
                <w:rFonts w:hint="eastAsia"/>
                <w:sz w:val="24"/>
                <w:szCs w:val="22"/>
              </w:rPr>
              <w:t>已出让地块指标确定；</w:t>
            </w:r>
          </w:p>
          <w:p>
            <w:pPr>
              <w:spacing w:line="440" w:lineRule="exact"/>
              <w:ind w:firstLine="414" w:firstLineChars="200"/>
              <w:rPr>
                <w:sz w:val="24"/>
                <w:szCs w:val="22"/>
              </w:rPr>
            </w:pPr>
            <w:r>
              <w:rPr>
                <w:rFonts w:hint="eastAsia" w:eastAsia="黑体"/>
                <w:sz w:val="24"/>
                <w:szCs w:val="22"/>
              </w:rPr>
              <w:t>注2：</w:t>
            </w:r>
            <w:r>
              <w:rPr>
                <w:rFonts w:hint="eastAsia"/>
                <w:sz w:val="24"/>
                <w:szCs w:val="22"/>
              </w:rPr>
              <w:t>容积率具体指标根据《地块控制性详细规划》等上位规划确定；</w:t>
            </w:r>
          </w:p>
          <w:p>
            <w:pPr>
              <w:spacing w:line="440" w:lineRule="exact"/>
              <w:ind w:firstLine="414" w:firstLineChars="200"/>
              <w:rPr>
                <w:sz w:val="24"/>
                <w:szCs w:val="22"/>
              </w:rPr>
            </w:pPr>
            <w:r>
              <w:rPr>
                <w:rFonts w:hint="eastAsia" w:eastAsia="黑体"/>
                <w:sz w:val="24"/>
                <w:szCs w:val="22"/>
              </w:rPr>
              <w:t>注3：</w:t>
            </w:r>
            <w:r>
              <w:rPr>
                <w:rFonts w:hint="eastAsia"/>
                <w:sz w:val="24"/>
                <w:szCs w:val="22"/>
              </w:rPr>
              <w:t>屋顶光伏发电利用率、碳排放强度、物流智能信息化水平等指标根据国家能源局下发《关于报送整县（市、区）屋顶分布式光伏开发试点方案的通知》《浙江省建设项目碳排放评价编制指南（试行）》《浙江省现代物流业发展“十四五”规划》《金华市现代物流业发展研究报告》等相关文件及我区实际情况确定。</w:t>
            </w:r>
          </w:p>
          <w:p>
            <w:pPr>
              <w:spacing w:line="320" w:lineRule="exact"/>
              <w:ind w:firstLine="414" w:firstLineChars="200"/>
              <w:rPr>
                <w:sz w:val="24"/>
                <w:szCs w:val="22"/>
              </w:rPr>
            </w:pPr>
            <w:r>
              <w:rPr>
                <w:rFonts w:hint="eastAsia" w:eastAsia="黑体"/>
                <w:sz w:val="24"/>
                <w:szCs w:val="22"/>
              </w:rPr>
              <w:t>注4：</w:t>
            </w:r>
            <w:r>
              <w:rPr>
                <w:rFonts w:hint="eastAsia"/>
                <w:sz w:val="24"/>
                <w:szCs w:val="22"/>
              </w:rPr>
              <w:t>化学危险品类仓储、油气仓储等危化品类仓储列入负面清单，暂不列入此次物流仓储“标准地”改革实施范围内。</w:t>
            </w:r>
          </w:p>
        </w:tc>
      </w:tr>
    </w:tbl>
    <w:p>
      <w:pPr>
        <w:spacing w:before="218" w:beforeLines="50"/>
        <w:ind w:firstLine="574" w:firstLineChars="200"/>
        <w:rPr>
          <w:b/>
          <w:bCs/>
        </w:rPr>
      </w:pPr>
      <w:r>
        <w:rPr>
          <w:rFonts w:hint="eastAsia"/>
          <w:b/>
          <w:bCs/>
        </w:rPr>
        <w:t>【指标体系说明】：</w:t>
      </w:r>
    </w:p>
    <w:p>
      <w:pPr>
        <w:ind w:firstLine="574" w:firstLineChars="200"/>
        <w:rPr>
          <w:b/>
          <w:bCs/>
        </w:rPr>
      </w:pPr>
      <w:r>
        <w:rPr>
          <w:rFonts w:hint="eastAsia"/>
          <w:b/>
          <w:bCs/>
        </w:rPr>
        <w:t>（一）类别</w:t>
      </w:r>
    </w:p>
    <w:p>
      <w:pPr>
        <w:ind w:firstLine="574" w:firstLineChars="200"/>
      </w:pPr>
      <w:r>
        <w:rPr>
          <w:rFonts w:hint="eastAsia"/>
          <w:b/>
          <w:bCs/>
        </w:rPr>
        <w:t>1、通用仓储类：</w:t>
      </w:r>
      <w:r>
        <w:rPr>
          <w:rFonts w:hint="eastAsia"/>
        </w:rPr>
        <w:t>指除冷藏冷冻物品、危险物品、谷物、棉花、中药材等具有特殊要求以外的物品的仓储活动，以及开展满足城市居民消费、电子商务、配送服务、流通加工、原材料采购、就近生产等区域生产组织所需要的企业生产和经营活动，如：顺丰。</w:t>
      </w:r>
    </w:p>
    <w:p>
      <w:pPr>
        <w:ind w:firstLine="574" w:firstLineChars="200"/>
      </w:pPr>
      <w:r>
        <w:rPr>
          <w:rFonts w:hint="eastAsia"/>
          <w:b/>
          <w:bCs/>
        </w:rPr>
        <w:t>2、低温仓储类：</w:t>
      </w:r>
      <w:r>
        <w:rPr>
          <w:rFonts w:hint="eastAsia"/>
        </w:rPr>
        <w:t>指对肉类食品、蔬菜水果、生鲜产品、冷藏冷冻物品等低温货物的仓储活动，以及开展满足城市居民消费、信息交易、配送服务、流通加工、原材料采购、就近生产等区域生产组织所需要的企业生产和经营活动，如：国家骨干冷链物流基地。</w:t>
      </w:r>
    </w:p>
    <w:p>
      <w:pPr>
        <w:ind w:firstLine="574" w:firstLineChars="200"/>
      </w:pPr>
      <w:r>
        <w:rPr>
          <w:rFonts w:hint="eastAsia"/>
          <w:b/>
          <w:bCs/>
        </w:rPr>
        <w:t>3、农副产品仓储类：</w:t>
      </w:r>
      <w:r>
        <w:rPr>
          <w:rFonts w:hint="eastAsia"/>
        </w:rPr>
        <w:t>指粮食、经济作物、竹木材、水产品等农、林、牧、副、渔五业产品及未列明的其他农产品仓储活动，以及开展满足城市居民消费、信息交易、配送服务、流通加工、原材料采购、就近生产等区域生产组织所需要的企业生产和经营活动，如：华东农产品物流中心。</w:t>
      </w:r>
    </w:p>
    <w:p>
      <w:pPr>
        <w:ind w:firstLine="574" w:firstLineChars="200"/>
      </w:pPr>
      <w:r>
        <w:rPr>
          <w:b/>
          <w:bCs/>
        </w:rPr>
        <w:t>4</w:t>
      </w:r>
      <w:r>
        <w:rPr>
          <w:rFonts w:hint="eastAsia"/>
          <w:b/>
          <w:bCs/>
        </w:rPr>
        <w:t>、医药仓储类</w:t>
      </w:r>
      <w:r>
        <w:rPr>
          <w:rFonts w:hint="eastAsia"/>
        </w:rPr>
        <w:t>：医药产品的仓储活动，以及开展满足城市居民消费、信息交易、配送服务、流通加工、原材料采购、就近生产等区域生产组织所需要的企业生产和经营活动，如：华东医药。</w:t>
      </w:r>
    </w:p>
    <w:p>
      <w:pPr>
        <w:ind w:firstLine="574" w:firstLineChars="200"/>
      </w:pPr>
      <w:r>
        <w:rPr>
          <w:b/>
          <w:bCs/>
        </w:rPr>
        <w:t>5</w:t>
      </w:r>
      <w:r>
        <w:rPr>
          <w:rFonts w:hint="eastAsia"/>
          <w:b/>
          <w:bCs/>
        </w:rPr>
        <w:t>、其他仓储类：</w:t>
      </w:r>
      <w:r>
        <w:rPr>
          <w:rFonts w:hint="eastAsia"/>
        </w:rPr>
        <w:t>指除上述五类仓储活动以外的仓储活动，包括堆场、城市配送等单一仓储以及涵盖多种类别与全产业链的综合仓储活动，以及开展满足城市居民消费、信息交易、配送服务、流通加工、原材料采购、就近生产等区域生产组织所需要的企业生产和经营活动。</w:t>
      </w:r>
    </w:p>
    <w:p>
      <w:pPr>
        <w:ind w:firstLine="574" w:firstLineChars="200"/>
        <w:rPr>
          <w:b/>
          <w:bCs/>
        </w:rPr>
      </w:pPr>
      <w:r>
        <w:rPr>
          <w:rFonts w:hint="eastAsia"/>
          <w:b/>
          <w:bCs/>
        </w:rPr>
        <w:t>（二）指标</w:t>
      </w:r>
    </w:p>
    <w:p>
      <w:pPr>
        <w:ind w:firstLine="574" w:firstLineChars="200"/>
      </w:pPr>
      <w:r>
        <w:rPr>
          <w:b/>
          <w:bCs/>
        </w:rPr>
        <w:t>1</w:t>
      </w:r>
      <w:r>
        <w:rPr>
          <w:rFonts w:hint="eastAsia"/>
          <w:b/>
          <w:bCs/>
        </w:rPr>
        <w:t>．固定资产投资强度</w:t>
      </w:r>
      <w:r>
        <w:rPr>
          <w:rFonts w:hint="eastAsia"/>
        </w:rPr>
        <w:t>：项目用地范围内单位土地面积上的固定资产投资额。反映单位土地上项目固定资产投资情况，是衡量土地投入水平的重要尺度。</w:t>
      </w:r>
    </w:p>
    <w:p>
      <w:pPr>
        <w:ind w:firstLine="861" w:firstLineChars="300"/>
      </w:pPr>
      <w:r>
        <w:rPr>
          <w:rFonts w:hint="eastAsia"/>
          <w:b/>
          <w:bCs/>
        </w:rPr>
        <w:t>计算公式</w:t>
      </w:r>
      <w:r>
        <w:rPr>
          <w:rFonts w:hint="eastAsia"/>
        </w:rPr>
        <w:t>：固定资产投资强度＝项目固定资产投资÷项目总用地面积。</w:t>
      </w:r>
    </w:p>
    <w:p>
      <w:pPr>
        <w:ind w:firstLine="861" w:firstLineChars="300"/>
      </w:pPr>
      <w:r>
        <w:rPr>
          <w:rFonts w:hint="eastAsia"/>
        </w:rPr>
        <w:t>其中，项目固定资产投资包括厂房、设备和地价款，厂房和设备的投资额按照项目建成进入正常生产时的厂房建造成本和设备购置成本计算，地价款按照土地合同约定成交金额计算。</w:t>
      </w:r>
    </w:p>
    <w:p>
      <w:pPr>
        <w:ind w:firstLine="574" w:firstLineChars="200"/>
      </w:pPr>
      <w:r>
        <w:rPr>
          <w:b/>
          <w:bCs/>
        </w:rPr>
        <w:t>2</w:t>
      </w:r>
      <w:r>
        <w:rPr>
          <w:rFonts w:hint="eastAsia"/>
          <w:b/>
          <w:bCs/>
        </w:rPr>
        <w:t>．土地产出：</w:t>
      </w:r>
      <w:r>
        <w:rPr>
          <w:rFonts w:hint="eastAsia"/>
        </w:rPr>
        <w:t>项目用地范围内单位土地面积上主营业务的收入。反映单位土地上项目的产出情况，是衡量土地产出水平的重要尺度。</w:t>
      </w:r>
    </w:p>
    <w:p>
      <w:pPr>
        <w:ind w:firstLine="861" w:firstLineChars="300"/>
      </w:pPr>
      <w:r>
        <w:rPr>
          <w:rFonts w:hint="eastAsia"/>
          <w:b/>
          <w:bCs/>
        </w:rPr>
        <w:t>计算公式：</w:t>
      </w:r>
      <w:r>
        <w:rPr>
          <w:rFonts w:hint="eastAsia"/>
        </w:rPr>
        <w:t>土地产出＝项目主营业务收入÷项目总用地面积。</w:t>
      </w:r>
    </w:p>
    <w:p>
      <w:pPr>
        <w:ind w:firstLine="861" w:firstLineChars="300"/>
      </w:pPr>
      <w:r>
        <w:rPr>
          <w:rFonts w:hint="eastAsia"/>
        </w:rPr>
        <w:t>其中，项目主营业务收入为用地范围内企业一个自然年度内主营业务与销售收入总额，包含仓储服务费用，物流配送运输、国际货运代理等货物价值与物流仓储服务相关业务收入等。</w:t>
      </w:r>
    </w:p>
    <w:p>
      <w:pPr>
        <w:ind w:firstLine="574" w:firstLineChars="200"/>
      </w:pPr>
      <w:r>
        <w:rPr>
          <w:b/>
          <w:bCs/>
        </w:rPr>
        <w:t>3</w:t>
      </w:r>
      <w:r>
        <w:rPr>
          <w:rFonts w:hint="eastAsia"/>
          <w:b/>
          <w:bCs/>
        </w:rPr>
        <w:t>．</w:t>
      </w:r>
      <w:r>
        <w:rPr>
          <w:rFonts w:hint="eastAsia"/>
          <w:b/>
          <w:bCs/>
          <w:lang w:eastAsia="zh-CN"/>
        </w:rPr>
        <w:t>亩均税收</w:t>
      </w:r>
      <w:r>
        <w:rPr>
          <w:rFonts w:hint="eastAsia"/>
          <w:b/>
          <w:bCs/>
        </w:rPr>
        <w:t>：</w:t>
      </w:r>
      <w:r>
        <w:rPr>
          <w:rFonts w:hint="eastAsia"/>
        </w:rPr>
        <w:t>项目用地范围内单位土地面积上上缴税金数量。反映单位土地上项目缴纳税金情况，是衡量土地产出水平的重要尺度。</w:t>
      </w:r>
    </w:p>
    <w:p>
      <w:pPr>
        <w:ind w:firstLine="861" w:firstLineChars="300"/>
      </w:pPr>
      <w:r>
        <w:rPr>
          <w:rFonts w:hint="eastAsia"/>
          <w:b/>
          <w:bCs/>
        </w:rPr>
        <w:t>计算公式：</w:t>
      </w:r>
      <w:r>
        <w:rPr>
          <w:rFonts w:hint="eastAsia"/>
          <w:lang w:eastAsia="zh-CN"/>
        </w:rPr>
        <w:t>亩均税收</w:t>
      </w:r>
      <w:r>
        <w:rPr>
          <w:rFonts w:hint="eastAsia"/>
        </w:rPr>
        <w:t>＝项目上缴税金总额÷项目总用地面积。</w:t>
      </w:r>
    </w:p>
    <w:p>
      <w:pPr>
        <w:ind w:firstLine="861" w:firstLineChars="300"/>
      </w:pPr>
      <w:r>
        <w:rPr>
          <w:rFonts w:hint="eastAsia"/>
        </w:rPr>
        <w:t>其中，项目上缴税金总额为企业一个自然年度内实际上缴国税、地税全部税收与税费合计，但不包括社会保险费。</w:t>
      </w:r>
    </w:p>
    <w:p>
      <w:pPr>
        <w:ind w:firstLine="574" w:firstLineChars="200"/>
      </w:pPr>
      <w:r>
        <w:rPr>
          <w:b/>
          <w:bCs/>
        </w:rPr>
        <w:t>4</w:t>
      </w:r>
      <w:r>
        <w:rPr>
          <w:rFonts w:hint="eastAsia"/>
          <w:b/>
          <w:bCs/>
        </w:rPr>
        <w:t>．容积率：</w:t>
      </w:r>
      <w:r>
        <w:rPr>
          <w:rFonts w:hint="eastAsia"/>
        </w:rPr>
        <w:t>项目用地范围内总建筑面积与项目总用地面积的比值。反映项目对土地的空间利用情况，是衡量土地利用强度的重要尺度。</w:t>
      </w:r>
    </w:p>
    <w:p>
      <w:pPr>
        <w:ind w:firstLine="861" w:firstLineChars="300"/>
      </w:pPr>
      <w:r>
        <w:rPr>
          <w:rFonts w:hint="eastAsia"/>
          <w:b/>
          <w:bCs/>
        </w:rPr>
        <w:t>计算公式：</w:t>
      </w:r>
      <w:r>
        <w:rPr>
          <w:rFonts w:hint="eastAsia"/>
        </w:rPr>
        <w:t>容积率＝项目总建筑面积÷项目总用地面积。</w:t>
      </w:r>
    </w:p>
    <w:p>
      <w:pPr>
        <w:ind w:firstLine="861" w:firstLineChars="300"/>
      </w:pPr>
      <w:r>
        <w:rPr>
          <w:rFonts w:hint="eastAsia"/>
        </w:rPr>
        <w:t>其中，项目总建筑面积按建筑工程建筑面积计算规范和浙江省建筑工程建筑面积计算和竣工综合测量技术规程有关建筑面积的计算规则计算；项目总用地面积是指项目用地红线范围内的土地面积，下同。建筑物层高超过8米的，在计算容积率时该层建筑面积加倍计算，建筑物层高超过</w:t>
      </w:r>
      <w:r>
        <w:t>12</w:t>
      </w:r>
      <w:r>
        <w:rPr>
          <w:rFonts w:hint="eastAsia"/>
        </w:rPr>
        <w:t>米的，在计算容积率时该层建筑面积按三倍计算。</w:t>
      </w:r>
    </w:p>
    <w:p>
      <w:pPr>
        <w:ind w:firstLine="574" w:firstLineChars="200"/>
      </w:pPr>
      <w:r>
        <w:rPr>
          <w:b/>
          <w:bCs/>
        </w:rPr>
        <w:t>5</w:t>
      </w:r>
      <w:r>
        <w:rPr>
          <w:rFonts w:hint="eastAsia"/>
          <w:b/>
          <w:bCs/>
        </w:rPr>
        <w:t>．屋顶光伏发电利用率</w:t>
      </w:r>
      <w:r>
        <w:rPr>
          <w:rFonts w:hint="eastAsia"/>
        </w:rPr>
        <w:t>：屋顶铺设分布式光伏太阳能发电板与屋顶总面积的比例。反应项目屋顶资源利用率与新能源开发利用的指标。</w:t>
      </w:r>
    </w:p>
    <w:p>
      <w:pPr>
        <w:ind w:firstLine="861" w:firstLineChars="300"/>
      </w:pPr>
      <w:r>
        <w:rPr>
          <w:rFonts w:hint="eastAsia"/>
          <w:b/>
          <w:bCs/>
        </w:rPr>
        <w:t>计算公式：</w:t>
      </w:r>
      <w:r>
        <w:rPr>
          <w:rFonts w:hint="eastAsia"/>
        </w:rPr>
        <w:t>屋顶光伏发电利用率=屋顶光伏太阳能发电板实际占地面积的总和÷屋顶总面积*</w:t>
      </w:r>
      <w:r>
        <w:t>100</w:t>
      </w:r>
      <w:r>
        <w:rPr>
          <w:rFonts w:hint="eastAsia"/>
        </w:rPr>
        <w:t>%。</w:t>
      </w:r>
    </w:p>
    <w:p>
      <w:pPr>
        <w:ind w:firstLine="861" w:firstLineChars="300"/>
      </w:pPr>
      <w:r>
        <w:rPr>
          <w:rFonts w:hint="eastAsia"/>
        </w:rPr>
        <w:t>指标参照国家能源局下发《关于报送整县（市、区）屋顶分布式光伏开发试点方案的通知》，工商业厂房屋顶总面积可安装光伏发电比例不低于30%，并结合仓储实际用能情况确定。</w:t>
      </w:r>
    </w:p>
    <w:p>
      <w:pPr>
        <w:ind w:firstLine="574" w:firstLineChars="200"/>
      </w:pPr>
      <w:r>
        <w:rPr>
          <w:b/>
          <w:bCs/>
        </w:rPr>
        <w:t>6</w:t>
      </w:r>
      <w:r>
        <w:rPr>
          <w:rFonts w:hint="eastAsia"/>
          <w:b/>
          <w:bCs/>
        </w:rPr>
        <w:t>．碳排放强度</w:t>
      </w:r>
      <w:r>
        <w:rPr>
          <w:rFonts w:hint="eastAsia"/>
        </w:rPr>
        <w:t>：拟建设项目增加值碳排放对金华市“十四五”末考核年碳排放强度的影响评价。</w:t>
      </w:r>
    </w:p>
    <w:p>
      <w:pPr>
        <w:ind w:firstLine="861" w:firstLineChars="300"/>
      </w:pPr>
      <w:r>
        <w:rPr>
          <w:rFonts w:hint="eastAsia"/>
          <w:b/>
          <w:bCs/>
        </w:rPr>
        <w:t>计算公式</w:t>
      </w:r>
      <w:r>
        <w:rPr>
          <w:rFonts w:hint="eastAsia"/>
          <w:b/>
          <w:bCs/>
          <w:sz w:val="21"/>
          <w:szCs w:val="20"/>
        </w:rPr>
        <w:t>：</w:t>
      </w:r>
      <w:r>
        <w:rPr>
          <w:rFonts w:hint="eastAsia"/>
        </w:rPr>
        <w:t>碳排放强度=拟建设项目满负荷运行时碳排放总量÷拟建设项目满负荷运行时产值</w:t>
      </w:r>
    </w:p>
    <w:p>
      <w:pPr>
        <w:ind w:firstLine="861" w:firstLineChars="300"/>
      </w:pPr>
      <w:r>
        <w:rPr>
          <w:rFonts w:hint="eastAsia"/>
        </w:rPr>
        <w:t>依据金华市公开发布数据，分析核算项目实施后对金华市碳排放强度考核目标可达性的影响评价。</w:t>
      </w:r>
    </w:p>
    <w:p>
      <w:pPr>
        <w:ind w:firstLine="574" w:firstLineChars="200"/>
      </w:pPr>
      <w:r>
        <w:rPr>
          <w:b/>
          <w:bCs/>
        </w:rPr>
        <w:t>7</w:t>
      </w:r>
      <w:r>
        <w:rPr>
          <w:rFonts w:hint="eastAsia"/>
          <w:b/>
          <w:bCs/>
        </w:rPr>
        <w:t>．物流智能信息化水平</w:t>
      </w:r>
      <w:r>
        <w:rPr>
          <w:rFonts w:hint="eastAsia"/>
        </w:rPr>
        <w:t>：表示企业在信息化设施、智能化设备、新基建等的智能化与现代信息技术与物流业发展的深度融合程度。是体现智慧物流程度的重要指标。</w:t>
      </w:r>
    </w:p>
    <w:p>
      <w:pPr>
        <w:ind w:firstLine="1148" w:firstLineChars="400"/>
      </w:pPr>
      <w:r>
        <w:rPr>
          <w:rFonts w:hint="eastAsia"/>
          <w:b/>
          <w:bCs/>
        </w:rPr>
        <w:t>计算公式：</w:t>
      </w:r>
      <m:oMath>
        <m:r>
          <m:rPr>
            <m:sty m:val="bi"/>
          </m:rPr>
          <w:rPr>
            <w:rFonts w:ascii="Cambria Math" w:hAnsi="Cambria Math"/>
            <w:sz w:val="36"/>
            <w:szCs w:val="32"/>
          </w:rPr>
          <m:t>I</m:t>
        </m:r>
        <m:r>
          <m:rPr>
            <m:sty m:val="bi"/>
          </m:rPr>
          <w:rPr>
            <w:rFonts w:hint="eastAsia" w:ascii="Cambria Math" w:hAnsi="Cambria Math"/>
            <w:sz w:val="36"/>
            <w:szCs w:val="32"/>
          </w:rPr>
          <m:t>=</m:t>
        </m:r>
        <m:nary>
          <m:naryPr>
            <m:chr m:val="∑"/>
            <m:limLoc m:val="undOvr"/>
            <m:subHide m:val="1"/>
            <m:supHide m:val="1"/>
            <m:ctrlPr>
              <w:rPr>
                <w:rFonts w:ascii="Cambria Math" w:hAnsi="Cambria Math"/>
                <w:b/>
                <w:bCs/>
                <w:i/>
                <w:sz w:val="36"/>
                <w:szCs w:val="32"/>
              </w:rPr>
            </m:ctrlPr>
          </m:naryPr>
          <m:sub>
            <m:ctrlPr>
              <w:rPr>
                <w:rFonts w:ascii="Cambria Math" w:hAnsi="Cambria Math"/>
                <w:b/>
                <w:bCs/>
                <w:i/>
                <w:sz w:val="36"/>
                <w:szCs w:val="32"/>
              </w:rPr>
            </m:ctrlPr>
          </m:sub>
          <m:sup>
            <m:ctrlPr>
              <w:rPr>
                <w:rFonts w:ascii="Cambria Math" w:hAnsi="Cambria Math"/>
                <w:b/>
                <w:bCs/>
                <w:i/>
                <w:sz w:val="36"/>
                <w:szCs w:val="32"/>
              </w:rPr>
            </m:ctrlPr>
          </m:sup>
          <m:e>
            <m:sSub>
              <m:sSubPr>
                <m:ctrlPr>
                  <w:rPr>
                    <w:rFonts w:ascii="Cambria Math" w:hAnsi="Cambria Math"/>
                    <w:b/>
                    <w:bCs/>
                    <w:i/>
                    <w:sz w:val="36"/>
                    <w:szCs w:val="32"/>
                  </w:rPr>
                </m:ctrlPr>
              </m:sSubPr>
              <m:e>
                <m:r>
                  <m:rPr>
                    <m:sty m:val="bi"/>
                  </m:rPr>
                  <w:rPr>
                    <w:rFonts w:ascii="Cambria Math" w:hAnsi="Cambria Math"/>
                    <w:sz w:val="36"/>
                    <w:szCs w:val="32"/>
                  </w:rPr>
                  <m:t>W</m:t>
                </m:r>
                <m:ctrlPr>
                  <w:rPr>
                    <w:rFonts w:ascii="Cambria Math" w:hAnsi="Cambria Math"/>
                    <w:b/>
                    <w:bCs/>
                    <w:i/>
                    <w:sz w:val="36"/>
                    <w:szCs w:val="32"/>
                  </w:rPr>
                </m:ctrlPr>
              </m:e>
              <m:sub>
                <m:r>
                  <m:rPr>
                    <m:sty m:val="bi"/>
                  </m:rPr>
                  <w:rPr>
                    <w:rFonts w:hint="eastAsia" w:ascii="Cambria Math" w:hAnsi="Cambria Math"/>
                    <w:sz w:val="36"/>
                    <w:szCs w:val="32"/>
                  </w:rPr>
                  <m:t>i</m:t>
                </m:r>
                <m:ctrlPr>
                  <w:rPr>
                    <w:rFonts w:ascii="Cambria Math" w:hAnsi="Cambria Math"/>
                    <w:b/>
                    <w:bCs/>
                    <w:i/>
                    <w:sz w:val="36"/>
                    <w:szCs w:val="32"/>
                  </w:rPr>
                </m:ctrlPr>
              </m:sub>
            </m:sSub>
            <m:sSub>
              <m:sSubPr>
                <m:ctrlPr>
                  <w:rPr>
                    <w:rFonts w:ascii="Cambria Math" w:hAnsi="Cambria Math"/>
                    <w:b/>
                    <w:bCs/>
                    <w:i/>
                    <w:sz w:val="36"/>
                    <w:szCs w:val="32"/>
                  </w:rPr>
                </m:ctrlPr>
              </m:sSubPr>
              <m:e>
                <m:r>
                  <m:rPr>
                    <m:sty m:val="bi"/>
                  </m:rPr>
                  <w:rPr>
                    <w:rFonts w:ascii="Cambria Math" w:hAnsi="Cambria Math"/>
                    <w:sz w:val="36"/>
                    <w:szCs w:val="32"/>
                  </w:rPr>
                  <m:t>P</m:t>
                </m:r>
                <m:ctrlPr>
                  <w:rPr>
                    <w:rFonts w:ascii="Cambria Math" w:hAnsi="Cambria Math"/>
                    <w:b/>
                    <w:bCs/>
                    <w:i/>
                    <w:sz w:val="36"/>
                    <w:szCs w:val="32"/>
                  </w:rPr>
                </m:ctrlPr>
              </m:e>
              <m:sub>
                <m:r>
                  <m:rPr>
                    <m:sty m:val="bi"/>
                  </m:rPr>
                  <w:rPr>
                    <w:rFonts w:hint="eastAsia" w:ascii="Cambria Math" w:hAnsi="Cambria Math"/>
                    <w:sz w:val="36"/>
                    <w:szCs w:val="32"/>
                  </w:rPr>
                  <m:t>i</m:t>
                </m:r>
                <m:ctrlPr>
                  <w:rPr>
                    <w:rFonts w:ascii="Cambria Math" w:hAnsi="Cambria Math"/>
                    <w:b/>
                    <w:bCs/>
                    <w:i/>
                    <w:sz w:val="36"/>
                    <w:szCs w:val="32"/>
                  </w:rPr>
                </m:ctrlPr>
              </m:sub>
            </m:sSub>
            <m:ctrlPr>
              <w:rPr>
                <w:rFonts w:ascii="Cambria Math" w:hAnsi="Cambria Math"/>
                <w:b/>
                <w:bCs/>
                <w:i/>
                <w:sz w:val="36"/>
                <w:szCs w:val="32"/>
              </w:rPr>
            </m:ctrlPr>
          </m:e>
        </m:nary>
      </m:oMath>
    </w:p>
    <w:p>
      <w:pPr>
        <w:ind w:firstLine="1148" w:firstLineChars="400"/>
      </w:pPr>
      <w:r>
        <w:t>I</w:t>
      </w:r>
      <w:r>
        <w:rPr>
          <w:rFonts w:hint="eastAsia"/>
        </w:rPr>
        <w:t>为物流智能信息化水平的数值，P</w:t>
      </w:r>
      <w:r>
        <w:rPr>
          <w:rFonts w:hint="eastAsia"/>
          <w:vertAlign w:val="subscript"/>
        </w:rPr>
        <w:t>i</w:t>
      </w:r>
      <w:r>
        <w:rPr>
          <w:rFonts w:hint="eastAsia"/>
        </w:rPr>
        <w:t>表示第i个指标的得分，各指标得满分都是100分，</w:t>
      </w:r>
      <w:r>
        <w:t>W</w:t>
      </w:r>
      <w:r>
        <w:rPr>
          <w:rFonts w:hint="eastAsia"/>
          <w:vertAlign w:val="subscript"/>
        </w:rPr>
        <w:t>i</w:t>
      </w:r>
      <w:r>
        <w:rPr>
          <w:rFonts w:hint="eastAsia"/>
        </w:rPr>
        <w:t>表示第i个指标的权重，所有指标的权重的和为100%。</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5"/>
        <w:gridCol w:w="7371"/>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4395" w:type="dxa"/>
            <w:vAlign w:val="center"/>
          </w:tcPr>
          <w:p>
            <w:pPr>
              <w:spacing w:line="240" w:lineRule="auto"/>
              <w:jc w:val="center"/>
              <w:rPr>
                <w:rFonts w:eastAsia="黑体"/>
                <w:sz w:val="24"/>
              </w:rPr>
            </w:pPr>
            <w:r>
              <w:rPr>
                <w:rFonts w:hint="eastAsia" w:eastAsia="黑体"/>
                <w:sz w:val="24"/>
              </w:rPr>
              <w:t>指标名称</w:t>
            </w:r>
          </w:p>
        </w:tc>
        <w:tc>
          <w:tcPr>
            <w:tcW w:w="7371" w:type="dxa"/>
            <w:vAlign w:val="center"/>
          </w:tcPr>
          <w:p>
            <w:pPr>
              <w:spacing w:line="240" w:lineRule="auto"/>
              <w:jc w:val="center"/>
              <w:rPr>
                <w:rFonts w:eastAsia="黑体"/>
                <w:sz w:val="24"/>
              </w:rPr>
            </w:pPr>
            <w:r>
              <w:rPr>
                <w:rFonts w:hint="eastAsia" w:eastAsia="黑体"/>
                <w:sz w:val="24"/>
              </w:rPr>
              <w:t>数据来源或计算方法</w:t>
            </w:r>
          </w:p>
        </w:tc>
        <w:tc>
          <w:tcPr>
            <w:tcW w:w="1275" w:type="dxa"/>
            <w:vAlign w:val="center"/>
          </w:tcPr>
          <w:p>
            <w:pPr>
              <w:spacing w:line="240" w:lineRule="auto"/>
              <w:jc w:val="center"/>
              <w:rPr>
                <w:rFonts w:eastAsia="黑体"/>
                <w:sz w:val="24"/>
              </w:rPr>
            </w:pPr>
            <w:r>
              <w:rPr>
                <w:rFonts w:hint="eastAsia" w:eastAsia="黑体"/>
                <w:sz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5" w:type="dxa"/>
            <w:vAlign w:val="center"/>
          </w:tcPr>
          <w:p>
            <w:pPr>
              <w:spacing w:line="480" w:lineRule="exact"/>
              <w:jc w:val="center"/>
              <w:rPr>
                <w:sz w:val="24"/>
              </w:rPr>
            </w:pPr>
            <w:r>
              <w:rPr>
                <w:rFonts w:hint="eastAsia"/>
                <w:sz w:val="24"/>
              </w:rPr>
              <w:t>物流智能设备投资占比</w:t>
            </w:r>
          </w:p>
        </w:tc>
        <w:tc>
          <w:tcPr>
            <w:tcW w:w="7371" w:type="dxa"/>
            <w:vAlign w:val="center"/>
          </w:tcPr>
          <w:p>
            <w:pPr>
              <w:spacing w:line="400" w:lineRule="exact"/>
              <w:jc w:val="center"/>
              <w:rPr>
                <w:sz w:val="24"/>
              </w:rPr>
            </w:pPr>
            <w:r>
              <w:rPr>
                <w:rFonts w:hint="eastAsia"/>
                <w:sz w:val="24"/>
              </w:rPr>
              <w:t>企业物流智能化设备投入总额占固定资产投资比重*100%</w:t>
            </w:r>
          </w:p>
        </w:tc>
        <w:tc>
          <w:tcPr>
            <w:tcW w:w="1275" w:type="dxa"/>
            <w:vAlign w:val="center"/>
          </w:tcPr>
          <w:p>
            <w:pPr>
              <w:spacing w:line="400" w:lineRule="exact"/>
              <w:jc w:val="center"/>
              <w:rPr>
                <w:sz w:val="24"/>
              </w:rPr>
            </w:pPr>
            <w:r>
              <w:rPr>
                <w:rFonts w:hint="eastAsia"/>
                <w:sz w:val="24"/>
              </w:rPr>
              <w:t>3</w:t>
            </w:r>
            <w:r>
              <w:rPr>
                <w:sz w:val="24"/>
              </w:rPr>
              <w:t>0</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5" w:type="dxa"/>
            <w:vAlign w:val="center"/>
          </w:tcPr>
          <w:p>
            <w:pPr>
              <w:spacing w:line="480" w:lineRule="exact"/>
              <w:jc w:val="center"/>
              <w:rPr>
                <w:sz w:val="24"/>
              </w:rPr>
            </w:pPr>
            <w:r>
              <w:rPr>
                <w:rFonts w:hint="eastAsia"/>
                <w:sz w:val="24"/>
              </w:rPr>
              <w:t>信息化投入总额占固定资产投资比重（％）</w:t>
            </w:r>
          </w:p>
        </w:tc>
        <w:tc>
          <w:tcPr>
            <w:tcW w:w="7371" w:type="dxa"/>
            <w:vAlign w:val="center"/>
          </w:tcPr>
          <w:p>
            <w:pPr>
              <w:spacing w:line="400" w:lineRule="exact"/>
              <w:jc w:val="center"/>
              <w:rPr>
                <w:sz w:val="24"/>
              </w:rPr>
            </w:pPr>
            <w:r>
              <w:rPr>
                <w:rFonts w:hint="eastAsia"/>
                <w:sz w:val="24"/>
              </w:rPr>
              <w:t>近三年平均的本企业信息化投入总额占固定资产投资比重／50%</w:t>
            </w:r>
            <w:r>
              <w:rPr>
                <w:sz w:val="24"/>
              </w:rPr>
              <w:t>*</w:t>
            </w:r>
            <w:r>
              <w:rPr>
                <w:rFonts w:hint="eastAsia"/>
                <w:sz w:val="24"/>
              </w:rPr>
              <w:t>100%</w:t>
            </w:r>
          </w:p>
        </w:tc>
        <w:tc>
          <w:tcPr>
            <w:tcW w:w="1275" w:type="dxa"/>
            <w:vAlign w:val="center"/>
          </w:tcPr>
          <w:p>
            <w:pPr>
              <w:spacing w:line="400" w:lineRule="exact"/>
              <w:jc w:val="center"/>
              <w:rPr>
                <w:sz w:val="24"/>
              </w:rPr>
            </w:pPr>
            <w:r>
              <w:rPr>
                <w:rFonts w:hint="eastAsia"/>
                <w:sz w:val="24"/>
              </w:rPr>
              <w:t>3</w:t>
            </w:r>
            <w:r>
              <w:rPr>
                <w:sz w:val="24"/>
              </w:rPr>
              <w:t>0</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5" w:type="dxa"/>
            <w:vAlign w:val="center"/>
          </w:tcPr>
          <w:p>
            <w:pPr>
              <w:spacing w:line="480" w:lineRule="exact"/>
              <w:jc w:val="center"/>
              <w:rPr>
                <w:sz w:val="24"/>
              </w:rPr>
            </w:pPr>
            <w:r>
              <w:rPr>
                <w:rFonts w:hint="eastAsia"/>
                <w:sz w:val="24"/>
              </w:rPr>
              <w:t>物流信息系统利用率（%）</w:t>
            </w:r>
          </w:p>
        </w:tc>
        <w:tc>
          <w:tcPr>
            <w:tcW w:w="7371" w:type="dxa"/>
            <w:vAlign w:val="center"/>
          </w:tcPr>
          <w:p>
            <w:pPr>
              <w:spacing w:line="400" w:lineRule="exact"/>
              <w:jc w:val="center"/>
              <w:rPr>
                <w:sz w:val="24"/>
              </w:rPr>
            </w:pPr>
            <w:r>
              <w:rPr>
                <w:rFonts w:hint="eastAsia"/>
                <w:sz w:val="24"/>
              </w:rPr>
              <w:t>统计数据</w:t>
            </w:r>
          </w:p>
        </w:tc>
        <w:tc>
          <w:tcPr>
            <w:tcW w:w="1275" w:type="dxa"/>
            <w:vAlign w:val="center"/>
          </w:tcPr>
          <w:p>
            <w:pPr>
              <w:spacing w:line="400" w:lineRule="exact"/>
              <w:jc w:val="center"/>
              <w:rPr>
                <w:sz w:val="24"/>
              </w:rPr>
            </w:pPr>
            <w:r>
              <w:rPr>
                <w:rFonts w:hint="eastAsia"/>
                <w:sz w:val="24"/>
              </w:rPr>
              <w:t>2</w:t>
            </w:r>
            <w:r>
              <w:rPr>
                <w:sz w:val="24"/>
              </w:rPr>
              <w:t>0</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95" w:type="dxa"/>
            <w:vAlign w:val="center"/>
          </w:tcPr>
          <w:p>
            <w:pPr>
              <w:spacing w:line="480" w:lineRule="exact"/>
              <w:jc w:val="center"/>
              <w:rPr>
                <w:sz w:val="24"/>
              </w:rPr>
            </w:pPr>
            <w:r>
              <w:rPr>
                <w:rFonts w:hint="eastAsia"/>
                <w:sz w:val="24"/>
              </w:rPr>
              <w:t>物流信息设施设备利用率</w:t>
            </w:r>
          </w:p>
        </w:tc>
        <w:tc>
          <w:tcPr>
            <w:tcW w:w="7371" w:type="dxa"/>
            <w:vAlign w:val="center"/>
          </w:tcPr>
          <w:p>
            <w:pPr>
              <w:spacing w:line="400" w:lineRule="exact"/>
              <w:jc w:val="center"/>
              <w:rPr>
                <w:sz w:val="24"/>
              </w:rPr>
            </w:pPr>
            <w:r>
              <w:rPr>
                <w:rFonts w:hint="eastAsia"/>
                <w:sz w:val="24"/>
              </w:rPr>
              <w:t>各物流环节电子化作业量与物流业务总量之比</w:t>
            </w:r>
          </w:p>
        </w:tc>
        <w:tc>
          <w:tcPr>
            <w:tcW w:w="1275" w:type="dxa"/>
            <w:vAlign w:val="center"/>
          </w:tcPr>
          <w:p>
            <w:pPr>
              <w:spacing w:line="400" w:lineRule="exact"/>
              <w:jc w:val="center"/>
              <w:rPr>
                <w:sz w:val="24"/>
              </w:rPr>
            </w:pPr>
            <w:r>
              <w:rPr>
                <w:rFonts w:hint="eastAsia"/>
                <w:sz w:val="24"/>
              </w:rPr>
              <w:t>2</w:t>
            </w:r>
            <w:r>
              <w:rPr>
                <w:sz w:val="24"/>
              </w:rPr>
              <w:t>0</w:t>
            </w:r>
            <w:r>
              <w:rPr>
                <w:rFonts w:hint="eastAsia"/>
                <w:sz w:val="24"/>
              </w:rPr>
              <w:t>%</w:t>
            </w:r>
          </w:p>
        </w:tc>
      </w:tr>
    </w:tbl>
    <w:p>
      <w:pPr>
        <w:ind w:firstLine="574" w:firstLineChars="200"/>
      </w:pPr>
      <w:r>
        <w:rPr>
          <w:rFonts w:hint="eastAsia"/>
        </w:rPr>
        <w:t>根据金华市现代物流业发展研究报告，到2</w:t>
      </w:r>
      <w:r>
        <w:t>025</w:t>
      </w:r>
      <w:r>
        <w:rPr>
          <w:rFonts w:hint="eastAsia"/>
        </w:rPr>
        <w:t>年物流业信息化应用率＞8</w:t>
      </w:r>
      <w:r>
        <w:t>0</w:t>
      </w:r>
      <w:r>
        <w:rPr>
          <w:rFonts w:hint="eastAsia"/>
        </w:rPr>
        <w:t>%；浙江省现代物流业发展“十四五”规划，到2</w:t>
      </w:r>
      <w:r>
        <w:t>025</w:t>
      </w:r>
      <w:r>
        <w:rPr>
          <w:rFonts w:hint="eastAsia"/>
        </w:rPr>
        <w:t>年物流服务信息化水平达到95%以上，建议</w:t>
      </w:r>
      <w:r>
        <w:rPr>
          <w:rFonts w:hint="eastAsia"/>
          <w:lang w:eastAsia="zh-CN"/>
        </w:rPr>
        <w:t>金义新区（金东区）</w:t>
      </w:r>
      <w:r>
        <w:rPr>
          <w:rFonts w:hint="eastAsia"/>
        </w:rPr>
        <w:t>物流服务信息化水平达到8</w:t>
      </w:r>
      <w:r>
        <w:t>5</w:t>
      </w:r>
      <w:r>
        <w:rPr>
          <w:rFonts w:hint="eastAsia"/>
        </w:rPr>
        <w:t>%以上。</w:t>
      </w:r>
    </w:p>
    <w:p>
      <w:pPr>
        <w:sectPr>
          <w:headerReference r:id="rId7" w:type="default"/>
          <w:pgSz w:w="16838" w:h="11906" w:orient="landscape"/>
          <w:pgMar w:top="1797" w:right="1440" w:bottom="1797" w:left="1440" w:header="794" w:footer="794" w:gutter="0"/>
          <w:cols w:space="425" w:num="1"/>
          <w:docGrid w:type="linesAndChars" w:linePitch="436" w:charSpace="-10884"/>
        </w:sectPr>
      </w:pPr>
    </w:p>
    <w:p>
      <w:pPr>
        <w:pStyle w:val="2"/>
        <w:ind w:firstLine="574"/>
      </w:pPr>
      <w:r>
        <w:rPr>
          <w:rFonts w:hint="eastAsia"/>
        </w:rPr>
        <w:t xml:space="preserve">附件2：参考资料 </w:t>
      </w:r>
    </w:p>
    <w:tbl>
      <w:tblPr>
        <w:tblStyle w:val="1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3402"/>
        <w:gridCol w:w="3553"/>
        <w:gridCol w:w="2790"/>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48" w:type="dxa"/>
            <w:gridSpan w:val="5"/>
            <w:shd w:val="clear" w:color="auto" w:fill="auto"/>
            <w:vAlign w:val="center"/>
          </w:tcPr>
          <w:p>
            <w:pPr>
              <w:jc w:val="center"/>
              <w:rPr>
                <w:rFonts w:eastAsia="黑体"/>
                <w:sz w:val="28"/>
              </w:rPr>
            </w:pPr>
            <w:r>
              <w:rPr>
                <w:rFonts w:hint="eastAsia" w:eastAsia="黑体"/>
                <w:sz w:val="28"/>
              </w:rPr>
              <w:t>基础指标对照表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4815" w:type="dxa"/>
            <w:gridSpan w:val="2"/>
            <w:shd w:val="clear" w:color="auto" w:fill="auto"/>
            <w:vAlign w:val="center"/>
          </w:tcPr>
          <w:p>
            <w:pPr>
              <w:jc w:val="center"/>
              <w:rPr>
                <w:rFonts w:hint="eastAsia" w:eastAsia="黑体"/>
                <w:sz w:val="24"/>
                <w:szCs w:val="24"/>
              </w:rPr>
            </w:pPr>
            <w:r>
              <w:rPr>
                <w:rFonts w:hint="eastAsia" w:eastAsia="黑体"/>
                <w:sz w:val="24"/>
                <w:szCs w:val="24"/>
              </w:rPr>
              <w:t>指标名称</w:t>
            </w:r>
          </w:p>
        </w:tc>
        <w:tc>
          <w:tcPr>
            <w:tcW w:w="3553" w:type="dxa"/>
            <w:shd w:val="clear" w:color="auto" w:fill="auto"/>
            <w:vAlign w:val="center"/>
          </w:tcPr>
          <w:p>
            <w:pPr>
              <w:jc w:val="center"/>
              <w:rPr>
                <w:rFonts w:hint="eastAsia" w:eastAsia="黑体"/>
                <w:sz w:val="24"/>
                <w:szCs w:val="24"/>
              </w:rPr>
            </w:pPr>
            <w:r>
              <w:rPr>
                <w:rFonts w:hint="eastAsia" w:eastAsia="黑体"/>
                <w:sz w:val="24"/>
                <w:szCs w:val="24"/>
              </w:rPr>
              <w:t>固定资产投资强度（万元/亩）</w:t>
            </w:r>
          </w:p>
        </w:tc>
        <w:tc>
          <w:tcPr>
            <w:tcW w:w="2790" w:type="dxa"/>
            <w:shd w:val="clear" w:color="auto" w:fill="auto"/>
            <w:vAlign w:val="center"/>
          </w:tcPr>
          <w:p>
            <w:pPr>
              <w:jc w:val="center"/>
              <w:rPr>
                <w:rFonts w:hint="eastAsia" w:eastAsia="黑体"/>
                <w:sz w:val="24"/>
                <w:szCs w:val="24"/>
              </w:rPr>
            </w:pPr>
            <w:r>
              <w:rPr>
                <w:rFonts w:hint="eastAsia" w:eastAsia="黑体"/>
                <w:sz w:val="24"/>
                <w:szCs w:val="24"/>
              </w:rPr>
              <w:t>土地产出（万元/亩）</w:t>
            </w:r>
          </w:p>
        </w:tc>
        <w:tc>
          <w:tcPr>
            <w:tcW w:w="2790" w:type="dxa"/>
            <w:shd w:val="clear" w:color="auto" w:fill="auto"/>
            <w:vAlign w:val="center"/>
          </w:tcPr>
          <w:p>
            <w:pPr>
              <w:jc w:val="center"/>
              <w:rPr>
                <w:rFonts w:hint="eastAsia" w:eastAsia="黑体"/>
                <w:sz w:val="24"/>
                <w:szCs w:val="24"/>
              </w:rPr>
            </w:pPr>
            <w:r>
              <w:rPr>
                <w:rFonts w:hint="eastAsia" w:eastAsia="黑体"/>
                <w:sz w:val="24"/>
                <w:szCs w:val="24"/>
                <w:lang w:eastAsia="zh-CN"/>
              </w:rPr>
              <w:t>亩均税收</w:t>
            </w:r>
            <w:r>
              <w:rPr>
                <w:rFonts w:hint="eastAsia" w:eastAsia="黑体"/>
                <w:sz w:val="24"/>
                <w:szCs w:val="24"/>
              </w:rPr>
              <w:t>（万元/亩）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shd w:val="clear" w:color="auto" w:fill="BCE1C0" w:themeFill="background1" w:themeFillShade="F2"/>
            <w:vAlign w:val="center"/>
          </w:tcPr>
          <w:p>
            <w:pPr>
              <w:spacing w:line="240" w:lineRule="auto"/>
              <w:jc w:val="center"/>
              <w:rPr>
                <w:rFonts w:hint="eastAsia" w:eastAsia="仿宋_GB2312"/>
                <w:b/>
                <w:sz w:val="24"/>
                <w:szCs w:val="24"/>
                <w:lang w:eastAsia="zh-CN"/>
              </w:rPr>
            </w:pPr>
            <w:r>
              <w:rPr>
                <w:rFonts w:hint="eastAsia"/>
                <w:b/>
                <w:sz w:val="24"/>
                <w:szCs w:val="24"/>
                <w:lang w:eastAsia="zh-CN"/>
              </w:rPr>
              <w:t>金义新区（金东区）</w:t>
            </w:r>
          </w:p>
          <w:p>
            <w:pPr>
              <w:spacing w:line="240" w:lineRule="auto"/>
              <w:jc w:val="center"/>
              <w:rPr>
                <w:b/>
                <w:sz w:val="24"/>
                <w:szCs w:val="24"/>
              </w:rPr>
            </w:pPr>
            <w:r>
              <w:rPr>
                <w:rFonts w:hint="eastAsia"/>
                <w:b/>
                <w:sz w:val="24"/>
                <w:szCs w:val="24"/>
              </w:rPr>
              <w:t>建议指标</w:t>
            </w:r>
          </w:p>
        </w:tc>
        <w:tc>
          <w:tcPr>
            <w:tcW w:w="3402" w:type="dxa"/>
            <w:shd w:val="clear" w:color="auto" w:fill="BCE1C0" w:themeFill="background1" w:themeFillShade="F2"/>
            <w:vAlign w:val="center"/>
          </w:tcPr>
          <w:p>
            <w:pPr>
              <w:spacing w:line="240" w:lineRule="auto"/>
              <w:jc w:val="center"/>
              <w:rPr>
                <w:sz w:val="28"/>
              </w:rPr>
            </w:pPr>
            <w:r>
              <w:rPr>
                <w:rFonts w:hint="eastAsia"/>
                <w:sz w:val="28"/>
              </w:rPr>
              <w:t>通用仓储类</w:t>
            </w:r>
          </w:p>
        </w:tc>
        <w:tc>
          <w:tcPr>
            <w:tcW w:w="3553" w:type="dxa"/>
            <w:shd w:val="clear" w:color="auto" w:fill="BCE1C0" w:themeFill="background1" w:themeFillShade="F2"/>
            <w:vAlign w:val="center"/>
          </w:tcPr>
          <w:p>
            <w:pPr>
              <w:spacing w:line="240" w:lineRule="auto"/>
              <w:jc w:val="center"/>
              <w:rPr>
                <w:sz w:val="28"/>
              </w:rPr>
            </w:pPr>
            <w:r>
              <w:rPr>
                <w:rFonts w:hint="eastAsia"/>
                <w:sz w:val="24"/>
                <w:szCs w:val="22"/>
              </w:rPr>
              <w:t>≥3</w:t>
            </w:r>
            <w:r>
              <w:rPr>
                <w:sz w:val="24"/>
                <w:szCs w:val="22"/>
              </w:rPr>
              <w:t>00</w:t>
            </w:r>
          </w:p>
        </w:tc>
        <w:tc>
          <w:tcPr>
            <w:tcW w:w="2790" w:type="dxa"/>
            <w:shd w:val="clear" w:color="auto" w:fill="BCE1C0" w:themeFill="background1" w:themeFillShade="F2"/>
            <w:vAlign w:val="center"/>
          </w:tcPr>
          <w:p>
            <w:pPr>
              <w:spacing w:line="240" w:lineRule="auto"/>
              <w:jc w:val="center"/>
              <w:rPr>
                <w:sz w:val="28"/>
              </w:rPr>
            </w:pPr>
            <w:r>
              <w:rPr>
                <w:rFonts w:hint="eastAsia"/>
                <w:sz w:val="24"/>
                <w:szCs w:val="22"/>
              </w:rPr>
              <w:t>≥4</w:t>
            </w:r>
            <w:r>
              <w:rPr>
                <w:sz w:val="24"/>
                <w:szCs w:val="22"/>
              </w:rPr>
              <w:t>00</w:t>
            </w:r>
          </w:p>
        </w:tc>
        <w:tc>
          <w:tcPr>
            <w:tcW w:w="2790" w:type="dxa"/>
            <w:shd w:val="clear" w:color="auto" w:fill="BCE1C0" w:themeFill="background1" w:themeFillShade="F2"/>
            <w:vAlign w:val="center"/>
          </w:tcPr>
          <w:p>
            <w:pPr>
              <w:spacing w:line="240" w:lineRule="auto"/>
              <w:jc w:val="center"/>
              <w:rPr>
                <w:sz w:val="28"/>
              </w:rPr>
            </w:pPr>
            <w:r>
              <w:rPr>
                <w:rFonts w:hint="eastAsia"/>
                <w:sz w:val="24"/>
                <w:szCs w:val="22"/>
              </w:rPr>
              <w:t>≥1</w:t>
            </w:r>
            <w:r>
              <w:rPr>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BCE1C0" w:themeFill="background1" w:themeFillShade="F2"/>
            <w:vAlign w:val="bottom"/>
          </w:tcPr>
          <w:p>
            <w:pPr>
              <w:spacing w:line="240" w:lineRule="auto"/>
              <w:jc w:val="center"/>
              <w:rPr>
                <w:b/>
                <w:sz w:val="24"/>
                <w:szCs w:val="24"/>
              </w:rPr>
            </w:pPr>
          </w:p>
        </w:tc>
        <w:tc>
          <w:tcPr>
            <w:tcW w:w="3402" w:type="dxa"/>
            <w:shd w:val="clear" w:color="auto" w:fill="BCE1C0" w:themeFill="background1" w:themeFillShade="F2"/>
            <w:vAlign w:val="center"/>
          </w:tcPr>
          <w:p>
            <w:pPr>
              <w:spacing w:line="240" w:lineRule="auto"/>
              <w:jc w:val="center"/>
              <w:rPr>
                <w:sz w:val="28"/>
              </w:rPr>
            </w:pPr>
            <w:r>
              <w:rPr>
                <w:rFonts w:hint="eastAsia"/>
                <w:sz w:val="28"/>
              </w:rPr>
              <w:t>低温仓储类</w:t>
            </w:r>
          </w:p>
          <w:p>
            <w:pPr>
              <w:spacing w:line="240" w:lineRule="auto"/>
              <w:jc w:val="center"/>
              <w:rPr>
                <w:sz w:val="28"/>
              </w:rPr>
            </w:pPr>
            <w:r>
              <w:rPr>
                <w:rFonts w:hint="eastAsia"/>
                <w:sz w:val="28"/>
              </w:rPr>
              <w:t>（含保温冷藏冷冻类）</w:t>
            </w:r>
          </w:p>
        </w:tc>
        <w:tc>
          <w:tcPr>
            <w:tcW w:w="3553" w:type="dxa"/>
            <w:shd w:val="clear" w:color="auto" w:fill="BCE1C0" w:themeFill="background1" w:themeFillShade="F2"/>
            <w:vAlign w:val="center"/>
          </w:tcPr>
          <w:p>
            <w:pPr>
              <w:spacing w:line="240" w:lineRule="auto"/>
              <w:jc w:val="center"/>
              <w:rPr>
                <w:sz w:val="28"/>
              </w:rPr>
            </w:pPr>
            <w:r>
              <w:rPr>
                <w:rFonts w:hint="eastAsia"/>
                <w:sz w:val="24"/>
                <w:szCs w:val="22"/>
              </w:rPr>
              <w:t>≥</w:t>
            </w:r>
            <w:r>
              <w:rPr>
                <w:sz w:val="24"/>
                <w:szCs w:val="22"/>
              </w:rPr>
              <w:t>400</w:t>
            </w:r>
          </w:p>
        </w:tc>
        <w:tc>
          <w:tcPr>
            <w:tcW w:w="2790" w:type="dxa"/>
            <w:shd w:val="clear" w:color="auto" w:fill="BCE1C0" w:themeFill="background1" w:themeFillShade="F2"/>
            <w:vAlign w:val="center"/>
          </w:tcPr>
          <w:p>
            <w:pPr>
              <w:spacing w:line="240" w:lineRule="auto"/>
              <w:jc w:val="center"/>
              <w:rPr>
                <w:sz w:val="28"/>
              </w:rPr>
            </w:pPr>
            <w:r>
              <w:rPr>
                <w:rFonts w:hint="eastAsia"/>
                <w:sz w:val="24"/>
                <w:szCs w:val="22"/>
              </w:rPr>
              <w:t>≥3</w:t>
            </w:r>
            <w:r>
              <w:rPr>
                <w:sz w:val="24"/>
                <w:szCs w:val="22"/>
              </w:rPr>
              <w:t>90</w:t>
            </w:r>
          </w:p>
        </w:tc>
        <w:tc>
          <w:tcPr>
            <w:tcW w:w="2790" w:type="dxa"/>
            <w:shd w:val="clear" w:color="auto" w:fill="BCE1C0" w:themeFill="background1" w:themeFillShade="F2"/>
            <w:vAlign w:val="center"/>
          </w:tcPr>
          <w:p>
            <w:pPr>
              <w:spacing w:line="240" w:lineRule="auto"/>
              <w:jc w:val="center"/>
              <w:rPr>
                <w:sz w:val="28"/>
              </w:rPr>
            </w:pPr>
            <w:r>
              <w:rPr>
                <w:rFonts w:hint="eastAsia"/>
                <w:sz w:val="24"/>
                <w:szCs w:val="22"/>
              </w:rPr>
              <w:t>≥1</w:t>
            </w:r>
            <w:r>
              <w:rPr>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BCE1C0" w:themeFill="background1" w:themeFillShade="F2"/>
            <w:vAlign w:val="center"/>
          </w:tcPr>
          <w:p>
            <w:pPr>
              <w:spacing w:line="240" w:lineRule="auto"/>
              <w:jc w:val="center"/>
              <w:rPr>
                <w:b/>
                <w:sz w:val="24"/>
                <w:szCs w:val="24"/>
              </w:rPr>
            </w:pPr>
          </w:p>
        </w:tc>
        <w:tc>
          <w:tcPr>
            <w:tcW w:w="3402" w:type="dxa"/>
            <w:shd w:val="clear" w:color="auto" w:fill="BCE1C0" w:themeFill="background1" w:themeFillShade="F2"/>
            <w:vAlign w:val="center"/>
          </w:tcPr>
          <w:p>
            <w:pPr>
              <w:spacing w:line="240" w:lineRule="auto"/>
              <w:jc w:val="center"/>
              <w:rPr>
                <w:sz w:val="28"/>
              </w:rPr>
            </w:pPr>
            <w:r>
              <w:rPr>
                <w:rFonts w:hint="eastAsia"/>
                <w:sz w:val="28"/>
              </w:rPr>
              <w:t>农副产品仓储类</w:t>
            </w:r>
          </w:p>
        </w:tc>
        <w:tc>
          <w:tcPr>
            <w:tcW w:w="3553" w:type="dxa"/>
            <w:shd w:val="clear" w:color="auto" w:fill="BCE1C0" w:themeFill="background1" w:themeFillShade="F2"/>
            <w:vAlign w:val="center"/>
          </w:tcPr>
          <w:p>
            <w:pPr>
              <w:spacing w:line="240" w:lineRule="auto"/>
              <w:jc w:val="center"/>
              <w:rPr>
                <w:sz w:val="28"/>
              </w:rPr>
            </w:pPr>
            <w:r>
              <w:rPr>
                <w:rFonts w:hint="eastAsia"/>
                <w:sz w:val="24"/>
                <w:szCs w:val="22"/>
              </w:rPr>
              <w:t>≥</w:t>
            </w:r>
            <w:r>
              <w:rPr>
                <w:sz w:val="24"/>
                <w:szCs w:val="22"/>
              </w:rPr>
              <w:t>300</w:t>
            </w:r>
          </w:p>
        </w:tc>
        <w:tc>
          <w:tcPr>
            <w:tcW w:w="2790" w:type="dxa"/>
            <w:shd w:val="clear" w:color="auto" w:fill="BCE1C0" w:themeFill="background1" w:themeFillShade="F2"/>
            <w:vAlign w:val="center"/>
          </w:tcPr>
          <w:p>
            <w:pPr>
              <w:spacing w:line="240" w:lineRule="auto"/>
              <w:jc w:val="center"/>
              <w:rPr>
                <w:sz w:val="28"/>
              </w:rPr>
            </w:pPr>
            <w:r>
              <w:rPr>
                <w:rFonts w:hint="eastAsia"/>
                <w:sz w:val="24"/>
                <w:szCs w:val="22"/>
              </w:rPr>
              <w:t>≥3</w:t>
            </w:r>
            <w:r>
              <w:rPr>
                <w:sz w:val="24"/>
                <w:szCs w:val="22"/>
              </w:rPr>
              <w:t>50</w:t>
            </w:r>
          </w:p>
        </w:tc>
        <w:tc>
          <w:tcPr>
            <w:tcW w:w="2790" w:type="dxa"/>
            <w:shd w:val="clear" w:color="auto" w:fill="BCE1C0" w:themeFill="background1" w:themeFillShade="F2"/>
            <w:vAlign w:val="center"/>
          </w:tcPr>
          <w:p>
            <w:pPr>
              <w:spacing w:line="240" w:lineRule="auto"/>
              <w:jc w:val="center"/>
              <w:rPr>
                <w:sz w:val="28"/>
              </w:rPr>
            </w:pPr>
            <w:r>
              <w:rPr>
                <w:rFonts w:hint="eastAsia"/>
                <w:sz w:val="24"/>
                <w:szCs w:val="22"/>
              </w:rPr>
              <w:t>≥1</w:t>
            </w:r>
            <w:r>
              <w:rPr>
                <w:sz w:val="24"/>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BCE1C0" w:themeFill="background1" w:themeFillShade="F2"/>
            <w:vAlign w:val="center"/>
          </w:tcPr>
          <w:p>
            <w:pPr>
              <w:spacing w:line="240" w:lineRule="auto"/>
              <w:jc w:val="center"/>
              <w:rPr>
                <w:b/>
                <w:sz w:val="24"/>
                <w:szCs w:val="24"/>
              </w:rPr>
            </w:pPr>
          </w:p>
        </w:tc>
        <w:tc>
          <w:tcPr>
            <w:tcW w:w="3402" w:type="dxa"/>
            <w:shd w:val="clear" w:color="auto" w:fill="BCE1C0" w:themeFill="background1" w:themeFillShade="F2"/>
            <w:vAlign w:val="center"/>
          </w:tcPr>
          <w:p>
            <w:pPr>
              <w:spacing w:line="240" w:lineRule="auto"/>
              <w:jc w:val="center"/>
              <w:rPr>
                <w:sz w:val="28"/>
              </w:rPr>
            </w:pPr>
            <w:r>
              <w:rPr>
                <w:rFonts w:hint="eastAsia"/>
                <w:sz w:val="28"/>
              </w:rPr>
              <w:t>医药仓储类</w:t>
            </w:r>
          </w:p>
        </w:tc>
        <w:tc>
          <w:tcPr>
            <w:tcW w:w="3553" w:type="dxa"/>
            <w:shd w:val="clear" w:color="auto" w:fill="BCE1C0" w:themeFill="background1" w:themeFillShade="F2"/>
            <w:vAlign w:val="center"/>
          </w:tcPr>
          <w:p>
            <w:pPr>
              <w:spacing w:line="240" w:lineRule="auto"/>
              <w:jc w:val="center"/>
              <w:rPr>
                <w:sz w:val="28"/>
              </w:rPr>
            </w:pPr>
            <w:r>
              <w:rPr>
                <w:rFonts w:hint="eastAsia"/>
                <w:sz w:val="24"/>
                <w:szCs w:val="22"/>
              </w:rPr>
              <w:t>≥</w:t>
            </w:r>
            <w:r>
              <w:rPr>
                <w:sz w:val="24"/>
                <w:szCs w:val="22"/>
              </w:rPr>
              <w:t>400</w:t>
            </w:r>
          </w:p>
        </w:tc>
        <w:tc>
          <w:tcPr>
            <w:tcW w:w="2790" w:type="dxa"/>
            <w:shd w:val="clear" w:color="auto" w:fill="BCE1C0" w:themeFill="background1" w:themeFillShade="F2"/>
            <w:vAlign w:val="center"/>
          </w:tcPr>
          <w:p>
            <w:pPr>
              <w:spacing w:line="240" w:lineRule="auto"/>
              <w:jc w:val="center"/>
              <w:rPr>
                <w:sz w:val="28"/>
              </w:rPr>
            </w:pPr>
            <w:r>
              <w:rPr>
                <w:rFonts w:hint="eastAsia"/>
                <w:sz w:val="24"/>
                <w:szCs w:val="22"/>
              </w:rPr>
              <w:t>≥3</w:t>
            </w:r>
            <w:r>
              <w:rPr>
                <w:sz w:val="24"/>
                <w:szCs w:val="22"/>
              </w:rPr>
              <w:t>90</w:t>
            </w:r>
          </w:p>
        </w:tc>
        <w:tc>
          <w:tcPr>
            <w:tcW w:w="2790" w:type="dxa"/>
            <w:shd w:val="clear" w:color="auto" w:fill="BCE1C0" w:themeFill="background1" w:themeFillShade="F2"/>
            <w:vAlign w:val="center"/>
          </w:tcPr>
          <w:p>
            <w:pPr>
              <w:spacing w:line="240" w:lineRule="auto"/>
              <w:jc w:val="center"/>
              <w:rPr>
                <w:sz w:val="28"/>
              </w:rPr>
            </w:pPr>
            <w:r>
              <w:rPr>
                <w:rFonts w:hint="eastAsia"/>
                <w:sz w:val="24"/>
                <w:szCs w:val="22"/>
              </w:rPr>
              <w:t>≥1</w:t>
            </w:r>
            <w:r>
              <w:rPr>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bottom w:val="single" w:color="auto" w:sz="4" w:space="0"/>
            </w:tcBorders>
            <w:shd w:val="clear" w:color="auto" w:fill="BCE1C0" w:themeFill="background1" w:themeFillShade="F2"/>
            <w:vAlign w:val="center"/>
          </w:tcPr>
          <w:p>
            <w:pPr>
              <w:spacing w:line="240" w:lineRule="auto"/>
              <w:jc w:val="center"/>
              <w:rPr>
                <w:b/>
                <w:sz w:val="24"/>
                <w:szCs w:val="24"/>
              </w:rPr>
            </w:pPr>
          </w:p>
        </w:tc>
        <w:tc>
          <w:tcPr>
            <w:tcW w:w="3402" w:type="dxa"/>
            <w:shd w:val="clear" w:color="auto" w:fill="BCE1C0" w:themeFill="background1" w:themeFillShade="F2"/>
            <w:vAlign w:val="center"/>
          </w:tcPr>
          <w:p>
            <w:pPr>
              <w:spacing w:line="240" w:lineRule="auto"/>
              <w:jc w:val="center"/>
              <w:rPr>
                <w:sz w:val="28"/>
              </w:rPr>
            </w:pPr>
            <w:r>
              <w:rPr>
                <w:rFonts w:hint="eastAsia"/>
                <w:sz w:val="28"/>
              </w:rPr>
              <w:t>其他仓储类</w:t>
            </w:r>
          </w:p>
        </w:tc>
        <w:tc>
          <w:tcPr>
            <w:tcW w:w="3553" w:type="dxa"/>
            <w:shd w:val="clear" w:color="auto" w:fill="BCE1C0" w:themeFill="background1" w:themeFillShade="F2"/>
            <w:vAlign w:val="center"/>
          </w:tcPr>
          <w:p>
            <w:pPr>
              <w:spacing w:line="240" w:lineRule="auto"/>
              <w:jc w:val="center"/>
              <w:rPr>
                <w:sz w:val="28"/>
              </w:rPr>
            </w:pPr>
            <w:r>
              <w:rPr>
                <w:rFonts w:hint="eastAsia"/>
                <w:sz w:val="24"/>
                <w:szCs w:val="22"/>
              </w:rPr>
              <w:t>≥</w:t>
            </w:r>
            <w:r>
              <w:rPr>
                <w:sz w:val="24"/>
                <w:szCs w:val="22"/>
              </w:rPr>
              <w:t>350</w:t>
            </w:r>
          </w:p>
        </w:tc>
        <w:tc>
          <w:tcPr>
            <w:tcW w:w="2790" w:type="dxa"/>
            <w:shd w:val="clear" w:color="auto" w:fill="BCE1C0" w:themeFill="background1" w:themeFillShade="F2"/>
            <w:vAlign w:val="center"/>
          </w:tcPr>
          <w:p>
            <w:pPr>
              <w:spacing w:line="240" w:lineRule="auto"/>
              <w:jc w:val="center"/>
              <w:rPr>
                <w:sz w:val="28"/>
              </w:rPr>
            </w:pPr>
            <w:r>
              <w:rPr>
                <w:rFonts w:hint="eastAsia"/>
                <w:sz w:val="24"/>
                <w:szCs w:val="22"/>
              </w:rPr>
              <w:t>≥3</w:t>
            </w:r>
            <w:r>
              <w:rPr>
                <w:sz w:val="24"/>
                <w:szCs w:val="22"/>
              </w:rPr>
              <w:t>80</w:t>
            </w:r>
          </w:p>
        </w:tc>
        <w:tc>
          <w:tcPr>
            <w:tcW w:w="2790" w:type="dxa"/>
            <w:shd w:val="clear" w:color="auto" w:fill="BCE1C0" w:themeFill="background1" w:themeFillShade="F2"/>
            <w:vAlign w:val="center"/>
          </w:tcPr>
          <w:p>
            <w:pPr>
              <w:spacing w:line="240" w:lineRule="auto"/>
              <w:jc w:val="center"/>
              <w:rPr>
                <w:sz w:val="28"/>
              </w:rPr>
            </w:pPr>
            <w:r>
              <w:rPr>
                <w:rFonts w:hint="eastAsia"/>
                <w:sz w:val="24"/>
                <w:szCs w:val="22"/>
              </w:rPr>
              <w:t>≥1</w:t>
            </w:r>
            <w:r>
              <w:rPr>
                <w:sz w:val="24"/>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413" w:type="dxa"/>
            <w:vMerge w:val="restart"/>
            <w:shd w:val="clear" w:color="auto" w:fill="9FD3A4" w:themeFill="background1" w:themeFillShade="D9"/>
            <w:vAlign w:val="center"/>
          </w:tcPr>
          <w:p>
            <w:pPr>
              <w:spacing w:line="240" w:lineRule="auto"/>
              <w:jc w:val="center"/>
              <w:rPr>
                <w:b/>
                <w:sz w:val="24"/>
                <w:szCs w:val="24"/>
              </w:rPr>
            </w:pPr>
            <w:r>
              <w:rPr>
                <w:rFonts w:hint="eastAsia"/>
                <w:b/>
                <w:sz w:val="24"/>
                <w:szCs w:val="24"/>
              </w:rPr>
              <w:t>浙江省</w:t>
            </w:r>
          </w:p>
          <w:p>
            <w:pPr>
              <w:spacing w:line="240" w:lineRule="auto"/>
              <w:jc w:val="center"/>
              <w:rPr>
                <w:b/>
                <w:sz w:val="24"/>
                <w:szCs w:val="24"/>
              </w:rPr>
            </w:pPr>
            <w:r>
              <w:rPr>
                <w:rFonts w:hint="eastAsia"/>
                <w:b/>
                <w:sz w:val="24"/>
                <w:szCs w:val="24"/>
              </w:rPr>
              <w:t>控制指标</w:t>
            </w:r>
          </w:p>
        </w:tc>
        <w:tc>
          <w:tcPr>
            <w:tcW w:w="3402" w:type="dxa"/>
            <w:shd w:val="clear" w:color="auto" w:fill="9FD3A4" w:themeFill="background1" w:themeFillShade="D9"/>
            <w:vAlign w:val="center"/>
          </w:tcPr>
          <w:p>
            <w:pPr>
              <w:spacing w:line="240" w:lineRule="auto"/>
              <w:jc w:val="center"/>
              <w:rPr>
                <w:sz w:val="28"/>
              </w:rPr>
            </w:pPr>
            <w:r>
              <w:rPr>
                <w:rFonts w:hint="eastAsia"/>
                <w:sz w:val="28"/>
              </w:rPr>
              <w:t>通用仓储类</w:t>
            </w:r>
          </w:p>
        </w:tc>
        <w:tc>
          <w:tcPr>
            <w:tcW w:w="3553" w:type="dxa"/>
            <w:shd w:val="clear" w:color="auto" w:fill="9FD3A4" w:themeFill="background1" w:themeFillShade="D9"/>
            <w:vAlign w:val="center"/>
          </w:tcPr>
          <w:p>
            <w:pPr>
              <w:spacing w:line="240" w:lineRule="auto"/>
              <w:jc w:val="center"/>
              <w:rPr>
                <w:sz w:val="28"/>
              </w:rPr>
            </w:pPr>
            <w:r>
              <w:rPr>
                <w:rFonts w:hint="eastAsia"/>
                <w:sz w:val="24"/>
                <w:szCs w:val="22"/>
              </w:rPr>
              <w:t>≥9</w:t>
            </w:r>
            <w:r>
              <w:rPr>
                <w:sz w:val="24"/>
                <w:szCs w:val="22"/>
              </w:rPr>
              <w:t>5</w:t>
            </w:r>
          </w:p>
        </w:tc>
        <w:tc>
          <w:tcPr>
            <w:tcW w:w="2790" w:type="dxa"/>
            <w:shd w:val="clear" w:color="auto" w:fill="9FD3A4" w:themeFill="background1" w:themeFillShade="D9"/>
            <w:vAlign w:val="center"/>
          </w:tcPr>
          <w:p>
            <w:pPr>
              <w:spacing w:line="240" w:lineRule="auto"/>
              <w:jc w:val="center"/>
              <w:rPr>
                <w:sz w:val="28"/>
              </w:rPr>
            </w:pPr>
            <w:r>
              <w:rPr>
                <w:rFonts w:hint="eastAsia"/>
                <w:sz w:val="24"/>
                <w:szCs w:val="22"/>
              </w:rPr>
              <w:t>≥9</w:t>
            </w:r>
            <w:r>
              <w:rPr>
                <w:sz w:val="24"/>
                <w:szCs w:val="22"/>
              </w:rPr>
              <w:t>5</w:t>
            </w:r>
          </w:p>
        </w:tc>
        <w:tc>
          <w:tcPr>
            <w:tcW w:w="2790" w:type="dxa"/>
            <w:shd w:val="clear" w:color="auto" w:fill="9FD3A4" w:themeFill="background1" w:themeFillShade="D9"/>
            <w:vAlign w:val="center"/>
          </w:tcPr>
          <w:p>
            <w:pPr>
              <w:spacing w:line="240" w:lineRule="auto"/>
              <w:jc w:val="center"/>
              <w:rPr>
                <w:sz w:val="28"/>
              </w:rPr>
            </w:pPr>
            <w:r>
              <w:rPr>
                <w:rFonts w:hint="eastAsia"/>
                <w:sz w:val="24"/>
                <w:szCs w:val="22"/>
              </w:rPr>
              <w:t>≥1</w:t>
            </w:r>
            <w:r>
              <w:rPr>
                <w:sz w:val="24"/>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1413" w:type="dxa"/>
            <w:vMerge w:val="continue"/>
            <w:shd w:val="clear" w:color="auto" w:fill="9FD3A4" w:themeFill="background1" w:themeFillShade="D9"/>
            <w:vAlign w:val="center"/>
          </w:tcPr>
          <w:p>
            <w:pPr>
              <w:spacing w:line="240" w:lineRule="auto"/>
              <w:jc w:val="center"/>
              <w:rPr>
                <w:b/>
                <w:sz w:val="24"/>
                <w:szCs w:val="24"/>
              </w:rPr>
            </w:pPr>
          </w:p>
        </w:tc>
        <w:tc>
          <w:tcPr>
            <w:tcW w:w="3402" w:type="dxa"/>
            <w:shd w:val="clear" w:color="auto" w:fill="9FD3A4" w:themeFill="background1" w:themeFillShade="D9"/>
            <w:vAlign w:val="center"/>
          </w:tcPr>
          <w:p>
            <w:pPr>
              <w:spacing w:line="320" w:lineRule="exact"/>
              <w:jc w:val="center"/>
              <w:rPr>
                <w:sz w:val="28"/>
              </w:rPr>
            </w:pPr>
            <w:r>
              <w:rPr>
                <w:rFonts w:hint="eastAsia"/>
                <w:sz w:val="28"/>
              </w:rPr>
              <w:t>保温冷藏类</w:t>
            </w:r>
          </w:p>
          <w:p>
            <w:pPr>
              <w:spacing w:line="320" w:lineRule="exact"/>
              <w:jc w:val="center"/>
              <w:rPr>
                <w:sz w:val="28"/>
              </w:rPr>
            </w:pPr>
            <w:r>
              <w:rPr>
                <w:rFonts w:hint="eastAsia"/>
                <w:sz w:val="28"/>
              </w:rPr>
              <w:t>（含冷冻类）</w:t>
            </w:r>
          </w:p>
        </w:tc>
        <w:tc>
          <w:tcPr>
            <w:tcW w:w="3553" w:type="dxa"/>
            <w:shd w:val="clear" w:color="auto" w:fill="9FD3A4" w:themeFill="background1" w:themeFillShade="D9"/>
            <w:vAlign w:val="center"/>
          </w:tcPr>
          <w:p>
            <w:pPr>
              <w:spacing w:line="240" w:lineRule="auto"/>
              <w:jc w:val="center"/>
              <w:rPr>
                <w:sz w:val="28"/>
              </w:rPr>
            </w:pPr>
            <w:r>
              <w:rPr>
                <w:rFonts w:hint="eastAsia"/>
                <w:sz w:val="24"/>
                <w:szCs w:val="22"/>
              </w:rPr>
              <w:t>≥2</w:t>
            </w:r>
            <w:r>
              <w:rPr>
                <w:sz w:val="24"/>
                <w:szCs w:val="22"/>
              </w:rPr>
              <w:t>00</w:t>
            </w:r>
          </w:p>
        </w:tc>
        <w:tc>
          <w:tcPr>
            <w:tcW w:w="2790" w:type="dxa"/>
            <w:shd w:val="clear" w:color="auto" w:fill="9FD3A4" w:themeFill="background1" w:themeFillShade="D9"/>
            <w:vAlign w:val="center"/>
          </w:tcPr>
          <w:p>
            <w:pPr>
              <w:spacing w:line="240" w:lineRule="auto"/>
              <w:jc w:val="center"/>
              <w:rPr>
                <w:sz w:val="28"/>
              </w:rPr>
            </w:pPr>
            <w:r>
              <w:rPr>
                <w:rFonts w:hint="eastAsia"/>
                <w:sz w:val="24"/>
                <w:szCs w:val="22"/>
              </w:rPr>
              <w:t>≥</w:t>
            </w:r>
            <w:r>
              <w:rPr>
                <w:sz w:val="24"/>
                <w:szCs w:val="22"/>
              </w:rPr>
              <w:t>90</w:t>
            </w:r>
          </w:p>
        </w:tc>
        <w:tc>
          <w:tcPr>
            <w:tcW w:w="2790" w:type="dxa"/>
            <w:shd w:val="clear" w:color="auto" w:fill="9FD3A4" w:themeFill="background1" w:themeFillShade="D9"/>
            <w:vAlign w:val="center"/>
          </w:tcPr>
          <w:p>
            <w:pPr>
              <w:spacing w:line="240" w:lineRule="auto"/>
              <w:jc w:val="center"/>
              <w:rPr>
                <w:sz w:val="28"/>
              </w:rPr>
            </w:pPr>
            <w:r>
              <w:rPr>
                <w:rFonts w:hint="eastAsia"/>
                <w:sz w:val="24"/>
                <w:szCs w:val="22"/>
              </w:rPr>
              <w:t>≥1</w:t>
            </w:r>
            <w:r>
              <w:rPr>
                <w:sz w:val="24"/>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tcBorders>
              <w:bottom w:val="single" w:color="auto" w:sz="4" w:space="0"/>
            </w:tcBorders>
            <w:shd w:val="clear" w:color="auto" w:fill="9FD3A4" w:themeFill="background1" w:themeFillShade="D9"/>
            <w:vAlign w:val="center"/>
          </w:tcPr>
          <w:p>
            <w:pPr>
              <w:spacing w:line="240" w:lineRule="auto"/>
              <w:jc w:val="center"/>
              <w:rPr>
                <w:b/>
                <w:sz w:val="24"/>
                <w:szCs w:val="24"/>
              </w:rPr>
            </w:pPr>
          </w:p>
        </w:tc>
        <w:tc>
          <w:tcPr>
            <w:tcW w:w="3402" w:type="dxa"/>
            <w:shd w:val="clear" w:color="auto" w:fill="9FD3A4" w:themeFill="background1" w:themeFillShade="D9"/>
            <w:vAlign w:val="center"/>
          </w:tcPr>
          <w:p>
            <w:pPr>
              <w:spacing w:line="240" w:lineRule="auto"/>
              <w:jc w:val="center"/>
              <w:rPr>
                <w:sz w:val="28"/>
              </w:rPr>
            </w:pPr>
            <w:r>
              <w:rPr>
                <w:rFonts w:hint="eastAsia"/>
                <w:sz w:val="28"/>
              </w:rPr>
              <w:t>农副产品类</w:t>
            </w:r>
          </w:p>
        </w:tc>
        <w:tc>
          <w:tcPr>
            <w:tcW w:w="3553" w:type="dxa"/>
            <w:shd w:val="clear" w:color="auto" w:fill="9FD3A4" w:themeFill="background1" w:themeFillShade="D9"/>
            <w:vAlign w:val="center"/>
          </w:tcPr>
          <w:p>
            <w:pPr>
              <w:spacing w:line="240" w:lineRule="auto"/>
              <w:jc w:val="center"/>
              <w:rPr>
                <w:sz w:val="24"/>
                <w:szCs w:val="22"/>
              </w:rPr>
            </w:pPr>
            <w:r>
              <w:rPr>
                <w:rFonts w:hint="eastAsia"/>
                <w:sz w:val="24"/>
                <w:szCs w:val="22"/>
              </w:rPr>
              <w:t>≥1</w:t>
            </w:r>
            <w:r>
              <w:rPr>
                <w:sz w:val="24"/>
                <w:szCs w:val="22"/>
              </w:rPr>
              <w:t>00</w:t>
            </w:r>
          </w:p>
        </w:tc>
        <w:tc>
          <w:tcPr>
            <w:tcW w:w="2790" w:type="dxa"/>
            <w:shd w:val="clear" w:color="auto" w:fill="9FD3A4" w:themeFill="background1" w:themeFillShade="D9"/>
            <w:vAlign w:val="center"/>
          </w:tcPr>
          <w:p>
            <w:pPr>
              <w:spacing w:line="240" w:lineRule="auto"/>
              <w:jc w:val="center"/>
              <w:rPr>
                <w:sz w:val="24"/>
                <w:szCs w:val="22"/>
              </w:rPr>
            </w:pPr>
            <w:r>
              <w:rPr>
                <w:rFonts w:hint="eastAsia"/>
                <w:sz w:val="24"/>
                <w:szCs w:val="22"/>
              </w:rPr>
              <w:t>≥</w:t>
            </w:r>
            <w:r>
              <w:rPr>
                <w:sz w:val="24"/>
                <w:szCs w:val="22"/>
              </w:rPr>
              <w:t>45</w:t>
            </w:r>
          </w:p>
        </w:tc>
        <w:tc>
          <w:tcPr>
            <w:tcW w:w="2790" w:type="dxa"/>
            <w:shd w:val="clear" w:color="auto" w:fill="9FD3A4" w:themeFill="background1" w:themeFillShade="D9"/>
            <w:vAlign w:val="center"/>
          </w:tcPr>
          <w:p>
            <w:pPr>
              <w:spacing w:line="240" w:lineRule="auto"/>
              <w:jc w:val="center"/>
              <w:rPr>
                <w:sz w:val="28"/>
              </w:rPr>
            </w:pPr>
            <w:r>
              <w:rPr>
                <w:rFonts w:hint="eastAsia"/>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restart"/>
            <w:shd w:val="clear" w:color="auto" w:fill="80C588" w:themeFill="background1" w:themeFillShade="BF"/>
            <w:vAlign w:val="center"/>
          </w:tcPr>
          <w:p>
            <w:pPr>
              <w:spacing w:line="240" w:lineRule="auto"/>
              <w:jc w:val="center"/>
              <w:rPr>
                <w:b/>
                <w:sz w:val="24"/>
                <w:szCs w:val="24"/>
              </w:rPr>
            </w:pPr>
            <w:r>
              <w:rPr>
                <w:rFonts w:hint="eastAsia"/>
                <w:b/>
                <w:sz w:val="24"/>
                <w:szCs w:val="24"/>
              </w:rPr>
              <w:t>已出让</w:t>
            </w:r>
          </w:p>
          <w:p>
            <w:pPr>
              <w:spacing w:line="240" w:lineRule="auto"/>
              <w:jc w:val="center"/>
              <w:rPr>
                <w:b/>
                <w:sz w:val="24"/>
                <w:szCs w:val="24"/>
              </w:rPr>
            </w:pPr>
            <w:r>
              <w:rPr>
                <w:rFonts w:hint="eastAsia"/>
                <w:b/>
                <w:sz w:val="24"/>
                <w:szCs w:val="24"/>
              </w:rPr>
              <w:t>用地指标</w:t>
            </w:r>
          </w:p>
        </w:tc>
        <w:tc>
          <w:tcPr>
            <w:tcW w:w="3402" w:type="dxa"/>
            <w:shd w:val="clear" w:color="auto" w:fill="80C588" w:themeFill="background1" w:themeFillShade="BF"/>
            <w:vAlign w:val="center"/>
          </w:tcPr>
          <w:p>
            <w:pPr>
              <w:spacing w:line="240" w:lineRule="auto"/>
              <w:jc w:val="center"/>
              <w:rPr>
                <w:sz w:val="28"/>
              </w:rPr>
            </w:pPr>
            <w:r>
              <w:rPr>
                <w:rFonts w:hint="eastAsia"/>
                <w:sz w:val="28"/>
              </w:rPr>
              <w:t>顺丰地块</w:t>
            </w:r>
          </w:p>
        </w:tc>
        <w:tc>
          <w:tcPr>
            <w:tcW w:w="3553" w:type="dxa"/>
            <w:shd w:val="clear" w:color="auto" w:fill="80C588" w:themeFill="background1" w:themeFillShade="BF"/>
            <w:vAlign w:val="center"/>
          </w:tcPr>
          <w:p>
            <w:pPr>
              <w:spacing w:line="240" w:lineRule="auto"/>
              <w:jc w:val="center"/>
              <w:rPr>
                <w:sz w:val="24"/>
                <w:szCs w:val="22"/>
              </w:rPr>
            </w:pPr>
            <w:r>
              <w:rPr>
                <w:rFonts w:hint="eastAsia"/>
                <w:sz w:val="24"/>
                <w:szCs w:val="22"/>
              </w:rPr>
              <w:t>≥</w:t>
            </w:r>
            <w:r>
              <w:rPr>
                <w:sz w:val="24"/>
                <w:szCs w:val="22"/>
              </w:rPr>
              <w:t>400</w:t>
            </w:r>
          </w:p>
        </w:tc>
        <w:tc>
          <w:tcPr>
            <w:tcW w:w="2790" w:type="dxa"/>
            <w:shd w:val="clear" w:color="auto" w:fill="80C588" w:themeFill="background1" w:themeFillShade="BF"/>
            <w:vAlign w:val="center"/>
          </w:tcPr>
          <w:p>
            <w:pPr>
              <w:spacing w:line="240" w:lineRule="auto"/>
              <w:jc w:val="center"/>
              <w:rPr>
                <w:sz w:val="24"/>
                <w:szCs w:val="22"/>
              </w:rPr>
            </w:pPr>
            <w:r>
              <w:rPr>
                <w:rFonts w:hint="eastAsia"/>
                <w:sz w:val="24"/>
                <w:szCs w:val="22"/>
              </w:rPr>
              <w:t>≥</w:t>
            </w:r>
            <w:r>
              <w:rPr>
                <w:sz w:val="24"/>
                <w:szCs w:val="22"/>
              </w:rPr>
              <w:t>500</w:t>
            </w:r>
          </w:p>
        </w:tc>
        <w:tc>
          <w:tcPr>
            <w:tcW w:w="2790" w:type="dxa"/>
            <w:shd w:val="clear" w:color="auto" w:fill="80C588" w:themeFill="background1" w:themeFillShade="BF"/>
            <w:vAlign w:val="center"/>
          </w:tcPr>
          <w:p>
            <w:pPr>
              <w:spacing w:line="240" w:lineRule="auto"/>
              <w:jc w:val="center"/>
              <w:rPr>
                <w:sz w:val="28"/>
              </w:rPr>
            </w:pPr>
            <w:r>
              <w:rPr>
                <w:rFonts w:hint="eastAsia"/>
                <w:sz w:val="28"/>
              </w:rPr>
              <w:t>≥</w:t>
            </w:r>
            <w:r>
              <w:rPr>
                <w:sz w:val="2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vMerge w:val="continue"/>
            <w:shd w:val="clear" w:color="auto" w:fill="80C588" w:themeFill="background1" w:themeFillShade="BF"/>
            <w:vAlign w:val="center"/>
          </w:tcPr>
          <w:p>
            <w:pPr>
              <w:spacing w:line="240" w:lineRule="auto"/>
              <w:jc w:val="center"/>
              <w:rPr>
                <w:b/>
                <w:sz w:val="24"/>
                <w:szCs w:val="24"/>
              </w:rPr>
            </w:pPr>
          </w:p>
        </w:tc>
        <w:tc>
          <w:tcPr>
            <w:tcW w:w="3402" w:type="dxa"/>
            <w:shd w:val="clear" w:color="auto" w:fill="80C588" w:themeFill="background1" w:themeFillShade="BF"/>
            <w:vAlign w:val="center"/>
          </w:tcPr>
          <w:p>
            <w:pPr>
              <w:spacing w:line="240" w:lineRule="auto"/>
              <w:jc w:val="center"/>
              <w:rPr>
                <w:sz w:val="28"/>
              </w:rPr>
            </w:pPr>
            <w:r>
              <w:rPr>
                <w:rFonts w:hint="eastAsia"/>
                <w:sz w:val="28"/>
              </w:rPr>
              <w:t>华东医药地块</w:t>
            </w:r>
          </w:p>
        </w:tc>
        <w:tc>
          <w:tcPr>
            <w:tcW w:w="3553" w:type="dxa"/>
            <w:shd w:val="clear" w:color="auto" w:fill="80C588" w:themeFill="background1" w:themeFillShade="BF"/>
            <w:vAlign w:val="center"/>
          </w:tcPr>
          <w:p>
            <w:pPr>
              <w:spacing w:line="240" w:lineRule="auto"/>
              <w:jc w:val="center"/>
              <w:rPr>
                <w:sz w:val="24"/>
                <w:szCs w:val="22"/>
              </w:rPr>
            </w:pPr>
            <w:r>
              <w:rPr>
                <w:rFonts w:hint="eastAsia"/>
                <w:sz w:val="24"/>
                <w:szCs w:val="22"/>
              </w:rPr>
              <w:t>≥</w:t>
            </w:r>
            <w:r>
              <w:rPr>
                <w:sz w:val="24"/>
                <w:szCs w:val="22"/>
              </w:rPr>
              <w:t>425</w:t>
            </w:r>
          </w:p>
        </w:tc>
        <w:tc>
          <w:tcPr>
            <w:tcW w:w="2790" w:type="dxa"/>
            <w:shd w:val="clear" w:color="auto" w:fill="80C588" w:themeFill="background1" w:themeFillShade="BF"/>
            <w:vAlign w:val="center"/>
          </w:tcPr>
          <w:p>
            <w:pPr>
              <w:spacing w:line="240" w:lineRule="auto"/>
              <w:jc w:val="center"/>
              <w:rPr>
                <w:sz w:val="24"/>
                <w:szCs w:val="22"/>
              </w:rPr>
            </w:pPr>
            <w:r>
              <w:rPr>
                <w:rFonts w:hint="eastAsia"/>
                <w:sz w:val="24"/>
                <w:szCs w:val="22"/>
              </w:rPr>
              <w:t>≥</w:t>
            </w:r>
            <w:r>
              <w:rPr>
                <w:sz w:val="24"/>
                <w:szCs w:val="22"/>
              </w:rPr>
              <w:t>500</w:t>
            </w:r>
          </w:p>
        </w:tc>
        <w:tc>
          <w:tcPr>
            <w:tcW w:w="2790" w:type="dxa"/>
            <w:shd w:val="clear" w:color="auto" w:fill="80C588" w:themeFill="background1" w:themeFillShade="BF"/>
            <w:vAlign w:val="center"/>
          </w:tcPr>
          <w:p>
            <w:pPr>
              <w:spacing w:line="240" w:lineRule="auto"/>
              <w:jc w:val="center"/>
              <w:rPr>
                <w:sz w:val="28"/>
              </w:rPr>
            </w:pPr>
            <w:r>
              <w:rPr>
                <w:rFonts w:hint="eastAsia"/>
                <w:sz w:val="24"/>
                <w:szCs w:val="22"/>
              </w:rPr>
              <w:t>≥1</w:t>
            </w:r>
            <w:r>
              <w:rPr>
                <w:sz w:val="24"/>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shd w:val="clear" w:color="auto" w:fill="63B86C" w:themeFill="background1" w:themeFillShade="A6"/>
            <w:vAlign w:val="center"/>
          </w:tcPr>
          <w:p>
            <w:pPr>
              <w:spacing w:line="240" w:lineRule="auto"/>
              <w:jc w:val="center"/>
              <w:rPr>
                <w:b/>
                <w:sz w:val="24"/>
                <w:szCs w:val="24"/>
              </w:rPr>
            </w:pPr>
            <w:r>
              <w:rPr>
                <w:rFonts w:hint="eastAsia"/>
                <w:b/>
                <w:sz w:val="24"/>
                <w:szCs w:val="24"/>
              </w:rPr>
              <w:t>周边县市出让指标</w:t>
            </w:r>
          </w:p>
        </w:tc>
        <w:tc>
          <w:tcPr>
            <w:tcW w:w="3402" w:type="dxa"/>
            <w:shd w:val="clear" w:color="auto" w:fill="63B86C" w:themeFill="background1" w:themeFillShade="A6"/>
            <w:vAlign w:val="center"/>
          </w:tcPr>
          <w:p>
            <w:pPr>
              <w:spacing w:line="240" w:lineRule="auto"/>
              <w:jc w:val="center"/>
              <w:rPr>
                <w:sz w:val="28"/>
              </w:rPr>
            </w:pPr>
            <w:r>
              <w:rPr>
                <w:rFonts w:hint="eastAsia"/>
                <w:sz w:val="28"/>
              </w:rPr>
              <w:t>义乌物流标准地</w:t>
            </w:r>
          </w:p>
        </w:tc>
        <w:tc>
          <w:tcPr>
            <w:tcW w:w="3553" w:type="dxa"/>
            <w:shd w:val="clear" w:color="auto" w:fill="63B86C" w:themeFill="background1" w:themeFillShade="A6"/>
            <w:vAlign w:val="center"/>
          </w:tcPr>
          <w:p>
            <w:pPr>
              <w:spacing w:line="240" w:lineRule="auto"/>
              <w:jc w:val="center"/>
              <w:rPr>
                <w:sz w:val="28"/>
              </w:rPr>
            </w:pPr>
            <w:r>
              <w:rPr>
                <w:rFonts w:hint="eastAsia"/>
                <w:sz w:val="24"/>
                <w:szCs w:val="22"/>
              </w:rPr>
              <w:t>≥3</w:t>
            </w:r>
            <w:r>
              <w:rPr>
                <w:sz w:val="24"/>
                <w:szCs w:val="22"/>
              </w:rPr>
              <w:t>00</w:t>
            </w:r>
          </w:p>
        </w:tc>
        <w:tc>
          <w:tcPr>
            <w:tcW w:w="2790" w:type="dxa"/>
            <w:shd w:val="clear" w:color="auto" w:fill="63B86C" w:themeFill="background1" w:themeFillShade="A6"/>
            <w:vAlign w:val="center"/>
          </w:tcPr>
          <w:p>
            <w:pPr>
              <w:spacing w:line="240" w:lineRule="auto"/>
              <w:jc w:val="center"/>
              <w:rPr>
                <w:sz w:val="28"/>
              </w:rPr>
            </w:pPr>
            <w:r>
              <w:rPr>
                <w:rFonts w:hint="eastAsia"/>
                <w:sz w:val="28"/>
              </w:rPr>
              <w:t>/</w:t>
            </w:r>
          </w:p>
        </w:tc>
        <w:tc>
          <w:tcPr>
            <w:tcW w:w="2790" w:type="dxa"/>
            <w:shd w:val="clear" w:color="auto" w:fill="63B86C" w:themeFill="background1" w:themeFillShade="A6"/>
            <w:vAlign w:val="center"/>
          </w:tcPr>
          <w:p>
            <w:pPr>
              <w:spacing w:line="240" w:lineRule="auto"/>
              <w:jc w:val="center"/>
              <w:rPr>
                <w:sz w:val="28"/>
              </w:rPr>
            </w:pPr>
            <w:r>
              <w:rPr>
                <w:rFonts w:hint="eastAsia"/>
                <w:sz w:val="24"/>
                <w:szCs w:val="22"/>
              </w:rPr>
              <w:t>≥1</w:t>
            </w:r>
            <w:r>
              <w:rPr>
                <w:sz w:val="24"/>
                <w:szCs w:val="22"/>
              </w:rPr>
              <w:t>0</w:t>
            </w:r>
          </w:p>
        </w:tc>
      </w:tr>
    </w:tbl>
    <w:p>
      <w:pPr>
        <w:spacing w:line="288" w:lineRule="auto"/>
        <w:ind w:firstLine="574" w:firstLineChars="200"/>
        <w:rPr>
          <w:b/>
          <w:bCs/>
        </w:rPr>
      </w:pPr>
      <w:r>
        <w:rPr>
          <w:rFonts w:hint="eastAsia"/>
          <w:b/>
          <w:bCs/>
        </w:rPr>
        <w:t>注：</w:t>
      </w:r>
      <w:r>
        <w:t>1</w:t>
      </w:r>
      <w:r>
        <w:rPr>
          <w:rFonts w:hint="eastAsia"/>
        </w:rPr>
        <w:t>、固定资产投资强度：在浙江省工业等项目建设用地控制指标的基础上，结合已出让用地与周边县市出让用地情况，整体上调了2</w:t>
      </w:r>
      <w:r>
        <w:t>00</w:t>
      </w:r>
      <w:r>
        <w:rPr>
          <w:rFonts w:hint="eastAsia"/>
        </w:rPr>
        <w:t>万元，并做四舍五入取整处理；</w:t>
      </w:r>
    </w:p>
    <w:p>
      <w:pPr>
        <w:spacing w:line="288" w:lineRule="auto"/>
        <w:ind w:firstLine="1148" w:firstLineChars="400"/>
        <w:rPr>
          <w:b/>
          <w:bCs/>
        </w:rPr>
      </w:pPr>
      <w:r>
        <w:rPr>
          <w:rFonts w:hint="eastAsia"/>
        </w:rPr>
        <w:t>2、土地产出：在浙江省工业等项目建设用地控制指标的基础上，结合已出让用地情况，整体上调了3</w:t>
      </w:r>
      <w:r>
        <w:t>00</w:t>
      </w:r>
      <w:r>
        <w:rPr>
          <w:rFonts w:hint="eastAsia"/>
        </w:rPr>
        <w:t>万元，并做四舍五入取整处理；</w:t>
      </w:r>
    </w:p>
    <w:p>
      <w:pPr>
        <w:spacing w:line="288" w:lineRule="auto"/>
        <w:ind w:firstLine="1148" w:firstLineChars="400"/>
      </w:pPr>
      <w:r>
        <w:t>3</w:t>
      </w:r>
      <w:r>
        <w:rPr>
          <w:rFonts w:hint="eastAsia"/>
        </w:rPr>
        <w:t>、</w:t>
      </w:r>
      <w:r>
        <w:rPr>
          <w:rFonts w:hint="eastAsia"/>
          <w:lang w:eastAsia="zh-CN"/>
        </w:rPr>
        <w:t>亩均税收</w:t>
      </w:r>
      <w:r>
        <w:rPr>
          <w:rFonts w:hint="eastAsia"/>
        </w:rPr>
        <w:t>：结合</w:t>
      </w:r>
      <w:r>
        <w:rPr>
          <w:rFonts w:hint="eastAsia"/>
          <w:lang w:eastAsia="zh-CN"/>
        </w:rPr>
        <w:t>金义新区（金东区）</w:t>
      </w:r>
      <w:r>
        <w:rPr>
          <w:rFonts w:hint="eastAsia"/>
        </w:rPr>
        <w:t>已出让用地以及</w:t>
      </w:r>
      <w:r>
        <w:rPr>
          <w:rFonts w:hint="eastAsia"/>
          <w:lang w:eastAsia="zh-CN"/>
        </w:rPr>
        <w:t>金义新区（金东区）</w:t>
      </w:r>
      <w:r>
        <w:rPr>
          <w:rFonts w:hint="eastAsia"/>
        </w:rPr>
        <w:t>工业企业亩均效益综合评价办法（试行）规定的规上工业企业亩均税收19万元/亩的基准值，在浙江省工业等项目建设用地控制指标的基础上，整体上调了</w:t>
      </w:r>
      <w:r>
        <w:t>5</w:t>
      </w:r>
      <w:r>
        <w:rPr>
          <w:rFonts w:hint="eastAsia"/>
        </w:rPr>
        <w:t>万元。</w:t>
      </w:r>
    </w:p>
    <w:p>
      <w:pPr>
        <w:spacing w:line="288" w:lineRule="auto"/>
      </w:pPr>
    </w:p>
    <w:sectPr>
      <w:headerReference r:id="rId8" w:type="default"/>
      <w:pgSz w:w="16838" w:h="11906" w:orient="landscape"/>
      <w:pgMar w:top="1797" w:right="1440" w:bottom="1797" w:left="1440" w:header="794" w:footer="794" w:gutter="0"/>
      <w:cols w:space="425" w:num="1"/>
      <w:docGrid w:type="linesAndChars" w:linePitch="436" w:charSpace="-10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1113865"/>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EC625B"/>
    <w:multiLevelType w:val="singleLevel"/>
    <w:tmpl w:val="E5EC625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44"/>
  <w:drawingGridVerticalSpacing w:val="21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35"/>
    <w:rsid w:val="00002553"/>
    <w:rsid w:val="00005E3D"/>
    <w:rsid w:val="00010F94"/>
    <w:rsid w:val="00012B4E"/>
    <w:rsid w:val="00014A5E"/>
    <w:rsid w:val="00021313"/>
    <w:rsid w:val="00043EB5"/>
    <w:rsid w:val="00044D1E"/>
    <w:rsid w:val="00047924"/>
    <w:rsid w:val="000518D2"/>
    <w:rsid w:val="0005208E"/>
    <w:rsid w:val="00056A4B"/>
    <w:rsid w:val="0005772C"/>
    <w:rsid w:val="00060911"/>
    <w:rsid w:val="00063640"/>
    <w:rsid w:val="00066C8C"/>
    <w:rsid w:val="00073D1B"/>
    <w:rsid w:val="00075C6E"/>
    <w:rsid w:val="0007650D"/>
    <w:rsid w:val="000768D0"/>
    <w:rsid w:val="00077370"/>
    <w:rsid w:val="00083745"/>
    <w:rsid w:val="0008471E"/>
    <w:rsid w:val="0008526E"/>
    <w:rsid w:val="000866C4"/>
    <w:rsid w:val="00092BA7"/>
    <w:rsid w:val="00094066"/>
    <w:rsid w:val="00096806"/>
    <w:rsid w:val="000A250A"/>
    <w:rsid w:val="000A3D3C"/>
    <w:rsid w:val="000A64AA"/>
    <w:rsid w:val="000A7290"/>
    <w:rsid w:val="000B07B4"/>
    <w:rsid w:val="000B40DA"/>
    <w:rsid w:val="000B6C32"/>
    <w:rsid w:val="000B76A6"/>
    <w:rsid w:val="000C114C"/>
    <w:rsid w:val="000C367B"/>
    <w:rsid w:val="000C4455"/>
    <w:rsid w:val="000C4886"/>
    <w:rsid w:val="000C5636"/>
    <w:rsid w:val="000C6387"/>
    <w:rsid w:val="000C73C1"/>
    <w:rsid w:val="000D0F16"/>
    <w:rsid w:val="000D544B"/>
    <w:rsid w:val="000D5459"/>
    <w:rsid w:val="000D647C"/>
    <w:rsid w:val="000E2C63"/>
    <w:rsid w:val="000E3496"/>
    <w:rsid w:val="000E3DC7"/>
    <w:rsid w:val="000E4957"/>
    <w:rsid w:val="000E6005"/>
    <w:rsid w:val="000E7577"/>
    <w:rsid w:val="000E7A5E"/>
    <w:rsid w:val="000F3BB4"/>
    <w:rsid w:val="000F40C9"/>
    <w:rsid w:val="00100DF8"/>
    <w:rsid w:val="00107D69"/>
    <w:rsid w:val="00110F7D"/>
    <w:rsid w:val="00114315"/>
    <w:rsid w:val="00115100"/>
    <w:rsid w:val="00115122"/>
    <w:rsid w:val="00116396"/>
    <w:rsid w:val="00116486"/>
    <w:rsid w:val="00121BDB"/>
    <w:rsid w:val="00125ADA"/>
    <w:rsid w:val="00133C11"/>
    <w:rsid w:val="001341A4"/>
    <w:rsid w:val="00140122"/>
    <w:rsid w:val="00143059"/>
    <w:rsid w:val="001503C2"/>
    <w:rsid w:val="001509A7"/>
    <w:rsid w:val="00151F80"/>
    <w:rsid w:val="00153942"/>
    <w:rsid w:val="00154162"/>
    <w:rsid w:val="0015465E"/>
    <w:rsid w:val="00155535"/>
    <w:rsid w:val="00155A2A"/>
    <w:rsid w:val="00156854"/>
    <w:rsid w:val="0016044D"/>
    <w:rsid w:val="00161E95"/>
    <w:rsid w:val="00164FA6"/>
    <w:rsid w:val="00165C2E"/>
    <w:rsid w:val="001660D5"/>
    <w:rsid w:val="00166574"/>
    <w:rsid w:val="001672E7"/>
    <w:rsid w:val="00174664"/>
    <w:rsid w:val="001769A6"/>
    <w:rsid w:val="00177F87"/>
    <w:rsid w:val="0019118E"/>
    <w:rsid w:val="00192AEE"/>
    <w:rsid w:val="0019414F"/>
    <w:rsid w:val="00194D22"/>
    <w:rsid w:val="00196E82"/>
    <w:rsid w:val="001A4275"/>
    <w:rsid w:val="001B0F36"/>
    <w:rsid w:val="001B1871"/>
    <w:rsid w:val="001B3A5B"/>
    <w:rsid w:val="001B5B6F"/>
    <w:rsid w:val="001B5D79"/>
    <w:rsid w:val="001B5DE5"/>
    <w:rsid w:val="001C14FD"/>
    <w:rsid w:val="001C2E40"/>
    <w:rsid w:val="001C57A4"/>
    <w:rsid w:val="001C580A"/>
    <w:rsid w:val="001C7902"/>
    <w:rsid w:val="001D0C33"/>
    <w:rsid w:val="001D11F3"/>
    <w:rsid w:val="001D1D80"/>
    <w:rsid w:val="001D3A76"/>
    <w:rsid w:val="001E3FA5"/>
    <w:rsid w:val="001E3FDB"/>
    <w:rsid w:val="001E431A"/>
    <w:rsid w:val="001E6E28"/>
    <w:rsid w:val="001E6ED3"/>
    <w:rsid w:val="001F209D"/>
    <w:rsid w:val="001F25D9"/>
    <w:rsid w:val="001F33B9"/>
    <w:rsid w:val="001F4D57"/>
    <w:rsid w:val="001F5BBC"/>
    <w:rsid w:val="001F70D8"/>
    <w:rsid w:val="00201D5A"/>
    <w:rsid w:val="00202729"/>
    <w:rsid w:val="002119BC"/>
    <w:rsid w:val="00217B25"/>
    <w:rsid w:val="00220420"/>
    <w:rsid w:val="00221BF4"/>
    <w:rsid w:val="00224044"/>
    <w:rsid w:val="00230A09"/>
    <w:rsid w:val="00241DB9"/>
    <w:rsid w:val="002470FD"/>
    <w:rsid w:val="00247CA1"/>
    <w:rsid w:val="0025129A"/>
    <w:rsid w:val="0025266E"/>
    <w:rsid w:val="00252BB6"/>
    <w:rsid w:val="00254696"/>
    <w:rsid w:val="00254E3E"/>
    <w:rsid w:val="00255959"/>
    <w:rsid w:val="002639FA"/>
    <w:rsid w:val="002732B2"/>
    <w:rsid w:val="0027592D"/>
    <w:rsid w:val="00275FD6"/>
    <w:rsid w:val="00277B6C"/>
    <w:rsid w:val="00281E3B"/>
    <w:rsid w:val="002841F8"/>
    <w:rsid w:val="0028434F"/>
    <w:rsid w:val="002844DF"/>
    <w:rsid w:val="002A6687"/>
    <w:rsid w:val="002B1D1D"/>
    <w:rsid w:val="002B2E6C"/>
    <w:rsid w:val="002B45E4"/>
    <w:rsid w:val="002B4801"/>
    <w:rsid w:val="002C56BC"/>
    <w:rsid w:val="002C7EF9"/>
    <w:rsid w:val="002D02AB"/>
    <w:rsid w:val="002E3029"/>
    <w:rsid w:val="002E3676"/>
    <w:rsid w:val="002E3C75"/>
    <w:rsid w:val="002E4008"/>
    <w:rsid w:val="002E4510"/>
    <w:rsid w:val="002E4A9C"/>
    <w:rsid w:val="002F26D1"/>
    <w:rsid w:val="002F3DFD"/>
    <w:rsid w:val="002F6808"/>
    <w:rsid w:val="002F7375"/>
    <w:rsid w:val="002F79B9"/>
    <w:rsid w:val="00305A1C"/>
    <w:rsid w:val="00307100"/>
    <w:rsid w:val="003111C0"/>
    <w:rsid w:val="003112D8"/>
    <w:rsid w:val="003117F8"/>
    <w:rsid w:val="0031681F"/>
    <w:rsid w:val="003175A1"/>
    <w:rsid w:val="003179B9"/>
    <w:rsid w:val="003179D1"/>
    <w:rsid w:val="00327809"/>
    <w:rsid w:val="003278E0"/>
    <w:rsid w:val="00330221"/>
    <w:rsid w:val="00333186"/>
    <w:rsid w:val="003402DA"/>
    <w:rsid w:val="00340A66"/>
    <w:rsid w:val="00341C8D"/>
    <w:rsid w:val="00343C50"/>
    <w:rsid w:val="00345A84"/>
    <w:rsid w:val="00346757"/>
    <w:rsid w:val="00346782"/>
    <w:rsid w:val="00346898"/>
    <w:rsid w:val="00351E18"/>
    <w:rsid w:val="00353105"/>
    <w:rsid w:val="00355CEF"/>
    <w:rsid w:val="00356D0F"/>
    <w:rsid w:val="00360977"/>
    <w:rsid w:val="00365D68"/>
    <w:rsid w:val="00372053"/>
    <w:rsid w:val="00380253"/>
    <w:rsid w:val="003812C2"/>
    <w:rsid w:val="003816B4"/>
    <w:rsid w:val="00382650"/>
    <w:rsid w:val="00385B2E"/>
    <w:rsid w:val="003924CA"/>
    <w:rsid w:val="003925DC"/>
    <w:rsid w:val="00395840"/>
    <w:rsid w:val="00397634"/>
    <w:rsid w:val="003A0367"/>
    <w:rsid w:val="003A1340"/>
    <w:rsid w:val="003A6AA0"/>
    <w:rsid w:val="003A7B99"/>
    <w:rsid w:val="003B2747"/>
    <w:rsid w:val="003B2754"/>
    <w:rsid w:val="003B4B7A"/>
    <w:rsid w:val="003C5868"/>
    <w:rsid w:val="003D0721"/>
    <w:rsid w:val="003D2E5C"/>
    <w:rsid w:val="003D3403"/>
    <w:rsid w:val="003E05E0"/>
    <w:rsid w:val="003E13F9"/>
    <w:rsid w:val="003F15F8"/>
    <w:rsid w:val="003F241A"/>
    <w:rsid w:val="003F4E6F"/>
    <w:rsid w:val="003F591B"/>
    <w:rsid w:val="00401A82"/>
    <w:rsid w:val="00403CAB"/>
    <w:rsid w:val="0040624E"/>
    <w:rsid w:val="00406A3B"/>
    <w:rsid w:val="00407BBC"/>
    <w:rsid w:val="0041124F"/>
    <w:rsid w:val="00415977"/>
    <w:rsid w:val="00421AA8"/>
    <w:rsid w:val="004268F8"/>
    <w:rsid w:val="004309EC"/>
    <w:rsid w:val="00430F70"/>
    <w:rsid w:val="004327B5"/>
    <w:rsid w:val="004354B1"/>
    <w:rsid w:val="004357C5"/>
    <w:rsid w:val="00437AC0"/>
    <w:rsid w:val="00437C1C"/>
    <w:rsid w:val="00440548"/>
    <w:rsid w:val="00441C41"/>
    <w:rsid w:val="004449F1"/>
    <w:rsid w:val="0044561D"/>
    <w:rsid w:val="004457E4"/>
    <w:rsid w:val="00445CBB"/>
    <w:rsid w:val="00453B4D"/>
    <w:rsid w:val="00453BCA"/>
    <w:rsid w:val="00461102"/>
    <w:rsid w:val="00466870"/>
    <w:rsid w:val="004727B0"/>
    <w:rsid w:val="00472C3D"/>
    <w:rsid w:val="00476319"/>
    <w:rsid w:val="0048470E"/>
    <w:rsid w:val="00484C44"/>
    <w:rsid w:val="00493115"/>
    <w:rsid w:val="004956A1"/>
    <w:rsid w:val="00497848"/>
    <w:rsid w:val="004A178A"/>
    <w:rsid w:val="004A385D"/>
    <w:rsid w:val="004B0967"/>
    <w:rsid w:val="004B0AEA"/>
    <w:rsid w:val="004B5CF4"/>
    <w:rsid w:val="004B6482"/>
    <w:rsid w:val="004B6AD3"/>
    <w:rsid w:val="004C05FD"/>
    <w:rsid w:val="004C1236"/>
    <w:rsid w:val="004C30F0"/>
    <w:rsid w:val="004C3FAB"/>
    <w:rsid w:val="004C5B19"/>
    <w:rsid w:val="004C5FB3"/>
    <w:rsid w:val="004C6694"/>
    <w:rsid w:val="004C7650"/>
    <w:rsid w:val="004D0987"/>
    <w:rsid w:val="004D2761"/>
    <w:rsid w:val="004E1C1B"/>
    <w:rsid w:val="004E3075"/>
    <w:rsid w:val="004F21CB"/>
    <w:rsid w:val="004F3339"/>
    <w:rsid w:val="004F62CD"/>
    <w:rsid w:val="004F63DA"/>
    <w:rsid w:val="005049F6"/>
    <w:rsid w:val="00513ACC"/>
    <w:rsid w:val="00514803"/>
    <w:rsid w:val="0052100B"/>
    <w:rsid w:val="005218F6"/>
    <w:rsid w:val="00523AE6"/>
    <w:rsid w:val="00524305"/>
    <w:rsid w:val="0052713B"/>
    <w:rsid w:val="00530B37"/>
    <w:rsid w:val="005334E0"/>
    <w:rsid w:val="00535266"/>
    <w:rsid w:val="00540356"/>
    <w:rsid w:val="00543262"/>
    <w:rsid w:val="00543613"/>
    <w:rsid w:val="00543906"/>
    <w:rsid w:val="00547535"/>
    <w:rsid w:val="00551FEE"/>
    <w:rsid w:val="0055380F"/>
    <w:rsid w:val="00553D50"/>
    <w:rsid w:val="00556DB8"/>
    <w:rsid w:val="005603E5"/>
    <w:rsid w:val="005610B4"/>
    <w:rsid w:val="00561B18"/>
    <w:rsid w:val="00562281"/>
    <w:rsid w:val="00562D13"/>
    <w:rsid w:val="00564406"/>
    <w:rsid w:val="005652A2"/>
    <w:rsid w:val="005656F8"/>
    <w:rsid w:val="00565751"/>
    <w:rsid w:val="00567F70"/>
    <w:rsid w:val="00574167"/>
    <w:rsid w:val="005760C0"/>
    <w:rsid w:val="00576997"/>
    <w:rsid w:val="005809FB"/>
    <w:rsid w:val="00583834"/>
    <w:rsid w:val="005956A8"/>
    <w:rsid w:val="005A0957"/>
    <w:rsid w:val="005A0A34"/>
    <w:rsid w:val="005A3ED9"/>
    <w:rsid w:val="005A7922"/>
    <w:rsid w:val="005B15E9"/>
    <w:rsid w:val="005B3AE1"/>
    <w:rsid w:val="005C0398"/>
    <w:rsid w:val="005C2C00"/>
    <w:rsid w:val="005C3531"/>
    <w:rsid w:val="005C4CFF"/>
    <w:rsid w:val="005C580D"/>
    <w:rsid w:val="005C7F66"/>
    <w:rsid w:val="005E25C6"/>
    <w:rsid w:val="005E26CD"/>
    <w:rsid w:val="005E29FA"/>
    <w:rsid w:val="005E3281"/>
    <w:rsid w:val="005E3CED"/>
    <w:rsid w:val="005E4AAF"/>
    <w:rsid w:val="005E59B4"/>
    <w:rsid w:val="005F6F5C"/>
    <w:rsid w:val="006000C9"/>
    <w:rsid w:val="0060087C"/>
    <w:rsid w:val="006012FA"/>
    <w:rsid w:val="006030B4"/>
    <w:rsid w:val="0060579B"/>
    <w:rsid w:val="00610DBB"/>
    <w:rsid w:val="006129D0"/>
    <w:rsid w:val="0061494F"/>
    <w:rsid w:val="0061658B"/>
    <w:rsid w:val="00616E8C"/>
    <w:rsid w:val="0062268D"/>
    <w:rsid w:val="00625592"/>
    <w:rsid w:val="00625A1D"/>
    <w:rsid w:val="0062675A"/>
    <w:rsid w:val="00626C86"/>
    <w:rsid w:val="00626E13"/>
    <w:rsid w:val="0062759D"/>
    <w:rsid w:val="00632D75"/>
    <w:rsid w:val="00636529"/>
    <w:rsid w:val="006375A3"/>
    <w:rsid w:val="00650260"/>
    <w:rsid w:val="00654557"/>
    <w:rsid w:val="00656FD9"/>
    <w:rsid w:val="00657FA3"/>
    <w:rsid w:val="0066297C"/>
    <w:rsid w:val="0067094B"/>
    <w:rsid w:val="00670EB8"/>
    <w:rsid w:val="00673DE1"/>
    <w:rsid w:val="006969BD"/>
    <w:rsid w:val="0069714D"/>
    <w:rsid w:val="006A4957"/>
    <w:rsid w:val="006A71F8"/>
    <w:rsid w:val="006B6591"/>
    <w:rsid w:val="006C309D"/>
    <w:rsid w:val="006C5D2D"/>
    <w:rsid w:val="006C7136"/>
    <w:rsid w:val="006C7DD3"/>
    <w:rsid w:val="006D2600"/>
    <w:rsid w:val="006D654A"/>
    <w:rsid w:val="006E0A56"/>
    <w:rsid w:val="006E2271"/>
    <w:rsid w:val="006E4F80"/>
    <w:rsid w:val="006E6B1D"/>
    <w:rsid w:val="006F3DB8"/>
    <w:rsid w:val="006F4179"/>
    <w:rsid w:val="006F58F6"/>
    <w:rsid w:val="006F5EEE"/>
    <w:rsid w:val="006F6865"/>
    <w:rsid w:val="006F747C"/>
    <w:rsid w:val="006F7630"/>
    <w:rsid w:val="007050EC"/>
    <w:rsid w:val="00711823"/>
    <w:rsid w:val="00716A7E"/>
    <w:rsid w:val="00717DBC"/>
    <w:rsid w:val="007201A6"/>
    <w:rsid w:val="00722E4F"/>
    <w:rsid w:val="007362ED"/>
    <w:rsid w:val="007400CE"/>
    <w:rsid w:val="0074055B"/>
    <w:rsid w:val="00741D42"/>
    <w:rsid w:val="007533BF"/>
    <w:rsid w:val="00754D73"/>
    <w:rsid w:val="00755EF9"/>
    <w:rsid w:val="00756B0E"/>
    <w:rsid w:val="00760259"/>
    <w:rsid w:val="00763B2F"/>
    <w:rsid w:val="00765BD9"/>
    <w:rsid w:val="00765E8C"/>
    <w:rsid w:val="00777FA9"/>
    <w:rsid w:val="00783612"/>
    <w:rsid w:val="00790B78"/>
    <w:rsid w:val="007930FA"/>
    <w:rsid w:val="007971FE"/>
    <w:rsid w:val="007A0566"/>
    <w:rsid w:val="007A1161"/>
    <w:rsid w:val="007A540A"/>
    <w:rsid w:val="007B05B5"/>
    <w:rsid w:val="007B1F5D"/>
    <w:rsid w:val="007B3600"/>
    <w:rsid w:val="007D029E"/>
    <w:rsid w:val="007D1C08"/>
    <w:rsid w:val="007D2B00"/>
    <w:rsid w:val="007D4BA6"/>
    <w:rsid w:val="007D4F9E"/>
    <w:rsid w:val="007D58B4"/>
    <w:rsid w:val="007D5FD6"/>
    <w:rsid w:val="007E1449"/>
    <w:rsid w:val="007E1DE7"/>
    <w:rsid w:val="007E6D73"/>
    <w:rsid w:val="007F2CE5"/>
    <w:rsid w:val="007F4186"/>
    <w:rsid w:val="007F5B0D"/>
    <w:rsid w:val="00802DB1"/>
    <w:rsid w:val="008055DD"/>
    <w:rsid w:val="008070D2"/>
    <w:rsid w:val="00812365"/>
    <w:rsid w:val="00815FDA"/>
    <w:rsid w:val="00821661"/>
    <w:rsid w:val="00821ACE"/>
    <w:rsid w:val="008223B3"/>
    <w:rsid w:val="00823272"/>
    <w:rsid w:val="00825190"/>
    <w:rsid w:val="00833D13"/>
    <w:rsid w:val="00834007"/>
    <w:rsid w:val="008345C1"/>
    <w:rsid w:val="00837DB8"/>
    <w:rsid w:val="00843BD6"/>
    <w:rsid w:val="00846517"/>
    <w:rsid w:val="008517B2"/>
    <w:rsid w:val="008560D4"/>
    <w:rsid w:val="0085760E"/>
    <w:rsid w:val="008605E8"/>
    <w:rsid w:val="00865E03"/>
    <w:rsid w:val="00867B26"/>
    <w:rsid w:val="0087084C"/>
    <w:rsid w:val="008745CC"/>
    <w:rsid w:val="00875795"/>
    <w:rsid w:val="008841A1"/>
    <w:rsid w:val="0088494E"/>
    <w:rsid w:val="0088538D"/>
    <w:rsid w:val="008857A8"/>
    <w:rsid w:val="00885C2F"/>
    <w:rsid w:val="00885FAD"/>
    <w:rsid w:val="00890A70"/>
    <w:rsid w:val="00890F12"/>
    <w:rsid w:val="00892C34"/>
    <w:rsid w:val="00895996"/>
    <w:rsid w:val="008A138C"/>
    <w:rsid w:val="008A167E"/>
    <w:rsid w:val="008A4AE8"/>
    <w:rsid w:val="008A4D74"/>
    <w:rsid w:val="008A733C"/>
    <w:rsid w:val="008B0F4F"/>
    <w:rsid w:val="008B14D0"/>
    <w:rsid w:val="008C3D7A"/>
    <w:rsid w:val="008C49E4"/>
    <w:rsid w:val="008C7563"/>
    <w:rsid w:val="008D2B61"/>
    <w:rsid w:val="008D4655"/>
    <w:rsid w:val="008D7F57"/>
    <w:rsid w:val="008E7365"/>
    <w:rsid w:val="008F34E5"/>
    <w:rsid w:val="008F3775"/>
    <w:rsid w:val="008F398E"/>
    <w:rsid w:val="008F741F"/>
    <w:rsid w:val="008F777C"/>
    <w:rsid w:val="0090195A"/>
    <w:rsid w:val="00901C68"/>
    <w:rsid w:val="00903101"/>
    <w:rsid w:val="00904969"/>
    <w:rsid w:val="009063B1"/>
    <w:rsid w:val="00906674"/>
    <w:rsid w:val="009124A4"/>
    <w:rsid w:val="0091480B"/>
    <w:rsid w:val="0092039D"/>
    <w:rsid w:val="0092147C"/>
    <w:rsid w:val="00923ACD"/>
    <w:rsid w:val="0093003C"/>
    <w:rsid w:val="009304C2"/>
    <w:rsid w:val="009322EC"/>
    <w:rsid w:val="0093425A"/>
    <w:rsid w:val="00934D6A"/>
    <w:rsid w:val="00935954"/>
    <w:rsid w:val="00935D8C"/>
    <w:rsid w:val="00936772"/>
    <w:rsid w:val="009433D0"/>
    <w:rsid w:val="009446C8"/>
    <w:rsid w:val="00950C6A"/>
    <w:rsid w:val="00951137"/>
    <w:rsid w:val="0095127D"/>
    <w:rsid w:val="00953C13"/>
    <w:rsid w:val="00954BFC"/>
    <w:rsid w:val="00955A0C"/>
    <w:rsid w:val="00957B24"/>
    <w:rsid w:val="0096019A"/>
    <w:rsid w:val="00961F1D"/>
    <w:rsid w:val="00962E62"/>
    <w:rsid w:val="009644E3"/>
    <w:rsid w:val="00967E93"/>
    <w:rsid w:val="00970D71"/>
    <w:rsid w:val="0097473D"/>
    <w:rsid w:val="00977B0A"/>
    <w:rsid w:val="00984390"/>
    <w:rsid w:val="00985A9B"/>
    <w:rsid w:val="00993415"/>
    <w:rsid w:val="009A08F7"/>
    <w:rsid w:val="009A1F52"/>
    <w:rsid w:val="009A2298"/>
    <w:rsid w:val="009A3A08"/>
    <w:rsid w:val="009A4459"/>
    <w:rsid w:val="009A5164"/>
    <w:rsid w:val="009A5DB7"/>
    <w:rsid w:val="009A7F8E"/>
    <w:rsid w:val="009B35E0"/>
    <w:rsid w:val="009B3833"/>
    <w:rsid w:val="009C4374"/>
    <w:rsid w:val="009C67BF"/>
    <w:rsid w:val="009D0566"/>
    <w:rsid w:val="009D07F4"/>
    <w:rsid w:val="009D16B5"/>
    <w:rsid w:val="009D5223"/>
    <w:rsid w:val="009D52CB"/>
    <w:rsid w:val="009D7D10"/>
    <w:rsid w:val="009E22CC"/>
    <w:rsid w:val="009E28D1"/>
    <w:rsid w:val="009E3F5C"/>
    <w:rsid w:val="009E3F9E"/>
    <w:rsid w:val="009E5996"/>
    <w:rsid w:val="009F0857"/>
    <w:rsid w:val="009F3639"/>
    <w:rsid w:val="00A00EEA"/>
    <w:rsid w:val="00A01552"/>
    <w:rsid w:val="00A01E57"/>
    <w:rsid w:val="00A03E49"/>
    <w:rsid w:val="00A0619C"/>
    <w:rsid w:val="00A12C74"/>
    <w:rsid w:val="00A13208"/>
    <w:rsid w:val="00A136FA"/>
    <w:rsid w:val="00A13F3D"/>
    <w:rsid w:val="00A177AC"/>
    <w:rsid w:val="00A20A0D"/>
    <w:rsid w:val="00A2415D"/>
    <w:rsid w:val="00A26428"/>
    <w:rsid w:val="00A27374"/>
    <w:rsid w:val="00A3586F"/>
    <w:rsid w:val="00A366CA"/>
    <w:rsid w:val="00A4398E"/>
    <w:rsid w:val="00A50406"/>
    <w:rsid w:val="00A519C0"/>
    <w:rsid w:val="00A5472B"/>
    <w:rsid w:val="00A6123C"/>
    <w:rsid w:val="00A70124"/>
    <w:rsid w:val="00A766EC"/>
    <w:rsid w:val="00A77B98"/>
    <w:rsid w:val="00A83A87"/>
    <w:rsid w:val="00A93C04"/>
    <w:rsid w:val="00A94466"/>
    <w:rsid w:val="00A963FC"/>
    <w:rsid w:val="00A96F0E"/>
    <w:rsid w:val="00AA7605"/>
    <w:rsid w:val="00AB032E"/>
    <w:rsid w:val="00AB1E23"/>
    <w:rsid w:val="00AB24A9"/>
    <w:rsid w:val="00AB32C5"/>
    <w:rsid w:val="00AB34A2"/>
    <w:rsid w:val="00AB7A26"/>
    <w:rsid w:val="00AC02CD"/>
    <w:rsid w:val="00AC1A80"/>
    <w:rsid w:val="00AC2F68"/>
    <w:rsid w:val="00AC3256"/>
    <w:rsid w:val="00AC3C13"/>
    <w:rsid w:val="00AD14DB"/>
    <w:rsid w:val="00AD24A2"/>
    <w:rsid w:val="00AD34B8"/>
    <w:rsid w:val="00AD4373"/>
    <w:rsid w:val="00AD4A3C"/>
    <w:rsid w:val="00AE0CF7"/>
    <w:rsid w:val="00AE167E"/>
    <w:rsid w:val="00AE5F57"/>
    <w:rsid w:val="00AE65D2"/>
    <w:rsid w:val="00AE6673"/>
    <w:rsid w:val="00AF79A1"/>
    <w:rsid w:val="00B03E81"/>
    <w:rsid w:val="00B0615B"/>
    <w:rsid w:val="00B06901"/>
    <w:rsid w:val="00B0710E"/>
    <w:rsid w:val="00B073CB"/>
    <w:rsid w:val="00B07B1F"/>
    <w:rsid w:val="00B11B13"/>
    <w:rsid w:val="00B11CCB"/>
    <w:rsid w:val="00B12F48"/>
    <w:rsid w:val="00B13122"/>
    <w:rsid w:val="00B16764"/>
    <w:rsid w:val="00B2149A"/>
    <w:rsid w:val="00B223BC"/>
    <w:rsid w:val="00B24948"/>
    <w:rsid w:val="00B24E36"/>
    <w:rsid w:val="00B32583"/>
    <w:rsid w:val="00B33761"/>
    <w:rsid w:val="00B35BB4"/>
    <w:rsid w:val="00B35CEE"/>
    <w:rsid w:val="00B40583"/>
    <w:rsid w:val="00B40A9E"/>
    <w:rsid w:val="00B42F50"/>
    <w:rsid w:val="00B47D16"/>
    <w:rsid w:val="00B5720C"/>
    <w:rsid w:val="00B60606"/>
    <w:rsid w:val="00B671F6"/>
    <w:rsid w:val="00B676CF"/>
    <w:rsid w:val="00B741B4"/>
    <w:rsid w:val="00B74C82"/>
    <w:rsid w:val="00B80B8E"/>
    <w:rsid w:val="00B85E1C"/>
    <w:rsid w:val="00B87143"/>
    <w:rsid w:val="00B9150F"/>
    <w:rsid w:val="00B95A71"/>
    <w:rsid w:val="00B974EA"/>
    <w:rsid w:val="00BA06E9"/>
    <w:rsid w:val="00BA1743"/>
    <w:rsid w:val="00BA269F"/>
    <w:rsid w:val="00BA344D"/>
    <w:rsid w:val="00BA5799"/>
    <w:rsid w:val="00BA57B1"/>
    <w:rsid w:val="00BA6A31"/>
    <w:rsid w:val="00BA7964"/>
    <w:rsid w:val="00BB0040"/>
    <w:rsid w:val="00BB0BC6"/>
    <w:rsid w:val="00BB4253"/>
    <w:rsid w:val="00BB6416"/>
    <w:rsid w:val="00BB7272"/>
    <w:rsid w:val="00BB7781"/>
    <w:rsid w:val="00BC01D4"/>
    <w:rsid w:val="00BC2755"/>
    <w:rsid w:val="00BC443D"/>
    <w:rsid w:val="00BC45D1"/>
    <w:rsid w:val="00BC4A20"/>
    <w:rsid w:val="00BD2FFC"/>
    <w:rsid w:val="00BD3DBF"/>
    <w:rsid w:val="00BD4123"/>
    <w:rsid w:val="00BD5D2F"/>
    <w:rsid w:val="00BE1F2E"/>
    <w:rsid w:val="00BF14CB"/>
    <w:rsid w:val="00BF3428"/>
    <w:rsid w:val="00BF5477"/>
    <w:rsid w:val="00BF6A54"/>
    <w:rsid w:val="00C02AB6"/>
    <w:rsid w:val="00C03DA9"/>
    <w:rsid w:val="00C12A34"/>
    <w:rsid w:val="00C15374"/>
    <w:rsid w:val="00C16D1F"/>
    <w:rsid w:val="00C249E0"/>
    <w:rsid w:val="00C300D8"/>
    <w:rsid w:val="00C30EAD"/>
    <w:rsid w:val="00C32EF4"/>
    <w:rsid w:val="00C33E91"/>
    <w:rsid w:val="00C34BCD"/>
    <w:rsid w:val="00C366E2"/>
    <w:rsid w:val="00C420AF"/>
    <w:rsid w:val="00C47020"/>
    <w:rsid w:val="00C50B6E"/>
    <w:rsid w:val="00C5271B"/>
    <w:rsid w:val="00C53214"/>
    <w:rsid w:val="00C569D6"/>
    <w:rsid w:val="00C603DD"/>
    <w:rsid w:val="00C66EAE"/>
    <w:rsid w:val="00C67BF7"/>
    <w:rsid w:val="00C71421"/>
    <w:rsid w:val="00C71AE9"/>
    <w:rsid w:val="00C7344D"/>
    <w:rsid w:val="00C80484"/>
    <w:rsid w:val="00C8437C"/>
    <w:rsid w:val="00C84B27"/>
    <w:rsid w:val="00C84FBE"/>
    <w:rsid w:val="00C8541E"/>
    <w:rsid w:val="00C9002B"/>
    <w:rsid w:val="00C90D16"/>
    <w:rsid w:val="00C910DA"/>
    <w:rsid w:val="00C91A79"/>
    <w:rsid w:val="00C920DD"/>
    <w:rsid w:val="00C957B1"/>
    <w:rsid w:val="00C97A5F"/>
    <w:rsid w:val="00C97C84"/>
    <w:rsid w:val="00CA0820"/>
    <w:rsid w:val="00CA2294"/>
    <w:rsid w:val="00CA3EFE"/>
    <w:rsid w:val="00CA4F27"/>
    <w:rsid w:val="00CA7D45"/>
    <w:rsid w:val="00CB7FB9"/>
    <w:rsid w:val="00CC006C"/>
    <w:rsid w:val="00CC0BA2"/>
    <w:rsid w:val="00CC2E73"/>
    <w:rsid w:val="00CC384F"/>
    <w:rsid w:val="00CC3BB3"/>
    <w:rsid w:val="00CC491A"/>
    <w:rsid w:val="00CD0900"/>
    <w:rsid w:val="00CD5CDC"/>
    <w:rsid w:val="00CD78DC"/>
    <w:rsid w:val="00CE010A"/>
    <w:rsid w:val="00CE1406"/>
    <w:rsid w:val="00CE21C8"/>
    <w:rsid w:val="00CE245B"/>
    <w:rsid w:val="00CE39C7"/>
    <w:rsid w:val="00CE6114"/>
    <w:rsid w:val="00CF018F"/>
    <w:rsid w:val="00CF3E7B"/>
    <w:rsid w:val="00D06AFA"/>
    <w:rsid w:val="00D0752D"/>
    <w:rsid w:val="00D07876"/>
    <w:rsid w:val="00D10D31"/>
    <w:rsid w:val="00D11667"/>
    <w:rsid w:val="00D12E19"/>
    <w:rsid w:val="00D143FA"/>
    <w:rsid w:val="00D16173"/>
    <w:rsid w:val="00D161D6"/>
    <w:rsid w:val="00D200B3"/>
    <w:rsid w:val="00D20CC8"/>
    <w:rsid w:val="00D2215D"/>
    <w:rsid w:val="00D24C0B"/>
    <w:rsid w:val="00D24E7F"/>
    <w:rsid w:val="00D25F44"/>
    <w:rsid w:val="00D308E3"/>
    <w:rsid w:val="00D355F0"/>
    <w:rsid w:val="00D37F5E"/>
    <w:rsid w:val="00D406AE"/>
    <w:rsid w:val="00D4088F"/>
    <w:rsid w:val="00D41560"/>
    <w:rsid w:val="00D459BC"/>
    <w:rsid w:val="00D477FA"/>
    <w:rsid w:val="00D525B4"/>
    <w:rsid w:val="00D64140"/>
    <w:rsid w:val="00D65516"/>
    <w:rsid w:val="00D7253B"/>
    <w:rsid w:val="00D7487E"/>
    <w:rsid w:val="00D7562E"/>
    <w:rsid w:val="00D81CD1"/>
    <w:rsid w:val="00D91A3E"/>
    <w:rsid w:val="00D95D50"/>
    <w:rsid w:val="00D972BD"/>
    <w:rsid w:val="00D97779"/>
    <w:rsid w:val="00DA2A97"/>
    <w:rsid w:val="00DA5FED"/>
    <w:rsid w:val="00DA6F3B"/>
    <w:rsid w:val="00DB149A"/>
    <w:rsid w:val="00DB19DA"/>
    <w:rsid w:val="00DB5304"/>
    <w:rsid w:val="00DB5789"/>
    <w:rsid w:val="00DB6113"/>
    <w:rsid w:val="00DC0B74"/>
    <w:rsid w:val="00DC2337"/>
    <w:rsid w:val="00DC5AC0"/>
    <w:rsid w:val="00DC5B71"/>
    <w:rsid w:val="00DD5A2E"/>
    <w:rsid w:val="00DD6357"/>
    <w:rsid w:val="00DE4261"/>
    <w:rsid w:val="00DF04FA"/>
    <w:rsid w:val="00DF0590"/>
    <w:rsid w:val="00DF0BB1"/>
    <w:rsid w:val="00E01E34"/>
    <w:rsid w:val="00E02F1A"/>
    <w:rsid w:val="00E07F65"/>
    <w:rsid w:val="00E10E8A"/>
    <w:rsid w:val="00E11CEC"/>
    <w:rsid w:val="00E15FDA"/>
    <w:rsid w:val="00E16360"/>
    <w:rsid w:val="00E20398"/>
    <w:rsid w:val="00E24DDC"/>
    <w:rsid w:val="00E3054D"/>
    <w:rsid w:val="00E30DFD"/>
    <w:rsid w:val="00E3622B"/>
    <w:rsid w:val="00E411DF"/>
    <w:rsid w:val="00E422D7"/>
    <w:rsid w:val="00E45E72"/>
    <w:rsid w:val="00E530D6"/>
    <w:rsid w:val="00E53679"/>
    <w:rsid w:val="00E556C4"/>
    <w:rsid w:val="00E5668D"/>
    <w:rsid w:val="00E56A89"/>
    <w:rsid w:val="00E5703A"/>
    <w:rsid w:val="00E5794C"/>
    <w:rsid w:val="00E60CA8"/>
    <w:rsid w:val="00E63C95"/>
    <w:rsid w:val="00E643C2"/>
    <w:rsid w:val="00E72E8B"/>
    <w:rsid w:val="00E73102"/>
    <w:rsid w:val="00E7436C"/>
    <w:rsid w:val="00E80932"/>
    <w:rsid w:val="00E859DA"/>
    <w:rsid w:val="00E86A38"/>
    <w:rsid w:val="00E8700E"/>
    <w:rsid w:val="00E9737A"/>
    <w:rsid w:val="00EA020F"/>
    <w:rsid w:val="00EA10D7"/>
    <w:rsid w:val="00EA359D"/>
    <w:rsid w:val="00EA402B"/>
    <w:rsid w:val="00EA462B"/>
    <w:rsid w:val="00EA4FEA"/>
    <w:rsid w:val="00EA5018"/>
    <w:rsid w:val="00EB009C"/>
    <w:rsid w:val="00EB0AD3"/>
    <w:rsid w:val="00EB52B9"/>
    <w:rsid w:val="00EB53EA"/>
    <w:rsid w:val="00EC12E1"/>
    <w:rsid w:val="00EC275F"/>
    <w:rsid w:val="00EC4673"/>
    <w:rsid w:val="00ED0D09"/>
    <w:rsid w:val="00EE33B4"/>
    <w:rsid w:val="00EE7AE7"/>
    <w:rsid w:val="00EF0A28"/>
    <w:rsid w:val="00EF0D3C"/>
    <w:rsid w:val="00F00161"/>
    <w:rsid w:val="00F01816"/>
    <w:rsid w:val="00F022E0"/>
    <w:rsid w:val="00F026EA"/>
    <w:rsid w:val="00F03571"/>
    <w:rsid w:val="00F03BFF"/>
    <w:rsid w:val="00F148DD"/>
    <w:rsid w:val="00F14AEA"/>
    <w:rsid w:val="00F16DA3"/>
    <w:rsid w:val="00F16E84"/>
    <w:rsid w:val="00F23257"/>
    <w:rsid w:val="00F257FA"/>
    <w:rsid w:val="00F266A2"/>
    <w:rsid w:val="00F3620F"/>
    <w:rsid w:val="00F40AA7"/>
    <w:rsid w:val="00F42894"/>
    <w:rsid w:val="00F434EA"/>
    <w:rsid w:val="00F46220"/>
    <w:rsid w:val="00F55090"/>
    <w:rsid w:val="00F561E7"/>
    <w:rsid w:val="00F60B26"/>
    <w:rsid w:val="00F6181F"/>
    <w:rsid w:val="00F61E36"/>
    <w:rsid w:val="00F64E33"/>
    <w:rsid w:val="00F74B92"/>
    <w:rsid w:val="00F75BAD"/>
    <w:rsid w:val="00F76054"/>
    <w:rsid w:val="00F81CD1"/>
    <w:rsid w:val="00F81FCE"/>
    <w:rsid w:val="00F83258"/>
    <w:rsid w:val="00F87A7E"/>
    <w:rsid w:val="00F926AF"/>
    <w:rsid w:val="00F929BA"/>
    <w:rsid w:val="00F94351"/>
    <w:rsid w:val="00FA532D"/>
    <w:rsid w:val="00FB39E5"/>
    <w:rsid w:val="00FB3A25"/>
    <w:rsid w:val="00FB5043"/>
    <w:rsid w:val="00FB78C0"/>
    <w:rsid w:val="00FC0465"/>
    <w:rsid w:val="00FC12CF"/>
    <w:rsid w:val="00FC1A11"/>
    <w:rsid w:val="00FC6B1B"/>
    <w:rsid w:val="00FD64BD"/>
    <w:rsid w:val="00FD7ECF"/>
    <w:rsid w:val="00FE443D"/>
    <w:rsid w:val="00FF2DD2"/>
    <w:rsid w:val="00FF49D7"/>
    <w:rsid w:val="00FF6D1A"/>
    <w:rsid w:val="00FF7847"/>
    <w:rsid w:val="00FF7911"/>
    <w:rsid w:val="02B2213D"/>
    <w:rsid w:val="05F000FE"/>
    <w:rsid w:val="0D2E151D"/>
    <w:rsid w:val="13452E1F"/>
    <w:rsid w:val="16EE3FB6"/>
    <w:rsid w:val="1C496AFA"/>
    <w:rsid w:val="1DB516EB"/>
    <w:rsid w:val="206B0FD1"/>
    <w:rsid w:val="2B9F2C95"/>
    <w:rsid w:val="2CA0654E"/>
    <w:rsid w:val="2CA16A61"/>
    <w:rsid w:val="30C31382"/>
    <w:rsid w:val="39C9175F"/>
    <w:rsid w:val="3FD82D46"/>
    <w:rsid w:val="4325125F"/>
    <w:rsid w:val="70732C5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overflowPunct w:val="0"/>
      <w:topLinePunct/>
      <w:spacing w:line="360" w:lineRule="auto"/>
      <w:jc w:val="both"/>
      <w:textAlignment w:val="center"/>
    </w:pPr>
    <w:rPr>
      <w:rFonts w:ascii="Times New Roman" w:hAnsi="Times New Roman" w:eastAsia="仿宋_GB2312" w:cs="宋体"/>
      <w:color w:val="353535"/>
      <w:spacing w:val="10"/>
      <w:sz w:val="32"/>
      <w:szCs w:val="28"/>
      <w:lang w:val="en-US" w:eastAsia="zh-CN" w:bidi="ar-SA"/>
    </w:rPr>
  </w:style>
  <w:style w:type="paragraph" w:styleId="2">
    <w:name w:val="heading 1"/>
    <w:basedOn w:val="1"/>
    <w:next w:val="1"/>
    <w:link w:val="19"/>
    <w:qFormat/>
    <w:uiPriority w:val="9"/>
    <w:pPr>
      <w:keepLines/>
      <w:suppressLineNumbers/>
      <w:adjustRightInd w:val="0"/>
      <w:spacing w:before="60"/>
      <w:ind w:firstLine="200" w:firstLineChars="200"/>
      <w:outlineLvl w:val="0"/>
    </w:pPr>
    <w:rPr>
      <w:rFonts w:eastAsia="黑体" w:cstheme="minorBidi"/>
      <w:bCs/>
      <w:color w:val="auto"/>
      <w:kern w:val="44"/>
      <w:szCs w:val="44"/>
    </w:rPr>
  </w:style>
  <w:style w:type="paragraph" w:styleId="3">
    <w:name w:val="heading 2"/>
    <w:basedOn w:val="1"/>
    <w:next w:val="1"/>
    <w:link w:val="18"/>
    <w:unhideWhenUsed/>
    <w:qFormat/>
    <w:uiPriority w:val="9"/>
    <w:pPr>
      <w:suppressLineNumbers/>
      <w:spacing w:before="20" w:after="20"/>
      <w:ind w:firstLine="200" w:firstLineChars="200"/>
      <w:outlineLvl w:val="1"/>
    </w:pPr>
    <w:rPr>
      <w:rFonts w:eastAsia="楷体_GB2312" w:cstheme="majorBidi"/>
      <w:b/>
      <w:bCs/>
      <w:color w:val="auto"/>
      <w:kern w:val="2"/>
      <w:szCs w:val="32"/>
    </w:rPr>
  </w:style>
  <w:style w:type="paragraph" w:styleId="4">
    <w:name w:val="heading 3"/>
    <w:basedOn w:val="1"/>
    <w:next w:val="1"/>
    <w:link w:val="17"/>
    <w:unhideWhenUsed/>
    <w:qFormat/>
    <w:uiPriority w:val="9"/>
    <w:pPr>
      <w:keepNext/>
      <w:keepLines/>
      <w:suppressLineNumbers/>
      <w:adjustRightInd w:val="0"/>
      <w:ind w:firstLine="200" w:firstLineChars="200"/>
      <w:outlineLvl w:val="2"/>
    </w:pPr>
    <w:rPr>
      <w:rFonts w:cstheme="minorBidi"/>
      <w:b/>
      <w:bCs/>
      <w:color w:val="auto"/>
      <w:kern w:val="2"/>
      <w:szCs w:val="32"/>
    </w:rPr>
  </w:style>
  <w:style w:type="paragraph" w:styleId="5">
    <w:name w:val="heading 4"/>
    <w:basedOn w:val="1"/>
    <w:next w:val="1"/>
    <w:link w:val="20"/>
    <w:unhideWhenUsed/>
    <w:qFormat/>
    <w:uiPriority w:val="9"/>
    <w:pPr>
      <w:keepNext/>
      <w:keepLines/>
      <w:adjustRightInd w:val="0"/>
      <w:snapToGrid w:val="0"/>
      <w:spacing w:after="50" w:afterLines="50"/>
      <w:jc w:val="center"/>
      <w:outlineLvl w:val="3"/>
    </w:pPr>
    <w:rPr>
      <w:rFonts w:eastAsia="黑体"/>
      <w:bCs/>
      <w:sz w:val="36"/>
    </w:rPr>
  </w:style>
  <w:style w:type="paragraph" w:styleId="6">
    <w:name w:val="heading 5"/>
    <w:basedOn w:val="1"/>
    <w:next w:val="1"/>
    <w:link w:val="21"/>
    <w:unhideWhenUsed/>
    <w:qFormat/>
    <w:uiPriority w:val="9"/>
    <w:pPr>
      <w:keepNext/>
      <w:keepLines/>
      <w:jc w:val="center"/>
      <w:outlineLvl w:val="4"/>
    </w:pPr>
    <w:rPr>
      <w:rFonts w:eastAsia="楷体_GB2312"/>
      <w:bCs/>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7">
    <w:name w:val="Normal Indent"/>
    <w:basedOn w:val="1"/>
    <w:semiHidden/>
    <w:unhideWhenUsed/>
    <w:qFormat/>
    <w:uiPriority w:val="99"/>
    <w:pPr>
      <w:ind w:firstLine="420"/>
    </w:pPr>
  </w:style>
  <w:style w:type="paragraph" w:styleId="8">
    <w:name w:val="footer"/>
    <w:basedOn w:val="1"/>
    <w:link w:val="25"/>
    <w:unhideWhenUsed/>
    <w:qFormat/>
    <w:uiPriority w:val="99"/>
    <w:pPr>
      <w:tabs>
        <w:tab w:val="center" w:pos="4153"/>
        <w:tab w:val="right" w:pos="8306"/>
      </w:tabs>
      <w:snapToGrid w:val="0"/>
      <w:spacing w:line="240" w:lineRule="auto"/>
      <w:jc w:val="left"/>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cs="宋体"/>
      <w:kern w:val="0"/>
      <w:sz w:val="24"/>
    </w:rPr>
  </w:style>
  <w:style w:type="paragraph" w:styleId="11">
    <w:name w:val="Title"/>
    <w:basedOn w:val="1"/>
    <w:next w:val="1"/>
    <w:link w:val="23"/>
    <w:qFormat/>
    <w:uiPriority w:val="10"/>
    <w:pPr>
      <w:outlineLvl w:val="0"/>
    </w:pPr>
    <w:rPr>
      <w:rFonts w:cstheme="majorBidi"/>
      <w:bCs/>
      <w:szCs w:val="32"/>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semiHidden/>
    <w:unhideWhenUsed/>
    <w:qFormat/>
    <w:uiPriority w:val="99"/>
    <w:rPr>
      <w:color w:val="333333"/>
      <w:u w:val="none"/>
    </w:rPr>
  </w:style>
  <w:style w:type="character" w:styleId="16">
    <w:name w:val="Hyperlink"/>
    <w:basedOn w:val="14"/>
    <w:semiHidden/>
    <w:unhideWhenUsed/>
    <w:qFormat/>
    <w:uiPriority w:val="99"/>
    <w:rPr>
      <w:color w:val="333333"/>
      <w:u w:val="none"/>
    </w:rPr>
  </w:style>
  <w:style w:type="character" w:customStyle="1" w:styleId="17">
    <w:name w:val="标题 3 字符"/>
    <w:basedOn w:val="14"/>
    <w:link w:val="4"/>
    <w:qFormat/>
    <w:uiPriority w:val="9"/>
    <w:rPr>
      <w:rFonts w:eastAsia="仿宋_GB2312" w:cstheme="minorBidi"/>
      <w:b/>
      <w:bCs/>
      <w:spacing w:val="10"/>
      <w:sz w:val="32"/>
      <w:szCs w:val="32"/>
    </w:rPr>
  </w:style>
  <w:style w:type="character" w:customStyle="1" w:styleId="18">
    <w:name w:val="标题 2 字符"/>
    <w:basedOn w:val="14"/>
    <w:link w:val="3"/>
    <w:qFormat/>
    <w:uiPriority w:val="9"/>
    <w:rPr>
      <w:rFonts w:eastAsia="楷体_GB2312" w:cstheme="majorBidi"/>
      <w:b/>
      <w:bCs/>
      <w:spacing w:val="10"/>
      <w:sz w:val="32"/>
      <w:szCs w:val="32"/>
    </w:rPr>
  </w:style>
  <w:style w:type="character" w:customStyle="1" w:styleId="19">
    <w:name w:val="标题 1 字符"/>
    <w:basedOn w:val="14"/>
    <w:link w:val="2"/>
    <w:qFormat/>
    <w:uiPriority w:val="9"/>
    <w:rPr>
      <w:rFonts w:eastAsia="黑体" w:cstheme="minorBidi"/>
      <w:bCs/>
      <w:spacing w:val="10"/>
      <w:kern w:val="44"/>
      <w:sz w:val="32"/>
      <w:szCs w:val="44"/>
    </w:rPr>
  </w:style>
  <w:style w:type="character" w:customStyle="1" w:styleId="20">
    <w:name w:val="标题 4 字符"/>
    <w:link w:val="5"/>
    <w:qFormat/>
    <w:uiPriority w:val="9"/>
    <w:rPr>
      <w:rFonts w:eastAsia="黑体"/>
      <w:bCs/>
      <w:sz w:val="36"/>
      <w:szCs w:val="28"/>
    </w:rPr>
  </w:style>
  <w:style w:type="character" w:customStyle="1" w:styleId="21">
    <w:name w:val="标题 5 字符"/>
    <w:basedOn w:val="14"/>
    <w:link w:val="6"/>
    <w:qFormat/>
    <w:uiPriority w:val="9"/>
    <w:rPr>
      <w:rFonts w:eastAsia="楷体_GB2312"/>
      <w:bCs/>
      <w:szCs w:val="28"/>
    </w:rPr>
  </w:style>
  <w:style w:type="paragraph" w:styleId="22">
    <w:name w:val="No Spacing"/>
    <w:qFormat/>
    <w:uiPriority w:val="1"/>
    <w:pPr>
      <w:suppressAutoHyphens/>
      <w:overflowPunct w:val="0"/>
      <w:topLinePunct/>
      <w:spacing w:line="840" w:lineRule="exact"/>
      <w:jc w:val="center"/>
      <w:textAlignment w:val="center"/>
    </w:pPr>
    <w:rPr>
      <w:rFonts w:ascii="Times New Roman" w:hAnsi="Times New Roman" w:eastAsia="方正小标宋简体" w:cs="Times New Roman"/>
      <w:spacing w:val="20"/>
      <w:kern w:val="2"/>
      <w:sz w:val="44"/>
      <w:szCs w:val="22"/>
      <w:lang w:val="en-US" w:eastAsia="zh-CN" w:bidi="ar-SA"/>
    </w:rPr>
  </w:style>
  <w:style w:type="character" w:customStyle="1" w:styleId="23">
    <w:name w:val="标题 字符"/>
    <w:basedOn w:val="14"/>
    <w:link w:val="11"/>
    <w:qFormat/>
    <w:uiPriority w:val="10"/>
    <w:rPr>
      <w:rFonts w:eastAsia="方正小标宋简体" w:cstheme="majorBidi"/>
      <w:bCs/>
      <w:sz w:val="44"/>
      <w:szCs w:val="32"/>
    </w:rPr>
  </w:style>
  <w:style w:type="character" w:customStyle="1" w:styleId="24">
    <w:name w:val="页眉 字符"/>
    <w:basedOn w:val="14"/>
    <w:link w:val="9"/>
    <w:qFormat/>
    <w:uiPriority w:val="99"/>
    <w:rPr>
      <w:rFonts w:eastAsia="仿宋_GB2312" w:cs="宋体"/>
      <w:color w:val="353535"/>
      <w:spacing w:val="10"/>
      <w:kern w:val="0"/>
      <w:sz w:val="18"/>
      <w:szCs w:val="18"/>
    </w:rPr>
  </w:style>
  <w:style w:type="character" w:customStyle="1" w:styleId="25">
    <w:name w:val="页脚 字符"/>
    <w:basedOn w:val="14"/>
    <w:link w:val="8"/>
    <w:qFormat/>
    <w:uiPriority w:val="99"/>
    <w:rPr>
      <w:rFonts w:eastAsia="仿宋_GB2312" w:cs="宋体"/>
      <w:color w:val="353535"/>
      <w:spacing w:val="10"/>
      <w:kern w:val="0"/>
      <w:sz w:val="18"/>
      <w:szCs w:val="18"/>
    </w:rPr>
  </w:style>
  <w:style w:type="table" w:customStyle="1" w:styleId="26">
    <w:name w:val="网格型1"/>
    <w:qFormat/>
    <w:uiPriority w:val="59"/>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7">
    <w:name w:val="Placeholder Text"/>
    <w:basedOn w:val="14"/>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F0FB92-545B-4914-9A72-AD112539D1B7}">
  <ds:schemaRefs/>
</ds:datastoreItem>
</file>

<file path=docProps/app.xml><?xml version="1.0" encoding="utf-8"?>
<Properties xmlns="http://schemas.openxmlformats.org/officeDocument/2006/extended-properties" xmlns:vt="http://schemas.openxmlformats.org/officeDocument/2006/docPropsVTypes">
  <Template>Normal</Template>
  <Pages>20</Pages>
  <Words>1365</Words>
  <Characters>7781</Characters>
  <Lines>64</Lines>
  <Paragraphs>18</Paragraphs>
  <TotalTime>1</TotalTime>
  <ScaleCrop>false</ScaleCrop>
  <LinksUpToDate>false</LinksUpToDate>
  <CharactersWithSpaces>9128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2021-08-18T03:08:00Z</dcterms:created>
  <dc:creator>hong liyong</dc:creator>
  <cp:lastModifiedBy>Administrator</cp:lastModifiedBy>
  <dcterms:modified xsi:type="dcterms:W3CDTF">2021-09-08T00:57:41Z</dcterms:modified>
  <cp:revision>599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23EB90EB840E48229DEA73B1C417076D</vt:lpwstr>
  </property>
</Properties>
</file>