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方正小标宋简体" w:hAnsi="宋体" w:eastAsia="方正小标宋简体"/>
          <w:sz w:val="44"/>
          <w:szCs w:val="44"/>
        </w:rPr>
      </w:pPr>
    </w:p>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方正小标宋简体" w:hAnsi="宋体" w:eastAsia="方正小标宋简体"/>
          <w:sz w:val="44"/>
          <w:szCs w:val="44"/>
        </w:rPr>
      </w:pPr>
    </w:p>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方正小标宋简体" w:hAnsi="宋体" w:eastAsia="方正小标宋简体"/>
          <w:sz w:val="44"/>
          <w:szCs w:val="44"/>
        </w:rPr>
      </w:pPr>
    </w:p>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方正小标宋简体" w:eastAsia="方正小标宋简体"/>
          <w:bCs/>
          <w:sz w:val="44"/>
          <w:szCs w:val="44"/>
        </w:rPr>
      </w:pPr>
      <w:r>
        <w:rPr>
          <w:rFonts w:hint="eastAsia" w:ascii="方正小标宋简体" w:hAnsi="宋体" w:eastAsia="方正小标宋简体"/>
          <w:sz w:val="44"/>
          <w:szCs w:val="44"/>
        </w:rPr>
        <w:t>绍兴市农业农村局</w:t>
      </w:r>
      <w:r>
        <w:rPr>
          <w:rFonts w:hint="eastAsia" w:ascii="方正小标宋简体" w:eastAsia="方正小标宋简体"/>
          <w:bCs/>
          <w:sz w:val="44"/>
          <w:szCs w:val="44"/>
        </w:rPr>
        <w:t>关于</w:t>
      </w:r>
      <w:r>
        <w:rPr>
          <w:rFonts w:hint="eastAsia" w:ascii="方正小标宋简体" w:eastAsia="方正小标宋简体"/>
          <w:bCs/>
          <w:sz w:val="44"/>
          <w:szCs w:val="44"/>
          <w:lang w:eastAsia="zh-CN"/>
        </w:rPr>
        <w:t>做好</w:t>
      </w:r>
      <w:r>
        <w:rPr>
          <w:rFonts w:hint="eastAsia" w:ascii="方正小标宋简体" w:eastAsia="方正小标宋简体"/>
          <w:bCs/>
          <w:sz w:val="44"/>
          <w:szCs w:val="44"/>
        </w:rPr>
        <w:t>202</w:t>
      </w:r>
      <w:r>
        <w:rPr>
          <w:rFonts w:hint="eastAsia" w:ascii="方正小标宋简体" w:eastAsia="方正小标宋简体"/>
          <w:bCs/>
          <w:sz w:val="44"/>
          <w:szCs w:val="44"/>
          <w:lang w:val="en-US" w:eastAsia="zh-CN"/>
        </w:rPr>
        <w:t>3</w:t>
      </w:r>
      <w:r>
        <w:rPr>
          <w:rFonts w:hint="eastAsia" w:ascii="方正小标宋简体" w:eastAsia="方正小标宋简体"/>
          <w:bCs/>
          <w:sz w:val="44"/>
          <w:szCs w:val="44"/>
        </w:rPr>
        <w:t>年</w:t>
      </w:r>
    </w:p>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方正小标宋简体" w:eastAsia="方正小标宋简体"/>
          <w:bCs/>
          <w:sz w:val="44"/>
          <w:szCs w:val="44"/>
        </w:rPr>
      </w:pPr>
      <w:r>
        <w:rPr>
          <w:rFonts w:hint="eastAsia" w:ascii="方正小标宋简体" w:eastAsia="方正小标宋简体"/>
          <w:bCs/>
          <w:sz w:val="44"/>
          <w:szCs w:val="44"/>
        </w:rPr>
        <w:t>禁渔期管理工作的通知</w:t>
      </w:r>
    </w:p>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方正小标宋简体" w:eastAsia="仿宋_GB2312"/>
          <w:sz w:val="44"/>
          <w:szCs w:val="44"/>
          <w:lang w:val="en-US" w:eastAsia="zh-CN"/>
        </w:rPr>
      </w:pPr>
      <w:r>
        <w:rPr>
          <w:rFonts w:hint="eastAsia" w:ascii="方正楷体_GBK" w:hAnsi="方正楷体_GBK" w:eastAsia="方正楷体_GBK" w:cs="方正楷体_GBK"/>
          <w:color w:val="auto"/>
          <w:kern w:val="2"/>
          <w:sz w:val="32"/>
          <w:szCs w:val="32"/>
          <w:lang w:eastAsia="zh-CN"/>
        </w:rPr>
        <w:t>（征求意见稿）</w:t>
      </w:r>
    </w:p>
    <w:p>
      <w:pPr>
        <w:keepNext w:val="0"/>
        <w:keepLines w:val="0"/>
        <w:pageBreakBefore w:val="0"/>
        <w:widowControl w:val="0"/>
        <w:kinsoku/>
        <w:wordWrap/>
        <w:overflowPunct/>
        <w:topLinePunct w:val="0"/>
        <w:autoSpaceDE/>
        <w:autoSpaceDN/>
        <w:bidi w:val="0"/>
        <w:spacing w:line="560" w:lineRule="exact"/>
        <w:textAlignment w:val="auto"/>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spacing w:line="520" w:lineRule="exac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各区、县（市）农业农村局：</w:t>
      </w:r>
    </w:p>
    <w:p>
      <w:pPr>
        <w:keepNext w:val="0"/>
        <w:keepLines w:val="0"/>
        <w:pageBreakBefore w:val="0"/>
        <w:widowControl w:val="0"/>
        <w:kinsoku/>
        <w:wordWrap/>
        <w:overflowPunct/>
        <w:topLinePunct w:val="0"/>
        <w:autoSpaceDE/>
        <w:autoSpaceDN/>
        <w:bidi w:val="0"/>
        <w:spacing w:line="520" w:lineRule="exac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　　为切实保护和恢复渔业资源，维护水域生态环境和水生生物多样性，严厉打击禁渔期违法捕捞活动，促进我市渔业可持续发展，</w:t>
      </w:r>
      <w:r>
        <w:rPr>
          <w:rFonts w:hint="eastAsia" w:ascii="仿宋_GB2312" w:hAnsi="仿宋_GB2312" w:eastAsia="仿宋_GB2312" w:cs="仿宋_GB2312"/>
          <w:color w:val="000000"/>
          <w:sz w:val="32"/>
          <w:szCs w:val="32"/>
        </w:rPr>
        <w:t>根据</w:t>
      </w:r>
      <w:r>
        <w:rPr>
          <w:rFonts w:hint="eastAsia" w:ascii="仿宋_GB2312" w:hAnsi="仿宋_GB2312" w:eastAsia="仿宋_GB2312" w:cs="仿宋_GB2312"/>
          <w:color w:val="000000"/>
          <w:sz w:val="32"/>
          <w:szCs w:val="32"/>
          <w:lang w:eastAsia="zh-CN"/>
        </w:rPr>
        <w:t>浙江省农业农村厅《关于实行钱塘江、瓯江、椒江、甬江、苕溪、运河、飞云江、鳌江等八大流域禁渔期制度的通告》</w:t>
      </w:r>
      <w:r>
        <w:rPr>
          <w:rFonts w:hint="eastAsia" w:ascii="仿宋_GB2312" w:hAnsi="仿宋_GB2312" w:eastAsia="仿宋_GB2312" w:cs="仿宋_GB2312"/>
          <w:color w:val="000000"/>
          <w:sz w:val="32"/>
          <w:szCs w:val="32"/>
        </w:rPr>
        <w:t>（ZJSP65-2022-0003）、原浙江省海洋与渔业局《关于绍兴市实施外荡禁渔期的批复》（浙海渔法〔2001〕98号）和《关于上虞市等三市、县要求实施禁渔制度的批复》（浙海渔政〔2007〕29号）等有关规定，现就</w:t>
      </w:r>
      <w:r>
        <w:rPr>
          <w:rFonts w:hint="eastAsia" w:ascii="仿宋_GB2312" w:hAnsi="仿宋_GB2312" w:eastAsia="仿宋_GB2312" w:cs="仿宋_GB2312"/>
          <w:color w:val="000000"/>
          <w:sz w:val="32"/>
          <w:szCs w:val="32"/>
          <w:lang w:eastAsia="zh-CN"/>
        </w:rPr>
        <w:t>做好</w:t>
      </w:r>
      <w:r>
        <w:rPr>
          <w:rFonts w:hint="eastAsia" w:ascii="仿宋_GB2312" w:hAnsi="仿宋_GB2312" w:eastAsia="仿宋_GB2312" w:cs="仿宋_GB2312"/>
          <w:color w:val="000000"/>
          <w:sz w:val="32"/>
          <w:szCs w:val="32"/>
        </w:rPr>
        <w:t>202</w:t>
      </w: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年禁渔期管理工作有关事项通知如下：</w:t>
      </w:r>
    </w:p>
    <w:p>
      <w:pPr>
        <w:keepNext w:val="0"/>
        <w:keepLines w:val="0"/>
        <w:pageBreakBefore w:val="0"/>
        <w:widowControl w:val="0"/>
        <w:kinsoku/>
        <w:wordWrap/>
        <w:overflowPunct/>
        <w:topLinePunct w:val="0"/>
        <w:autoSpaceDE/>
        <w:autoSpaceDN/>
        <w:bidi w:val="0"/>
        <w:spacing w:line="520" w:lineRule="exact"/>
        <w:ind w:firstLine="640" w:firstLineChars="200"/>
        <w:textAlignment w:val="auto"/>
        <w:rPr>
          <w:rFonts w:hint="eastAsia" w:ascii="方正小标宋_GBK" w:hAnsi="方正小标宋_GBK" w:eastAsia="方正小标宋_GBK" w:cs="方正小标宋_GBK"/>
          <w:color w:val="000000"/>
          <w:sz w:val="32"/>
          <w:szCs w:val="32"/>
        </w:rPr>
      </w:pPr>
      <w:r>
        <w:rPr>
          <w:rFonts w:hint="eastAsia" w:ascii="方正小标宋_GBK" w:hAnsi="方正小标宋_GBK" w:eastAsia="方正小标宋_GBK" w:cs="方正小标宋_GBK"/>
          <w:color w:val="000000"/>
          <w:sz w:val="32"/>
          <w:szCs w:val="32"/>
        </w:rPr>
        <w:t>一、禁渔内容</w:t>
      </w:r>
    </w:p>
    <w:p>
      <w:pPr>
        <w:keepNext w:val="0"/>
        <w:keepLines w:val="0"/>
        <w:pageBreakBefore w:val="0"/>
        <w:widowControl w:val="0"/>
        <w:kinsoku/>
        <w:wordWrap/>
        <w:overflowPunct/>
        <w:topLinePunct w:val="0"/>
        <w:autoSpaceDE/>
        <w:autoSpaceDN/>
        <w:bidi w:val="0"/>
        <w:spacing w:line="520" w:lineRule="exact"/>
        <w:ind w:firstLine="640" w:firstLineChars="200"/>
        <w:textAlignment w:val="auto"/>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（一）禁渔区域及时间</w:t>
      </w:r>
    </w:p>
    <w:p>
      <w:pPr>
        <w:keepNext w:val="0"/>
        <w:keepLines w:val="0"/>
        <w:pageBreakBefore w:val="0"/>
        <w:widowControl w:val="0"/>
        <w:kinsoku/>
        <w:wordWrap/>
        <w:overflowPunct/>
        <w:topLinePunct w:val="0"/>
        <w:autoSpaceDE/>
        <w:autoSpaceDN/>
        <w:bidi w:val="0"/>
        <w:spacing w:line="52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1.钱塘江干流绍兴段（120°50′19.36″E，30°19′08.53″N与120°53′45.12″E，30°13′09.50″N连线以</w:t>
      </w:r>
      <w:r>
        <w:rPr>
          <w:rFonts w:hint="eastAsia" w:ascii="仿宋_GB2312" w:hAnsi="仿宋_GB2312" w:eastAsia="仿宋_GB2312" w:cs="仿宋_GB2312"/>
          <w:color w:val="000000"/>
          <w:sz w:val="32"/>
          <w:szCs w:val="32"/>
          <w:lang w:eastAsia="zh-CN"/>
        </w:rPr>
        <w:t>上段</w:t>
      </w:r>
      <w:r>
        <w:rPr>
          <w:rFonts w:hint="eastAsia" w:ascii="仿宋_GB2312" w:hAnsi="仿宋_GB2312" w:eastAsia="仿宋_GB2312" w:cs="仿宋_GB2312"/>
          <w:color w:val="000000"/>
          <w:sz w:val="32"/>
          <w:szCs w:val="32"/>
        </w:rPr>
        <w:t>至柯桥、萧山交界处）</w:t>
      </w:r>
      <w:r>
        <w:rPr>
          <w:rFonts w:hint="eastAsia" w:ascii="仿宋_GB2312" w:hAnsi="仿宋_GB2312" w:eastAsia="仿宋_GB2312" w:cs="仿宋_GB2312"/>
          <w:color w:val="000000"/>
          <w:sz w:val="32"/>
          <w:szCs w:val="32"/>
          <w:lang w:eastAsia="zh-CN"/>
        </w:rPr>
        <w:t>以及</w:t>
      </w:r>
      <w:r>
        <w:rPr>
          <w:rFonts w:hint="eastAsia" w:ascii="仿宋_GB2312" w:hAnsi="仿宋_GB2312" w:eastAsia="仿宋_GB2312" w:cs="仿宋_GB2312"/>
          <w:color w:val="auto"/>
          <w:sz w:val="32"/>
          <w:szCs w:val="32"/>
          <w:lang w:eastAsia="zh-CN"/>
        </w:rPr>
        <w:t>壶源江（壶源溪）、浦阳江、曹娥江、开化江绍兴段</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000000"/>
          <w:sz w:val="32"/>
          <w:szCs w:val="32"/>
        </w:rPr>
        <w:t>禁渔时间为3月1日0时至6月30日24时。其中，曹娥江四环大桥至城南大桥、上浦闸至指石山江段，禁渔时间延至9月30日24时。</w:t>
      </w:r>
    </w:p>
    <w:p>
      <w:pPr>
        <w:keepNext w:val="0"/>
        <w:keepLines w:val="0"/>
        <w:pageBreakBefore w:val="0"/>
        <w:widowControl w:val="0"/>
        <w:kinsoku/>
        <w:wordWrap/>
        <w:overflowPunct/>
        <w:topLinePunct w:val="0"/>
        <w:autoSpaceDE/>
        <w:autoSpaceDN/>
        <w:bidi w:val="0"/>
        <w:spacing w:line="52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绍兴市外荡水域（指非封闭的荡漾、河道、抖河和溇浜等），禁渔时间为4月1日0时至5月31日24时。其中，上虞区皂李湖、小越湖、驿亭东泊和西泊，禁渔时间提前从3月15日0时起实施（禁止捕捞鲫鱼、鲤鱼等自然产卵鱼类）；新昌县澄潭江镜岭大桥上至石门水库大坝，禁渔时间延至6月30日24时。</w:t>
      </w:r>
    </w:p>
    <w:p>
      <w:pPr>
        <w:keepNext w:val="0"/>
        <w:keepLines w:val="0"/>
        <w:pageBreakBefore w:val="0"/>
        <w:widowControl w:val="0"/>
        <w:kinsoku/>
        <w:wordWrap/>
        <w:overflowPunct/>
        <w:topLinePunct w:val="0"/>
        <w:autoSpaceDE/>
        <w:autoSpaceDN/>
        <w:bidi w:val="0"/>
        <w:spacing w:line="520" w:lineRule="exact"/>
        <w:ind w:firstLine="640" w:firstLineChars="200"/>
        <w:textAlignment w:val="auto"/>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（二）禁止作业类型</w:t>
      </w:r>
    </w:p>
    <w:p>
      <w:pPr>
        <w:keepNext w:val="0"/>
        <w:keepLines w:val="0"/>
        <w:pageBreakBefore w:val="0"/>
        <w:widowControl w:val="0"/>
        <w:kinsoku/>
        <w:wordWrap/>
        <w:overflowPunct/>
        <w:topLinePunct w:val="0"/>
        <w:autoSpaceDE/>
        <w:autoSpaceDN/>
        <w:bidi w:val="0"/>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除娱乐性游钓以外的所有作业方式。</w:t>
      </w:r>
    </w:p>
    <w:p>
      <w:pPr>
        <w:keepNext w:val="0"/>
        <w:keepLines w:val="0"/>
        <w:pageBreakBefore w:val="0"/>
        <w:widowControl w:val="0"/>
        <w:kinsoku/>
        <w:wordWrap/>
        <w:overflowPunct/>
        <w:topLinePunct w:val="0"/>
        <w:autoSpaceDE/>
        <w:autoSpaceDN/>
        <w:bidi w:val="0"/>
        <w:spacing w:line="520" w:lineRule="exact"/>
        <w:ind w:firstLine="640" w:firstLineChars="200"/>
        <w:textAlignment w:val="auto"/>
        <w:rPr>
          <w:rFonts w:hint="eastAsia" w:ascii="方正小标宋_GBK" w:hAnsi="方正小标宋_GBK" w:eastAsia="方正小标宋_GBK" w:cs="方正小标宋_GBK"/>
          <w:color w:val="000000"/>
          <w:sz w:val="32"/>
          <w:szCs w:val="32"/>
        </w:rPr>
      </w:pPr>
      <w:r>
        <w:rPr>
          <w:rFonts w:hint="eastAsia" w:ascii="方正小标宋_GBK" w:hAnsi="方正小标宋_GBK" w:eastAsia="方正小标宋_GBK" w:cs="方正小标宋_GBK"/>
          <w:color w:val="000000"/>
          <w:sz w:val="32"/>
          <w:szCs w:val="32"/>
          <w:lang w:eastAsia="zh-CN"/>
        </w:rPr>
        <w:t>二</w:t>
      </w:r>
      <w:r>
        <w:rPr>
          <w:rFonts w:hint="eastAsia" w:ascii="方正小标宋_GBK" w:hAnsi="方正小标宋_GBK" w:eastAsia="方正小标宋_GBK" w:cs="方正小标宋_GBK"/>
          <w:color w:val="000000"/>
          <w:sz w:val="32"/>
          <w:szCs w:val="32"/>
        </w:rPr>
        <w:t>、工作措施</w:t>
      </w:r>
    </w:p>
    <w:p>
      <w:pPr>
        <w:keepNext w:val="0"/>
        <w:keepLines w:val="0"/>
        <w:pageBreakBefore w:val="0"/>
        <w:widowControl w:val="0"/>
        <w:kinsoku/>
        <w:wordWrap/>
        <w:overflowPunct/>
        <w:topLinePunct w:val="0"/>
        <w:autoSpaceDE/>
        <w:autoSpaceDN/>
        <w:bidi w:val="0"/>
        <w:spacing w:line="520" w:lineRule="exact"/>
        <w:ind w:firstLine="640" w:firstLineChars="200"/>
        <w:textAlignment w:val="auto"/>
        <w:rPr>
          <w:rFonts w:hint="eastAsia"/>
          <w:color w:val="auto"/>
        </w:rPr>
      </w:pPr>
      <w:r>
        <w:rPr>
          <w:rFonts w:hint="eastAsia" w:ascii="楷体_GB2312" w:hAnsi="楷体_GB2312" w:eastAsia="楷体_GB2312" w:cs="楷体_GB2312"/>
          <w:color w:val="auto"/>
          <w:sz w:val="32"/>
          <w:szCs w:val="32"/>
        </w:rPr>
        <w:t>（一）</w:t>
      </w:r>
      <w:r>
        <w:rPr>
          <w:rFonts w:hint="eastAsia" w:ascii="楷体_GB2312" w:hAnsi="楷体_GB2312" w:eastAsia="楷体_GB2312" w:cs="楷体_GB2312"/>
          <w:color w:val="auto"/>
          <w:sz w:val="32"/>
          <w:szCs w:val="32"/>
          <w:lang w:eastAsia="zh-CN"/>
        </w:rPr>
        <w:t>提高政治站位，</w:t>
      </w:r>
      <w:r>
        <w:rPr>
          <w:rFonts w:hint="eastAsia" w:ascii="楷体_GB2312" w:hAnsi="楷体_GB2312" w:eastAsia="楷体_GB2312" w:cs="楷体_GB2312"/>
          <w:color w:val="auto"/>
          <w:sz w:val="32"/>
          <w:szCs w:val="32"/>
        </w:rPr>
        <w:t>加强组织领导</w:t>
      </w:r>
      <w:r>
        <w:rPr>
          <w:rFonts w:hint="eastAsia" w:ascii="楷体_GB2312" w:hAnsi="楷体_GB2312" w:eastAsia="楷体_GB2312" w:cs="楷体_GB2312"/>
          <w:color w:val="auto"/>
          <w:sz w:val="32"/>
          <w:szCs w:val="32"/>
          <w:lang w:eastAsia="zh-CN"/>
        </w:rPr>
        <w:t>。</w:t>
      </w:r>
      <w:r>
        <w:rPr>
          <w:rFonts w:hint="eastAsia" w:ascii="仿宋_GB2312" w:hAnsi="仿宋_GB2312" w:eastAsia="仿宋_GB2312" w:cs="仿宋_GB2312"/>
          <w:color w:val="auto"/>
          <w:sz w:val="32"/>
          <w:szCs w:val="32"/>
        </w:rPr>
        <w:t>实施禁渔期管理</w:t>
      </w:r>
      <w:r>
        <w:rPr>
          <w:rFonts w:hint="eastAsia" w:ascii="仿宋_GB2312" w:hAnsi="仿宋_GB2312" w:eastAsia="仿宋_GB2312" w:cs="仿宋_GB2312"/>
          <w:color w:val="auto"/>
          <w:sz w:val="32"/>
          <w:szCs w:val="32"/>
          <w:lang w:eastAsia="zh-CN"/>
        </w:rPr>
        <w:t>是</w:t>
      </w:r>
      <w:r>
        <w:rPr>
          <w:rFonts w:hint="eastAsia" w:ascii="仿宋_GB2312" w:hAnsi="仿宋_GB2312" w:eastAsia="仿宋_GB2312" w:cs="仿宋_GB2312"/>
          <w:color w:val="auto"/>
          <w:sz w:val="32"/>
          <w:szCs w:val="32"/>
        </w:rPr>
        <w:t>贯彻落实党</w:t>
      </w:r>
      <w:r>
        <w:rPr>
          <w:rFonts w:hint="eastAsia" w:ascii="仿宋_GB2312" w:hAnsi="仿宋_GB2312" w:eastAsia="仿宋_GB2312" w:cs="仿宋_GB2312"/>
          <w:color w:val="auto"/>
          <w:sz w:val="32"/>
          <w:szCs w:val="32"/>
          <w:lang w:eastAsia="zh-CN"/>
        </w:rPr>
        <w:t>的</w:t>
      </w:r>
      <w:r>
        <w:rPr>
          <w:rFonts w:hint="eastAsia" w:ascii="仿宋_GB2312" w:hAnsi="仿宋_GB2312" w:eastAsia="仿宋_GB2312" w:cs="仿宋_GB2312"/>
          <w:color w:val="auto"/>
          <w:sz w:val="32"/>
          <w:szCs w:val="32"/>
        </w:rPr>
        <w:t>二十大报告</w:t>
      </w:r>
      <w:r>
        <w:rPr>
          <w:rFonts w:hint="eastAsia" w:ascii="仿宋_GB2312" w:hAnsi="仿宋_GB2312" w:eastAsia="仿宋_GB2312" w:cs="仿宋_GB2312"/>
          <w:color w:val="auto"/>
          <w:sz w:val="32"/>
          <w:szCs w:val="32"/>
          <w:lang w:eastAsia="zh-CN"/>
        </w:rPr>
        <w:t>中“</w:t>
      </w:r>
      <w:r>
        <w:rPr>
          <w:rFonts w:hint="eastAsia" w:ascii="仿宋_GB2312" w:hAnsi="仿宋_GB2312" w:eastAsia="仿宋_GB2312" w:cs="仿宋_GB2312"/>
          <w:color w:val="auto"/>
          <w:sz w:val="32"/>
          <w:szCs w:val="32"/>
          <w:lang w:val="en-US" w:eastAsia="zh-CN"/>
        </w:rPr>
        <w:t>实施生物多样性保护重大工程”</w:t>
      </w:r>
      <w:r>
        <w:rPr>
          <w:rFonts w:hint="eastAsia" w:ascii="仿宋_GB2312" w:hAnsi="仿宋_GB2312" w:eastAsia="仿宋_GB2312" w:cs="仿宋_GB2312"/>
          <w:color w:val="auto"/>
          <w:sz w:val="32"/>
          <w:szCs w:val="32"/>
        </w:rPr>
        <w:t>的具体行动</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对于保护渔业资源和水域生态环境，</w:t>
      </w:r>
      <w:r>
        <w:rPr>
          <w:rFonts w:hint="eastAsia" w:ascii="仿宋_GB2312" w:hAnsi="仿宋_GB2312" w:eastAsia="仿宋_GB2312" w:cs="仿宋_GB2312"/>
          <w:color w:val="auto"/>
          <w:sz w:val="32"/>
          <w:szCs w:val="32"/>
          <w:lang w:eastAsia="zh-CN"/>
        </w:rPr>
        <w:t>具有</w:t>
      </w:r>
      <w:r>
        <w:rPr>
          <w:rFonts w:hint="eastAsia" w:ascii="仿宋_GB2312" w:hAnsi="仿宋_GB2312" w:eastAsia="仿宋_GB2312" w:cs="仿宋_GB2312"/>
          <w:color w:val="auto"/>
          <w:sz w:val="32"/>
          <w:szCs w:val="32"/>
        </w:rPr>
        <w:t>重要作用。</w:t>
      </w:r>
      <w:r>
        <w:rPr>
          <w:rFonts w:hint="eastAsia" w:ascii="方正仿宋_GBK" w:hAnsi="方正仿宋_GBK" w:eastAsia="方正仿宋_GBK" w:cs="方正仿宋_GBK"/>
          <w:color w:val="auto"/>
          <w:kern w:val="2"/>
          <w:sz w:val="32"/>
          <w:szCs w:val="32"/>
          <w:lang w:val="en-US" w:eastAsia="zh-CN" w:bidi="ar-SA"/>
        </w:rPr>
        <w:t>各地要高度重视，加强领导，认真部署，做到思想上高度重视，行动上狠抓落实，宣传发动广泛深入，执法检查扎实有效，各项措施落实到位，落实</w:t>
      </w:r>
      <w:r>
        <w:rPr>
          <w:rFonts w:hint="eastAsia" w:ascii="方正仿宋_GBK" w:hAnsi="方正仿宋_GBK" w:eastAsia="方正仿宋_GBK" w:cs="方正仿宋_GBK"/>
          <w:color w:val="auto"/>
          <w:sz w:val="32"/>
          <w:szCs w:val="32"/>
          <w:lang w:eastAsia="zh-CN"/>
        </w:rPr>
        <w:t>做好省</w:t>
      </w:r>
      <w:r>
        <w:rPr>
          <w:rFonts w:hint="eastAsia" w:ascii="方正仿宋_GBK" w:hAnsi="方正仿宋_GBK" w:eastAsia="方正仿宋_GBK" w:cs="方正仿宋_GBK"/>
          <w:color w:val="auto"/>
          <w:sz w:val="32"/>
          <w:szCs w:val="32"/>
        </w:rPr>
        <w:t>“七张问题清单”中涉及我市杭甬运河船舶非法捕鱼安全隐患突出问题</w:t>
      </w:r>
      <w:r>
        <w:rPr>
          <w:rFonts w:hint="eastAsia" w:ascii="方正仿宋_GBK" w:hAnsi="方正仿宋_GBK" w:eastAsia="方正仿宋_GBK" w:cs="方正仿宋_GBK"/>
          <w:color w:val="auto"/>
          <w:sz w:val="32"/>
          <w:szCs w:val="32"/>
          <w:lang w:eastAsia="zh-CN"/>
        </w:rPr>
        <w:t>的整改工作，</w:t>
      </w:r>
      <w:r>
        <w:rPr>
          <w:rFonts w:hint="eastAsia" w:ascii="方正仿宋_GBK" w:hAnsi="方正仿宋_GBK" w:eastAsia="方正仿宋_GBK" w:cs="方正仿宋_GBK"/>
          <w:color w:val="auto"/>
          <w:kern w:val="2"/>
          <w:sz w:val="32"/>
          <w:szCs w:val="32"/>
          <w:lang w:val="en-US" w:eastAsia="zh-CN" w:bidi="ar-SA"/>
        </w:rPr>
        <w:t>确保我市禁渔执法监管工作取得实效。</w:t>
      </w:r>
    </w:p>
    <w:p>
      <w:pPr>
        <w:pStyle w:val="2"/>
        <w:keepNext w:val="0"/>
        <w:keepLines w:val="0"/>
        <w:pageBreakBefore w:val="0"/>
        <w:widowControl w:val="0"/>
        <w:kinsoku/>
        <w:wordWrap/>
        <w:overflowPunct/>
        <w:topLinePunct w:val="0"/>
        <w:autoSpaceDE/>
        <w:autoSpaceDN/>
        <w:bidi w:val="0"/>
        <w:spacing w:line="520" w:lineRule="exact"/>
        <w:ind w:left="0" w:leftChars="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楷体_GB2312" w:hAnsi="楷体_GB2312" w:eastAsia="楷体_GB2312" w:cs="楷体_GB2312"/>
          <w:color w:val="000000"/>
          <w:sz w:val="32"/>
          <w:szCs w:val="32"/>
          <w:lang w:eastAsia="zh-CN"/>
        </w:rPr>
        <w:t>（二）</w:t>
      </w:r>
      <w:r>
        <w:rPr>
          <w:rFonts w:hint="eastAsia" w:eastAsia="楷体_GB2312"/>
          <w:color w:val="000000"/>
          <w:sz w:val="32"/>
          <w:szCs w:val="32"/>
          <w:lang w:val="en-US" w:eastAsia="zh-CN"/>
        </w:rPr>
        <w:t>严格执法管理，</w:t>
      </w:r>
      <w:r>
        <w:rPr>
          <w:rFonts w:hint="eastAsia" w:eastAsia="楷体_GB2312"/>
          <w:color w:val="000000"/>
          <w:sz w:val="32"/>
          <w:szCs w:val="32"/>
        </w:rPr>
        <w:t>增强联勤联动</w:t>
      </w:r>
      <w:r>
        <w:rPr>
          <w:rFonts w:hint="eastAsia" w:ascii="仿宋_GB2312" w:hAnsi="仿宋_GB2312" w:eastAsia="仿宋_GB2312" w:cs="仿宋_GB2312"/>
          <w:kern w:val="2"/>
          <w:sz w:val="32"/>
          <w:szCs w:val="32"/>
          <w:lang w:val="en-US" w:eastAsia="zh-CN" w:bidi="ar-SA"/>
        </w:rPr>
        <w:t>。各地要按照“有法必依、执法必严、违法必究”的工作要求，强化执法管理。要统筹执法力量，加快应急反应，严厉打击违法禁渔期规定的违法捕捞行为。要加强与公安、市场监管等部门的执法联动，加密重点水域、违规高发水域巡查频次，加大对群体性、团伙性非法捕捞案件的查处力度，保持禁渔期执法高压态势。要严格执行《关于绍兴市非法捕捞水产品犯罪案件办理的会议纪要》（绍检会〔2020〕21号）精神，强化两法衔接，增强执法震慑。</w:t>
      </w:r>
    </w:p>
    <w:p>
      <w:pPr>
        <w:pStyle w:val="2"/>
        <w:keepNext w:val="0"/>
        <w:keepLines w:val="0"/>
        <w:pageBreakBefore w:val="0"/>
        <w:widowControl w:val="0"/>
        <w:kinsoku/>
        <w:wordWrap/>
        <w:overflowPunct/>
        <w:topLinePunct w:val="0"/>
        <w:autoSpaceDE/>
        <w:autoSpaceDN/>
        <w:bidi w:val="0"/>
        <w:spacing w:line="520" w:lineRule="exact"/>
        <w:ind w:left="0" w:leftChars="0" w:firstLine="640" w:firstLineChars="200"/>
        <w:textAlignment w:val="auto"/>
        <w:rPr>
          <w:rFonts w:hint="eastAsia" w:ascii="仿宋_GB2312" w:hAnsi="仿宋_GB2312" w:eastAsia="仿宋_GB2312" w:cs="仿宋_GB2312"/>
          <w:sz w:val="32"/>
          <w:szCs w:val="32"/>
        </w:rPr>
      </w:pPr>
      <w:r>
        <w:rPr>
          <w:rFonts w:hint="eastAsia" w:eastAsia="楷体_GB2312"/>
          <w:color w:val="000000"/>
          <w:sz w:val="32"/>
          <w:szCs w:val="32"/>
          <w:lang w:val="en-US" w:eastAsia="zh-CN"/>
        </w:rPr>
        <w:t>（三）</w:t>
      </w:r>
      <w:r>
        <w:rPr>
          <w:rFonts w:hint="eastAsia" w:ascii="楷体_GB2312" w:hAnsi="楷体_GB2312" w:eastAsia="楷体_GB2312" w:cs="楷体_GB2312"/>
          <w:color w:val="000000"/>
          <w:sz w:val="32"/>
          <w:szCs w:val="32"/>
          <w:lang w:eastAsia="zh-CN"/>
        </w:rPr>
        <w:t>广泛</w:t>
      </w:r>
      <w:r>
        <w:rPr>
          <w:rFonts w:hint="eastAsia" w:eastAsia="楷体_GB2312"/>
          <w:color w:val="000000"/>
          <w:sz w:val="32"/>
          <w:szCs w:val="32"/>
        </w:rPr>
        <w:t>宣</w:t>
      </w:r>
      <w:r>
        <w:rPr>
          <w:rFonts w:hint="eastAsia" w:eastAsia="楷体_GB2312"/>
          <w:color w:val="000000"/>
          <w:sz w:val="32"/>
          <w:szCs w:val="32"/>
          <w:lang w:eastAsia="zh-CN"/>
        </w:rPr>
        <w:t>传</w:t>
      </w:r>
      <w:r>
        <w:rPr>
          <w:rFonts w:hint="eastAsia" w:eastAsia="楷体_GB2312"/>
          <w:color w:val="000000"/>
          <w:sz w:val="32"/>
          <w:szCs w:val="32"/>
        </w:rPr>
        <w:t>引导</w:t>
      </w:r>
      <w:r>
        <w:rPr>
          <w:rFonts w:hint="eastAsia" w:eastAsia="楷体_GB2312"/>
          <w:color w:val="000000"/>
          <w:sz w:val="32"/>
          <w:szCs w:val="32"/>
          <w:lang w:eastAsia="zh-CN"/>
        </w:rPr>
        <w:t>，做好部署安排</w:t>
      </w:r>
      <w:r>
        <w:rPr>
          <w:rFonts w:hint="eastAsia" w:ascii="楷体_GB2312" w:hAnsi="楷体_GB2312" w:eastAsia="楷体_GB2312" w:cs="楷体_GB2312"/>
          <w:color w:val="000000"/>
          <w:sz w:val="32"/>
          <w:szCs w:val="32"/>
          <w:lang w:eastAsia="zh-CN"/>
        </w:rPr>
        <w:t>。</w:t>
      </w:r>
      <w:r>
        <w:rPr>
          <w:rFonts w:hint="eastAsia" w:ascii="仿宋_GB2312" w:hAnsi="仿宋_GB2312" w:eastAsia="仿宋_GB2312" w:cs="仿宋_GB2312"/>
          <w:sz w:val="32"/>
          <w:szCs w:val="32"/>
          <w:lang w:eastAsia="zh-CN"/>
        </w:rPr>
        <w:t>各地要充分利用传统媒体</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新媒体等多种手段，广泛开展禁渔期制度宣传活动，积极争取各方理解、支持和配合</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要紧紧</w:t>
      </w:r>
      <w:r>
        <w:rPr>
          <w:rFonts w:hint="eastAsia" w:ascii="仿宋_GB2312" w:hAnsi="仿宋_GB2312" w:eastAsia="仿宋_GB2312" w:cs="仿宋_GB2312"/>
          <w:sz w:val="32"/>
          <w:szCs w:val="32"/>
        </w:rPr>
        <w:t>围绕禁渔期</w:t>
      </w:r>
      <w:r>
        <w:rPr>
          <w:rFonts w:hint="eastAsia" w:ascii="仿宋_GB2312" w:hAnsi="仿宋_GB2312" w:eastAsia="仿宋_GB2312" w:cs="仿宋_GB2312"/>
          <w:sz w:val="32"/>
          <w:szCs w:val="32"/>
          <w:lang w:eastAsia="zh-CN"/>
        </w:rPr>
        <w:t>前中后各</w:t>
      </w:r>
      <w:r>
        <w:rPr>
          <w:rFonts w:hint="eastAsia" w:ascii="仿宋_GB2312" w:hAnsi="仿宋_GB2312" w:eastAsia="仿宋_GB2312" w:cs="仿宋_GB2312"/>
          <w:sz w:val="32"/>
          <w:szCs w:val="32"/>
        </w:rPr>
        <w:t>阶段，有</w:t>
      </w:r>
      <w:r>
        <w:rPr>
          <w:rFonts w:hint="eastAsia" w:ascii="仿宋_GB2312" w:hAnsi="仿宋_GB2312" w:eastAsia="仿宋_GB2312" w:cs="仿宋_GB2312"/>
          <w:sz w:val="32"/>
          <w:szCs w:val="32"/>
          <w:lang w:eastAsia="zh-CN"/>
        </w:rPr>
        <w:t>所</w:t>
      </w:r>
      <w:r>
        <w:rPr>
          <w:rFonts w:hint="eastAsia" w:ascii="仿宋_GB2312" w:hAnsi="仿宋_GB2312" w:eastAsia="仿宋_GB2312" w:cs="仿宋_GB2312"/>
          <w:sz w:val="32"/>
          <w:szCs w:val="32"/>
        </w:rPr>
        <w:t>侧重地开展宣传</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占领舆论制高点。禁渔期前要发布禁渔期通告，</w:t>
      </w:r>
      <w:r>
        <w:rPr>
          <w:rFonts w:hint="eastAsia" w:ascii="仿宋_GB2312" w:hAnsi="仿宋_GB2312" w:eastAsia="仿宋_GB2312" w:cs="仿宋_GB2312"/>
          <w:sz w:val="32"/>
          <w:szCs w:val="32"/>
          <w:lang w:eastAsia="zh-CN"/>
        </w:rPr>
        <w:t>广泛宣传</w:t>
      </w:r>
      <w:r>
        <w:rPr>
          <w:rFonts w:hint="eastAsia" w:ascii="仿宋_GB2312" w:hAnsi="仿宋_GB2312" w:eastAsia="仿宋_GB2312" w:cs="仿宋_GB2312"/>
          <w:sz w:val="32"/>
          <w:szCs w:val="32"/>
        </w:rPr>
        <w:t>禁渔</w:t>
      </w:r>
      <w:r>
        <w:rPr>
          <w:rFonts w:hint="eastAsia" w:ascii="仿宋_GB2312" w:hAnsi="仿宋_GB2312" w:eastAsia="仿宋_GB2312" w:cs="仿宋_GB2312"/>
          <w:sz w:val="32"/>
          <w:szCs w:val="32"/>
          <w:lang w:eastAsia="zh-CN"/>
        </w:rPr>
        <w:t>内容和</w:t>
      </w:r>
      <w:r>
        <w:rPr>
          <w:rFonts w:hint="eastAsia" w:ascii="仿宋_GB2312" w:hAnsi="仿宋_GB2312" w:eastAsia="仿宋_GB2312" w:cs="仿宋_GB2312"/>
          <w:sz w:val="32"/>
          <w:szCs w:val="32"/>
        </w:rPr>
        <w:t>意义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禁渔期间要密切关注和及时回应网络等新媒体反映禁渔期的相关问题，组织新闻媒体参与并报道相关执法活动，曝光禁渔期违法行为，保持执法威慑力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禁渔期后要认真总结禁渔期成效，借助各类媒体手段对亮点工作和主要成绩进行广泛宣传，巩固禁渔成果。</w:t>
      </w:r>
    </w:p>
    <w:p>
      <w:pPr>
        <w:keepNext w:val="0"/>
        <w:keepLines w:val="0"/>
        <w:pageBreakBefore w:val="0"/>
        <w:widowControl w:val="0"/>
        <w:kinsoku/>
        <w:wordWrap/>
        <w:overflowPunct/>
        <w:topLinePunct w:val="0"/>
        <w:autoSpaceDE/>
        <w:autoSpaceDN/>
        <w:bidi w:val="0"/>
        <w:spacing w:line="520" w:lineRule="exact"/>
        <w:ind w:firstLine="640" w:firstLineChars="200"/>
        <w:textAlignment w:val="auto"/>
        <w:rPr>
          <w:rFonts w:hint="eastAsia" w:ascii="方正小标宋_GBK" w:hAnsi="方正小标宋_GBK" w:eastAsia="方正小标宋_GBK" w:cs="方正小标宋_GBK"/>
          <w:sz w:val="32"/>
          <w:szCs w:val="32"/>
        </w:rPr>
      </w:pPr>
      <w:r>
        <w:rPr>
          <w:rFonts w:hint="eastAsia" w:ascii="方正小标宋_GBK" w:hAnsi="方正小标宋_GBK" w:eastAsia="方正小标宋_GBK" w:cs="方正小标宋_GBK"/>
          <w:sz w:val="32"/>
          <w:szCs w:val="32"/>
        </w:rPr>
        <w:t>三、相关要求</w:t>
      </w:r>
    </w:p>
    <w:p>
      <w:pPr>
        <w:keepNext w:val="0"/>
        <w:keepLines w:val="0"/>
        <w:pageBreakBefore w:val="0"/>
        <w:widowControl w:val="0"/>
        <w:kinsoku/>
        <w:wordWrap/>
        <w:overflowPunct/>
        <w:topLinePunct w:val="0"/>
        <w:autoSpaceDE/>
        <w:autoSpaceDN/>
        <w:bidi w:val="0"/>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各地要及时总结禁渔制度实施的经验和做法，加强信息报送和交流沟通，巩固禁渔效果。要分析问题和原因，并提出相关建议，为禁渔制度完善提供决策支撑。请各区、县（市）农业农村部门于</w:t>
      </w:r>
      <w:r>
        <w:rPr>
          <w:rFonts w:hint="eastAsia" w:ascii="仿宋_GB2312" w:hAnsi="仿宋_GB2312" w:eastAsia="仿宋_GB2312" w:cs="仿宋_GB2312"/>
          <w:sz w:val="32"/>
          <w:szCs w:val="32"/>
          <w:lang w:eastAsia="zh-CN"/>
        </w:rPr>
        <w:t>每月</w:t>
      </w:r>
      <w:r>
        <w:rPr>
          <w:rFonts w:hint="eastAsia" w:ascii="仿宋_GB2312" w:hAnsi="仿宋_GB2312" w:eastAsia="仿宋_GB2312" w:cs="仿宋_GB2312"/>
          <w:sz w:val="32"/>
          <w:szCs w:val="32"/>
          <w:lang w:val="en-US" w:eastAsia="zh-CN"/>
        </w:rPr>
        <w:t>24日前将2023年禁渔期管理情况月统计表（附件2）、</w:t>
      </w:r>
      <w:r>
        <w:rPr>
          <w:rFonts w:hint="eastAsia" w:ascii="仿宋_GB2312" w:hAnsi="仿宋_GB2312" w:eastAsia="仿宋_GB2312" w:cs="仿宋_GB2312"/>
          <w:sz w:val="32"/>
          <w:szCs w:val="32"/>
        </w:rPr>
        <w:t>7月1日前将禁渔期工作总结以纸质和电子稿的形式上报市局。</w:t>
      </w:r>
    </w:p>
    <w:p>
      <w:pPr>
        <w:keepNext w:val="0"/>
        <w:keepLines w:val="0"/>
        <w:pageBreakBefore w:val="0"/>
        <w:widowControl w:val="0"/>
        <w:kinsoku/>
        <w:wordWrap/>
        <w:overflowPunct/>
        <w:topLinePunct w:val="0"/>
        <w:autoSpaceDE/>
        <w:autoSpaceDN/>
        <w:bidi w:val="0"/>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联系人：</w:t>
      </w:r>
      <w:r>
        <w:rPr>
          <w:rFonts w:hint="eastAsia" w:ascii="仿宋_GB2312" w:hAnsi="仿宋_GB2312" w:eastAsia="仿宋_GB2312" w:cs="仿宋_GB2312"/>
          <w:sz w:val="32"/>
          <w:szCs w:val="32"/>
          <w:lang w:eastAsia="zh-CN"/>
        </w:rPr>
        <w:t>丁锋</w:t>
      </w:r>
      <w:r>
        <w:rPr>
          <w:rFonts w:hint="eastAsia" w:ascii="仿宋_GB2312" w:hAnsi="仿宋_GB2312" w:eastAsia="仿宋_GB2312" w:cs="仿宋_GB2312"/>
          <w:sz w:val="32"/>
          <w:szCs w:val="32"/>
        </w:rPr>
        <w:t>，联系电话：0575-88738536。</w:t>
      </w:r>
    </w:p>
    <w:p>
      <w:pPr>
        <w:keepNext w:val="0"/>
        <w:keepLines w:val="0"/>
        <w:pageBreakBefore w:val="0"/>
        <w:widowControl w:val="0"/>
        <w:kinsoku/>
        <w:wordWrap/>
        <w:overflowPunct/>
        <w:topLinePunct w:val="0"/>
        <w:autoSpaceDE/>
        <w:autoSpaceDN/>
        <w:bidi w:val="0"/>
        <w:spacing w:line="5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spacing w:line="52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附件：</w:t>
      </w: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rPr>
        <w:t>绍兴市202</w:t>
      </w:r>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b w:val="0"/>
          <w:bCs w:val="0"/>
          <w:sz w:val="32"/>
          <w:szCs w:val="32"/>
        </w:rPr>
        <w:t>年禁渔期通告</w:t>
      </w:r>
    </w:p>
    <w:p>
      <w:pPr>
        <w:keepNext w:val="0"/>
        <w:keepLines w:val="0"/>
        <w:pageBreakBefore w:val="0"/>
        <w:widowControl w:val="0"/>
        <w:kinsoku/>
        <w:wordWrap/>
        <w:overflowPunct/>
        <w:topLinePunct w:val="0"/>
        <w:autoSpaceDE/>
        <w:autoSpaceDN/>
        <w:bidi w:val="0"/>
        <w:spacing w:line="52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2.2023年禁渔期管理情况月统计表</w:t>
      </w:r>
    </w:p>
    <w:p>
      <w:pPr>
        <w:keepNext w:val="0"/>
        <w:keepLines w:val="0"/>
        <w:pageBreakBefore w:val="0"/>
        <w:widowControl w:val="0"/>
        <w:kinsoku/>
        <w:wordWrap/>
        <w:overflowPunct/>
        <w:topLinePunct w:val="0"/>
        <w:autoSpaceDE/>
        <w:autoSpaceDN/>
        <w:bidi w:val="0"/>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val="0"/>
        <w:snapToGrid w:val="0"/>
        <w:spacing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绍兴市农业农村局</w:t>
      </w:r>
    </w:p>
    <w:p>
      <w:pPr>
        <w:keepNext w:val="0"/>
        <w:keepLines w:val="0"/>
        <w:pageBreakBefore w:val="0"/>
        <w:widowControl w:val="0"/>
        <w:kinsoku/>
        <w:wordWrap/>
        <w:overflowPunct/>
        <w:topLinePunct w:val="0"/>
        <w:autoSpaceDE/>
        <w:autoSpaceDN/>
        <w:bidi w:val="0"/>
        <w:adjustRightInd w:val="0"/>
        <w:snapToGrid w:val="0"/>
        <w:spacing w:line="520" w:lineRule="exact"/>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日</w:t>
      </w:r>
    </w:p>
    <w:p>
      <w:pPr>
        <w:keepNext w:val="0"/>
        <w:keepLines w:val="0"/>
        <w:pageBreakBefore w:val="0"/>
        <w:widowControl w:val="0"/>
        <w:kinsoku/>
        <w:wordWrap/>
        <w:overflowPunct/>
        <w:topLinePunct w:val="0"/>
        <w:autoSpaceDE/>
        <w:autoSpaceDN/>
        <w:bidi w:val="0"/>
        <w:spacing w:line="520" w:lineRule="exact"/>
        <w:textAlignment w:val="auto"/>
        <w:rPr>
          <w:rFonts w:hint="eastAsia" w:ascii="黑体" w:hAnsi="黑体" w:eastAsia="黑体" w:cs="仿宋"/>
          <w:sz w:val="32"/>
          <w:szCs w:val="32"/>
        </w:rPr>
      </w:pPr>
    </w:p>
    <w:p>
      <w:pPr>
        <w:keepNext w:val="0"/>
        <w:keepLines w:val="0"/>
        <w:pageBreakBefore w:val="0"/>
        <w:widowControl w:val="0"/>
        <w:kinsoku/>
        <w:wordWrap/>
        <w:overflowPunct/>
        <w:topLinePunct w:val="0"/>
        <w:autoSpaceDE/>
        <w:autoSpaceDN/>
        <w:bidi w:val="0"/>
        <w:spacing w:line="560" w:lineRule="exact"/>
        <w:textAlignment w:val="auto"/>
        <w:rPr>
          <w:rFonts w:hint="eastAsia" w:ascii="黑体" w:hAnsi="黑体" w:eastAsia="黑体" w:cs="仿宋"/>
          <w:sz w:val="32"/>
          <w:szCs w:val="32"/>
        </w:rPr>
      </w:pPr>
    </w:p>
    <w:p>
      <w:pPr>
        <w:keepNext w:val="0"/>
        <w:keepLines w:val="0"/>
        <w:pageBreakBefore w:val="0"/>
        <w:widowControl w:val="0"/>
        <w:kinsoku/>
        <w:wordWrap/>
        <w:overflowPunct/>
        <w:topLinePunct w:val="0"/>
        <w:autoSpaceDE/>
        <w:autoSpaceDN/>
        <w:bidi w:val="0"/>
        <w:spacing w:line="560" w:lineRule="exact"/>
        <w:textAlignment w:val="auto"/>
        <w:rPr>
          <w:rFonts w:hint="eastAsia" w:ascii="黑体" w:hAnsi="黑体" w:eastAsia="黑体" w:cs="仿宋"/>
          <w:sz w:val="32"/>
          <w:szCs w:val="32"/>
        </w:rPr>
      </w:pPr>
    </w:p>
    <w:p>
      <w:pPr>
        <w:keepNext w:val="0"/>
        <w:keepLines w:val="0"/>
        <w:pageBreakBefore w:val="0"/>
        <w:widowControl w:val="0"/>
        <w:kinsoku/>
        <w:wordWrap/>
        <w:overflowPunct/>
        <w:topLinePunct w:val="0"/>
        <w:autoSpaceDE/>
        <w:autoSpaceDN/>
        <w:bidi w:val="0"/>
        <w:adjustRightInd/>
        <w:snapToGrid/>
        <w:spacing w:line="400" w:lineRule="exact"/>
        <w:ind w:left="0" w:leftChars="0"/>
        <w:jc w:val="left"/>
        <w:textAlignment w:val="auto"/>
        <w:rPr>
          <w:rFonts w:hint="eastAsia" w:ascii="黑体" w:hAnsi="黑体" w:eastAsia="黑体" w:cs="黑体"/>
          <w:b w:val="0"/>
          <w:bCs w:val="0"/>
          <w:sz w:val="32"/>
          <w:szCs w:val="32"/>
          <w:lang w:val="en-US" w:eastAsia="zh-CN"/>
        </w:rPr>
      </w:pPr>
      <w:r>
        <w:rPr>
          <w:rFonts w:hint="eastAsia" w:ascii="黑体" w:hAnsi="黑体" w:eastAsia="黑体" w:cs="仿宋"/>
          <w:sz w:val="32"/>
          <w:szCs w:val="32"/>
        </w:rPr>
        <w:br w:type="page"/>
      </w:r>
      <w:r>
        <w:rPr>
          <w:rFonts w:hint="eastAsia" w:ascii="黑体" w:hAnsi="黑体" w:eastAsia="黑体" w:cs="黑体"/>
          <w:b w:val="0"/>
          <w:bCs w:val="0"/>
          <w:sz w:val="32"/>
          <w:szCs w:val="32"/>
        </w:rPr>
        <w:t>附件</w:t>
      </w:r>
      <w:r>
        <w:rPr>
          <w:rFonts w:hint="eastAsia" w:ascii="黑体" w:hAnsi="黑体" w:eastAsia="黑体" w:cs="黑体"/>
          <w:b w:val="0"/>
          <w:bCs w:val="0"/>
          <w:sz w:val="32"/>
          <w:szCs w:val="32"/>
          <w:lang w:val="en-US" w:eastAsia="zh-CN"/>
        </w:rPr>
        <w:t>1</w:t>
      </w:r>
    </w:p>
    <w:p>
      <w:pPr>
        <w:pStyle w:val="10"/>
        <w:keepNext w:val="0"/>
        <w:keepLines w:val="0"/>
        <w:pageBreakBefore w:val="0"/>
        <w:widowControl w:val="0"/>
        <w:kinsoku/>
        <w:wordWrap/>
        <w:overflowPunct/>
        <w:topLinePunct w:val="0"/>
        <w:autoSpaceDE/>
        <w:autoSpaceDN/>
        <w:bidi w:val="0"/>
        <w:adjustRightInd/>
        <w:snapToGrid/>
        <w:spacing w:after="0" w:line="400" w:lineRule="exact"/>
        <w:ind w:left="0" w:leftChars="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rPr>
          <w:rFonts w:hint="eastAsia" w:ascii="方正小标宋简体" w:hAnsi="宋体" w:eastAsia="方正小标宋简体" w:cs="Times New Roman"/>
          <w:sz w:val="44"/>
          <w:szCs w:val="44"/>
        </w:rPr>
      </w:pPr>
      <w:r>
        <w:rPr>
          <w:rFonts w:hint="eastAsia" w:ascii="方正小标宋简体" w:hAnsi="宋体" w:eastAsia="方正小标宋简体" w:cs="Times New Roman"/>
          <w:sz w:val="44"/>
          <w:szCs w:val="44"/>
        </w:rPr>
        <w:t>绍兴市202</w:t>
      </w:r>
      <w:r>
        <w:rPr>
          <w:rFonts w:hint="eastAsia" w:ascii="方正小标宋简体" w:hAnsi="宋体" w:eastAsia="方正小标宋简体" w:cs="Times New Roman"/>
          <w:sz w:val="44"/>
          <w:szCs w:val="44"/>
          <w:lang w:val="en-US" w:eastAsia="zh-CN"/>
        </w:rPr>
        <w:t>3</w:t>
      </w:r>
      <w:r>
        <w:rPr>
          <w:rFonts w:hint="eastAsia" w:ascii="方正小标宋简体" w:hAnsi="宋体" w:eastAsia="方正小标宋简体" w:cs="Times New Roman"/>
          <w:sz w:val="44"/>
          <w:szCs w:val="44"/>
        </w:rPr>
        <w:t>年禁渔期通告</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textAlignment w:val="auto"/>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sz w:val="32"/>
          <w:szCs w:val="32"/>
        </w:rPr>
        <w:t>为</w:t>
      </w:r>
      <w:r>
        <w:rPr>
          <w:rFonts w:hint="eastAsia" w:ascii="仿宋_GB2312" w:hAnsi="仿宋_GB2312" w:eastAsia="仿宋_GB2312" w:cs="仿宋_GB2312"/>
          <w:sz w:val="32"/>
          <w:szCs w:val="32"/>
          <w:lang w:eastAsia="zh-CN"/>
        </w:rPr>
        <w:t>加强生态文明建设，</w:t>
      </w:r>
      <w:r>
        <w:rPr>
          <w:rFonts w:hint="eastAsia" w:ascii="仿宋_GB2312" w:hAnsi="仿宋_GB2312" w:eastAsia="仿宋_GB2312" w:cs="仿宋_GB2312"/>
          <w:color w:val="000000"/>
          <w:sz w:val="32"/>
          <w:szCs w:val="32"/>
        </w:rPr>
        <w:t>养护</w:t>
      </w:r>
      <w:r>
        <w:rPr>
          <w:rFonts w:hint="eastAsia" w:ascii="仿宋_GB2312" w:hAnsi="仿宋_GB2312" w:eastAsia="仿宋_GB2312" w:cs="仿宋_GB2312"/>
          <w:color w:val="000000"/>
          <w:sz w:val="32"/>
          <w:szCs w:val="32"/>
          <w:lang w:eastAsia="zh-CN"/>
        </w:rPr>
        <w:t>水生生物</w:t>
      </w:r>
      <w:r>
        <w:rPr>
          <w:rFonts w:hint="eastAsia" w:ascii="仿宋_GB2312" w:hAnsi="仿宋_GB2312" w:eastAsia="仿宋_GB2312" w:cs="仿宋_GB2312"/>
          <w:color w:val="000000"/>
          <w:sz w:val="32"/>
          <w:szCs w:val="32"/>
        </w:rPr>
        <w:t>资源，</w:t>
      </w:r>
      <w:r>
        <w:rPr>
          <w:rFonts w:hint="eastAsia" w:ascii="仿宋_GB2312" w:hAnsi="仿宋_GB2312" w:eastAsia="仿宋_GB2312" w:cs="仿宋_GB2312"/>
          <w:color w:val="000000"/>
          <w:sz w:val="32"/>
          <w:szCs w:val="32"/>
          <w:lang w:eastAsia="zh-CN"/>
        </w:rPr>
        <w:t>保护生物多样性</w:t>
      </w:r>
      <w:r>
        <w:rPr>
          <w:rFonts w:hint="eastAsia" w:ascii="仿宋_GB2312" w:hAnsi="仿宋_GB2312" w:eastAsia="仿宋_GB2312" w:cs="仿宋_GB2312"/>
          <w:color w:val="000000"/>
          <w:sz w:val="32"/>
          <w:szCs w:val="32"/>
        </w:rPr>
        <w:t>，促进渔业可持续发展，</w:t>
      </w:r>
      <w:r>
        <w:rPr>
          <w:rFonts w:hint="eastAsia" w:ascii="仿宋_GB2312" w:hAnsi="仿宋_GB2312" w:eastAsia="仿宋_GB2312" w:cs="仿宋_GB2312"/>
          <w:sz w:val="32"/>
          <w:szCs w:val="32"/>
        </w:rPr>
        <w:t>根据《中华人民共和国渔业法》等法律法规和</w:t>
      </w:r>
      <w:r>
        <w:rPr>
          <w:rFonts w:hint="eastAsia" w:ascii="仿宋_GB2312" w:hAnsi="仿宋_GB2312" w:eastAsia="仿宋_GB2312" w:cs="仿宋_GB2312"/>
          <w:color w:val="000000"/>
          <w:sz w:val="32"/>
          <w:szCs w:val="32"/>
          <w:lang w:eastAsia="zh-CN"/>
        </w:rPr>
        <w:t>浙江省农业农村厅《关于实行钱塘江、瓯江、椒江、甬江、苕溪、运河、飞云江、鳌江等八大流域禁渔期制度的通告》等</w:t>
      </w:r>
      <w:r>
        <w:rPr>
          <w:rFonts w:hint="eastAsia" w:ascii="仿宋_GB2312" w:hAnsi="仿宋_GB2312" w:eastAsia="仿宋_GB2312" w:cs="仿宋_GB2312"/>
          <w:sz w:val="32"/>
          <w:szCs w:val="32"/>
        </w:rPr>
        <w:t>相关规定，</w:t>
      </w:r>
      <w:r>
        <w:rPr>
          <w:rFonts w:hint="eastAsia" w:ascii="仿宋_GB2312" w:hAnsi="仿宋_GB2312" w:eastAsia="仿宋_GB2312" w:cs="仿宋_GB2312"/>
          <w:color w:val="000000"/>
          <w:kern w:val="0"/>
          <w:sz w:val="32"/>
          <w:szCs w:val="32"/>
        </w:rPr>
        <w:t>现将202</w:t>
      </w:r>
      <w:r>
        <w:rPr>
          <w:rFonts w:hint="eastAsia" w:ascii="仿宋_GB2312" w:hAnsi="仿宋_GB2312" w:eastAsia="仿宋_GB2312" w:cs="仿宋_GB2312"/>
          <w:color w:val="000000"/>
          <w:kern w:val="0"/>
          <w:sz w:val="32"/>
          <w:szCs w:val="32"/>
          <w:lang w:val="en-US" w:eastAsia="zh-CN"/>
        </w:rPr>
        <w:t>3</w:t>
      </w:r>
      <w:r>
        <w:rPr>
          <w:rFonts w:hint="eastAsia" w:ascii="仿宋_GB2312" w:hAnsi="仿宋_GB2312" w:eastAsia="仿宋_GB2312" w:cs="仿宋_GB2312"/>
          <w:color w:val="000000"/>
          <w:kern w:val="0"/>
          <w:sz w:val="32"/>
          <w:szCs w:val="32"/>
        </w:rPr>
        <w:t>年我市禁渔期管理规定通告如下：</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一、禁渔区域及时间</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1.钱塘江干流绍兴段（120°50′19.36″E，30°19′08.53″N与120°53′45.12″E，30°13′09.50″N连线以</w:t>
      </w:r>
      <w:r>
        <w:rPr>
          <w:rFonts w:hint="eastAsia" w:ascii="仿宋_GB2312" w:hAnsi="仿宋_GB2312" w:eastAsia="仿宋_GB2312" w:cs="仿宋_GB2312"/>
          <w:sz w:val="32"/>
          <w:szCs w:val="32"/>
          <w:lang w:eastAsia="zh-CN"/>
        </w:rPr>
        <w:t>上段</w:t>
      </w:r>
      <w:r>
        <w:rPr>
          <w:rFonts w:hint="eastAsia" w:ascii="仿宋_GB2312" w:hAnsi="仿宋_GB2312" w:eastAsia="仿宋_GB2312" w:cs="仿宋_GB2312"/>
          <w:sz w:val="32"/>
          <w:szCs w:val="32"/>
        </w:rPr>
        <w:t>至柯桥、萧山交界处）</w:t>
      </w:r>
      <w:r>
        <w:rPr>
          <w:rFonts w:hint="eastAsia" w:ascii="仿宋_GB2312" w:hAnsi="仿宋_GB2312" w:eastAsia="仿宋_GB2312" w:cs="仿宋_GB2312"/>
          <w:sz w:val="32"/>
          <w:szCs w:val="32"/>
          <w:lang w:eastAsia="zh-CN"/>
        </w:rPr>
        <w:t>及</w:t>
      </w:r>
      <w:r>
        <w:rPr>
          <w:rFonts w:hint="eastAsia" w:ascii="仿宋_GB2312" w:hAnsi="仿宋_GB2312" w:eastAsia="仿宋_GB2312" w:cs="仿宋_GB2312"/>
          <w:color w:val="auto"/>
          <w:sz w:val="32"/>
          <w:szCs w:val="32"/>
          <w:lang w:eastAsia="zh-CN"/>
        </w:rPr>
        <w:t>壶源江（壶源溪）、浦阳江、曹娥江、开化江绍兴段</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sz w:val="32"/>
          <w:szCs w:val="32"/>
        </w:rPr>
        <w:t>禁渔时间为3月1日0时至6月30日24时。其中，曹娥江四环大桥至城南大桥、上浦闸至指石山江段，禁渔时间延至9月30日24时。</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绍兴市外荡水域（指非封闭的荡漾、河道、抖河和溇浜等），禁渔时间为4月1日0时至5月31日24时。其中，上虞区皂李湖、小越湖、驿亭东泊和西泊，禁渔时间提前从3月15日0时起实施（禁止捕捞鲫鱼、鲤鱼等自然产卵鱼类）；新昌县澄潭江镜岭大桥上至石门水库大坝，禁渔时间延至6月30日24时。</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二、禁止作业类型</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除娱乐性游钓以外的所有作业方式</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0" w:leftChars="0" w:right="0" w:rightChars="0"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法律责任</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违反禁渔期规定进行捕捞的行为，依据渔业相关法律法规将给予相应的行政处罚，情节严重的将依法移交司法机关追究刑事责任。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40" w:firstLineChars="200"/>
        <w:textAlignment w:val="auto"/>
        <w:rPr>
          <w:rFonts w:hint="eastAsia" w:eastAsia="仿宋_GB2312"/>
          <w:lang w:val="en-US" w:eastAsia="zh-CN"/>
        </w:rPr>
      </w:pPr>
      <w:r>
        <w:rPr>
          <w:rFonts w:hint="eastAsia" w:ascii="仿宋_GB2312" w:hAnsi="仿宋_GB2312" w:eastAsia="仿宋_GB2312" w:cs="仿宋_GB2312"/>
          <w:sz w:val="32"/>
          <w:szCs w:val="32"/>
        </w:rPr>
        <w:t>特此通告</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120" w:firstLineChars="1600"/>
        <w:jc w:val="lef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120" w:firstLineChars="16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绍兴市农业农村局</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193" w:firstLineChars="1623"/>
        <w:jc w:val="left"/>
        <w:textAlignment w:val="auto"/>
        <w:rPr>
          <w:rFonts w:hint="eastAsia" w:ascii="仿宋_GB2312" w:hAnsi="仿宋_GB2312" w:eastAsia="仿宋_GB2312" w:cs="仿宋_GB2312"/>
          <w:sz w:val="32"/>
          <w:szCs w:val="32"/>
        </w:rPr>
        <w:sectPr>
          <w:headerReference r:id="rId3" w:type="default"/>
          <w:footerReference r:id="rId5" w:type="default"/>
          <w:headerReference r:id="rId4" w:type="even"/>
          <w:footerReference r:id="rId6" w:type="even"/>
          <w:pgSz w:w="11906" w:h="16838"/>
          <w:pgMar w:top="1928" w:right="1474" w:bottom="1474" w:left="1587" w:header="851" w:footer="992" w:gutter="0"/>
          <w:pgNumType w:fmt="decimal"/>
          <w:cols w:space="425" w:num="1"/>
          <w:docGrid w:type="lines" w:linePitch="312" w:charSpace="0"/>
        </w:sect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2</w:t>
      </w:r>
      <w:bookmarkStart w:id="0" w:name="_GoBack"/>
      <w:bookmarkEnd w:id="0"/>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日</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rPr>
        <w:t>附件</w:t>
      </w:r>
      <w:r>
        <w:rPr>
          <w:rFonts w:hint="eastAsia" w:ascii="黑体" w:hAnsi="黑体" w:eastAsia="黑体" w:cs="黑体"/>
          <w:b w:val="0"/>
          <w:bCs w:val="0"/>
          <w:sz w:val="32"/>
          <w:szCs w:val="32"/>
          <w:lang w:val="en-US" w:eastAsia="zh-CN"/>
        </w:rPr>
        <w:t>2</w:t>
      </w:r>
    </w:p>
    <w:p>
      <w:pPr>
        <w:pStyle w:val="10"/>
        <w:keepNext w:val="0"/>
        <w:keepLines w:val="0"/>
        <w:pageBreakBefore w:val="0"/>
        <w:widowControl w:val="0"/>
        <w:kinsoku/>
        <w:wordWrap/>
        <w:overflowPunct/>
        <w:topLinePunct w:val="0"/>
        <w:autoSpaceDE/>
        <w:autoSpaceDN/>
        <w:bidi w:val="0"/>
        <w:adjustRightInd/>
        <w:snapToGrid/>
        <w:spacing w:after="0" w:line="56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rPr>
        <w:t>202</w:t>
      </w:r>
      <w:r>
        <w:rPr>
          <w:rFonts w:hint="eastAsia" w:ascii="方正小标宋简体" w:hAnsi="方正小标宋简体" w:eastAsia="方正小标宋简体" w:cs="方正小标宋简体"/>
          <w:bCs/>
          <w:kern w:val="0"/>
          <w:sz w:val="44"/>
          <w:szCs w:val="44"/>
          <w:lang w:val="en-US" w:eastAsia="zh-CN"/>
        </w:rPr>
        <w:t>3</w:t>
      </w:r>
      <w:r>
        <w:rPr>
          <w:rFonts w:hint="eastAsia" w:ascii="方正小标宋简体" w:hAnsi="方正小标宋简体" w:eastAsia="方正小标宋简体" w:cs="方正小标宋简体"/>
          <w:bCs/>
          <w:kern w:val="0"/>
          <w:sz w:val="44"/>
          <w:szCs w:val="44"/>
        </w:rPr>
        <w:t>年禁渔期管理情况月统计表</w:t>
      </w:r>
    </w:p>
    <w:p>
      <w:pPr>
        <w:ind w:left="1" w:leftChars="-133" w:hanging="280" w:hangingChars="100"/>
        <w:rPr>
          <w:rFonts w:hint="eastAsia" w:ascii="仿宋_GB2312" w:hAnsi="仿宋_GB2312" w:eastAsia="仿宋_GB2312" w:cs="仿宋_GB2312"/>
          <w:kern w:val="0"/>
          <w:sz w:val="28"/>
          <w:szCs w:val="28"/>
        </w:rPr>
      </w:pPr>
    </w:p>
    <w:p>
      <w:pP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填报单位（盖章）：                                                </w:t>
      </w:r>
      <w:r>
        <w:rPr>
          <w:rFonts w:hint="eastAsia" w:ascii="仿宋_GB2312" w:hAnsi="仿宋_GB2312" w:eastAsia="仿宋_GB2312" w:cs="仿宋_GB2312"/>
          <w:kern w:val="0"/>
          <w:sz w:val="28"/>
          <w:szCs w:val="28"/>
          <w:lang w:val="en-US" w:eastAsia="zh-CN"/>
        </w:rPr>
        <w:t xml:space="preserve">   </w:t>
      </w:r>
      <w:r>
        <w:rPr>
          <w:rFonts w:hint="eastAsia" w:ascii="仿宋_GB2312" w:hAnsi="仿宋_GB2312" w:eastAsia="仿宋_GB2312" w:cs="仿宋_GB2312"/>
          <w:kern w:val="0"/>
          <w:sz w:val="28"/>
          <w:szCs w:val="28"/>
        </w:rPr>
        <w:t xml:space="preserve">              </w:t>
      </w:r>
      <w:r>
        <w:rPr>
          <w:rFonts w:hint="eastAsia" w:ascii="仿宋_GB2312" w:hAnsi="仿宋_GB2312" w:eastAsia="仿宋_GB2312" w:cs="仿宋_GB2312"/>
          <w:kern w:val="0"/>
          <w:sz w:val="28"/>
          <w:szCs w:val="28"/>
          <w:lang w:val="en-US" w:eastAsia="zh-CN"/>
        </w:rPr>
        <w:t xml:space="preserve"> </w:t>
      </w:r>
      <w:r>
        <w:rPr>
          <w:rFonts w:hint="eastAsia" w:ascii="仿宋_GB2312" w:hAnsi="仿宋_GB2312" w:eastAsia="仿宋_GB2312" w:cs="仿宋_GB2312"/>
          <w:kern w:val="0"/>
          <w:sz w:val="28"/>
          <w:szCs w:val="28"/>
        </w:rPr>
        <w:t>年    月    日</w:t>
      </w:r>
    </w:p>
    <w:tbl>
      <w:tblPr>
        <w:tblStyle w:val="11"/>
        <w:tblW w:w="145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0"/>
        <w:gridCol w:w="1233"/>
        <w:gridCol w:w="1316"/>
        <w:gridCol w:w="1300"/>
        <w:gridCol w:w="1339"/>
        <w:gridCol w:w="1487"/>
        <w:gridCol w:w="1419"/>
        <w:gridCol w:w="1610"/>
        <w:gridCol w:w="873"/>
        <w:gridCol w:w="899"/>
        <w:gridCol w:w="974"/>
        <w:gridCol w:w="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2453" w:type="dxa"/>
            <w:gridSpan w:val="2"/>
            <w:vMerge w:val="restart"/>
            <w:tcBorders>
              <w:right w:val="single" w:color="auto" w:sz="4" w:space="0"/>
            </w:tcBorders>
            <w:noWrap w:val="0"/>
            <w:vAlign w:val="center"/>
          </w:tcPr>
          <w:p>
            <w:pPr>
              <w:jc w:val="center"/>
              <w:rPr>
                <w:rFonts w:hint="eastAsia" w:ascii="仿宋_GB2312" w:hAnsi="仿宋_GB2312" w:eastAsia="仿宋_GB2312" w:cs="仿宋_GB2312"/>
                <w:b/>
                <w:bCs/>
                <w:kern w:val="0"/>
                <w:szCs w:val="21"/>
              </w:rPr>
            </w:pPr>
            <w:r>
              <w:rPr>
                <w:rFonts w:hint="eastAsia" w:ascii="仿宋_GB2312" w:hAnsi="仿宋_GB2312" w:eastAsia="仿宋_GB2312" w:cs="仿宋_GB2312"/>
                <w:b/>
                <w:bCs/>
                <w:kern w:val="0"/>
                <w:szCs w:val="21"/>
              </w:rPr>
              <w:t>宣传活动</w:t>
            </w:r>
          </w:p>
        </w:tc>
        <w:tc>
          <w:tcPr>
            <w:tcW w:w="1316" w:type="dxa"/>
            <w:vMerge w:val="restart"/>
            <w:tcBorders>
              <w:right w:val="single" w:color="auto" w:sz="4" w:space="0"/>
            </w:tcBorders>
            <w:noWrap w:val="0"/>
            <w:vAlign w:val="center"/>
          </w:tcPr>
          <w:p>
            <w:pPr>
              <w:jc w:val="center"/>
              <w:rPr>
                <w:rFonts w:hint="eastAsia" w:ascii="仿宋_GB2312" w:hAnsi="仿宋_GB2312" w:eastAsia="仿宋_GB2312" w:cs="仿宋_GB2312"/>
                <w:b/>
                <w:bCs/>
                <w:kern w:val="0"/>
                <w:szCs w:val="21"/>
              </w:rPr>
            </w:pPr>
            <w:r>
              <w:rPr>
                <w:rFonts w:hint="eastAsia" w:ascii="仿宋_GB2312" w:hAnsi="仿宋_GB2312" w:eastAsia="仿宋_GB2312" w:cs="仿宋_GB2312"/>
                <w:b/>
                <w:bCs/>
                <w:kern w:val="0"/>
                <w:szCs w:val="21"/>
              </w:rPr>
              <w:t>执法行动（次）</w:t>
            </w:r>
          </w:p>
        </w:tc>
        <w:tc>
          <w:tcPr>
            <w:tcW w:w="1300" w:type="dxa"/>
            <w:tcBorders>
              <w:left w:val="single" w:color="auto" w:sz="4" w:space="0"/>
            </w:tcBorders>
            <w:noWrap w:val="0"/>
            <w:vAlign w:val="center"/>
          </w:tcPr>
          <w:p>
            <w:pPr>
              <w:jc w:val="center"/>
              <w:rPr>
                <w:rFonts w:hint="eastAsia" w:ascii="仿宋_GB2312" w:hAnsi="仿宋_GB2312" w:eastAsia="仿宋_GB2312" w:cs="仿宋_GB2312"/>
                <w:b/>
                <w:bCs/>
                <w:kern w:val="0"/>
                <w:szCs w:val="21"/>
              </w:rPr>
            </w:pPr>
            <w:r>
              <w:rPr>
                <w:rFonts w:hint="eastAsia" w:ascii="仿宋_GB2312" w:hAnsi="仿宋_GB2312" w:eastAsia="仿宋_GB2312" w:cs="仿宋_GB2312"/>
                <w:b/>
                <w:bCs/>
                <w:kern w:val="0"/>
                <w:szCs w:val="21"/>
              </w:rPr>
              <w:t>其中:</w:t>
            </w:r>
          </w:p>
        </w:tc>
        <w:tc>
          <w:tcPr>
            <w:tcW w:w="1339" w:type="dxa"/>
            <w:vMerge w:val="restart"/>
            <w:noWrap w:val="0"/>
            <w:vAlign w:val="center"/>
          </w:tcPr>
          <w:p>
            <w:pPr>
              <w:jc w:val="center"/>
              <w:rPr>
                <w:rFonts w:hint="eastAsia" w:ascii="仿宋_GB2312" w:hAnsi="仿宋_GB2312" w:eastAsia="仿宋_GB2312" w:cs="仿宋_GB2312"/>
                <w:b/>
                <w:bCs/>
                <w:kern w:val="0"/>
                <w:szCs w:val="21"/>
              </w:rPr>
            </w:pPr>
            <w:r>
              <w:rPr>
                <w:rFonts w:hint="eastAsia" w:ascii="仿宋_GB2312" w:hAnsi="仿宋_GB2312" w:eastAsia="仿宋_GB2312" w:cs="仿宋_GB2312"/>
                <w:b/>
                <w:bCs/>
                <w:kern w:val="0"/>
                <w:szCs w:val="21"/>
              </w:rPr>
              <w:t>执法车</w:t>
            </w:r>
          </w:p>
          <w:p>
            <w:pPr>
              <w:jc w:val="center"/>
              <w:rPr>
                <w:rFonts w:hint="eastAsia" w:ascii="仿宋_GB2312" w:hAnsi="仿宋_GB2312" w:eastAsia="仿宋_GB2312" w:cs="仿宋_GB2312"/>
                <w:b/>
                <w:bCs/>
                <w:kern w:val="0"/>
                <w:szCs w:val="21"/>
              </w:rPr>
            </w:pPr>
            <w:r>
              <w:rPr>
                <w:rFonts w:hint="eastAsia" w:ascii="仿宋_GB2312" w:hAnsi="仿宋_GB2312" w:eastAsia="仿宋_GB2312" w:cs="仿宋_GB2312"/>
                <w:b/>
                <w:bCs/>
                <w:kern w:val="0"/>
                <w:szCs w:val="21"/>
              </w:rPr>
              <w:t>（辆次）</w:t>
            </w:r>
          </w:p>
        </w:tc>
        <w:tc>
          <w:tcPr>
            <w:tcW w:w="1487" w:type="dxa"/>
            <w:vMerge w:val="restart"/>
            <w:noWrap w:val="0"/>
            <w:vAlign w:val="center"/>
          </w:tcPr>
          <w:p>
            <w:pPr>
              <w:jc w:val="center"/>
              <w:rPr>
                <w:rFonts w:hint="eastAsia" w:ascii="仿宋_GB2312" w:hAnsi="仿宋_GB2312" w:eastAsia="仿宋_GB2312" w:cs="仿宋_GB2312"/>
                <w:b/>
                <w:bCs/>
                <w:kern w:val="0"/>
                <w:szCs w:val="21"/>
              </w:rPr>
            </w:pPr>
            <w:r>
              <w:rPr>
                <w:rFonts w:hint="eastAsia" w:ascii="仿宋_GB2312" w:hAnsi="仿宋_GB2312" w:eastAsia="仿宋_GB2312" w:cs="仿宋_GB2312"/>
                <w:b/>
                <w:bCs/>
                <w:kern w:val="0"/>
                <w:szCs w:val="21"/>
              </w:rPr>
              <w:t>执法船艇</w:t>
            </w:r>
          </w:p>
          <w:p>
            <w:pPr>
              <w:jc w:val="center"/>
              <w:rPr>
                <w:rFonts w:hint="eastAsia" w:ascii="仿宋_GB2312" w:hAnsi="仿宋_GB2312" w:eastAsia="仿宋_GB2312" w:cs="仿宋_GB2312"/>
                <w:b/>
                <w:bCs/>
                <w:kern w:val="0"/>
                <w:szCs w:val="21"/>
              </w:rPr>
            </w:pPr>
            <w:r>
              <w:rPr>
                <w:rFonts w:hint="eastAsia" w:ascii="仿宋_GB2312" w:hAnsi="仿宋_GB2312" w:eastAsia="仿宋_GB2312" w:cs="仿宋_GB2312"/>
                <w:b/>
                <w:bCs/>
                <w:kern w:val="0"/>
                <w:szCs w:val="21"/>
              </w:rPr>
              <w:t>（艘次）</w:t>
            </w:r>
          </w:p>
        </w:tc>
        <w:tc>
          <w:tcPr>
            <w:tcW w:w="1419" w:type="dxa"/>
            <w:vMerge w:val="restart"/>
            <w:noWrap w:val="0"/>
            <w:vAlign w:val="center"/>
          </w:tcPr>
          <w:p>
            <w:pPr>
              <w:jc w:val="center"/>
              <w:rPr>
                <w:rFonts w:hint="eastAsia" w:ascii="仿宋_GB2312" w:hAnsi="仿宋_GB2312" w:eastAsia="仿宋_GB2312" w:cs="仿宋_GB2312"/>
                <w:b/>
                <w:bCs/>
                <w:kern w:val="0"/>
                <w:szCs w:val="21"/>
              </w:rPr>
            </w:pPr>
            <w:r>
              <w:rPr>
                <w:rFonts w:hint="eastAsia" w:ascii="仿宋_GB2312" w:hAnsi="仿宋_GB2312" w:eastAsia="仿宋_GB2312" w:cs="仿宋_GB2312"/>
                <w:b/>
                <w:bCs/>
                <w:kern w:val="0"/>
                <w:szCs w:val="21"/>
              </w:rPr>
              <w:t>执法人员</w:t>
            </w:r>
          </w:p>
          <w:p>
            <w:pPr>
              <w:jc w:val="center"/>
              <w:rPr>
                <w:rFonts w:hint="eastAsia" w:ascii="仿宋_GB2312" w:hAnsi="仿宋_GB2312" w:eastAsia="仿宋_GB2312" w:cs="仿宋_GB2312"/>
                <w:b/>
                <w:bCs/>
                <w:kern w:val="0"/>
                <w:szCs w:val="21"/>
              </w:rPr>
            </w:pPr>
            <w:r>
              <w:rPr>
                <w:rFonts w:hint="eastAsia" w:ascii="仿宋_GB2312" w:hAnsi="仿宋_GB2312" w:eastAsia="仿宋_GB2312" w:cs="仿宋_GB2312"/>
                <w:b/>
                <w:bCs/>
                <w:kern w:val="0"/>
                <w:szCs w:val="21"/>
              </w:rPr>
              <w:t>（人次）</w:t>
            </w:r>
          </w:p>
        </w:tc>
        <w:tc>
          <w:tcPr>
            <w:tcW w:w="1610" w:type="dxa"/>
            <w:vMerge w:val="restart"/>
            <w:noWrap w:val="0"/>
            <w:vAlign w:val="center"/>
          </w:tcPr>
          <w:p>
            <w:pPr>
              <w:jc w:val="center"/>
              <w:rPr>
                <w:rFonts w:hint="eastAsia" w:ascii="仿宋_GB2312" w:hAnsi="仿宋_GB2312" w:eastAsia="仿宋_GB2312" w:cs="仿宋_GB2312"/>
                <w:b/>
                <w:bCs/>
                <w:kern w:val="0"/>
                <w:szCs w:val="21"/>
              </w:rPr>
            </w:pPr>
            <w:r>
              <w:rPr>
                <w:rFonts w:hint="eastAsia" w:ascii="仿宋_GB2312" w:hAnsi="仿宋_GB2312" w:eastAsia="仿宋_GB2312" w:cs="仿宋_GB2312"/>
                <w:b/>
                <w:bCs/>
                <w:kern w:val="0"/>
                <w:szCs w:val="21"/>
              </w:rPr>
              <w:t>没收违法渔获物（公斤）</w:t>
            </w:r>
          </w:p>
        </w:tc>
        <w:tc>
          <w:tcPr>
            <w:tcW w:w="1772" w:type="dxa"/>
            <w:gridSpan w:val="2"/>
            <w:vMerge w:val="restart"/>
            <w:noWrap w:val="0"/>
            <w:vAlign w:val="center"/>
          </w:tcPr>
          <w:p>
            <w:pPr>
              <w:jc w:val="center"/>
              <w:rPr>
                <w:rFonts w:hint="eastAsia" w:ascii="仿宋_GB2312" w:hAnsi="仿宋_GB2312" w:eastAsia="仿宋_GB2312" w:cs="仿宋_GB2312"/>
                <w:b/>
                <w:bCs/>
                <w:kern w:val="0"/>
                <w:szCs w:val="21"/>
              </w:rPr>
            </w:pPr>
            <w:r>
              <w:rPr>
                <w:rFonts w:hint="eastAsia" w:ascii="仿宋_GB2312" w:hAnsi="仿宋_GB2312" w:eastAsia="仿宋_GB2312" w:cs="仿宋_GB2312"/>
                <w:b/>
                <w:bCs/>
                <w:kern w:val="0"/>
                <w:szCs w:val="21"/>
              </w:rPr>
              <w:t>取缔违禁渔具（件/米）</w:t>
            </w:r>
          </w:p>
        </w:tc>
        <w:tc>
          <w:tcPr>
            <w:tcW w:w="1901" w:type="dxa"/>
            <w:gridSpan w:val="2"/>
            <w:vMerge w:val="restart"/>
            <w:noWrap w:val="0"/>
            <w:vAlign w:val="center"/>
          </w:tcPr>
          <w:p>
            <w:pPr>
              <w:jc w:val="center"/>
              <w:rPr>
                <w:rFonts w:hint="eastAsia" w:ascii="仿宋_GB2312" w:hAnsi="仿宋_GB2312" w:eastAsia="仿宋_GB2312" w:cs="仿宋_GB2312"/>
                <w:b/>
                <w:bCs/>
                <w:kern w:val="0"/>
                <w:szCs w:val="21"/>
              </w:rPr>
            </w:pPr>
            <w:r>
              <w:rPr>
                <w:rFonts w:hint="eastAsia" w:ascii="仿宋_GB2312" w:hAnsi="仿宋_GB2312" w:eastAsia="仿宋_GB2312" w:cs="仿宋_GB2312"/>
                <w:b/>
                <w:bCs/>
                <w:kern w:val="0"/>
                <w:szCs w:val="21"/>
              </w:rPr>
              <w:t>查扣/拆解</w:t>
            </w:r>
          </w:p>
          <w:p>
            <w:pPr>
              <w:jc w:val="center"/>
              <w:rPr>
                <w:rFonts w:hint="eastAsia" w:ascii="仿宋_GB2312" w:hAnsi="仿宋_GB2312" w:eastAsia="仿宋_GB2312" w:cs="仿宋_GB2312"/>
                <w:b/>
                <w:bCs/>
                <w:kern w:val="0"/>
                <w:szCs w:val="21"/>
              </w:rPr>
            </w:pPr>
            <w:r>
              <w:rPr>
                <w:rFonts w:hint="eastAsia" w:ascii="仿宋_GB2312" w:hAnsi="仿宋_GB2312" w:eastAsia="仿宋_GB2312" w:cs="仿宋_GB2312"/>
                <w:b/>
                <w:bCs/>
                <w:kern w:val="0"/>
                <w:szCs w:val="21"/>
              </w:rPr>
              <w:t>涉渔“三无”船舶（艘）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2453" w:type="dxa"/>
            <w:gridSpan w:val="2"/>
            <w:vMerge w:val="continue"/>
            <w:tcBorders>
              <w:right w:val="single" w:color="auto" w:sz="4" w:space="0"/>
            </w:tcBorders>
            <w:noWrap w:val="0"/>
            <w:vAlign w:val="center"/>
          </w:tcPr>
          <w:p>
            <w:pPr>
              <w:jc w:val="center"/>
              <w:rPr>
                <w:rFonts w:hint="eastAsia" w:ascii="仿宋_GB2312" w:hAnsi="仿宋_GB2312" w:eastAsia="仿宋_GB2312" w:cs="仿宋_GB2312"/>
                <w:b/>
                <w:bCs/>
                <w:kern w:val="0"/>
                <w:szCs w:val="21"/>
              </w:rPr>
            </w:pPr>
          </w:p>
        </w:tc>
        <w:tc>
          <w:tcPr>
            <w:tcW w:w="1316" w:type="dxa"/>
            <w:vMerge w:val="continue"/>
            <w:tcBorders>
              <w:right w:val="single" w:color="auto" w:sz="4" w:space="0"/>
            </w:tcBorders>
            <w:noWrap w:val="0"/>
            <w:vAlign w:val="center"/>
          </w:tcPr>
          <w:p>
            <w:pPr>
              <w:jc w:val="center"/>
              <w:rPr>
                <w:rFonts w:hint="eastAsia" w:ascii="仿宋_GB2312" w:hAnsi="仿宋_GB2312" w:eastAsia="仿宋_GB2312" w:cs="仿宋_GB2312"/>
                <w:b/>
                <w:bCs/>
                <w:kern w:val="0"/>
                <w:szCs w:val="21"/>
              </w:rPr>
            </w:pPr>
          </w:p>
        </w:tc>
        <w:tc>
          <w:tcPr>
            <w:tcW w:w="1300" w:type="dxa"/>
            <w:vMerge w:val="restart"/>
            <w:tcBorders>
              <w:left w:val="single" w:color="auto" w:sz="4" w:space="0"/>
            </w:tcBorders>
            <w:noWrap w:val="0"/>
            <w:vAlign w:val="center"/>
          </w:tcPr>
          <w:p>
            <w:pPr>
              <w:jc w:val="center"/>
              <w:rPr>
                <w:rFonts w:hint="eastAsia" w:ascii="仿宋_GB2312" w:hAnsi="仿宋_GB2312" w:eastAsia="仿宋_GB2312" w:cs="仿宋_GB2312"/>
                <w:b/>
                <w:bCs/>
                <w:kern w:val="0"/>
                <w:szCs w:val="21"/>
              </w:rPr>
            </w:pPr>
            <w:r>
              <w:rPr>
                <w:rFonts w:hint="eastAsia" w:ascii="仿宋_GB2312" w:hAnsi="仿宋_GB2312" w:eastAsia="仿宋_GB2312" w:cs="仿宋_GB2312"/>
                <w:b/>
                <w:bCs/>
                <w:kern w:val="0"/>
                <w:szCs w:val="21"/>
              </w:rPr>
              <w:t>联合执法</w:t>
            </w:r>
          </w:p>
          <w:p>
            <w:pPr>
              <w:jc w:val="center"/>
              <w:rPr>
                <w:rFonts w:hint="eastAsia" w:ascii="仿宋_GB2312" w:hAnsi="仿宋_GB2312" w:eastAsia="仿宋_GB2312" w:cs="仿宋_GB2312"/>
                <w:b/>
                <w:bCs/>
                <w:kern w:val="0"/>
                <w:szCs w:val="21"/>
              </w:rPr>
            </w:pPr>
            <w:r>
              <w:rPr>
                <w:rFonts w:hint="eastAsia" w:ascii="仿宋_GB2312" w:hAnsi="仿宋_GB2312" w:eastAsia="仿宋_GB2312" w:cs="仿宋_GB2312"/>
                <w:b/>
                <w:bCs/>
                <w:kern w:val="0"/>
                <w:szCs w:val="21"/>
              </w:rPr>
              <w:t xml:space="preserve"> 行动（次）</w:t>
            </w:r>
          </w:p>
        </w:tc>
        <w:tc>
          <w:tcPr>
            <w:tcW w:w="1339" w:type="dxa"/>
            <w:vMerge w:val="continue"/>
            <w:noWrap w:val="0"/>
            <w:vAlign w:val="center"/>
          </w:tcPr>
          <w:p>
            <w:pPr>
              <w:jc w:val="center"/>
              <w:rPr>
                <w:rFonts w:hint="eastAsia" w:ascii="仿宋_GB2312" w:hAnsi="仿宋_GB2312" w:eastAsia="仿宋_GB2312" w:cs="仿宋_GB2312"/>
                <w:b/>
                <w:bCs/>
                <w:kern w:val="0"/>
                <w:szCs w:val="21"/>
              </w:rPr>
            </w:pPr>
          </w:p>
        </w:tc>
        <w:tc>
          <w:tcPr>
            <w:tcW w:w="1487" w:type="dxa"/>
            <w:vMerge w:val="continue"/>
            <w:noWrap w:val="0"/>
            <w:vAlign w:val="center"/>
          </w:tcPr>
          <w:p>
            <w:pPr>
              <w:jc w:val="center"/>
              <w:rPr>
                <w:rFonts w:hint="eastAsia" w:ascii="仿宋_GB2312" w:hAnsi="仿宋_GB2312" w:eastAsia="仿宋_GB2312" w:cs="仿宋_GB2312"/>
                <w:b/>
                <w:bCs/>
                <w:kern w:val="0"/>
                <w:szCs w:val="21"/>
              </w:rPr>
            </w:pPr>
          </w:p>
        </w:tc>
        <w:tc>
          <w:tcPr>
            <w:tcW w:w="1419" w:type="dxa"/>
            <w:vMerge w:val="continue"/>
            <w:noWrap w:val="0"/>
            <w:vAlign w:val="center"/>
          </w:tcPr>
          <w:p>
            <w:pPr>
              <w:jc w:val="center"/>
              <w:rPr>
                <w:rFonts w:hint="eastAsia" w:ascii="仿宋_GB2312" w:hAnsi="仿宋_GB2312" w:eastAsia="仿宋_GB2312" w:cs="仿宋_GB2312"/>
                <w:b/>
                <w:bCs/>
                <w:kern w:val="0"/>
                <w:szCs w:val="21"/>
              </w:rPr>
            </w:pPr>
          </w:p>
        </w:tc>
        <w:tc>
          <w:tcPr>
            <w:tcW w:w="1610" w:type="dxa"/>
            <w:vMerge w:val="continue"/>
            <w:noWrap w:val="0"/>
            <w:vAlign w:val="center"/>
          </w:tcPr>
          <w:p>
            <w:pPr>
              <w:jc w:val="center"/>
              <w:rPr>
                <w:rFonts w:hint="eastAsia" w:ascii="仿宋_GB2312" w:hAnsi="仿宋_GB2312" w:eastAsia="仿宋_GB2312" w:cs="仿宋_GB2312"/>
                <w:b/>
                <w:bCs/>
                <w:kern w:val="0"/>
                <w:szCs w:val="21"/>
              </w:rPr>
            </w:pPr>
          </w:p>
        </w:tc>
        <w:tc>
          <w:tcPr>
            <w:tcW w:w="1772" w:type="dxa"/>
            <w:gridSpan w:val="2"/>
            <w:vMerge w:val="continue"/>
            <w:noWrap w:val="0"/>
            <w:vAlign w:val="center"/>
          </w:tcPr>
          <w:p>
            <w:pPr>
              <w:jc w:val="center"/>
              <w:rPr>
                <w:rFonts w:hint="eastAsia" w:ascii="仿宋_GB2312" w:hAnsi="仿宋_GB2312" w:eastAsia="仿宋_GB2312" w:cs="仿宋_GB2312"/>
                <w:b/>
                <w:bCs/>
                <w:kern w:val="0"/>
                <w:szCs w:val="21"/>
              </w:rPr>
            </w:pPr>
          </w:p>
        </w:tc>
        <w:tc>
          <w:tcPr>
            <w:tcW w:w="1901" w:type="dxa"/>
            <w:gridSpan w:val="2"/>
            <w:vMerge w:val="continue"/>
            <w:noWrap w:val="0"/>
            <w:vAlign w:val="center"/>
          </w:tcPr>
          <w:p>
            <w:pPr>
              <w:jc w:val="center"/>
              <w:rPr>
                <w:rFonts w:hint="eastAsia" w:ascii="仿宋_GB2312" w:hAnsi="仿宋_GB2312" w:eastAsia="仿宋_GB2312" w:cs="仿宋_GB2312"/>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1220" w:type="dxa"/>
            <w:tcBorders>
              <w:right w:val="single" w:color="auto" w:sz="4" w:space="0"/>
            </w:tcBorders>
            <w:noWrap w:val="0"/>
            <w:vAlign w:val="center"/>
          </w:tcPr>
          <w:p>
            <w:pPr>
              <w:jc w:val="center"/>
              <w:rPr>
                <w:rFonts w:hint="eastAsia" w:ascii="仿宋_GB2312" w:hAnsi="仿宋_GB2312" w:eastAsia="仿宋_GB2312" w:cs="仿宋_GB2312"/>
                <w:b/>
                <w:bCs/>
                <w:kern w:val="0"/>
                <w:szCs w:val="21"/>
              </w:rPr>
            </w:pPr>
            <w:r>
              <w:rPr>
                <w:rFonts w:hint="eastAsia" w:ascii="仿宋_GB2312" w:hAnsi="仿宋_GB2312" w:eastAsia="仿宋_GB2312" w:cs="仿宋_GB2312"/>
                <w:b/>
                <w:bCs/>
                <w:kern w:val="0"/>
                <w:szCs w:val="21"/>
              </w:rPr>
              <w:t>宣传材料</w:t>
            </w:r>
          </w:p>
          <w:p>
            <w:pPr>
              <w:jc w:val="center"/>
              <w:rPr>
                <w:rFonts w:hint="eastAsia" w:ascii="仿宋_GB2312" w:hAnsi="仿宋_GB2312" w:eastAsia="仿宋_GB2312" w:cs="仿宋_GB2312"/>
                <w:b/>
                <w:bCs/>
                <w:kern w:val="0"/>
                <w:szCs w:val="21"/>
              </w:rPr>
            </w:pPr>
            <w:r>
              <w:rPr>
                <w:rFonts w:hint="eastAsia" w:ascii="仿宋_GB2312" w:hAnsi="仿宋_GB2312" w:eastAsia="仿宋_GB2312" w:cs="仿宋_GB2312"/>
                <w:b/>
                <w:bCs/>
                <w:kern w:val="0"/>
                <w:szCs w:val="21"/>
              </w:rPr>
              <w:t>（份）</w:t>
            </w:r>
          </w:p>
        </w:tc>
        <w:tc>
          <w:tcPr>
            <w:tcW w:w="1233" w:type="dxa"/>
            <w:tcBorders>
              <w:right w:val="single" w:color="auto" w:sz="4" w:space="0"/>
            </w:tcBorders>
            <w:noWrap w:val="0"/>
            <w:vAlign w:val="center"/>
          </w:tcPr>
          <w:p>
            <w:pPr>
              <w:jc w:val="center"/>
              <w:rPr>
                <w:rFonts w:hint="eastAsia" w:ascii="仿宋_GB2312" w:hAnsi="仿宋_GB2312" w:eastAsia="仿宋_GB2312" w:cs="仿宋_GB2312"/>
                <w:b/>
                <w:bCs/>
                <w:kern w:val="0"/>
                <w:szCs w:val="21"/>
              </w:rPr>
            </w:pPr>
            <w:r>
              <w:rPr>
                <w:rFonts w:hint="eastAsia" w:ascii="仿宋_GB2312" w:hAnsi="仿宋_GB2312" w:eastAsia="仿宋_GB2312" w:cs="仿宋_GB2312"/>
                <w:b/>
                <w:bCs/>
                <w:kern w:val="0"/>
                <w:szCs w:val="21"/>
              </w:rPr>
              <w:t>媒体宣传</w:t>
            </w:r>
          </w:p>
          <w:p>
            <w:pPr>
              <w:jc w:val="center"/>
              <w:rPr>
                <w:rFonts w:hint="eastAsia" w:ascii="仿宋_GB2312" w:hAnsi="仿宋_GB2312" w:eastAsia="仿宋_GB2312" w:cs="仿宋_GB2312"/>
                <w:b/>
                <w:bCs/>
                <w:kern w:val="0"/>
                <w:szCs w:val="21"/>
              </w:rPr>
            </w:pPr>
            <w:r>
              <w:rPr>
                <w:rFonts w:hint="eastAsia" w:ascii="仿宋_GB2312" w:hAnsi="仿宋_GB2312" w:eastAsia="仿宋_GB2312" w:cs="仿宋_GB2312"/>
                <w:b/>
                <w:bCs/>
                <w:kern w:val="0"/>
                <w:szCs w:val="21"/>
              </w:rPr>
              <w:t>（次）</w:t>
            </w:r>
          </w:p>
        </w:tc>
        <w:tc>
          <w:tcPr>
            <w:tcW w:w="1316" w:type="dxa"/>
            <w:vMerge w:val="continue"/>
            <w:tcBorders>
              <w:right w:val="single" w:color="auto" w:sz="4" w:space="0"/>
            </w:tcBorders>
            <w:noWrap w:val="0"/>
            <w:vAlign w:val="center"/>
          </w:tcPr>
          <w:p>
            <w:pPr>
              <w:jc w:val="center"/>
              <w:rPr>
                <w:rFonts w:hint="eastAsia" w:ascii="仿宋_GB2312" w:hAnsi="仿宋_GB2312" w:eastAsia="仿宋_GB2312" w:cs="仿宋_GB2312"/>
                <w:b/>
                <w:bCs/>
                <w:kern w:val="0"/>
                <w:szCs w:val="21"/>
              </w:rPr>
            </w:pPr>
          </w:p>
        </w:tc>
        <w:tc>
          <w:tcPr>
            <w:tcW w:w="1300" w:type="dxa"/>
            <w:vMerge w:val="continue"/>
            <w:tcBorders>
              <w:left w:val="single" w:color="auto" w:sz="4" w:space="0"/>
            </w:tcBorders>
            <w:noWrap w:val="0"/>
            <w:vAlign w:val="center"/>
          </w:tcPr>
          <w:p>
            <w:pPr>
              <w:jc w:val="center"/>
              <w:rPr>
                <w:rFonts w:hint="eastAsia" w:ascii="仿宋_GB2312" w:hAnsi="仿宋_GB2312" w:eastAsia="仿宋_GB2312" w:cs="仿宋_GB2312"/>
                <w:b/>
                <w:bCs/>
                <w:kern w:val="0"/>
                <w:szCs w:val="21"/>
              </w:rPr>
            </w:pPr>
          </w:p>
        </w:tc>
        <w:tc>
          <w:tcPr>
            <w:tcW w:w="1339" w:type="dxa"/>
            <w:vMerge w:val="continue"/>
            <w:noWrap w:val="0"/>
            <w:vAlign w:val="center"/>
          </w:tcPr>
          <w:p>
            <w:pPr>
              <w:jc w:val="center"/>
              <w:rPr>
                <w:rFonts w:hint="eastAsia" w:ascii="仿宋_GB2312" w:hAnsi="仿宋_GB2312" w:eastAsia="仿宋_GB2312" w:cs="仿宋_GB2312"/>
                <w:b/>
                <w:bCs/>
                <w:kern w:val="0"/>
                <w:szCs w:val="21"/>
              </w:rPr>
            </w:pPr>
          </w:p>
        </w:tc>
        <w:tc>
          <w:tcPr>
            <w:tcW w:w="1487" w:type="dxa"/>
            <w:vMerge w:val="continue"/>
            <w:noWrap w:val="0"/>
            <w:vAlign w:val="center"/>
          </w:tcPr>
          <w:p>
            <w:pPr>
              <w:jc w:val="center"/>
              <w:rPr>
                <w:rFonts w:hint="eastAsia" w:ascii="仿宋_GB2312" w:hAnsi="仿宋_GB2312" w:eastAsia="仿宋_GB2312" w:cs="仿宋_GB2312"/>
                <w:b/>
                <w:bCs/>
                <w:kern w:val="0"/>
                <w:szCs w:val="21"/>
              </w:rPr>
            </w:pPr>
          </w:p>
        </w:tc>
        <w:tc>
          <w:tcPr>
            <w:tcW w:w="1419" w:type="dxa"/>
            <w:vMerge w:val="continue"/>
            <w:noWrap w:val="0"/>
            <w:vAlign w:val="center"/>
          </w:tcPr>
          <w:p>
            <w:pPr>
              <w:jc w:val="center"/>
              <w:rPr>
                <w:rFonts w:hint="eastAsia" w:ascii="仿宋_GB2312" w:hAnsi="仿宋_GB2312" w:eastAsia="仿宋_GB2312" w:cs="仿宋_GB2312"/>
                <w:b/>
                <w:bCs/>
                <w:kern w:val="0"/>
                <w:szCs w:val="21"/>
              </w:rPr>
            </w:pPr>
          </w:p>
        </w:tc>
        <w:tc>
          <w:tcPr>
            <w:tcW w:w="1610" w:type="dxa"/>
            <w:vMerge w:val="continue"/>
            <w:noWrap w:val="0"/>
            <w:vAlign w:val="center"/>
          </w:tcPr>
          <w:p>
            <w:pPr>
              <w:jc w:val="center"/>
              <w:rPr>
                <w:rFonts w:hint="eastAsia" w:ascii="仿宋_GB2312" w:hAnsi="仿宋_GB2312" w:eastAsia="仿宋_GB2312" w:cs="仿宋_GB2312"/>
                <w:b/>
                <w:bCs/>
                <w:kern w:val="0"/>
                <w:szCs w:val="21"/>
              </w:rPr>
            </w:pPr>
          </w:p>
        </w:tc>
        <w:tc>
          <w:tcPr>
            <w:tcW w:w="1772" w:type="dxa"/>
            <w:gridSpan w:val="2"/>
            <w:vMerge w:val="continue"/>
            <w:noWrap w:val="0"/>
            <w:vAlign w:val="center"/>
          </w:tcPr>
          <w:p>
            <w:pPr>
              <w:jc w:val="center"/>
              <w:rPr>
                <w:rFonts w:hint="eastAsia" w:ascii="仿宋_GB2312" w:hAnsi="仿宋_GB2312" w:eastAsia="仿宋_GB2312" w:cs="仿宋_GB2312"/>
                <w:b/>
                <w:bCs/>
                <w:kern w:val="0"/>
                <w:szCs w:val="21"/>
              </w:rPr>
            </w:pPr>
          </w:p>
        </w:tc>
        <w:tc>
          <w:tcPr>
            <w:tcW w:w="1901" w:type="dxa"/>
            <w:gridSpan w:val="2"/>
            <w:vMerge w:val="continue"/>
            <w:noWrap w:val="0"/>
            <w:vAlign w:val="center"/>
          </w:tcPr>
          <w:p>
            <w:pPr>
              <w:jc w:val="center"/>
              <w:rPr>
                <w:rFonts w:hint="eastAsia" w:ascii="仿宋_GB2312" w:hAnsi="仿宋_GB2312" w:eastAsia="仿宋_GB2312" w:cs="仿宋_GB2312"/>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jc w:val="center"/>
        </w:trPr>
        <w:tc>
          <w:tcPr>
            <w:tcW w:w="1220" w:type="dxa"/>
            <w:noWrap w:val="0"/>
            <w:vAlign w:val="center"/>
          </w:tcPr>
          <w:p>
            <w:pPr>
              <w:jc w:val="center"/>
              <w:rPr>
                <w:rFonts w:hint="eastAsia" w:ascii="仿宋_GB2312" w:hAnsi="仿宋_GB2312" w:eastAsia="仿宋_GB2312" w:cs="仿宋_GB2312"/>
                <w:b/>
                <w:bCs/>
                <w:kern w:val="0"/>
                <w:szCs w:val="21"/>
              </w:rPr>
            </w:pPr>
          </w:p>
        </w:tc>
        <w:tc>
          <w:tcPr>
            <w:tcW w:w="1233" w:type="dxa"/>
            <w:noWrap w:val="0"/>
            <w:vAlign w:val="center"/>
          </w:tcPr>
          <w:p>
            <w:pPr>
              <w:jc w:val="center"/>
              <w:rPr>
                <w:rFonts w:hint="eastAsia" w:ascii="仿宋_GB2312" w:hAnsi="仿宋_GB2312" w:eastAsia="仿宋_GB2312" w:cs="仿宋_GB2312"/>
                <w:b/>
                <w:bCs/>
                <w:kern w:val="0"/>
                <w:szCs w:val="21"/>
              </w:rPr>
            </w:pPr>
          </w:p>
        </w:tc>
        <w:tc>
          <w:tcPr>
            <w:tcW w:w="1316" w:type="dxa"/>
            <w:noWrap w:val="0"/>
            <w:vAlign w:val="center"/>
          </w:tcPr>
          <w:p>
            <w:pPr>
              <w:jc w:val="center"/>
              <w:rPr>
                <w:rFonts w:hint="eastAsia" w:ascii="仿宋_GB2312" w:hAnsi="仿宋_GB2312" w:eastAsia="仿宋_GB2312" w:cs="仿宋_GB2312"/>
                <w:b/>
                <w:bCs/>
                <w:kern w:val="0"/>
                <w:szCs w:val="21"/>
              </w:rPr>
            </w:pPr>
          </w:p>
        </w:tc>
        <w:tc>
          <w:tcPr>
            <w:tcW w:w="1300" w:type="dxa"/>
            <w:noWrap w:val="0"/>
            <w:vAlign w:val="center"/>
          </w:tcPr>
          <w:p>
            <w:pPr>
              <w:jc w:val="center"/>
              <w:rPr>
                <w:rFonts w:hint="eastAsia" w:ascii="仿宋_GB2312" w:hAnsi="仿宋_GB2312" w:eastAsia="仿宋_GB2312" w:cs="仿宋_GB2312"/>
                <w:b/>
                <w:bCs/>
                <w:kern w:val="0"/>
                <w:szCs w:val="21"/>
              </w:rPr>
            </w:pPr>
          </w:p>
        </w:tc>
        <w:tc>
          <w:tcPr>
            <w:tcW w:w="1339" w:type="dxa"/>
            <w:noWrap w:val="0"/>
            <w:vAlign w:val="center"/>
          </w:tcPr>
          <w:p>
            <w:pPr>
              <w:jc w:val="center"/>
              <w:rPr>
                <w:rFonts w:hint="eastAsia" w:ascii="仿宋_GB2312" w:hAnsi="仿宋_GB2312" w:eastAsia="仿宋_GB2312" w:cs="仿宋_GB2312"/>
                <w:b/>
                <w:bCs/>
                <w:kern w:val="0"/>
                <w:szCs w:val="21"/>
              </w:rPr>
            </w:pPr>
          </w:p>
        </w:tc>
        <w:tc>
          <w:tcPr>
            <w:tcW w:w="1487" w:type="dxa"/>
            <w:noWrap w:val="0"/>
            <w:vAlign w:val="center"/>
          </w:tcPr>
          <w:p>
            <w:pPr>
              <w:jc w:val="center"/>
              <w:rPr>
                <w:rFonts w:hint="eastAsia" w:ascii="仿宋_GB2312" w:hAnsi="仿宋_GB2312" w:eastAsia="仿宋_GB2312" w:cs="仿宋_GB2312"/>
                <w:b/>
                <w:bCs/>
                <w:szCs w:val="21"/>
              </w:rPr>
            </w:pPr>
          </w:p>
        </w:tc>
        <w:tc>
          <w:tcPr>
            <w:tcW w:w="1419" w:type="dxa"/>
            <w:noWrap w:val="0"/>
            <w:vAlign w:val="center"/>
          </w:tcPr>
          <w:p>
            <w:pPr>
              <w:jc w:val="center"/>
              <w:rPr>
                <w:rFonts w:hint="eastAsia" w:ascii="仿宋_GB2312" w:hAnsi="仿宋_GB2312" w:eastAsia="仿宋_GB2312" w:cs="仿宋_GB2312"/>
                <w:b/>
                <w:bCs/>
                <w:szCs w:val="21"/>
              </w:rPr>
            </w:pPr>
          </w:p>
        </w:tc>
        <w:tc>
          <w:tcPr>
            <w:tcW w:w="1610" w:type="dxa"/>
            <w:noWrap w:val="0"/>
            <w:vAlign w:val="center"/>
          </w:tcPr>
          <w:p>
            <w:pPr>
              <w:jc w:val="center"/>
              <w:rPr>
                <w:rFonts w:hint="eastAsia" w:ascii="仿宋_GB2312" w:hAnsi="仿宋_GB2312" w:eastAsia="仿宋_GB2312" w:cs="仿宋_GB2312"/>
                <w:b/>
                <w:bCs/>
                <w:szCs w:val="21"/>
              </w:rPr>
            </w:pPr>
          </w:p>
        </w:tc>
        <w:tc>
          <w:tcPr>
            <w:tcW w:w="873" w:type="dxa"/>
            <w:noWrap w:val="0"/>
            <w:vAlign w:val="center"/>
          </w:tcPr>
          <w:p>
            <w:pPr>
              <w:jc w:val="center"/>
              <w:rPr>
                <w:rFonts w:hint="eastAsia" w:ascii="仿宋_GB2312" w:hAnsi="仿宋_GB2312" w:eastAsia="仿宋_GB2312" w:cs="仿宋_GB2312"/>
                <w:b/>
                <w:bCs/>
                <w:szCs w:val="21"/>
              </w:rPr>
            </w:pPr>
          </w:p>
        </w:tc>
        <w:tc>
          <w:tcPr>
            <w:tcW w:w="899" w:type="dxa"/>
            <w:noWrap w:val="0"/>
            <w:vAlign w:val="center"/>
          </w:tcPr>
          <w:p>
            <w:pPr>
              <w:jc w:val="center"/>
              <w:rPr>
                <w:rFonts w:hint="eastAsia" w:ascii="仿宋_GB2312" w:hAnsi="仿宋_GB2312" w:eastAsia="仿宋_GB2312" w:cs="仿宋_GB2312"/>
                <w:b/>
                <w:bCs/>
                <w:szCs w:val="21"/>
              </w:rPr>
            </w:pPr>
          </w:p>
        </w:tc>
        <w:tc>
          <w:tcPr>
            <w:tcW w:w="974" w:type="dxa"/>
            <w:noWrap w:val="0"/>
            <w:vAlign w:val="center"/>
          </w:tcPr>
          <w:p>
            <w:pPr>
              <w:jc w:val="center"/>
              <w:rPr>
                <w:rFonts w:hint="eastAsia" w:ascii="仿宋_GB2312" w:hAnsi="仿宋_GB2312" w:eastAsia="仿宋_GB2312" w:cs="仿宋_GB2312"/>
                <w:b/>
                <w:bCs/>
                <w:szCs w:val="21"/>
              </w:rPr>
            </w:pPr>
          </w:p>
        </w:tc>
        <w:tc>
          <w:tcPr>
            <w:tcW w:w="927" w:type="dxa"/>
            <w:noWrap w:val="0"/>
            <w:vAlign w:val="center"/>
          </w:tcPr>
          <w:p>
            <w:pPr>
              <w:jc w:val="center"/>
              <w:rPr>
                <w:rFonts w:hint="eastAsia" w:ascii="仿宋_GB2312" w:hAnsi="仿宋_GB2312" w:eastAsia="仿宋_GB2312" w:cs="仿宋_GB2312"/>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2453" w:type="dxa"/>
            <w:gridSpan w:val="2"/>
            <w:vMerge w:val="restart"/>
            <w:noWrap w:val="0"/>
            <w:vAlign w:val="center"/>
          </w:tcPr>
          <w:p>
            <w:pPr>
              <w:jc w:val="center"/>
              <w:rPr>
                <w:rFonts w:hint="eastAsia" w:ascii="仿宋_GB2312" w:hAnsi="仿宋_GB2312" w:eastAsia="仿宋_GB2312" w:cs="仿宋_GB2312"/>
                <w:b/>
                <w:bCs/>
                <w:kern w:val="0"/>
                <w:szCs w:val="21"/>
              </w:rPr>
            </w:pPr>
            <w:r>
              <w:rPr>
                <w:rFonts w:hint="eastAsia" w:ascii="仿宋_GB2312" w:hAnsi="仿宋_GB2312" w:eastAsia="仿宋_GB2312" w:cs="仿宋_GB2312"/>
                <w:b/>
                <w:bCs/>
                <w:kern w:val="0"/>
                <w:szCs w:val="21"/>
              </w:rPr>
              <w:t>行政处罚案件</w:t>
            </w:r>
          </w:p>
          <w:p>
            <w:pPr>
              <w:jc w:val="center"/>
              <w:rPr>
                <w:rFonts w:hint="eastAsia" w:ascii="仿宋_GB2312" w:hAnsi="仿宋_GB2312" w:eastAsia="仿宋_GB2312" w:cs="仿宋_GB2312"/>
                <w:b/>
                <w:bCs/>
                <w:kern w:val="0"/>
                <w:szCs w:val="21"/>
              </w:rPr>
            </w:pPr>
            <w:r>
              <w:rPr>
                <w:rFonts w:hint="eastAsia" w:ascii="仿宋_GB2312" w:hAnsi="仿宋_GB2312" w:eastAsia="仿宋_GB2312" w:cs="仿宋_GB2312"/>
                <w:b/>
                <w:bCs/>
                <w:kern w:val="0"/>
                <w:szCs w:val="21"/>
              </w:rPr>
              <w:t>（起）</w:t>
            </w:r>
          </w:p>
        </w:tc>
        <w:tc>
          <w:tcPr>
            <w:tcW w:w="2616" w:type="dxa"/>
            <w:gridSpan w:val="2"/>
            <w:noWrap w:val="0"/>
            <w:vAlign w:val="center"/>
          </w:tcPr>
          <w:p>
            <w:pPr>
              <w:jc w:val="center"/>
              <w:rPr>
                <w:rFonts w:hint="eastAsia" w:ascii="仿宋_GB2312" w:hAnsi="仿宋_GB2312" w:eastAsia="仿宋_GB2312" w:cs="仿宋_GB2312"/>
                <w:b/>
                <w:bCs/>
                <w:kern w:val="0"/>
                <w:szCs w:val="21"/>
              </w:rPr>
            </w:pPr>
            <w:r>
              <w:rPr>
                <w:rFonts w:hint="eastAsia" w:ascii="仿宋_GB2312" w:hAnsi="仿宋_GB2312" w:eastAsia="仿宋_GB2312" w:cs="仿宋_GB2312"/>
                <w:b/>
                <w:bCs/>
                <w:kern w:val="0"/>
                <w:szCs w:val="21"/>
                <w:lang w:val="en"/>
              </w:rPr>
              <w:t>其</w:t>
            </w:r>
            <w:r>
              <w:rPr>
                <w:rFonts w:hint="eastAsia" w:ascii="仿宋_GB2312" w:hAnsi="仿宋_GB2312" w:eastAsia="仿宋_GB2312" w:cs="仿宋_GB2312"/>
                <w:b/>
                <w:bCs/>
                <w:kern w:val="0"/>
                <w:szCs w:val="21"/>
              </w:rPr>
              <w:t xml:space="preserve"> </w:t>
            </w:r>
            <w:r>
              <w:rPr>
                <w:rFonts w:hint="eastAsia" w:ascii="仿宋_GB2312" w:hAnsi="仿宋_GB2312" w:eastAsia="仿宋_GB2312" w:cs="仿宋_GB2312"/>
                <w:b/>
                <w:bCs/>
                <w:kern w:val="0"/>
                <w:szCs w:val="21"/>
                <w:lang w:val="en"/>
              </w:rPr>
              <w:t>中：</w:t>
            </w:r>
          </w:p>
        </w:tc>
        <w:tc>
          <w:tcPr>
            <w:tcW w:w="1339" w:type="dxa"/>
            <w:vMerge w:val="restart"/>
            <w:noWrap w:val="0"/>
            <w:vAlign w:val="center"/>
          </w:tcPr>
          <w:p>
            <w:pPr>
              <w:jc w:val="center"/>
              <w:rPr>
                <w:rFonts w:hint="eastAsia" w:ascii="仿宋_GB2312" w:hAnsi="仿宋_GB2312" w:eastAsia="仿宋_GB2312" w:cs="仿宋_GB2312"/>
                <w:b/>
                <w:bCs/>
                <w:kern w:val="0"/>
                <w:szCs w:val="21"/>
              </w:rPr>
            </w:pPr>
            <w:r>
              <w:rPr>
                <w:rFonts w:hint="eastAsia" w:ascii="仿宋_GB2312" w:hAnsi="仿宋_GB2312" w:eastAsia="仿宋_GB2312" w:cs="仿宋_GB2312"/>
                <w:b/>
                <w:bCs/>
                <w:kern w:val="0"/>
                <w:szCs w:val="21"/>
              </w:rPr>
              <w:t>行政处罚</w:t>
            </w:r>
          </w:p>
          <w:p>
            <w:pPr>
              <w:jc w:val="center"/>
              <w:rPr>
                <w:rFonts w:hint="eastAsia" w:ascii="仿宋_GB2312" w:hAnsi="仿宋_GB2312" w:eastAsia="仿宋_GB2312" w:cs="仿宋_GB2312"/>
                <w:b/>
                <w:bCs/>
                <w:kern w:val="0"/>
                <w:szCs w:val="21"/>
              </w:rPr>
            </w:pPr>
            <w:r>
              <w:rPr>
                <w:rFonts w:hint="eastAsia" w:ascii="仿宋_GB2312" w:hAnsi="仿宋_GB2312" w:eastAsia="仿宋_GB2312" w:cs="仿宋_GB2312"/>
                <w:b/>
                <w:bCs/>
                <w:kern w:val="0"/>
                <w:szCs w:val="21"/>
              </w:rPr>
              <w:t>人数</w:t>
            </w:r>
          </w:p>
          <w:p>
            <w:pPr>
              <w:jc w:val="center"/>
              <w:rPr>
                <w:rFonts w:hint="eastAsia" w:ascii="仿宋_GB2312" w:hAnsi="仿宋_GB2312" w:eastAsia="仿宋_GB2312" w:cs="仿宋_GB2312"/>
                <w:b/>
                <w:bCs/>
                <w:kern w:val="0"/>
                <w:szCs w:val="21"/>
              </w:rPr>
            </w:pPr>
            <w:r>
              <w:rPr>
                <w:rFonts w:hint="eastAsia" w:ascii="仿宋_GB2312" w:hAnsi="仿宋_GB2312" w:eastAsia="仿宋_GB2312" w:cs="仿宋_GB2312"/>
                <w:b/>
                <w:bCs/>
                <w:kern w:val="0"/>
                <w:szCs w:val="21"/>
              </w:rPr>
              <w:t>（人）</w:t>
            </w:r>
          </w:p>
        </w:tc>
        <w:tc>
          <w:tcPr>
            <w:tcW w:w="1487" w:type="dxa"/>
            <w:vMerge w:val="restart"/>
            <w:noWrap w:val="0"/>
            <w:vAlign w:val="center"/>
          </w:tcPr>
          <w:p>
            <w:pPr>
              <w:jc w:val="center"/>
              <w:rPr>
                <w:rFonts w:hint="eastAsia" w:ascii="仿宋_GB2312" w:hAnsi="仿宋_GB2312" w:eastAsia="仿宋_GB2312" w:cs="仿宋_GB2312"/>
                <w:b/>
                <w:bCs/>
                <w:kern w:val="0"/>
                <w:szCs w:val="21"/>
              </w:rPr>
            </w:pPr>
            <w:r>
              <w:rPr>
                <w:rFonts w:hint="eastAsia" w:ascii="仿宋_GB2312" w:hAnsi="仿宋_GB2312" w:eastAsia="仿宋_GB2312" w:cs="仿宋_GB2312"/>
                <w:b/>
                <w:bCs/>
                <w:kern w:val="0"/>
                <w:szCs w:val="21"/>
              </w:rPr>
              <w:t>行政罚没款</w:t>
            </w:r>
          </w:p>
          <w:p>
            <w:pPr>
              <w:jc w:val="center"/>
              <w:rPr>
                <w:rFonts w:hint="eastAsia" w:ascii="仿宋_GB2312" w:hAnsi="仿宋_GB2312" w:eastAsia="仿宋_GB2312" w:cs="仿宋_GB2312"/>
                <w:b/>
                <w:bCs/>
                <w:kern w:val="0"/>
                <w:szCs w:val="21"/>
              </w:rPr>
            </w:pPr>
            <w:r>
              <w:rPr>
                <w:rFonts w:hint="eastAsia" w:ascii="仿宋_GB2312" w:hAnsi="仿宋_GB2312" w:eastAsia="仿宋_GB2312" w:cs="仿宋_GB2312"/>
                <w:b/>
                <w:bCs/>
                <w:kern w:val="0"/>
                <w:szCs w:val="21"/>
              </w:rPr>
              <w:t>总额</w:t>
            </w:r>
          </w:p>
          <w:p>
            <w:pPr>
              <w:jc w:val="center"/>
              <w:rPr>
                <w:rFonts w:hint="eastAsia" w:ascii="仿宋_GB2312" w:hAnsi="仿宋_GB2312" w:eastAsia="仿宋_GB2312" w:cs="仿宋_GB2312"/>
                <w:b/>
                <w:bCs/>
                <w:kern w:val="0"/>
                <w:szCs w:val="21"/>
              </w:rPr>
            </w:pPr>
            <w:r>
              <w:rPr>
                <w:rFonts w:hint="eastAsia" w:ascii="仿宋_GB2312" w:hAnsi="仿宋_GB2312" w:eastAsia="仿宋_GB2312" w:cs="仿宋_GB2312"/>
                <w:b/>
                <w:bCs/>
                <w:kern w:val="0"/>
                <w:szCs w:val="21"/>
              </w:rPr>
              <w:t>（万元）</w:t>
            </w:r>
          </w:p>
        </w:tc>
        <w:tc>
          <w:tcPr>
            <w:tcW w:w="1419" w:type="dxa"/>
            <w:vMerge w:val="restart"/>
            <w:noWrap w:val="0"/>
            <w:vAlign w:val="center"/>
          </w:tcPr>
          <w:p>
            <w:pPr>
              <w:jc w:val="center"/>
              <w:rPr>
                <w:rFonts w:hint="eastAsia" w:ascii="仿宋_GB2312" w:hAnsi="仿宋_GB2312" w:eastAsia="仿宋_GB2312" w:cs="仿宋_GB2312"/>
                <w:b/>
                <w:bCs/>
                <w:kern w:val="0"/>
                <w:szCs w:val="21"/>
              </w:rPr>
            </w:pPr>
            <w:r>
              <w:rPr>
                <w:rFonts w:hint="eastAsia" w:ascii="仿宋_GB2312" w:hAnsi="仿宋_GB2312" w:eastAsia="仿宋_GB2312" w:cs="仿宋_GB2312"/>
                <w:b/>
                <w:bCs/>
                <w:kern w:val="0"/>
                <w:szCs w:val="21"/>
              </w:rPr>
              <w:t>司法移送</w:t>
            </w:r>
          </w:p>
          <w:p>
            <w:pPr>
              <w:jc w:val="center"/>
              <w:rPr>
                <w:rFonts w:hint="eastAsia" w:ascii="仿宋_GB2312" w:hAnsi="仿宋_GB2312" w:eastAsia="仿宋_GB2312" w:cs="仿宋_GB2312"/>
                <w:b/>
                <w:bCs/>
                <w:kern w:val="0"/>
                <w:szCs w:val="21"/>
              </w:rPr>
            </w:pPr>
            <w:r>
              <w:rPr>
                <w:rFonts w:hint="eastAsia" w:ascii="仿宋_GB2312" w:hAnsi="仿宋_GB2312" w:eastAsia="仿宋_GB2312" w:cs="仿宋_GB2312"/>
                <w:b/>
                <w:bCs/>
                <w:kern w:val="0"/>
                <w:szCs w:val="21"/>
              </w:rPr>
              <w:t>案件数（起）</w:t>
            </w:r>
          </w:p>
        </w:tc>
        <w:tc>
          <w:tcPr>
            <w:tcW w:w="1610" w:type="dxa"/>
            <w:vMerge w:val="restart"/>
            <w:noWrap w:val="0"/>
            <w:vAlign w:val="center"/>
          </w:tcPr>
          <w:p>
            <w:pPr>
              <w:jc w:val="center"/>
              <w:rPr>
                <w:rFonts w:hint="eastAsia" w:ascii="仿宋_GB2312" w:hAnsi="仿宋_GB2312" w:eastAsia="仿宋_GB2312" w:cs="仿宋_GB2312"/>
                <w:b/>
                <w:bCs/>
                <w:kern w:val="0"/>
                <w:szCs w:val="21"/>
              </w:rPr>
            </w:pPr>
            <w:r>
              <w:rPr>
                <w:rFonts w:hint="eastAsia" w:ascii="仿宋_GB2312" w:hAnsi="仿宋_GB2312" w:eastAsia="仿宋_GB2312" w:cs="仿宋_GB2312"/>
                <w:b/>
                <w:bCs/>
                <w:kern w:val="0"/>
                <w:szCs w:val="21"/>
              </w:rPr>
              <w:t>司法移送</w:t>
            </w:r>
          </w:p>
          <w:p>
            <w:pPr>
              <w:jc w:val="center"/>
              <w:rPr>
                <w:rFonts w:hint="eastAsia" w:ascii="仿宋_GB2312" w:hAnsi="仿宋_GB2312" w:eastAsia="仿宋_GB2312" w:cs="仿宋_GB2312"/>
                <w:b/>
                <w:bCs/>
                <w:kern w:val="0"/>
                <w:szCs w:val="21"/>
              </w:rPr>
            </w:pPr>
            <w:r>
              <w:rPr>
                <w:rFonts w:hint="eastAsia" w:ascii="仿宋_GB2312" w:hAnsi="仿宋_GB2312" w:eastAsia="仿宋_GB2312" w:cs="仿宋_GB2312"/>
                <w:b/>
                <w:bCs/>
                <w:kern w:val="0"/>
                <w:szCs w:val="21"/>
              </w:rPr>
              <w:t>人数（人）</w:t>
            </w:r>
          </w:p>
        </w:tc>
        <w:tc>
          <w:tcPr>
            <w:tcW w:w="1772" w:type="dxa"/>
            <w:gridSpan w:val="2"/>
            <w:vMerge w:val="restart"/>
            <w:noWrap w:val="0"/>
            <w:vAlign w:val="center"/>
          </w:tcPr>
          <w:p>
            <w:pPr>
              <w:jc w:val="center"/>
              <w:rPr>
                <w:rFonts w:hint="eastAsia" w:ascii="仿宋_GB2312" w:hAnsi="仿宋_GB2312" w:eastAsia="仿宋_GB2312" w:cs="仿宋_GB2312"/>
                <w:b/>
                <w:bCs/>
                <w:kern w:val="0"/>
                <w:szCs w:val="21"/>
              </w:rPr>
            </w:pPr>
            <w:r>
              <w:rPr>
                <w:rFonts w:hint="eastAsia" w:ascii="仿宋_GB2312" w:hAnsi="仿宋_GB2312" w:eastAsia="仿宋_GB2312" w:cs="仿宋_GB2312"/>
                <w:b/>
                <w:bCs/>
                <w:kern w:val="0"/>
                <w:szCs w:val="21"/>
              </w:rPr>
              <w:t>公益诉讼案件</w:t>
            </w:r>
          </w:p>
          <w:p>
            <w:pPr>
              <w:jc w:val="center"/>
              <w:rPr>
                <w:rFonts w:hint="eastAsia" w:ascii="仿宋_GB2312" w:hAnsi="仿宋_GB2312" w:eastAsia="仿宋_GB2312" w:cs="仿宋_GB2312"/>
                <w:b/>
                <w:bCs/>
                <w:kern w:val="0"/>
                <w:szCs w:val="21"/>
              </w:rPr>
            </w:pPr>
            <w:r>
              <w:rPr>
                <w:rFonts w:hint="eastAsia" w:ascii="仿宋_GB2312" w:hAnsi="仿宋_GB2312" w:eastAsia="仿宋_GB2312" w:cs="仿宋_GB2312"/>
                <w:b/>
                <w:bCs/>
                <w:kern w:val="0"/>
                <w:szCs w:val="21"/>
              </w:rPr>
              <w:t>（起）</w:t>
            </w:r>
          </w:p>
        </w:tc>
        <w:tc>
          <w:tcPr>
            <w:tcW w:w="1901" w:type="dxa"/>
            <w:gridSpan w:val="2"/>
            <w:vMerge w:val="restart"/>
            <w:noWrap w:val="0"/>
            <w:vAlign w:val="center"/>
          </w:tcPr>
          <w:p>
            <w:pPr>
              <w:jc w:val="center"/>
              <w:rPr>
                <w:rFonts w:hint="eastAsia" w:ascii="仿宋_GB2312" w:hAnsi="仿宋_GB2312" w:eastAsia="仿宋_GB2312" w:cs="仿宋_GB2312"/>
                <w:b/>
                <w:bCs/>
                <w:kern w:val="0"/>
                <w:szCs w:val="21"/>
              </w:rPr>
            </w:pPr>
            <w:r>
              <w:rPr>
                <w:rFonts w:hint="eastAsia" w:ascii="仿宋_GB2312" w:hAnsi="仿宋_GB2312" w:eastAsia="仿宋_GB2312" w:cs="仿宋_GB2312"/>
                <w:b/>
                <w:bCs/>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jc w:val="center"/>
        </w:trPr>
        <w:tc>
          <w:tcPr>
            <w:tcW w:w="2453" w:type="dxa"/>
            <w:gridSpan w:val="2"/>
            <w:vMerge w:val="continue"/>
            <w:noWrap w:val="0"/>
            <w:vAlign w:val="center"/>
          </w:tcPr>
          <w:p>
            <w:pPr>
              <w:jc w:val="center"/>
              <w:rPr>
                <w:rFonts w:hint="eastAsia" w:ascii="仿宋_GB2312" w:hAnsi="仿宋_GB2312" w:eastAsia="仿宋_GB2312" w:cs="仿宋_GB2312"/>
                <w:kern w:val="0"/>
                <w:szCs w:val="21"/>
              </w:rPr>
            </w:pPr>
          </w:p>
        </w:tc>
        <w:tc>
          <w:tcPr>
            <w:tcW w:w="1316" w:type="dxa"/>
            <w:noWrap w:val="0"/>
            <w:vAlign w:val="center"/>
          </w:tcPr>
          <w:p>
            <w:pPr>
              <w:jc w:val="center"/>
              <w:rPr>
                <w:rFonts w:hint="eastAsia" w:ascii="仿宋_GB2312" w:hAnsi="仿宋_GB2312" w:eastAsia="仿宋_GB2312" w:cs="仿宋_GB2312"/>
                <w:b/>
                <w:bCs/>
                <w:kern w:val="0"/>
                <w:szCs w:val="21"/>
              </w:rPr>
            </w:pPr>
            <w:r>
              <w:rPr>
                <w:rFonts w:hint="eastAsia" w:ascii="仿宋_GB2312" w:hAnsi="仿宋_GB2312" w:eastAsia="仿宋_GB2312" w:cs="仿宋_GB2312"/>
                <w:b/>
                <w:bCs/>
                <w:kern w:val="0"/>
                <w:szCs w:val="21"/>
              </w:rPr>
              <w:t>查处电毒炸案（起）</w:t>
            </w:r>
          </w:p>
        </w:tc>
        <w:tc>
          <w:tcPr>
            <w:tcW w:w="1300" w:type="dxa"/>
            <w:noWrap w:val="0"/>
            <w:vAlign w:val="center"/>
          </w:tcPr>
          <w:p>
            <w:pPr>
              <w:jc w:val="center"/>
              <w:rPr>
                <w:rFonts w:hint="eastAsia" w:ascii="仿宋_GB2312" w:hAnsi="仿宋_GB2312" w:eastAsia="仿宋_GB2312" w:cs="仿宋_GB2312"/>
                <w:b/>
                <w:bCs/>
                <w:kern w:val="0"/>
                <w:szCs w:val="21"/>
              </w:rPr>
            </w:pPr>
            <w:r>
              <w:rPr>
                <w:rFonts w:hint="eastAsia" w:ascii="仿宋_GB2312" w:hAnsi="仿宋_GB2312" w:eastAsia="仿宋_GB2312" w:cs="仿宋_GB2312"/>
                <w:b/>
                <w:bCs/>
                <w:kern w:val="0"/>
                <w:szCs w:val="21"/>
              </w:rPr>
              <w:t>查处销售违禁渔获      物案（起）</w:t>
            </w:r>
          </w:p>
        </w:tc>
        <w:tc>
          <w:tcPr>
            <w:tcW w:w="1339" w:type="dxa"/>
            <w:vMerge w:val="continue"/>
            <w:noWrap w:val="0"/>
            <w:vAlign w:val="center"/>
          </w:tcPr>
          <w:p>
            <w:pPr>
              <w:jc w:val="center"/>
              <w:rPr>
                <w:rFonts w:hint="eastAsia" w:ascii="仿宋_GB2312" w:hAnsi="仿宋_GB2312" w:eastAsia="仿宋_GB2312" w:cs="仿宋_GB2312"/>
                <w:kern w:val="0"/>
                <w:szCs w:val="21"/>
              </w:rPr>
            </w:pPr>
          </w:p>
        </w:tc>
        <w:tc>
          <w:tcPr>
            <w:tcW w:w="1487" w:type="dxa"/>
            <w:vMerge w:val="continue"/>
            <w:noWrap w:val="0"/>
            <w:vAlign w:val="center"/>
          </w:tcPr>
          <w:p>
            <w:pPr>
              <w:rPr>
                <w:rFonts w:hint="eastAsia" w:ascii="仿宋_GB2312" w:hAnsi="仿宋_GB2312" w:eastAsia="仿宋_GB2312" w:cs="仿宋_GB2312"/>
                <w:kern w:val="0"/>
                <w:szCs w:val="21"/>
              </w:rPr>
            </w:pPr>
          </w:p>
        </w:tc>
        <w:tc>
          <w:tcPr>
            <w:tcW w:w="1419" w:type="dxa"/>
            <w:vMerge w:val="continue"/>
            <w:noWrap w:val="0"/>
            <w:vAlign w:val="center"/>
          </w:tcPr>
          <w:p>
            <w:pPr>
              <w:rPr>
                <w:rFonts w:hint="eastAsia" w:ascii="仿宋_GB2312" w:hAnsi="仿宋_GB2312" w:eastAsia="仿宋_GB2312" w:cs="仿宋_GB2312"/>
                <w:kern w:val="0"/>
                <w:szCs w:val="21"/>
              </w:rPr>
            </w:pPr>
          </w:p>
        </w:tc>
        <w:tc>
          <w:tcPr>
            <w:tcW w:w="1610" w:type="dxa"/>
            <w:vMerge w:val="continue"/>
            <w:noWrap w:val="0"/>
            <w:vAlign w:val="center"/>
          </w:tcPr>
          <w:p>
            <w:pPr>
              <w:rPr>
                <w:rFonts w:hint="eastAsia" w:ascii="仿宋_GB2312" w:hAnsi="仿宋_GB2312" w:eastAsia="仿宋_GB2312" w:cs="仿宋_GB2312"/>
                <w:kern w:val="0"/>
                <w:szCs w:val="21"/>
              </w:rPr>
            </w:pPr>
          </w:p>
        </w:tc>
        <w:tc>
          <w:tcPr>
            <w:tcW w:w="1772" w:type="dxa"/>
            <w:gridSpan w:val="2"/>
            <w:vMerge w:val="continue"/>
            <w:noWrap w:val="0"/>
            <w:vAlign w:val="center"/>
          </w:tcPr>
          <w:p>
            <w:pPr>
              <w:rPr>
                <w:rFonts w:hint="eastAsia" w:ascii="仿宋_GB2312" w:hAnsi="仿宋_GB2312" w:eastAsia="仿宋_GB2312" w:cs="仿宋_GB2312"/>
                <w:kern w:val="0"/>
                <w:szCs w:val="21"/>
              </w:rPr>
            </w:pPr>
          </w:p>
        </w:tc>
        <w:tc>
          <w:tcPr>
            <w:tcW w:w="1901" w:type="dxa"/>
            <w:gridSpan w:val="2"/>
            <w:vMerge w:val="continue"/>
            <w:noWrap w:val="0"/>
            <w:vAlign w:val="center"/>
          </w:tcPr>
          <w:p>
            <w:pPr>
              <w:rPr>
                <w:rFonts w:hint="eastAsia" w:ascii="仿宋_GB2312" w:hAnsi="仿宋_GB2312" w:eastAsia="仿宋_GB2312"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2453" w:type="dxa"/>
            <w:gridSpan w:val="2"/>
            <w:noWrap w:val="0"/>
            <w:vAlign w:val="center"/>
          </w:tcPr>
          <w:p>
            <w:pPr>
              <w:jc w:val="center"/>
              <w:rPr>
                <w:rFonts w:hint="eastAsia" w:ascii="仿宋_GB2312" w:hAnsi="仿宋_GB2312" w:eastAsia="仿宋_GB2312" w:cs="仿宋_GB2312"/>
                <w:kern w:val="0"/>
                <w:szCs w:val="21"/>
              </w:rPr>
            </w:pPr>
          </w:p>
        </w:tc>
        <w:tc>
          <w:tcPr>
            <w:tcW w:w="1316" w:type="dxa"/>
            <w:noWrap w:val="0"/>
            <w:vAlign w:val="center"/>
          </w:tcPr>
          <w:p>
            <w:pPr>
              <w:jc w:val="center"/>
              <w:rPr>
                <w:rFonts w:hint="eastAsia" w:ascii="仿宋_GB2312" w:hAnsi="仿宋_GB2312" w:eastAsia="仿宋_GB2312" w:cs="仿宋_GB2312"/>
                <w:kern w:val="0"/>
                <w:szCs w:val="21"/>
              </w:rPr>
            </w:pPr>
          </w:p>
        </w:tc>
        <w:tc>
          <w:tcPr>
            <w:tcW w:w="1300" w:type="dxa"/>
            <w:noWrap w:val="0"/>
            <w:vAlign w:val="center"/>
          </w:tcPr>
          <w:p>
            <w:pPr>
              <w:jc w:val="center"/>
              <w:rPr>
                <w:rFonts w:hint="eastAsia" w:ascii="仿宋_GB2312" w:hAnsi="仿宋_GB2312" w:eastAsia="仿宋_GB2312" w:cs="仿宋_GB2312"/>
                <w:kern w:val="0"/>
                <w:szCs w:val="21"/>
              </w:rPr>
            </w:pPr>
          </w:p>
        </w:tc>
        <w:tc>
          <w:tcPr>
            <w:tcW w:w="1339" w:type="dxa"/>
            <w:noWrap w:val="0"/>
            <w:vAlign w:val="center"/>
          </w:tcPr>
          <w:p>
            <w:pPr>
              <w:jc w:val="center"/>
              <w:rPr>
                <w:rFonts w:hint="eastAsia" w:ascii="仿宋_GB2312" w:hAnsi="仿宋_GB2312" w:eastAsia="仿宋_GB2312" w:cs="仿宋_GB2312"/>
                <w:kern w:val="0"/>
                <w:szCs w:val="21"/>
              </w:rPr>
            </w:pPr>
          </w:p>
        </w:tc>
        <w:tc>
          <w:tcPr>
            <w:tcW w:w="1487" w:type="dxa"/>
            <w:noWrap w:val="0"/>
            <w:vAlign w:val="center"/>
          </w:tcPr>
          <w:p>
            <w:pPr>
              <w:jc w:val="center"/>
              <w:rPr>
                <w:rFonts w:hint="eastAsia" w:ascii="仿宋_GB2312" w:hAnsi="仿宋_GB2312" w:eastAsia="仿宋_GB2312" w:cs="仿宋_GB2312"/>
                <w:szCs w:val="21"/>
              </w:rPr>
            </w:pPr>
          </w:p>
        </w:tc>
        <w:tc>
          <w:tcPr>
            <w:tcW w:w="1419" w:type="dxa"/>
            <w:noWrap w:val="0"/>
            <w:vAlign w:val="center"/>
          </w:tcPr>
          <w:p>
            <w:pPr>
              <w:jc w:val="center"/>
              <w:rPr>
                <w:rFonts w:hint="eastAsia" w:ascii="仿宋_GB2312" w:hAnsi="仿宋_GB2312" w:eastAsia="仿宋_GB2312" w:cs="仿宋_GB2312"/>
                <w:szCs w:val="21"/>
              </w:rPr>
            </w:pPr>
          </w:p>
        </w:tc>
        <w:tc>
          <w:tcPr>
            <w:tcW w:w="1610" w:type="dxa"/>
            <w:noWrap w:val="0"/>
            <w:vAlign w:val="center"/>
          </w:tcPr>
          <w:p>
            <w:pPr>
              <w:jc w:val="center"/>
              <w:rPr>
                <w:rFonts w:hint="eastAsia" w:ascii="仿宋_GB2312" w:hAnsi="仿宋_GB2312" w:eastAsia="仿宋_GB2312" w:cs="仿宋_GB2312"/>
                <w:szCs w:val="21"/>
              </w:rPr>
            </w:pPr>
          </w:p>
        </w:tc>
        <w:tc>
          <w:tcPr>
            <w:tcW w:w="1772" w:type="dxa"/>
            <w:gridSpan w:val="2"/>
            <w:noWrap w:val="0"/>
            <w:vAlign w:val="center"/>
          </w:tcPr>
          <w:p>
            <w:pPr>
              <w:jc w:val="center"/>
              <w:rPr>
                <w:rFonts w:hint="eastAsia" w:ascii="仿宋_GB2312" w:hAnsi="仿宋_GB2312" w:eastAsia="仿宋_GB2312" w:cs="仿宋_GB2312"/>
                <w:szCs w:val="21"/>
              </w:rPr>
            </w:pPr>
          </w:p>
        </w:tc>
        <w:tc>
          <w:tcPr>
            <w:tcW w:w="1901" w:type="dxa"/>
            <w:gridSpan w:val="2"/>
            <w:noWrap w:val="0"/>
            <w:vAlign w:val="center"/>
          </w:tcPr>
          <w:p>
            <w:pPr>
              <w:jc w:val="center"/>
              <w:rPr>
                <w:rFonts w:hint="eastAsia" w:ascii="仿宋_GB2312" w:hAnsi="仿宋_GB2312" w:eastAsia="仿宋_GB2312" w:cs="仿宋_GB2312"/>
                <w:szCs w:val="21"/>
              </w:rPr>
            </w:pPr>
          </w:p>
        </w:tc>
      </w:tr>
    </w:tbl>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填表人：                                              联系电话： </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pPr>
      <w:r>
        <w:rPr>
          <w:rFonts w:hint="eastAsia" w:ascii="仿宋_GB2312" w:hAnsi="仿宋_GB2312" w:eastAsia="仿宋_GB2312" w:cs="仿宋_GB2312"/>
          <w:kern w:val="0"/>
          <w:sz w:val="28"/>
          <w:szCs w:val="28"/>
        </w:rPr>
        <w:t>说明：数据统计表请按月于每月2</w:t>
      </w:r>
      <w:r>
        <w:rPr>
          <w:rFonts w:hint="eastAsia" w:ascii="仿宋_GB2312" w:hAnsi="仿宋_GB2312" w:eastAsia="仿宋_GB2312" w:cs="仿宋_GB2312"/>
          <w:kern w:val="0"/>
          <w:sz w:val="28"/>
          <w:szCs w:val="28"/>
          <w:lang w:val="en-US" w:eastAsia="zh-CN"/>
        </w:rPr>
        <w:t>4</w:t>
      </w:r>
      <w:r>
        <w:rPr>
          <w:rFonts w:hint="eastAsia" w:ascii="仿宋_GB2312" w:hAnsi="仿宋_GB2312" w:eastAsia="仿宋_GB2312" w:cs="仿宋_GB2312"/>
          <w:kern w:val="0"/>
          <w:sz w:val="28"/>
          <w:szCs w:val="28"/>
        </w:rPr>
        <w:t>日前上报。</w:t>
      </w:r>
    </w:p>
    <w:p>
      <w:pPr>
        <w:bidi w:val="0"/>
        <w:rPr>
          <w:rFonts w:hint="eastAsia"/>
          <w:lang w:eastAsia="zh-CN"/>
        </w:rPr>
      </w:pPr>
    </w:p>
    <w:sectPr>
      <w:pgSz w:w="16838" w:h="11906" w:orient="landscape"/>
      <w:pgMar w:top="1587" w:right="1928" w:bottom="1474" w:left="1474"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7A"/>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楷体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楷体_GB2312">
    <w:altName w:val="方正楷体_GBK"/>
    <w:panose1 w:val="02010609030101010101"/>
    <w:charset w:val="86"/>
    <w:family w:val="auto"/>
    <w:pitch w:val="default"/>
    <w:sig w:usb0="00000000" w:usb1="00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宋体" w:hAnsi="宋体" w:eastAsia="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176IwHQIAACkEAAAOAAAAZHJz&#10;L2Uyb0RvYy54bWytU82O0zAQviPxDpbvNGkrVl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mr/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PXvojAdAgAAKQQAAA4AAAAAAAAAAQAgAAAANQEAAGRycy9lMm9Eb2MueG1sUEsF&#10;BgAAAAAGAAYAWQEAAMQFAAAAAA==&#10;">
              <v:fill on="f" focussize="0,0"/>
              <v:stroke on="f" weight="0.5pt"/>
              <v:imagedata o:title=""/>
              <o:lock v:ext="edit" aspectratio="f"/>
              <v:textbox inset="0mm,0mm,0mm,0mm" style="mso-fit-shape-to-text:t;">
                <w:txbxContent>
                  <w:p>
                    <w:pPr>
                      <w:pStyle w:val="7"/>
                      <w:rPr>
                        <w:rFonts w:hint="eastAsia" w:ascii="宋体" w:hAnsi="宋体" w:eastAsia="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0288" behindDoc="0" locked="0" layoutInCell="1" allowOverlap="1">
              <wp:simplePos x="0" y="0"/>
              <wp:positionH relativeFrom="margin">
                <wp:posOffset>6350</wp:posOffset>
              </wp:positionH>
              <wp:positionV relativeFrom="paragraph">
                <wp:posOffset>-28575</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left:0.5pt;margin-top:-2.25pt;height:144pt;width:144pt;mso-position-horizontal-relative:margin;mso-wrap-style:none;z-index:251660288;mso-width-relative:page;mso-height-relative:page;" filled="f" stroked="f" coordsize="21600,21600" o:gfxdata="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BYAAABkcnMvUEsBAhQA&#10;FAAAAAgAh07iQJvDlFDVAAAACAEAAA8AAAAAAAAAAQAgAAAAOAAAAGRycy9kb3ducmV2LnhtbFBL&#10;AQIUABQAAAAIAIdO4kBJCLMQHAIAACkEAAAOAAAAAAAAAAEAIAAAADoBAABkcnMvZTJvRG9jLnht&#10;bFBLBQYAAAAABgAGAFkBAADIBQAAAAA=&#10;">
              <v:fill on="f" focussize="0,0"/>
              <v:stroke on="f" weight="0.5pt"/>
              <v:imagedata o:title=""/>
              <o:lock v:ext="edit" aspectratio="f"/>
              <v:textbox inset="0mm,0mm,0mm,0mm" style="mso-fit-shape-to-text:t;">
                <w:txbxContent>
                  <w:p>
                    <w:pPr>
                      <w:pStyle w:val="7"/>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E9AC384"/>
    <w:multiLevelType w:val="singleLevel"/>
    <w:tmpl w:val="BE9AC384"/>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false"/>
  <w:bordersDoNotSurroundFooter w:val="false"/>
  <w:documentProtection w:enforcement="0"/>
  <w:defaultTabStop w:val="420"/>
  <w:evenAndOddHeaders w:val="true"/>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CA769A"/>
    <w:rsid w:val="0E753084"/>
    <w:rsid w:val="13DE4280"/>
    <w:rsid w:val="158519AE"/>
    <w:rsid w:val="18B87AB2"/>
    <w:rsid w:val="1FAC1850"/>
    <w:rsid w:val="20024DB6"/>
    <w:rsid w:val="276B7077"/>
    <w:rsid w:val="29351051"/>
    <w:rsid w:val="2E1D4908"/>
    <w:rsid w:val="39532F6C"/>
    <w:rsid w:val="3FFE1587"/>
    <w:rsid w:val="46CA769A"/>
    <w:rsid w:val="506E6A40"/>
    <w:rsid w:val="52675B03"/>
    <w:rsid w:val="543C161F"/>
    <w:rsid w:val="55C41DE6"/>
    <w:rsid w:val="568E35FF"/>
    <w:rsid w:val="57724E6C"/>
    <w:rsid w:val="59AE1B2E"/>
    <w:rsid w:val="60DA62EE"/>
    <w:rsid w:val="60F871A3"/>
    <w:rsid w:val="63DF0BA1"/>
    <w:rsid w:val="682907EF"/>
    <w:rsid w:val="6DF7A7F1"/>
    <w:rsid w:val="6EF73898"/>
    <w:rsid w:val="73672D8D"/>
    <w:rsid w:val="7AB98D7C"/>
    <w:rsid w:val="7B142815"/>
    <w:rsid w:val="7F77D559"/>
    <w:rsid w:val="8FABFA9B"/>
    <w:rsid w:val="DDDF487E"/>
    <w:rsid w:val="E7F54C58"/>
    <w:rsid w:val="F3EF7624"/>
    <w:rsid w:val="F5F41D2D"/>
    <w:rsid w:val="F7A718F4"/>
    <w:rsid w:val="FBDF7E1A"/>
    <w:rsid w:val="FFFF8F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b/>
      <w:kern w:val="44"/>
      <w:sz w:val="48"/>
      <w:szCs w:val="48"/>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table of figures"/>
    <w:basedOn w:val="1"/>
    <w:next w:val="1"/>
    <w:qFormat/>
    <w:uiPriority w:val="0"/>
    <w:pPr>
      <w:ind w:left="200" w:leftChars="200" w:hanging="200" w:hangingChars="200"/>
    </w:pPr>
    <w:rPr>
      <w:rFonts w:ascii="Times New Roman" w:hAnsi="Times New Roman"/>
    </w:rPr>
  </w:style>
  <w:style w:type="paragraph" w:styleId="4">
    <w:name w:val="Body Text Indent"/>
    <w:basedOn w:val="1"/>
    <w:qFormat/>
    <w:uiPriority w:val="0"/>
    <w:pPr>
      <w:spacing w:after="120"/>
      <w:ind w:left="420" w:leftChars="200"/>
    </w:pPr>
  </w:style>
  <w:style w:type="paragraph" w:styleId="5">
    <w:name w:val="Plain Text"/>
    <w:basedOn w:val="1"/>
    <w:qFormat/>
    <w:uiPriority w:val="0"/>
    <w:rPr>
      <w:rFonts w:ascii="宋体" w:hAnsi="Courier New" w:eastAsia="宋体" w:cs="Courier New"/>
      <w:szCs w:val="21"/>
    </w:rPr>
  </w:style>
  <w:style w:type="paragraph" w:styleId="6">
    <w:name w:val="Date"/>
    <w:basedOn w:val="1"/>
    <w:next w:val="1"/>
    <w:qFormat/>
    <w:uiPriority w:val="0"/>
    <w:pPr>
      <w:widowControl w:val="0"/>
      <w:adjustRightInd/>
      <w:snapToGrid/>
      <w:spacing w:after="0"/>
      <w:jc w:val="both"/>
    </w:pPr>
    <w:rPr>
      <w:rFonts w:ascii="仿宋_GB2312" w:hAnsi="Times New Roman" w:eastAsia="仿宋_GB2312" w:cs="Times New Roman"/>
      <w:kern w:val="2"/>
      <w:sz w:val="32"/>
      <w:szCs w:val="24"/>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unhideWhenUsed/>
    <w:qFormat/>
    <w:uiPriority w:val="99"/>
    <w:pPr>
      <w:adjustRightInd/>
      <w:snapToGrid/>
      <w:spacing w:before="100" w:beforeAutospacing="1" w:after="100" w:afterAutospacing="1"/>
    </w:pPr>
    <w:rPr>
      <w:rFonts w:ascii="宋体" w:hAnsi="宋体" w:eastAsia="宋体" w:cs="宋体"/>
      <w:sz w:val="24"/>
      <w:szCs w:val="24"/>
    </w:rPr>
  </w:style>
  <w:style w:type="paragraph" w:styleId="10">
    <w:name w:val="Body Text First Indent 2"/>
    <w:basedOn w:val="4"/>
    <w:qFormat/>
    <w:uiPriority w:val="0"/>
    <w:pPr>
      <w:ind w:firstLine="420" w:firstLineChars="200"/>
    </w:pPr>
    <w:rPr>
      <w:sz w:val="28"/>
      <w:szCs w:val="20"/>
    </w:rPr>
  </w:style>
  <w:style w:type="character" w:styleId="13">
    <w:name w:val="page number"/>
    <w:basedOn w:val="12"/>
    <w:qFormat/>
    <w:uiPriority w:val="0"/>
  </w:style>
  <w:style w:type="paragraph" w:styleId="1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2021-06-27T08:55:00Z</dcterms:created>
  <dc:creator>DELL</dc:creator>
  <cp:lastModifiedBy>thtf</cp:lastModifiedBy>
  <dcterms:modified xsi:type="dcterms:W3CDTF">2023-01-19T15:25:06Z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5D1DF9FA52CD46AAB41EF9D52FECFE99</vt:lpwstr>
  </property>
</Properties>
</file>